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036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36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Valiyaveettil Ravi Mohan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CREDIT ACCEPTANCE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CACC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25505 WEST TWELVE MILE 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SOUTHFIELD  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1,269.5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506.56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27,317.62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424.12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10/24/2028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5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obligations in conjunction with the vesting and settlement of restricted stock units to shares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23,458 unvested restricted stock units that were granted under the Company's Incentive Compensation Plan. Each restricted stock unit represents and has a value equal to one share of common stock of Credit Acceptance Corporation.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four equal annual installments beginning on October 24, 2023, which was the first anniversary of the date on which the option was granted.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Ravi Mohan Valiyaveettil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10/28/2025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2271" TargetMode="External"/><Relationship Id="rId14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2025-10-28T15:13:33Z</dcterms:created>
  <dcterms:modified xsi:type="dcterms:W3CDTF">2025-10-28T15:13:33Z</dcterms:modified>
</cp:coreProperties>
</file>