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4,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6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72"/>
        <w:gridCol w:w="1072"/>
        <w:gridCol w:w="1515"/>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4, 2026, Credit Acceptance Corporation (the “Company”) issued a press release announcing its financial results for the three months ended June 30, 2026 and details for the related August 4, 2026 webcast. The press release is attached as Exhibit 99.1 to this Form 8-K and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109"/>
        <w:gridCol w:w="109"/>
        <w:gridCol w:w="109"/>
        <w:gridCol w:w="109"/>
        <w:gridCol w:w="109"/>
        <w:gridCol w:w="109"/>
        <w:gridCol w:w="2553"/>
        <w:gridCol w:w="2551"/>
        <w:gridCol w:w="363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hyperlink w:anchor="caccq22026earningsrelease.htm">
              <w:r>
                <w:rPr>
                  <w:rStyle w:val="InternetLink"/>
                  <w:rFonts w:ascii="Times New Roman;serif" w:hAnsi="Times New Roman;serif"/>
                  <w:b w:val="false"/>
                  <w:color w:val="0000FF"/>
                  <w:sz w:val="20"/>
                  <w:u w:val="single"/>
                </w:rPr>
                <w:t>99.1</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4, 2026.</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5948" w:type="dxa"/>
        <w:jc w:val="left"/>
        <w:tblInd w:w="0" w:type="dxa"/>
        <w:tblLayout w:type="fixed"/>
        <w:tblCellMar>
          <w:top w:w="28" w:type="dxa"/>
          <w:left w:w="28" w:type="dxa"/>
          <w:bottom w:w="28" w:type="dxa"/>
          <w:right w:w="28" w:type="dxa"/>
        </w:tblCellMar>
      </w:tblPr>
      <w:tblGrid>
        <w:gridCol w:w="667"/>
        <w:gridCol w:w="587"/>
        <w:gridCol w:w="590"/>
        <w:gridCol w:w="589"/>
        <w:gridCol w:w="589"/>
        <w:gridCol w:w="589"/>
        <w:gridCol w:w="654"/>
        <w:gridCol w:w="654"/>
        <w:gridCol w:w="657"/>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647950"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47950" cy="6191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ANNOUNCES SECOND QUARTER 2026 RESULTS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Southfield, Michigan – August 4, 2026 – Credit Acceptance Corporation (Nasdaq: CACC)</w:t>
      </w:r>
      <w:r>
        <w:rPr>
          <w:color w:val="000000"/>
        </w:rPr>
        <w:t xml:space="preserve"> </w:t>
      </w:r>
      <w:r>
        <w:rPr>
          <w:rFonts w:ascii="Times New Roman;serif" w:hAnsi="Times New Roman;serif"/>
          <w:b w:val="false"/>
          <w:color w:val="000000"/>
          <w:sz w:val="20"/>
        </w:rPr>
        <w:t xml:space="preserve">(referred to as the “Company”, “Credit Acceptance”, “we”, “our”, or “us”) today announced consolidated net income of $135.9 million, or $12.66 per diluted share, for the three months ended June 30, 2026. Adjusted net income, a non-GAAP financial measure, for the three months ended June 30, 2026 was $130.1 million, or $12.12 per diluted share. The following table summarizes our financial results: </w:t>
      </w:r>
    </w:p>
    <w:p>
      <w:pPr>
        <w:pStyle w:val="TextBody"/>
        <w:bidi w:val="0"/>
        <w:spacing w:before="0" w:after="0"/>
        <w:jc w:val="both"/>
        <w:rPr/>
      </w:pPr>
      <w:r>
        <w:rPr/>
      </w:r>
    </w:p>
    <w:tbl>
      <w:tblPr>
        <w:tblW w:w="8166" w:type="dxa"/>
        <w:jc w:val="left"/>
        <w:tblInd w:w="0" w:type="dxa"/>
        <w:tblLayout w:type="fixed"/>
        <w:tblCellMar>
          <w:top w:w="28" w:type="dxa"/>
          <w:left w:w="28" w:type="dxa"/>
          <w:bottom w:w="28" w:type="dxa"/>
          <w:right w:w="28" w:type="dxa"/>
        </w:tblCellMar>
      </w:tblPr>
      <w:tblGrid>
        <w:gridCol w:w="1157"/>
        <w:gridCol w:w="1015"/>
        <w:gridCol w:w="1023"/>
        <w:gridCol w:w="109"/>
        <w:gridCol w:w="109"/>
        <w:gridCol w:w="109"/>
        <w:gridCol w:w="253"/>
        <w:gridCol w:w="741"/>
        <w:gridCol w:w="131"/>
        <w:gridCol w:w="109"/>
        <w:gridCol w:w="109"/>
        <w:gridCol w:w="109"/>
        <w:gridCol w:w="284"/>
        <w:gridCol w:w="829"/>
        <w:gridCol w:w="146"/>
        <w:gridCol w:w="109"/>
        <w:gridCol w:w="109"/>
        <w:gridCol w:w="109"/>
        <w:gridCol w:w="253"/>
        <w:gridCol w:w="741"/>
        <w:gridCol w:w="131"/>
        <w:gridCol w:w="109"/>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Our second quarter results reflect continued progress across the business, driven by improved profitability, strengthening origination trends, and continued momentum across our dealer network,</w:t>
      </w:r>
      <w:r>
        <w:rPr>
          <w:color w:val="000000"/>
        </w:rPr>
        <w:t xml:space="preserve">” </w:t>
      </w:r>
      <w:r>
        <w:rPr>
          <w:rFonts w:ascii="Times New Roman;serif" w:hAnsi="Times New Roman;serif"/>
          <w:b w:val="false"/>
          <w:color w:val="000000"/>
          <w:sz w:val="20"/>
        </w:rPr>
        <w:t xml:space="preserve">said Vinayak Hegde, Chief Executive Officer of Credit Acceptance. </w:t>
      </w:r>
      <w:r>
        <w:rPr>
          <w:color w:val="000000"/>
        </w:rPr>
        <w:t>“</w:t>
      </w:r>
      <w:r>
        <w:rPr>
          <w:rFonts w:ascii="Times New Roman;serif" w:hAnsi="Times New Roman;serif"/>
          <w:b w:val="false"/>
          <w:i/>
          <w:color w:val="000000"/>
          <w:sz w:val="20"/>
        </w:rPr>
        <w:t>We are encouraged by the progress we made during the quarter and remain focused on profitable growth, disciplined capital allocation, and maximizing long-term intrinsic value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$8.0 billion average balance of our loan portfolio, consistent with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Consumer Loan assignment unit volume declined 1.0% to 84,615 while dollar volume grew 0.1% to $1.0 billion, compared to the second quarter of 2025. Monthly unit volume returned to year-over-year growth in June, which continued into July.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Forecasted net cash flows from our loan portfolio declined by $39.1 million, or 0.3%, compared to a decline of $55.8 million, or 0.5%, in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262,963 shares, or 2.5% of the shares outstanding at the beginning of the quarter, were repurchased at a cost of $141.4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$43.5 million in dealer holdback and accelerated dealer holdback payments to dealers.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$1.4 billion in liquidity (amounts available for borrowing under revolving lines of credit and unrestricted cash and cash equivalents) as of June 30, 2026.</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We continue to make meaningful progress in our digital-first, AI-enabled strategy,</w:t>
      </w:r>
      <w:r>
        <w:rPr>
          <w:color w:val="000000"/>
        </w:rPr>
        <w:t xml:space="preserve">” </w:t>
      </w:r>
      <w:r>
        <w:rPr>
          <w:rFonts w:ascii="Times New Roman;serif" w:hAnsi="Times New Roman;serif"/>
          <w:b w:val="false"/>
          <w:color w:val="000000"/>
          <w:sz w:val="20"/>
        </w:rPr>
        <w:t xml:space="preserve">said Mr. Hegde. </w:t>
      </w:r>
      <w:r>
        <w:rPr>
          <w:color w:val="000000"/>
        </w:rPr>
        <w:t>“</w:t>
      </w:r>
      <w:r>
        <w:rPr>
          <w:rFonts w:ascii="Times New Roman;serif" w:hAnsi="Times New Roman;serif"/>
          <w:b w:val="false"/>
          <w:i/>
          <w:color w:val="000000"/>
          <w:sz w:val="20"/>
        </w:rPr>
        <w:t>From enhancing the dealer experience through improved deal structuring and workflow tools to scaling AI-enabled servicing capabilities, we are using data and technology to create a more personalized experience for dealers and consumers. At the center of this work is a commitment to customer obsession — better understanding our customers, anticipating their needs, and delivering a better experience at every interaction.”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Company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Enrolled 1,456 new dealers in our programs with a record 11,004 active dealers during the quarter, reflecting continued engagement across our dealer network.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Made continued progress executing our product roadmap, including the following initiatives: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Deal optimization: </w:t>
      </w:r>
      <w:r>
        <w:rPr>
          <w:rFonts w:ascii="Times New Roman;serif" w:hAnsi="Times New Roman;serif"/>
          <w:b w:val="false"/>
          <w:color w:val="000000"/>
          <w:sz w:val="20"/>
        </w:rPr>
        <w:t>Enhanced our deal structuring experience, which helps dealers find an optimal deal. 90% of active dealers used the new capability during the quarter.</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AI-enabled call-center agent:</w:t>
      </w:r>
      <w:r>
        <w:rPr>
          <w:color w:val="000000"/>
        </w:rPr>
        <w:t xml:space="preserve"> </w:t>
      </w:r>
      <w:r>
        <w:rPr>
          <w:rFonts w:ascii="Times New Roman;serif" w:hAnsi="Times New Roman;serif"/>
          <w:b w:val="false"/>
          <w:color w:val="000000"/>
          <w:sz w:val="20"/>
        </w:rPr>
        <w:t>67% of inbound customer service and account solutions calls were routed to the AI agent in June, up from 27% in March, driving improved efficiency, enabling faster 24/7 customer self-service, and reducing cost-to-serve at scale. This performance reflects continued expansion of a production-deployed AI capability that is now integrated into core servicing workflows. We expect further gains in call handling and unit economics as we scale this platform throughout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Named one of the 100 Best Companies to Work For</w:t>
      </w:r>
      <w:r>
        <w:rPr>
          <w:rFonts w:ascii="Times New Roman;serif" w:hAnsi="Times New Roman;serif"/>
          <w:b w:val="false"/>
          <w:color w:val="000000"/>
          <w:sz w:val="13"/>
        </w:rPr>
        <w:t xml:space="preserve">® </w:t>
      </w:r>
      <w:r>
        <w:rPr>
          <w:rFonts w:ascii="Times New Roman;serif" w:hAnsi="Times New Roman;serif"/>
          <w:b w:val="false"/>
          <w:color w:val="000000"/>
          <w:sz w:val="20"/>
        </w:rPr>
        <w:t>by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Fortune</w:t>
      </w:r>
      <w:r>
        <w:rPr>
          <w:color w:val="000000"/>
        </w:rPr>
        <w:t xml:space="preserve"> </w:t>
      </w:r>
      <w:r>
        <w:rPr>
          <w:rFonts w:ascii="Times New Roman;serif" w:hAnsi="Times New Roman;serif"/>
          <w:b w:val="false"/>
          <w:color w:val="000000"/>
          <w:sz w:val="20"/>
        </w:rPr>
        <w:t xml:space="preserve">magazine for the twelfth time, with a #18 ranking, our highest ranking ever.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Consumer Loan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use a statistical model to estimate the expected collection rate for each Consumer Loan at the time of assignment. We continue to evaluate the expected collection rate for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w:t>
      </w:r>
      <w:r>
        <w:rPr>
          <w:rFonts w:ascii="Times New Roman;serif" w:hAnsi="Times New Roman;serif"/>
          <w:b w:val="false"/>
          <w:color w:val="000000"/>
          <w:sz w:val="20"/>
          <w:shd w:fill="FFFFFF" w:val="clear"/>
        </w:rPr>
        <w:t>ollowing table compares our aggregated forecast of Consumer Loan collection rates as of June 30, 2026, with the aggregated forecasts</w:t>
      </w:r>
      <w:r>
        <w:rPr>
          <w:color w:val="000000"/>
        </w:rPr>
        <w:t xml:space="preserve"> </w:t>
      </w:r>
      <w:r>
        <w:rPr>
          <w:rFonts w:ascii="Times New Roman;serif" w:hAnsi="Times New Roman;serif"/>
          <w:b w:val="false"/>
          <w:color w:val="000000"/>
          <w:sz w:val="20"/>
        </w:rPr>
        <w:t>as of March 31, 2026 and at the time of assignment, segmented by year of assignment: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6"/>
        <w:gridCol w:w="701"/>
        <w:gridCol w:w="706"/>
        <w:gridCol w:w="109"/>
        <w:gridCol w:w="109"/>
        <w:gridCol w:w="109"/>
        <w:gridCol w:w="255"/>
        <w:gridCol w:w="256"/>
        <w:gridCol w:w="538"/>
        <w:gridCol w:w="177"/>
        <w:gridCol w:w="177"/>
        <w:gridCol w:w="177"/>
        <w:gridCol w:w="281"/>
        <w:gridCol w:w="268"/>
        <w:gridCol w:w="594"/>
        <w:gridCol w:w="177"/>
        <w:gridCol w:w="177"/>
        <w:gridCol w:w="177"/>
        <w:gridCol w:w="177"/>
        <w:gridCol w:w="109"/>
        <w:gridCol w:w="255"/>
        <w:gridCol w:w="256"/>
        <w:gridCol w:w="467"/>
        <w:gridCol w:w="182"/>
        <w:gridCol w:w="182"/>
        <w:gridCol w:w="182"/>
        <w:gridCol w:w="280"/>
        <w:gridCol w:w="257"/>
        <w:gridCol w:w="594"/>
        <w:gridCol w:w="109"/>
        <w:gridCol w:w="109"/>
        <w:gridCol w:w="109"/>
        <w:gridCol w:w="109"/>
        <w:gridCol w:w="109"/>
        <w:gridCol w:w="233"/>
        <w:gridCol w:w="233"/>
        <w:gridCol w:w="469"/>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c>
          <w:tcPr>
            <w:tcW w:w="1480" w:type="dxa"/>
            <w:gridSpan w:val="8"/>
            <w:tcBorders/>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Initial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Forecast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Initial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Forecast</w:t>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6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5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5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forecasted collections we expect to collect on the Consumer Loans as a percentage of the repayments that we were contractually owed on the Consumer Loans at the time of assignment, including both principal and interest. Forecasted collection rates are negatively impacted by canceled Consumer Loans because the contractual amount owed is not removed from the denominator used to calculate these rates. Any declines in forecasted collection rates for Consumer Loans assigned in the most recent quarter primarily reflect the impact of cancellations rather than underlying Consumer Loan performance.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forecasted collection rate for 2026 Consumer Loans as of June 30, 2026 includes both Consumer Loans that were in our portfolio as of March 31, 2026 and Consumer Loans assigned during the most recent quarter. The following table provides forecasted collection rates for each of these segments: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009"/>
        <w:gridCol w:w="887"/>
        <w:gridCol w:w="894"/>
        <w:gridCol w:w="109"/>
        <w:gridCol w:w="109"/>
        <w:gridCol w:w="109"/>
        <w:gridCol w:w="267"/>
        <w:gridCol w:w="257"/>
        <w:gridCol w:w="544"/>
        <w:gridCol w:w="150"/>
        <w:gridCol w:w="150"/>
        <w:gridCol w:w="150"/>
        <w:gridCol w:w="299"/>
        <w:gridCol w:w="281"/>
        <w:gridCol w:w="609"/>
        <w:gridCol w:w="150"/>
        <w:gridCol w:w="150"/>
        <w:gridCol w:w="150"/>
        <w:gridCol w:w="233"/>
        <w:gridCol w:w="233"/>
        <w:gridCol w:w="388"/>
        <w:gridCol w:w="109"/>
        <w:gridCol w:w="109"/>
        <w:gridCol w:w="109"/>
        <w:gridCol w:w="295"/>
        <w:gridCol w:w="276"/>
        <w:gridCol w:w="605"/>
        <w:gridCol w:w="199"/>
        <w:gridCol w:w="199"/>
        <w:gridCol w:w="199"/>
        <w:gridCol w:w="218"/>
        <w:gridCol w:w="218"/>
        <w:gridCol w:w="541"/>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w:t>
              <w:br/>
              <w:t>Forecast</w:t>
            </w:r>
          </w:p>
        </w:tc>
      </w:tr>
      <w:tr>
        <w:trPr/>
        <w:tc>
          <w:tcPr>
            <w:tcW w:w="279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2026 through 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5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6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38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60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forecasted collection rates declined for Consumer Loans assigned in 2023 through 2025 and were generally consistent with expectations at the start of the period for all other assignment years presented. For Consumer Loans assigned in 2026, the increase in forecasted collection rate from March 31, 2026 was primarily due to a higher initial forecast on Consumer Loans assigned during the second quarter.</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to our forecast of future net cash flows from our Loan portfolio (forecasted collections less forecasted dealer holdback payments) for each of the last eight quarters are shown in the following table: </w:t>
      </w:r>
    </w:p>
    <w:p>
      <w:pPr>
        <w:pStyle w:val="TextBody"/>
        <w:bidi w:val="0"/>
        <w:spacing w:before="0" w:after="0"/>
        <w:jc w:val="both"/>
        <w:rPr/>
      </w:pPr>
      <w:r>
        <w:rPr/>
      </w:r>
    </w:p>
    <w:tbl>
      <w:tblPr>
        <w:tblW w:w="7823" w:type="dxa"/>
        <w:jc w:val="left"/>
        <w:tblInd w:w="0" w:type="dxa"/>
        <w:tblLayout w:type="fixed"/>
        <w:tblCellMar>
          <w:top w:w="28" w:type="dxa"/>
          <w:left w:w="28" w:type="dxa"/>
          <w:bottom w:w="28" w:type="dxa"/>
          <w:right w:w="28" w:type="dxa"/>
        </w:tblCellMar>
      </w:tblPr>
      <w:tblGrid>
        <w:gridCol w:w="631"/>
        <w:gridCol w:w="553"/>
        <w:gridCol w:w="555"/>
        <w:gridCol w:w="109"/>
        <w:gridCol w:w="109"/>
        <w:gridCol w:w="109"/>
        <w:gridCol w:w="356"/>
        <w:gridCol w:w="990"/>
        <w:gridCol w:w="184"/>
        <w:gridCol w:w="184"/>
        <w:gridCol w:w="184"/>
        <w:gridCol w:w="184"/>
        <w:gridCol w:w="746"/>
        <w:gridCol w:w="746"/>
        <w:gridCol w:w="2183"/>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 in Forecasted Net Cash Flows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Loans</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from Forecast at Beginning of Period</w:t>
            </w:r>
          </w:p>
        </w:tc>
      </w:tr>
      <w:tr>
        <w:trPr/>
        <w:tc>
          <w:tcPr>
            <w:tcW w:w="173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8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Consumer Loan assignments for each of the last 10 years:</w:t>
      </w:r>
    </w:p>
    <w:tbl>
      <w:tblPr>
        <w:tblW w:w="10205" w:type="dxa"/>
        <w:jc w:val="center"/>
        <w:tblInd w:w="0" w:type="dxa"/>
        <w:tblLayout w:type="fixed"/>
        <w:tblCellMar>
          <w:top w:w="28" w:type="dxa"/>
          <w:left w:w="28" w:type="dxa"/>
          <w:bottom w:w="28" w:type="dxa"/>
          <w:right w:w="28" w:type="dxa"/>
        </w:tblCellMar>
      </w:tblPr>
      <w:tblGrid>
        <w:gridCol w:w="610"/>
        <w:gridCol w:w="531"/>
        <w:gridCol w:w="521"/>
        <w:gridCol w:w="109"/>
        <w:gridCol w:w="109"/>
        <w:gridCol w:w="109"/>
        <w:gridCol w:w="293"/>
        <w:gridCol w:w="1002"/>
        <w:gridCol w:w="151"/>
        <w:gridCol w:w="109"/>
        <w:gridCol w:w="109"/>
        <w:gridCol w:w="109"/>
        <w:gridCol w:w="221"/>
        <w:gridCol w:w="646"/>
        <w:gridCol w:w="114"/>
        <w:gridCol w:w="109"/>
        <w:gridCol w:w="109"/>
        <w:gridCol w:w="109"/>
        <w:gridCol w:w="677"/>
        <w:gridCol w:w="677"/>
        <w:gridCol w:w="680"/>
        <w:gridCol w:w="109"/>
        <w:gridCol w:w="109"/>
        <w:gridCol w:w="109"/>
        <w:gridCol w:w="339"/>
        <w:gridCol w:w="322"/>
        <w:gridCol w:w="324"/>
        <w:gridCol w:w="120"/>
        <w:gridCol w:w="120"/>
        <w:gridCol w:w="120"/>
        <w:gridCol w:w="265"/>
        <w:gridCol w:w="963"/>
        <w:gridCol w:w="201"/>
      </w:tblGrid>
      <w:tr>
        <w:trPr/>
        <w:tc>
          <w:tcPr>
            <w:tcW w:w="6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Assignment Volume</w:t>
            </w:r>
          </w:p>
        </w:tc>
      </w:tr>
      <w:tr>
        <w:trPr/>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Consumer Loan </w:t>
              <w:br/>
              <w:t>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Loan Term (in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(2)</w:t>
              <w:br/>
              <w:t>(in millions)</w:t>
            </w:r>
          </w:p>
        </w:tc>
      </w:tr>
      <w:tr>
        <w:trPr/>
        <w:tc>
          <w:tcPr>
            <w:tcW w:w="166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328,507</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2,873.1 </w:t>
            </w:r>
          </w:p>
        </w:tc>
        <w:tc>
          <w:tcPr>
            <w:tcW w:w="20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3,595.8</w:t>
            </w:r>
          </w:p>
        </w:tc>
      </w:tr>
      <w:tr>
        <w:trPr/>
        <w:tc>
          <w:tcPr>
            <w:tcW w:w="1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369,805</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3,772.2</w:t>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341,967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3,641.2</w:t>
            </w:r>
          </w:p>
        </w:tc>
      </w:tr>
      <w:tr>
        <w:trPr/>
        <w:tc>
          <w:tcPr>
            <w:tcW w:w="1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268,730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3,167.8</w:t>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w:t>
            </w:r>
          </w:p>
        </w:tc>
      </w:tr>
      <w:tr>
        <w:trPr/>
        <w:tc>
          <w:tcPr>
            <w:tcW w:w="1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332,499</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4,618.4</w:t>
            </w:r>
          </w:p>
        </w:tc>
      </w:tr>
      <w:tr>
        <w:trPr/>
        <w:tc>
          <w:tcPr>
            <w:tcW w:w="1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w:t>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w:t>
            </w:r>
          </w:p>
        </w:tc>
      </w:tr>
    </w:tbl>
    <w:p>
      <w:pPr>
        <w:pStyle w:val="TextBody"/>
        <w:bidi w:val="0"/>
        <w:spacing w:before="100" w:after="283"/>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repayments that we were contractually owed on Consumer Loans at the time of assignment, which include both principal and interest.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(3)Represents activity for the six months ended June 30, 2026. Information in this table for each of the years prior to 2026 represents activity for all 12 months of that year.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averages for 2026 Consumer Loans include both Consumer Loans that were in our portfolio as of March 31, 2026 and Consumer Loans assigned during the most recent quarter. The following table provides averages for each of these segments:</w:t>
      </w:r>
    </w:p>
    <w:tbl>
      <w:tblPr>
        <w:tblW w:w="8574" w:type="dxa"/>
        <w:jc w:val="left"/>
        <w:tblInd w:w="0" w:type="dxa"/>
        <w:tblLayout w:type="fixed"/>
        <w:tblCellMar>
          <w:top w:w="28" w:type="dxa"/>
          <w:left w:w="28" w:type="dxa"/>
          <w:bottom w:w="28" w:type="dxa"/>
          <w:right w:w="28" w:type="dxa"/>
        </w:tblCellMar>
      </w:tblPr>
      <w:tblGrid>
        <w:gridCol w:w="1112"/>
        <w:gridCol w:w="976"/>
        <w:gridCol w:w="986"/>
        <w:gridCol w:w="109"/>
        <w:gridCol w:w="109"/>
        <w:gridCol w:w="109"/>
        <w:gridCol w:w="259"/>
        <w:gridCol w:w="856"/>
        <w:gridCol w:w="144"/>
        <w:gridCol w:w="109"/>
        <w:gridCol w:w="109"/>
        <w:gridCol w:w="109"/>
        <w:gridCol w:w="196"/>
        <w:gridCol w:w="646"/>
        <w:gridCol w:w="109"/>
        <w:gridCol w:w="109"/>
        <w:gridCol w:w="109"/>
        <w:gridCol w:w="109"/>
        <w:gridCol w:w="676"/>
        <w:gridCol w:w="676"/>
        <w:gridCol w:w="957"/>
      </w:tblGrid>
      <w:tr>
        <w:trPr/>
        <w:tc>
          <w:tcPr>
            <w:tcW w:w="11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Loan Term (in months)</w:t>
            </w:r>
          </w:p>
        </w:tc>
      </w:tr>
      <w:tr>
        <w:trPr/>
        <w:tc>
          <w:tcPr>
            <w:tcW w:w="307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2026 through 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25,050 </w:t>
            </w:r>
          </w:p>
        </w:tc>
        <w:tc>
          <w:tcPr>
            <w:tcW w:w="14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9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profitability of our loans is primarily driven by the amount and timing of the net cash flows we receive from the spread between the forecasted collection rate and the advance rate, less operating expenses and the cost of capital. Forecasting collection rates accurately at loan inception is difficult. With this in mind, we establish advance rates that are intended to allow us to achieve acceptable levels of profitability across our portfolio, even if collection rates are less than we initially forecast.</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aggregate forecasted Consumer Loan collection rates, advance rates, spreads (the forecasted collection rate less the advance rate), and forecasted future net cash flows as of June 30, 2026, as well as forecasted collection rates and spreads at the time of assignment. All amounts, unless otherwise noted, are presented as a percentage of the initial balance of the Consumer Loan (principal + interest). The table includes both dealer loans and purchased loans.</w:t>
      </w:r>
    </w:p>
    <w:tbl>
      <w:tblPr>
        <w:tblW w:w="10205" w:type="dxa"/>
        <w:jc w:val="left"/>
        <w:tblInd w:w="0" w:type="dxa"/>
        <w:tblLayout w:type="fixed"/>
        <w:tblCellMar>
          <w:top w:w="28" w:type="dxa"/>
          <w:left w:w="28" w:type="dxa"/>
          <w:bottom w:w="28" w:type="dxa"/>
          <w:right w:w="28" w:type="dxa"/>
        </w:tblCellMar>
      </w:tblPr>
      <w:tblGrid>
        <w:gridCol w:w="670"/>
        <w:gridCol w:w="326"/>
        <w:gridCol w:w="329"/>
        <w:gridCol w:w="109"/>
        <w:gridCol w:w="109"/>
        <w:gridCol w:w="109"/>
        <w:gridCol w:w="255"/>
        <w:gridCol w:w="256"/>
        <w:gridCol w:w="288"/>
        <w:gridCol w:w="111"/>
        <w:gridCol w:w="111"/>
        <w:gridCol w:w="111"/>
        <w:gridCol w:w="270"/>
        <w:gridCol w:w="242"/>
        <w:gridCol w:w="420"/>
        <w:gridCol w:w="109"/>
        <w:gridCol w:w="109"/>
        <w:gridCol w:w="109"/>
        <w:gridCol w:w="267"/>
        <w:gridCol w:w="245"/>
        <w:gridCol w:w="420"/>
        <w:gridCol w:w="109"/>
        <w:gridCol w:w="109"/>
        <w:gridCol w:w="109"/>
        <w:gridCol w:w="255"/>
        <w:gridCol w:w="256"/>
        <w:gridCol w:w="288"/>
        <w:gridCol w:w="109"/>
        <w:gridCol w:w="109"/>
        <w:gridCol w:w="109"/>
        <w:gridCol w:w="270"/>
        <w:gridCol w:w="242"/>
        <w:gridCol w:w="420"/>
        <w:gridCol w:w="109"/>
        <w:gridCol w:w="109"/>
        <w:gridCol w:w="109"/>
        <w:gridCol w:w="218"/>
        <w:gridCol w:w="900"/>
        <w:gridCol w:w="112"/>
        <w:gridCol w:w="111"/>
        <w:gridCol w:w="111"/>
        <w:gridCol w:w="111"/>
        <w:gridCol w:w="317"/>
        <w:gridCol w:w="299"/>
        <w:gridCol w:w="339"/>
      </w:tblGrid>
      <w:tr>
        <w:trPr/>
        <w:tc>
          <w:tcPr>
            <w:tcW w:w="6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 as of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Future Net Cash Flows (3)</w:t>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 (in millions)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8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8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0" w:type="dxa"/>
            <w:gridSpan w:val="3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11,753.7 </w:t>
            </w:r>
          </w:p>
        </w:tc>
        <w:tc>
          <w:tcPr>
            <w:tcW w:w="1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the forecasted collection rate less the advance rate.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the forecasted future collections we expect to collect on Consumer Loans less the forecasted future dealer holdback and accelerated dealer holdback payments we expect to make to dealers.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Represents activity for the six months ended June 30, 2026. Information in this table for each of the years prior to 2026 represents activity for all 12 months of that year.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The forecasted collection rate, advance rate and spread for 2026 Consumer Loans as of June 30, 2026 include both Consumer Loans that were in our portfolio as of March 31, 2026 and Consumer Loans assigned during the most recent quarter. The following table provides forecasted collection rates, advance rates, and spreads for each of these segments: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4"/>
        <w:gridCol w:w="901"/>
        <w:gridCol w:w="907"/>
        <w:gridCol w:w="109"/>
        <w:gridCol w:w="109"/>
        <w:gridCol w:w="109"/>
        <w:gridCol w:w="267"/>
        <w:gridCol w:w="259"/>
        <w:gridCol w:w="551"/>
        <w:gridCol w:w="188"/>
        <w:gridCol w:w="188"/>
        <w:gridCol w:w="188"/>
        <w:gridCol w:w="285"/>
        <w:gridCol w:w="277"/>
        <w:gridCol w:w="604"/>
        <w:gridCol w:w="109"/>
        <w:gridCol w:w="109"/>
        <w:gridCol w:w="109"/>
        <w:gridCol w:w="233"/>
        <w:gridCol w:w="233"/>
        <w:gridCol w:w="485"/>
        <w:gridCol w:w="109"/>
        <w:gridCol w:w="109"/>
        <w:gridCol w:w="109"/>
        <w:gridCol w:w="267"/>
        <w:gridCol w:w="259"/>
        <w:gridCol w:w="551"/>
        <w:gridCol w:w="109"/>
        <w:gridCol w:w="109"/>
        <w:gridCol w:w="109"/>
        <w:gridCol w:w="271"/>
        <w:gridCol w:w="262"/>
        <w:gridCol w:w="697"/>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 as of</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r>
      <w:tr>
        <w:trPr/>
        <w:tc>
          <w:tcPr>
            <w:tcW w:w="283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2026 through 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5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4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5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6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risk of a material change in our forecasted collection rate declines as the Consumer Loans age. Because Consumer Loans assigned in 2022 and prior years represent only approximately 10% of total forecasted future net cash flows from Consumer Loans, changes in the forecasted collection rate for those loans would generally be expected to have a relatively modest impact on total forecasted future net cash flows. In contrast, Consumer Loans assigned since 2022 represent a larger portion of expected future net cash flows, and a significant portion of their total forecasted collections has not yet been realized. Accordingly, changes in the forecasted collection rate for those more recent loans would generally be expected to have a more significant impact on total forecasted future net cash flows.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spread between the forecasted collection rate as of June 30, 2026 and the advance rate ranges from 11.9% to 24.2%, on an annual basis, for Consumer Loans assigned over the last 10 years. The spreads with respect to 2019 and 2020 Consumer Loans have been positively impacted by Consumer Loan performance, which has exceeded our initial estimates by a greater margin than the other years presented. The spreads with respect to 2021 through 2024 Consumer Loans have been negatively impacted by Consumer Loan performance, which has been lower than our initial estimates by a greater margin than the other years presented. The spread as of June 30, 2026 on 2026 Consumer Loans was 21.9%, consistent with 2025 Consumer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forecast of aggregate Consumer Loan collection rates as of June 30, 2026 with the forecasts at the time of assignment, for dealer loans and purchased loans separately: </w:t>
      </w:r>
    </w:p>
    <w:tbl>
      <w:tblPr>
        <w:tblW w:w="10205" w:type="dxa"/>
        <w:jc w:val="center"/>
        <w:tblInd w:w="0" w:type="dxa"/>
        <w:tblLayout w:type="fixed"/>
        <w:tblCellMar>
          <w:top w:w="28" w:type="dxa"/>
          <w:left w:w="28" w:type="dxa"/>
          <w:bottom w:w="28" w:type="dxa"/>
          <w:right w:w="28" w:type="dxa"/>
        </w:tblCellMar>
      </w:tblPr>
      <w:tblGrid>
        <w:gridCol w:w="672"/>
        <w:gridCol w:w="592"/>
        <w:gridCol w:w="596"/>
        <w:gridCol w:w="109"/>
        <w:gridCol w:w="109"/>
        <w:gridCol w:w="109"/>
        <w:gridCol w:w="265"/>
        <w:gridCol w:w="256"/>
        <w:gridCol w:w="485"/>
        <w:gridCol w:w="194"/>
        <w:gridCol w:w="194"/>
        <w:gridCol w:w="194"/>
        <w:gridCol w:w="265"/>
        <w:gridCol w:w="256"/>
        <w:gridCol w:w="485"/>
        <w:gridCol w:w="109"/>
        <w:gridCol w:w="109"/>
        <w:gridCol w:w="109"/>
        <w:gridCol w:w="233"/>
        <w:gridCol w:w="233"/>
        <w:gridCol w:w="426"/>
        <w:gridCol w:w="109"/>
        <w:gridCol w:w="109"/>
        <w:gridCol w:w="109"/>
        <w:gridCol w:w="265"/>
        <w:gridCol w:w="256"/>
        <w:gridCol w:w="485"/>
        <w:gridCol w:w="194"/>
        <w:gridCol w:w="194"/>
        <w:gridCol w:w="194"/>
        <w:gridCol w:w="265"/>
        <w:gridCol w:w="256"/>
        <w:gridCol w:w="485"/>
        <w:gridCol w:w="109"/>
        <w:gridCol w:w="109"/>
        <w:gridCol w:w="109"/>
        <w:gridCol w:w="233"/>
        <w:gridCol w:w="233"/>
        <w:gridCol w:w="491"/>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including both principal and interest. Forecasted collection rates are negatively impacted by canceled Consumer Loans because the contractual amount owed is not removed from the denominator used to calculate these rates. Any declines in forecasted collection rates for Consumer Loans assigned in the most recent quarter primarily reflect the impact of cancellations rather than underlying Consumer Loan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aggregate forecasted Consumer Loan collection rates, advance rates, and spreads (the forecasted collection rate less the advance rate) as of June 30, 2026 for dealer loans and purchased loans separately.  All amounts are presented as a percentage of the initial balance of the Consumer Loan (principal + interest).</w:t>
      </w:r>
    </w:p>
    <w:tbl>
      <w:tblPr>
        <w:tblW w:w="10205" w:type="dxa"/>
        <w:jc w:val="center"/>
        <w:tblInd w:w="0" w:type="dxa"/>
        <w:tblLayout w:type="fixed"/>
        <w:tblCellMar>
          <w:top w:w="28" w:type="dxa"/>
          <w:left w:w="28" w:type="dxa"/>
          <w:bottom w:w="28" w:type="dxa"/>
          <w:right w:w="28" w:type="dxa"/>
        </w:tblCellMar>
      </w:tblPr>
      <w:tblGrid>
        <w:gridCol w:w="537"/>
        <w:gridCol w:w="473"/>
        <w:gridCol w:w="476"/>
        <w:gridCol w:w="109"/>
        <w:gridCol w:w="109"/>
        <w:gridCol w:w="109"/>
        <w:gridCol w:w="364"/>
        <w:gridCol w:w="289"/>
        <w:gridCol w:w="726"/>
        <w:gridCol w:w="109"/>
        <w:gridCol w:w="109"/>
        <w:gridCol w:w="109"/>
        <w:gridCol w:w="314"/>
        <w:gridCol w:w="235"/>
        <w:gridCol w:w="529"/>
        <w:gridCol w:w="109"/>
        <w:gridCol w:w="109"/>
        <w:gridCol w:w="109"/>
        <w:gridCol w:w="255"/>
        <w:gridCol w:w="256"/>
        <w:gridCol w:w="379"/>
        <w:gridCol w:w="109"/>
        <w:gridCol w:w="109"/>
        <w:gridCol w:w="109"/>
        <w:gridCol w:w="364"/>
        <w:gridCol w:w="289"/>
        <w:gridCol w:w="726"/>
        <w:gridCol w:w="109"/>
        <w:gridCol w:w="109"/>
        <w:gridCol w:w="109"/>
        <w:gridCol w:w="314"/>
        <w:gridCol w:w="235"/>
        <w:gridCol w:w="529"/>
        <w:gridCol w:w="109"/>
        <w:gridCol w:w="109"/>
        <w:gridCol w:w="109"/>
        <w:gridCol w:w="255"/>
        <w:gridCol w:w="256"/>
        <w:gridCol w:w="44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7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5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7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7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5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The forecasted collection rates and advance rates presented for dealer loans and purchased loans reflect the Consumer Loan classification at the time of assignment. </w:t>
      </w:r>
    </w:p>
    <w:p>
      <w:pPr>
        <w:pStyle w:val="TextBody"/>
        <w:bidi w:val="0"/>
        <w:spacing w:lineRule="auto" w:line="288" w:before="0" w:after="1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advance rate on purchased loans is higher as compared to the advance rate on dealer loans, purchased loans do not require us to pay dealer holdback.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spread as of June 30, 2026 on 2026 dealer loans was 22.4%, as compared to a spread of 22.1% on 2025 dealer loans. The increase was a result of a higher initial spread on 2026 dealer loans, due to the initial forecast increasing by a greater margin than the advance rate in our dealer loan portfolio.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spread as of June 30, 2026 on 2026 purchased loans was 20.3%, as compared to a spread of 21.1% on 2025 purchased loans. The decrease was primarily a result of a lower initial spread on 2026 purchased loans, due to the initial forecast decreasing by a greater margin than the advance rate in our purchased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Consumer Loan Volume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Consumer Loan assignment volume in each of the last eight quarters as compared to the same period in the previous year:</w:t>
      </w:r>
    </w:p>
    <w:tbl>
      <w:tblPr>
        <w:tblW w:w="5276"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293"/>
        <w:gridCol w:w="278"/>
        <w:gridCol w:w="565"/>
        <w:gridCol w:w="201"/>
        <w:gridCol w:w="201"/>
        <w:gridCol w:w="201"/>
        <w:gridCol w:w="300"/>
        <w:gridCol w:w="300"/>
        <w:gridCol w:w="870"/>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Percent 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(1)</w:t>
            </w:r>
          </w:p>
        </w:tc>
      </w:tr>
      <w:tr>
        <w:trPr/>
        <w:tc>
          <w:tcPr>
            <w:tcW w:w="174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8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8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8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Consumer Loan assignment volumes depend on a number of factors including (1) the overall demand for our financing programs and (2) the amount of capital available to fund new loans. Our pricing strategy is intended to maximize the amount of economic profit we generate, within the confines of capital constraints.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 volume declined 1.0% while dollar volume increased 0.1% during the second quarter of 2026 as the number of active dealers increased 3.3% and the average unit volume per active dealer declined 3.8%. Monthly unit volume returned to year-over-year growth in June, which continued into July. Unit volume for July 2026 increased 28.0% compared to the same period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Consumer Loan unit volume and active dealers: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611"/>
        <w:gridCol w:w="1622"/>
        <w:gridCol w:w="500"/>
        <w:gridCol w:w="308"/>
        <w:gridCol w:w="300"/>
        <w:gridCol w:w="300"/>
        <w:gridCol w:w="300"/>
        <w:gridCol w:w="300"/>
        <w:gridCol w:w="500"/>
        <w:gridCol w:w="308"/>
        <w:gridCol w:w="300"/>
        <w:gridCol w:w="109"/>
        <w:gridCol w:w="109"/>
        <w:gridCol w:w="109"/>
        <w:gridCol w:w="255"/>
        <w:gridCol w:w="256"/>
        <w:gridCol w:w="483"/>
        <w:gridCol w:w="109"/>
        <w:gridCol w:w="109"/>
        <w:gridCol w:w="109"/>
        <w:gridCol w:w="109"/>
        <w:gridCol w:w="109"/>
        <w:gridCol w:w="159"/>
      </w:tblGrid>
      <w:tr>
        <w:trPr/>
        <w:tc>
          <w:tcPr>
            <w:tcW w:w="183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Loan unit volume</w:t>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84,615 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85,486 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dealers (1)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volume per active dealer</w:t>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Consumer Loan unit volume from dealers active both periods</w:t>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67,910 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71,711 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Dealers active both periods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Average volume per dealer active both periods</w:t>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Consumer loan unit volume from dealers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 xml:space="preserve">active both periods </w:t>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Dealers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active both periods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Average volume per dealer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active both periods</w:t>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Active dealers are dealers who have received funding for at least one Consumer Loan during the period.</w:t>
      </w:r>
    </w:p>
    <w:p>
      <w:pPr>
        <w:pStyle w:val="TextBody"/>
        <w:bidi w:val="0"/>
        <w:spacing w:before="0" w:after="0"/>
        <w:ind w:left="0" w:right="0" w:hanging="36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on the changes in Consumer Loan unit volume and active dealers: </w:t>
      </w:r>
    </w:p>
    <w:tbl>
      <w:tblPr>
        <w:tblW w:w="9605" w:type="dxa"/>
        <w:jc w:val="left"/>
        <w:tblInd w:w="0" w:type="dxa"/>
        <w:tblLayout w:type="fixed"/>
        <w:tblCellMar>
          <w:top w:w="28" w:type="dxa"/>
          <w:left w:w="28" w:type="dxa"/>
          <w:bottom w:w="28" w:type="dxa"/>
          <w:right w:w="28" w:type="dxa"/>
        </w:tblCellMar>
      </w:tblPr>
      <w:tblGrid>
        <w:gridCol w:w="1590"/>
        <w:gridCol w:w="1395"/>
        <w:gridCol w:w="1410"/>
        <w:gridCol w:w="308"/>
        <w:gridCol w:w="308"/>
        <w:gridCol w:w="592"/>
        <w:gridCol w:w="238"/>
        <w:gridCol w:w="238"/>
        <w:gridCol w:w="238"/>
        <w:gridCol w:w="308"/>
        <w:gridCol w:w="308"/>
        <w:gridCol w:w="592"/>
        <w:gridCol w:w="109"/>
        <w:gridCol w:w="109"/>
        <w:gridCol w:w="109"/>
        <w:gridCol w:w="284"/>
        <w:gridCol w:w="287"/>
        <w:gridCol w:w="483"/>
        <w:gridCol w:w="109"/>
        <w:gridCol w:w="109"/>
        <w:gridCol w:w="109"/>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Consumer Loan unit volume from new active dealers</w:t>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5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5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active dealers (1)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Average volume per new active dealer</w:t>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Attrition (2)</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New active dealers are dealers who enrolled in our program and have received funding for their first dealer loan or purchased loan from us during the period.</w:t>
      </w:r>
    </w:p>
    <w:p>
      <w:pPr>
        <w:pStyle w:val="TextBody"/>
        <w:bidi w:val="0"/>
        <w:spacing w:lineRule="auto" w:line="288" w:before="0" w:after="1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percentage of Consumer Loans assigned to us as dealer loans and purchased loans for each of the last eight quarters:</w:t>
      </w:r>
    </w:p>
    <w:tbl>
      <w:tblPr>
        <w:tblW w:w="7997"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255"/>
        <w:gridCol w:w="256"/>
        <w:gridCol w:w="593"/>
        <w:gridCol w:w="109"/>
        <w:gridCol w:w="109"/>
        <w:gridCol w:w="109"/>
        <w:gridCol w:w="296"/>
        <w:gridCol w:w="296"/>
        <w:gridCol w:w="742"/>
        <w:gridCol w:w="109"/>
        <w:gridCol w:w="109"/>
        <w:gridCol w:w="109"/>
        <w:gridCol w:w="255"/>
        <w:gridCol w:w="256"/>
        <w:gridCol w:w="593"/>
        <w:gridCol w:w="118"/>
        <w:gridCol w:w="118"/>
        <w:gridCol w:w="118"/>
        <w:gridCol w:w="280"/>
        <w:gridCol w:w="280"/>
        <w:gridCol w:w="820"/>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74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7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5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8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7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5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net dealer loans receivable balance was 71.0% and 72.1%, respectively, of the total net loans receivable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Results</w:t>
      </w:r>
    </w:p>
    <w:p>
      <w:pPr>
        <w:pStyle w:val="TextBody"/>
        <w:bidi w:val="0"/>
        <w:spacing w:before="0" w:after="0"/>
        <w:jc w:val="both"/>
        <w:rPr/>
      </w:pPr>
      <w:r>
        <w:rPr/>
      </w:r>
    </w:p>
    <w:tbl>
      <w:tblPr>
        <w:tblW w:w="8631" w:type="dxa"/>
        <w:jc w:val="left"/>
        <w:tblInd w:w="0" w:type="dxa"/>
        <w:tblLayout w:type="fixed"/>
        <w:tblCellMar>
          <w:top w:w="28" w:type="dxa"/>
          <w:left w:w="28" w:type="dxa"/>
          <w:bottom w:w="28" w:type="dxa"/>
          <w:right w:w="28" w:type="dxa"/>
        </w:tblCellMar>
      </w:tblPr>
      <w:tblGrid>
        <w:gridCol w:w="1363"/>
        <w:gridCol w:w="1196"/>
        <w:gridCol w:w="1206"/>
        <w:gridCol w:w="240"/>
        <w:gridCol w:w="873"/>
        <w:gridCol w:w="124"/>
        <w:gridCol w:w="124"/>
        <w:gridCol w:w="124"/>
        <w:gridCol w:w="124"/>
        <w:gridCol w:w="240"/>
        <w:gridCol w:w="873"/>
        <w:gridCol w:w="124"/>
        <w:gridCol w:w="109"/>
        <w:gridCol w:w="109"/>
        <w:gridCol w:w="109"/>
        <w:gridCol w:w="255"/>
        <w:gridCol w:w="256"/>
        <w:gridCol w:w="483"/>
        <w:gridCol w:w="109"/>
        <w:gridCol w:w="109"/>
        <w:gridCol w:w="109"/>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average debt</w:t>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6,352.8 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GAAP average shareholders' equity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Average capital</w:t>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7,899.5 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GAAP net income for the three months ended June 30, 2026, as compared to the same period in 2025, was primarily a result of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operating expenses of 13.8% ($21.4 million), primarily due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decrease in general and administrative expense of 42.3% ($19.1 million), primarily due to the recognition of a $23.4 million contingent loss during the three months ended June 30, 2025 related to previously disclosed legal matters. The decrease was partially offset by higher professional services costs related to strategic market analysis initiatives.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salaries and wages expense of 6.7% ($5.6 million), primarily due to a reduction in headcount. The impact of team member separation costs on operating expenses in the second quarter of 2026 was not material, as higher severance expense was offset by lower stock-based compensation expense.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provision for credit losses of 7.8% ($13.4 million), due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provision for credit losses on forecast changes of $19.7 million, reflecting a smaller decline in Consumer Loan performance and changes in forecasted net cash flow timing. We have continued to experience slowing of forecasted net cash flow timing as a result of lower-than-expected Consumer Loan prepayments.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provision for credit losses on new Consumer Loan assignments of $6.3 million, primarily due to a 10.0% increase in the average provision per Consumer Loan assignment, partially offset by a 1.0% decrease in Consumer Loan assignment unit volume. The increase in the average provision per Consumer Loan assignment was primarily due to a higher average provision for purchased loans, driven by a lower initial forecast and spread, and a greater proportion of purchased loans in the mix of Consumer Loan assignments received during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decrease in interest expense of 9.1% ($10.7 million), due to decreases in our average cost of debt and our average outstanding debt balance.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finance charges of 1.0% ($5.5 million), primarily due to an increase in the average yield on our loan portfolio primarily due to higher contractual yields on more recent Consumer Loan assignments.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financial results are provided to help shareholders understand our financial performance. The financial data below is non-GAAP, unless labeled otherwise. We use adjusted financial information internally to measure financial performance and to determine certain incentive compensation. We also use economic profit as a framework to evaluate business decisions and strategies, with the objective to maximize economic profit over the long term. In addition, certain debt facilities utilize adjusted financial information for the determination of loan collateral values and to measure financial covenants. The table below shows our results following adjustments to reflect non-GAAP accounting methods. Material adjustments are explained in the table footnotes and the subsequent “Floating Yield Adjustment” section. Measures such as adjusted average capital, adjusted net income, adjusted net income per diluted share, interest expense (after-tax), adjusted net income plus interest expense (after-tax), adjusted return on capital, adjusted revenue, adjusted operating expenses, adjusted loans receivable, adjusted finance charges, adjusted average loans receivable, economic profit, and economic profit per diluted share are non-GAAP financial measures. Non-GAAP financial measures should be viewed in addition to, and not as an alternative for, our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financial results for the three months ended June 30, 2026, compared to the same period in 2025, include the following:</w:t>
      </w:r>
    </w:p>
    <w:tbl>
      <w:tblPr>
        <w:tblW w:w="9248" w:type="dxa"/>
        <w:jc w:val="left"/>
        <w:tblInd w:w="0" w:type="dxa"/>
        <w:tblLayout w:type="fixed"/>
        <w:tblCellMar>
          <w:top w:w="28" w:type="dxa"/>
          <w:left w:w="28" w:type="dxa"/>
          <w:bottom w:w="28" w:type="dxa"/>
          <w:right w:w="28" w:type="dxa"/>
        </w:tblCellMar>
      </w:tblPr>
      <w:tblGrid>
        <w:gridCol w:w="1586"/>
        <w:gridCol w:w="1391"/>
        <w:gridCol w:w="1403"/>
        <w:gridCol w:w="213"/>
        <w:gridCol w:w="773"/>
        <w:gridCol w:w="273"/>
        <w:gridCol w:w="110"/>
        <w:gridCol w:w="110"/>
        <w:gridCol w:w="110"/>
        <w:gridCol w:w="213"/>
        <w:gridCol w:w="773"/>
        <w:gridCol w:w="273"/>
        <w:gridCol w:w="109"/>
        <w:gridCol w:w="109"/>
        <w:gridCol w:w="109"/>
        <w:gridCol w:w="255"/>
        <w:gridCol w:w="256"/>
        <w:gridCol w:w="483"/>
        <w:gridCol w:w="109"/>
        <w:gridCol w:w="109"/>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average capital</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8,585.7 </w:t>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8,932.7 </w:t>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(after-tax)</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plus interest expense (after-tax)</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return on capital</w:t>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capital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profit</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diluted share</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profit per diluted share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Economic profit increased 25.8% for the three months ended June 30, 2026, as compared to the same period in 2025. Economic profit is a function of the return on capital in excess of the cost of capital and the amount of capital invested in the business. The following table summarizes the impact each of these components had on the changes in economic profit for the three months ended June 30, 2026, as compared to the same period in 2025:</w:t>
      </w:r>
    </w:p>
    <w:p>
      <w:pPr>
        <w:pStyle w:val="TextBody"/>
        <w:bidi w:val="0"/>
        <w:spacing w:before="0" w:after="0"/>
        <w:jc w:val="both"/>
        <w:rPr/>
      </w:pPr>
      <w:r>
        <w:rPr/>
      </w:r>
    </w:p>
    <w:tbl>
      <w:tblPr>
        <w:tblW w:w="6623" w:type="dxa"/>
        <w:jc w:val="left"/>
        <w:tblInd w:w="0" w:type="dxa"/>
        <w:tblLayout w:type="fixed"/>
        <w:tblCellMar>
          <w:top w:w="28" w:type="dxa"/>
          <w:left w:w="28" w:type="dxa"/>
          <w:bottom w:w="28" w:type="dxa"/>
          <w:right w:w="28" w:type="dxa"/>
        </w:tblCellMar>
      </w:tblPr>
      <w:tblGrid>
        <w:gridCol w:w="1126"/>
        <w:gridCol w:w="988"/>
        <w:gridCol w:w="991"/>
        <w:gridCol w:w="826"/>
        <w:gridCol w:w="2002"/>
        <w:gridCol w:w="427"/>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 in Economic Profit</w:t>
            </w:r>
          </w:p>
        </w:tc>
        <w:tc>
          <w:tcPr>
            <w:tcW w:w="263" w:type="dxa"/>
            <w:gridSpan w:val="2"/>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adjusted return on capital</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cost of capital</w:t>
            </w:r>
          </w:p>
        </w:tc>
        <w:tc>
          <w:tcPr>
            <w:tcW w:w="2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adjusted average capital</w:t>
            </w:r>
          </w:p>
        </w:tc>
        <w:tc>
          <w:tcPr>
            <w:tcW w:w="28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economic profit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economic profit for the three months ended June 30, 2026, as compared to the same period in 2025, was primarily a result of an increase in our adjusted return on capital of 50 basis points, primarily due to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the yield used to recognize adjusted finance charges on our loan portfolio increased our adjusted return on capital by 80 basis points, primarily due to higher expected yields on more recent Consumer Loan assignments, partially offset by a decline in Consumer Loan performance and slower forecasted net cash flow timing since the second quarter of 2025. We have continued to experience slowing of forecasted net cash flow timing as a result of lower-than-expected Consumer Loan prepayments.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increase in adjusted operating expenses decreased our adjusted return on capital by 30 basis points as adjusted operating expenses increased by 1.5% while adjusted average capital decreased by 3.9%. The increase in adjusted operating expenses was primarily due to higher professional services costs related to strategic market analysis initiatives. The impact of team member separation costs on adjusted operating expenses in the second quarter of 2026 was not material, as higher severance expense was offset by lower stock-based compensation expense.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adjusted finance charges as a percentage of adjusted average loans receivable, adjusted revenue and adjusted operating expenses as a percentage of adjusted average capital, the adjusted return on capital, and the percentage change in adjusted average capital for each of the last eight quarters, compared to the same period in the prior year: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35"/>
        <w:gridCol w:w="382"/>
        <w:gridCol w:w="385"/>
        <w:gridCol w:w="109"/>
        <w:gridCol w:w="109"/>
        <w:gridCol w:w="109"/>
        <w:gridCol w:w="255"/>
        <w:gridCol w:w="256"/>
        <w:gridCol w:w="281"/>
        <w:gridCol w:w="109"/>
        <w:gridCol w:w="109"/>
        <w:gridCol w:w="109"/>
        <w:gridCol w:w="255"/>
        <w:gridCol w:w="256"/>
        <w:gridCol w:w="281"/>
        <w:gridCol w:w="109"/>
        <w:gridCol w:w="109"/>
        <w:gridCol w:w="109"/>
        <w:gridCol w:w="255"/>
        <w:gridCol w:w="256"/>
        <w:gridCol w:w="281"/>
        <w:gridCol w:w="109"/>
        <w:gridCol w:w="109"/>
        <w:gridCol w:w="109"/>
        <w:gridCol w:w="255"/>
        <w:gridCol w:w="256"/>
        <w:gridCol w:w="281"/>
        <w:gridCol w:w="109"/>
        <w:gridCol w:w="109"/>
        <w:gridCol w:w="109"/>
        <w:gridCol w:w="255"/>
        <w:gridCol w:w="256"/>
        <w:gridCol w:w="281"/>
        <w:gridCol w:w="109"/>
        <w:gridCol w:w="109"/>
        <w:gridCol w:w="109"/>
        <w:gridCol w:w="255"/>
        <w:gridCol w:w="256"/>
        <w:gridCol w:w="281"/>
        <w:gridCol w:w="109"/>
        <w:gridCol w:w="109"/>
        <w:gridCol w:w="109"/>
        <w:gridCol w:w="255"/>
        <w:gridCol w:w="256"/>
        <w:gridCol w:w="281"/>
        <w:gridCol w:w="109"/>
        <w:gridCol w:w="109"/>
        <w:gridCol w:w="109"/>
        <w:gridCol w:w="255"/>
        <w:gridCol w:w="256"/>
        <w:gridCol w:w="33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Sept. 30, 2024</w:t>
            </w:r>
          </w:p>
        </w:tc>
      </w:tr>
      <w:tr>
        <w:trPr/>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finance charges as a percentage of adjusted average loans receivable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DBDBDB" w:val="clear"/>
              </w:rPr>
            </w:pPr>
            <w:r>
              <w:rPr>
                <w:rFonts w:ascii="Times New Roman;serif" w:hAnsi="Times New Roman;serif"/>
                <w:b w:val="false"/>
                <w:color w:val="000000"/>
                <w:sz w:val="20"/>
                <w:shd w:fill="DBDBDB" w:val="clear"/>
              </w:rPr>
              <w:t>17.4 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DBDBDB" w:val="clear"/>
              </w:rPr>
            </w:pPr>
            <w:r>
              <w:rPr>
                <w:rFonts w:ascii="Times New Roman;serif" w:hAnsi="Times New Roman;serif"/>
                <w:b w:val="false"/>
                <w:color w:val="000000"/>
                <w:sz w:val="20"/>
                <w:shd w:fill="DBDBDB" w:val="clear"/>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Adjusted revenue as a percentage of adjusted average capital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as a percentage of adjusted average capital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32"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return on capital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Percentage change in adjusted average capital compared to the same period in the prior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Annualized.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adjusted return on capital for the three months ended June 30, 2026, as compared to the three months ended March 31, 2026, was primarily due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yield used to recognize adjusted finance charges on our loan portfolio, which increased our adjusted return on capital by 30 basis points, primarily due to higher yields on more recent Consumer Loan assignments, partially offset by a decline in Consumer Loan performance and slower forecasted net cash flow timing during 2026. We have continued to experience slowing of forecasted net cash flow timing as a result of lower-than-expected Consumer Loan prepayments.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decrease of $7.1 million, or 5.0%, in adjusted operating expenses, which increased adjusted return on capital by 20 basis points, while adjusted average capital increased by 0.6%. The decrease in adjusted operating expenses was primarily due to a reduction in headcount. The impact of team member separation costs on adjusted operating expenses in the second quarter of 2026 was not material, as higher severance expense was substantially offset by lower stock-based compensation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non-GAAP measures to GAAP measures.  Certain amounts do not recalculate due to rounding.</w:t>
      </w:r>
    </w:p>
    <w:tbl>
      <w:tblPr>
        <w:tblW w:w="12972" w:type="dxa"/>
        <w:jc w:val="left"/>
        <w:tblInd w:w="0" w:type="dxa"/>
        <w:tblLayout w:type="fixed"/>
        <w:tblCellMar>
          <w:top w:w="28" w:type="dxa"/>
          <w:left w:w="28" w:type="dxa"/>
          <w:bottom w:w="28" w:type="dxa"/>
          <w:right w:w="28" w:type="dxa"/>
        </w:tblCellMar>
      </w:tblPr>
      <w:tblGrid>
        <w:gridCol w:w="590"/>
        <w:gridCol w:w="215"/>
        <w:gridCol w:w="216"/>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311"/>
      </w:tblGrid>
      <w:tr>
        <w:trPr/>
        <w:tc>
          <w:tcPr>
            <w:tcW w:w="5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Floating yield adjustment (after-tax)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provision for credit losses (after-tax)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w:t>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loss (after-tax)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 (2)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per diluted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10,734,652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10,954,097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11,771,525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12,279,446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12,388,072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12,415,143</w:t>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Floating yield adjustment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provision for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Adjusted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average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average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6,071.1 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average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adjustment (3)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Floating yield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average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average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8,699.2 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8,633.3 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as a percentage of adjusted average capital (4)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loans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7,975.5 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8,001.9 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7,850.3 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Floating yield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Adjusted loans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9,010.3 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9,002.7 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9,065.2 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9,098.3 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9,058.0 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8,922.7 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loan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finance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Floating yield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finance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average 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7,953.2 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7,893.7 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7,940.5 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7,990.5 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8,011.6 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7,690.9 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floating yield adjustment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average 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8,931.6 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9,071.4 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8,931.3 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finance charges as a percentage of adjusted average loans receivable (4)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From time to time, we recognize a contingent loss related to legal matters. As contingent losses related to such matters are both unusual and infrequent in nature, and relate to business operations in prior periods, we have applied this adjustment to remove the impact of the contingent loss from our adjusted net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Adjustment to record taxes at our estimated long-term effective income tax rate. The adjustment for the three months ended June 30, 2026, March 31, 2026, December 31, 2025, September 30, 2025, and June 30, 2025 is calculated using a 25% income tax rate, which is expected to be used for future periods. This rate represents an increase from 23%, which had been used to calculate after-tax adjustments since 2018, following the enactment in December 2017 of Public Law 115-97, commonly referred to as the Tax Cuts and Jobs Act (the “2017 Tax Act”). The increase in our long-term estimate was due to higher state and local income taxes in certain jurisdictions and lower excess tax benefits from stock-based compensation.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enactment of the 2017 Tax Act resulted in the reversal of provision for income taxes to reflect a new, lower federal statutory income tax rate. We began applying the income tax adjustment at that time to remove the impact of this reversal from adjusted average capital. As the enactment of Public Law 119-21 on July 4, 2025 made the lower federal statutory tax rate permanent, removing uncertainty on the future federal statutory income tax rate, we increased our estimated long-term effective income tax rate from 23% to 25% to reflect higher expected state and local income taxes in certain jurisdictions and lower excess tax benefits from stock-based compensation in future periods. We believe the income tax adjustment provides a more accurate reflection of the performance of our business as we are recognizing provision for income taxes at the applicable long-term effective tax rate for the period.</w:t>
      </w:r>
    </w:p>
    <w:p>
      <w:pPr>
        <w:pStyle w:val="TextBody"/>
        <w:bidi w:val="0"/>
        <w:spacing w:lineRule="auto" w:line="288" w:before="0" w:after="1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Annualized.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3021"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241"/>
        <w:gridCol w:w="109"/>
        <w:gridCol w:w="109"/>
        <w:gridCol w:w="109"/>
        <w:gridCol w:w="196"/>
        <w:gridCol w:w="691"/>
        <w:gridCol w:w="466"/>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expense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4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record tax effect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(after-tax)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return on capital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plus interest expense (after-tax)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return on equity to adjusted return on capital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return on equity (3)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capital (2)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Economic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capital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capital (4)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capital in excess of cost of capital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average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8,387.6 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Economic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net income to economic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plus interest expense (after-tax)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cost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profit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loss (6)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466" w:type="dxa"/>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expenses as a percentage of adjusted average capital (5)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46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change in adjusted average capital compared to the same period in the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Adjustment to record taxes at our estimated long-term effective income tax rate. The adjustment for the three months ended June 30, 2026, March 31, 2026, December 31, 2025, September 30, 2025, and June 30, 2025 is calculated using a 25% income tax rate, which is expected to be used for future periods. This rate represents an increase from 23%, which had been used to calculate after-tax adjustments since 2018, following the enactment of the 2017 Tax Act. The increase in our long-term estimate was due to higher state and local income taxes in certain jurisdictions and lower excess tax benefits from stock-based compensation.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Adjusted return on capital is defined as adjusted net income plus interest expense (after-tax) divided by adjusted average capital.</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Calculated by dividing GAAP net income by GAAP average shareholders' equity.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tbl>
      <w:tblPr>
        <w:tblW w:w="10205" w:type="dxa"/>
        <w:jc w:val="left"/>
        <w:tblInd w:w="0" w:type="dxa"/>
        <w:tblLayout w:type="fixed"/>
        <w:tblCellMar>
          <w:top w:w="28" w:type="dxa"/>
          <w:left w:w="28" w:type="dxa"/>
          <w:bottom w:w="28" w:type="dxa"/>
          <w:right w:w="28" w:type="dxa"/>
        </w:tblCellMar>
      </w:tblPr>
      <w:tblGrid>
        <w:gridCol w:w="486"/>
        <w:gridCol w:w="367"/>
        <w:gridCol w:w="369"/>
        <w:gridCol w:w="109"/>
        <w:gridCol w:w="109"/>
        <w:gridCol w:w="109"/>
        <w:gridCol w:w="260"/>
        <w:gridCol w:w="165"/>
        <w:gridCol w:w="355"/>
        <w:gridCol w:w="109"/>
        <w:gridCol w:w="109"/>
        <w:gridCol w:w="109"/>
        <w:gridCol w:w="267"/>
        <w:gridCol w:w="164"/>
        <w:gridCol w:w="367"/>
        <w:gridCol w:w="109"/>
        <w:gridCol w:w="109"/>
        <w:gridCol w:w="109"/>
        <w:gridCol w:w="260"/>
        <w:gridCol w:w="165"/>
        <w:gridCol w:w="355"/>
        <w:gridCol w:w="109"/>
        <w:gridCol w:w="109"/>
        <w:gridCol w:w="109"/>
        <w:gridCol w:w="267"/>
        <w:gridCol w:w="164"/>
        <w:gridCol w:w="367"/>
        <w:gridCol w:w="109"/>
        <w:gridCol w:w="109"/>
        <w:gridCol w:w="109"/>
        <w:gridCol w:w="260"/>
        <w:gridCol w:w="165"/>
        <w:gridCol w:w="355"/>
        <w:gridCol w:w="109"/>
        <w:gridCol w:w="109"/>
        <w:gridCol w:w="109"/>
        <w:gridCol w:w="267"/>
        <w:gridCol w:w="164"/>
        <w:gridCol w:w="367"/>
        <w:gridCol w:w="109"/>
        <w:gridCol w:w="109"/>
        <w:gridCol w:w="109"/>
        <w:gridCol w:w="260"/>
        <w:gridCol w:w="165"/>
        <w:gridCol w:w="355"/>
        <w:gridCol w:w="109"/>
        <w:gridCol w:w="109"/>
        <w:gridCol w:w="109"/>
        <w:gridCol w:w="255"/>
        <w:gridCol w:w="166"/>
        <w:gridCol w:w="432"/>
      </w:tblGrid>
      <w:tr>
        <w:trPr/>
        <w:tc>
          <w:tcPr>
            <w:tcW w:w="48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r>
      <w:tr>
        <w:trPr/>
        <w:tc>
          <w:tcPr>
            <w:tcW w:w="1222"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30-year Treasury 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4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Pre-tax average cost of debt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Annualized.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From time to time, we recognize a contingent loss related to legal matters. As contingent losses related to such matters are both unusual and infrequent in nature, and relate to business operations in prior periods, we have applied this adjustment to remove the impact of the contingent loss from our adjusted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Floating Yield Adjustment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loan revenue on a level-yield basis over the life of the loan based on expected future net cash flows. The purpose of this non-GAAP adjustment is to provide insight into our business by showing this level yield measure of income. Under GAAP, contractual amounts due in excess of the loan receivable balance at the time of assignment will be reflected as interest income, while contractual amounts due that are not expected to be collected are reflected in the provision for credit losses. Our non-GAAP floating yield adjustment recognizes the net effects of contractual interest income and expected credit losses in a single measure of finance charge revenue, consistent with how we manage our business. The floating yield adjustment recognizes revenue on a level-yield basis based upon expected future net cash flows, with any changes in expected future net cash flows, which are recognized immediately under GAAP as provision for credit losses, recognized over the remaining forecast period (up to 120 months after the origination date of the underlying Consumer Loans) for each individual dealer loan and purchased loan. The floating yield adjustment does not accelerate revenue recognition. Rather, it reduces revenue by taking amounts that are reported under GAAP as provision for credit losses and instead treating them as reductions of revenue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GAAP methodology we employ, which is known as the current expected credit loss model, or CECL, we are required to recognize: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significant provision for credit losses expense at the time of the loan’s assignment to us for contractual net cash flows we do not expect to realize;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finance charge revenue in subsequent periods that is significantly in excess of our expected yield.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GAAP treatment of contractual net cash flows we do not expect to realize at the time of loan assignment (i.e. significant expense at the time of loan assignment, which is offset by higher revenue in subsequent periods), we do not believe the GAAP methodology we employ provides sufficient transparency into the economics of our business, including our results of operations, financial condition, and financial leverage. Our floating yield adjustment enables us to provide measures of income that are not impacted by GAAP’s treatment of contractual net cash flows we do not expect to realize at the time of loan assignment. We believe the floating yield adjustment is presented in a manner which reflects both the economic reality of our business and how the business is managed and provides valuable supplemental information to help investors better understand our business, executive compensation, liquidity, and capital resources.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Statement Regarding Forward-Looking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filed with the Securities and Exchange Commission (the “SEC”) on February 13, 2026, and other risk factors discussed herein or listed from time to time in our reports filed with the SEC and the following: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Industry, Operational, and Macroeconomic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accurately forecast and estimate the amount and timing of future collections could have a material adverse effect on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Due to competition from traditional financing sources and non-traditional lenders, we may not be able to compete successfully.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Reliance on third parties to administer our ancillary product offerings could adversely affect our business and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dependent on our senior management, and the loss of any of these individuals or an inability to hire additional team members could adversely affect our ability to operate profitably.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reputation is a key asset to our business, and our business may be affected by how we are perceived in the marketplace.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outbreak of contagious disease or other public health emergency could materially and adversely affect our business, financial condition, liquidity,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concentration in several states of automobile dealers who participate in our programs could adversely affect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Reliance on our outsourced business functions could adversely affect our business.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Our ability to hire and retain foreign engineering personnel could be hindered by immigration restrictions.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execute our business strategy due to current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climate change, military conflicts, acts of war, terrorist attacks and threats, or the escalation of military activity in response to terrorist attacks or otherwise may negatively affect our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Governmental or market responses to climate change and related environmental issues could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small number of our shareholders have the ability to significantly influence matters requiring shareholder approval and such shareholders have interests which may conflict with the interests of our other security 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Capital and Liquidity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continue to access or renew funding sources and obtain capital needed to maintain and grow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terms of our debt limit how we conduct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violation of the terms of our asset-backed secured financings or revolving secured warehouse facilities could have a material adverse impact on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debt could negatively impact our business, prevent us from satisfying our debt obligations, and adversely affect our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flows to service our outstanding debt and fund operations and may be forced to take other actions to satisfy our obligations under such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 may adversely affect our borrowing costs, profitability, and liquidity.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our credit rating could increase the cost of our funding from, and restrict our access to, the capital markets and adversely affect our liquidity,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substantially more debt and other liabilities. This could exacerbate further the risks associated with our current debt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u w:val="single"/>
        </w:rPr>
        <w:t>Technology and Cybersecurity Risks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technology could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secure information technology, and a breach of our systems or those of our third-party service providers could result in our experiencing significant financial, legal, and reputational exposure and could materially adversely affect our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of electronic contracts could impact our ability to perfect our ownership or security interest in Consumer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properly safeguard our proprietary business information or confidential consumer and team member personal information could subject us to liability, decrease our profitability, and damage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use of artificial intelligence presents risks and challenges that may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Legal and Regulatory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we are involved in from time to time may adversely affect our financial condition,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and the resolution of uncertain income tax matters could have a material adverse effect on our results of operations and cash flows from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regulations to which we are or may become subject could result in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or future events or otherwise, except as required by applicable law.</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Webcast Details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will host a webcast on August 4, 2026 at 5:00 p.m. Eastern Time to discuss our second quarter results. The webcast can be accessed live by visiting the “Investor Relations” section of our website at </w:t>
      </w:r>
      <w:r>
        <w:rPr>
          <w:rFonts w:ascii="Times New Roman;serif" w:hAnsi="Times New Roman;serif"/>
          <w:b w:val="false"/>
          <w:color w:val="000000"/>
          <w:sz w:val="20"/>
          <w:u w:val="single"/>
        </w:rPr>
        <w:t>ir.creditacceptance.com</w:t>
      </w:r>
      <w:r>
        <w:rPr>
          <w:color w:val="000000"/>
        </w:rPr>
        <w:t xml:space="preserve"> </w:t>
      </w:r>
      <w:r>
        <w:rPr>
          <w:rFonts w:ascii="Times New Roman;serif" w:hAnsi="Times New Roman;serif"/>
          <w:b w:val="false"/>
          <w:color w:val="000000"/>
          <w:sz w:val="20"/>
        </w:rPr>
        <w:t>or by telephone as described below. Only persons accessing the webcast by telephone will be able to pose questions to the presenters during the webcast. A replay and transcript of the webcast will be archived in the “Investor Relations” section of our website.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participate in the webcast by telephone, you must pre-register at https://register-conf.media-server.com/register/BIae559f98efc046ca8a17b56adc9a49e8, or through the link posted on the “Investor Relations” section of our website at ir.creditacceptance.com. Upon registration you will be provided with the dial-in number and a unique PIN to access the webcast by telephone.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Description of Credit Acceptance Corporation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Times New Roman;serif" w:hAnsi="Times New Roman;serif"/>
          <w:b w:val="false"/>
          <w:color w:val="000000"/>
          <w:sz w:val="20"/>
          <w:u w:val="single"/>
        </w:rPr>
        <w:t>creditacceptance.com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Jay Brinkley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Senior Vice President &amp; Treasurer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(248) 353-2700 Ext. 6739</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IR@creditacceptance.com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8934" w:type="dxa"/>
        <w:jc w:val="left"/>
        <w:tblInd w:w="0" w:type="dxa"/>
        <w:tblLayout w:type="fixed"/>
        <w:tblCellMar>
          <w:top w:w="28" w:type="dxa"/>
          <w:left w:w="28" w:type="dxa"/>
          <w:bottom w:w="28" w:type="dxa"/>
          <w:right w:w="28" w:type="dxa"/>
        </w:tblCellMar>
      </w:tblPr>
      <w:tblGrid>
        <w:gridCol w:w="1901"/>
        <w:gridCol w:w="1667"/>
        <w:gridCol w:w="1681"/>
        <w:gridCol w:w="275"/>
        <w:gridCol w:w="806"/>
        <w:gridCol w:w="141"/>
        <w:gridCol w:w="141"/>
        <w:gridCol w:w="141"/>
        <w:gridCol w:w="141"/>
        <w:gridCol w:w="275"/>
        <w:gridCol w:w="806"/>
        <w:gridCol w:w="141"/>
        <w:gridCol w:w="109"/>
        <w:gridCol w:w="109"/>
        <w:gridCol w:w="109"/>
        <w:gridCol w:w="491"/>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Finance charges</w:t>
            </w:r>
          </w:p>
        </w:tc>
        <w:tc>
          <w:tcPr>
            <w:tcW w:w="2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Salaries and wages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on forecast changes </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on new Consumer Loan assignments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 for claims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10,481,009 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11,574,018 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76"/>
        <w:gridCol w:w="2322"/>
        <w:gridCol w:w="2160"/>
        <w:gridCol w:w="214"/>
        <w:gridCol w:w="778"/>
        <w:gridCol w:w="110"/>
        <w:gridCol w:w="109"/>
        <w:gridCol w:w="109"/>
        <w:gridCol w:w="109"/>
        <w:gridCol w:w="245"/>
        <w:gridCol w:w="891"/>
        <w:gridCol w:w="182"/>
      </w:tblGrid>
      <w:tr>
        <w:trPr/>
        <w:tc>
          <w:tcPr>
            <w:tcW w:w="2976"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458"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11,511.5 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9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1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1,000,000 shares authorized, none issued</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$.01 par value, 80,000,000 shares authorized, 10,376,049 and 10,680,143 shares issued and outstanding as of June 30, 2026 and December 31, 2025, respectively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8,622.6 </w:t>
            </w:r>
          </w:p>
        </w:tc>
        <w:tc>
          <w:tcPr>
            <w:tcW w:w="11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8,631.7 </w:t>
            </w:r>
          </w:p>
        </w:tc>
        <w:tc>
          <w:tcPr>
            <w:tcW w:w="18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9837</Words>
  <Characters>49624</Characters>
  <CharactersWithSpaces>58163</CharactersWithSpaces>
  <Paragraphs>2436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