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3"/>
          <w:szCs w:val="23"/>
          <w:b w:val="1"/>
          <w:bCs w:val="1"/>
          <w:color w:val="auto"/>
        </w:rPr>
        <w:t>Washington, DC 20549</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1" w:lineRule="exact"/>
        <w:rPr>
          <w:sz w:val="24"/>
          <w:szCs w:val="24"/>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2" w:lineRule="exact"/>
        <w:rPr>
          <w:sz w:val="24"/>
          <w:szCs w:val="24"/>
          <w:color w:val="auto"/>
        </w:rPr>
      </w:pPr>
    </w:p>
    <w:p>
      <w:pPr>
        <w:ind w:left="660" w:right="1760" w:hanging="467"/>
        <w:spacing w:after="0" w:line="313" w:lineRule="auto"/>
        <w:tabs>
          <w:tab w:leader="none" w:pos="49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________</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000-20202</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CREDIT ACCEPTANCE CORPORATION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020" w:type="dxa"/>
            <w:vAlign w:val="bottom"/>
          </w:tcPr>
          <w:p>
            <w:pPr>
              <w:jc w:val="center"/>
              <w:ind w:right="1437"/>
              <w:spacing w:after="0"/>
              <w:rPr>
                <w:sz w:val="20"/>
                <w:szCs w:val="20"/>
                <w:color w:val="auto"/>
              </w:rPr>
            </w:pPr>
            <w:r>
              <w:rPr>
                <w:rFonts w:ascii="Arial" w:cs="Arial" w:eastAsia="Arial" w:hAnsi="Arial"/>
                <w:sz w:val="18"/>
                <w:szCs w:val="18"/>
                <w:b w:val="1"/>
                <w:bCs w:val="1"/>
                <w:color w:val="auto"/>
                <w:w w:val="94"/>
              </w:rPr>
              <w:t>Michigan</w:t>
            </w:r>
          </w:p>
        </w:tc>
        <w:tc>
          <w:tcPr>
            <w:tcW w:w="3580" w:type="dxa"/>
            <w:vAlign w:val="bottom"/>
          </w:tcPr>
          <w:p>
            <w:pPr>
              <w:jc w:val="center"/>
              <w:ind w:left="1439"/>
              <w:spacing w:after="0"/>
              <w:rPr>
                <w:sz w:val="20"/>
                <w:szCs w:val="20"/>
                <w:color w:val="auto"/>
              </w:rPr>
            </w:pPr>
            <w:r>
              <w:rPr>
                <w:rFonts w:ascii="Arial" w:cs="Arial" w:eastAsia="Arial" w:hAnsi="Arial"/>
                <w:sz w:val="18"/>
                <w:szCs w:val="18"/>
                <w:b w:val="1"/>
                <w:bCs w:val="1"/>
                <w:color w:val="auto"/>
                <w:w w:val="89"/>
              </w:rPr>
              <w:t>38-1999511</w:t>
            </w:r>
          </w:p>
        </w:tc>
      </w:tr>
      <w:tr>
        <w:trPr>
          <w:trHeight w:val="218"/>
        </w:trPr>
        <w:tc>
          <w:tcPr>
            <w:tcW w:w="5020" w:type="dxa"/>
            <w:vAlign w:val="bottom"/>
          </w:tcPr>
          <w:p>
            <w:pPr>
              <w:jc w:val="center"/>
              <w:ind w:right="1437"/>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580" w:type="dxa"/>
            <w:vAlign w:val="bottom"/>
          </w:tcPr>
          <w:p>
            <w:pPr>
              <w:jc w:val="center"/>
              <w:ind w:left="1439"/>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525"/>
        </w:trPr>
        <w:tc>
          <w:tcPr>
            <w:tcW w:w="5020" w:type="dxa"/>
            <w:vAlign w:val="bottom"/>
          </w:tcPr>
          <w:p>
            <w:pPr>
              <w:jc w:val="center"/>
              <w:ind w:right="1437"/>
              <w:spacing w:after="0"/>
              <w:rPr>
                <w:sz w:val="20"/>
                <w:szCs w:val="20"/>
                <w:color w:val="auto"/>
              </w:rPr>
            </w:pPr>
            <w:r>
              <w:rPr>
                <w:rFonts w:ascii="Arial" w:cs="Arial" w:eastAsia="Arial" w:hAnsi="Arial"/>
                <w:sz w:val="18"/>
                <w:szCs w:val="18"/>
                <w:b w:val="1"/>
                <w:bCs w:val="1"/>
                <w:color w:val="auto"/>
                <w:w w:val="92"/>
              </w:rPr>
              <w:t>25505 W. Twelve Mile Road</w:t>
            </w:r>
          </w:p>
        </w:tc>
        <w:tc>
          <w:tcPr>
            <w:tcW w:w="3580" w:type="dxa"/>
            <w:vAlign w:val="bottom"/>
          </w:tcPr>
          <w:p>
            <w:pPr>
              <w:spacing w:after="0"/>
              <w:rPr>
                <w:sz w:val="24"/>
                <w:szCs w:val="24"/>
                <w:color w:val="auto"/>
              </w:rPr>
            </w:pPr>
          </w:p>
        </w:tc>
      </w:tr>
      <w:tr>
        <w:trPr>
          <w:trHeight w:val="270"/>
        </w:trPr>
        <w:tc>
          <w:tcPr>
            <w:tcW w:w="5020" w:type="dxa"/>
            <w:vAlign w:val="bottom"/>
          </w:tcPr>
          <w:p>
            <w:pPr>
              <w:jc w:val="center"/>
              <w:ind w:right="1437"/>
              <w:spacing w:after="0"/>
              <w:rPr>
                <w:sz w:val="20"/>
                <w:szCs w:val="20"/>
                <w:color w:val="auto"/>
              </w:rPr>
            </w:pPr>
            <w:r>
              <w:rPr>
                <w:rFonts w:ascii="Arial" w:cs="Arial" w:eastAsia="Arial" w:hAnsi="Arial"/>
                <w:sz w:val="18"/>
                <w:szCs w:val="18"/>
                <w:b w:val="1"/>
                <w:bCs w:val="1"/>
                <w:color w:val="auto"/>
                <w:w w:val="92"/>
              </w:rPr>
              <w:t>Southfield, Michigan</w:t>
            </w:r>
          </w:p>
        </w:tc>
        <w:tc>
          <w:tcPr>
            <w:tcW w:w="3580" w:type="dxa"/>
            <w:vAlign w:val="bottom"/>
          </w:tcPr>
          <w:p>
            <w:pPr>
              <w:jc w:val="center"/>
              <w:ind w:left="1419"/>
              <w:spacing w:after="0"/>
              <w:rPr>
                <w:sz w:val="20"/>
                <w:szCs w:val="20"/>
                <w:color w:val="auto"/>
              </w:rPr>
            </w:pPr>
            <w:r>
              <w:rPr>
                <w:rFonts w:ascii="Arial" w:cs="Arial" w:eastAsia="Arial" w:hAnsi="Arial"/>
                <w:sz w:val="18"/>
                <w:szCs w:val="18"/>
                <w:b w:val="1"/>
                <w:bCs w:val="1"/>
                <w:color w:val="auto"/>
                <w:w w:val="91"/>
              </w:rPr>
              <w:t>48034-8339</w:t>
            </w:r>
          </w:p>
        </w:tc>
      </w:tr>
      <w:tr>
        <w:trPr>
          <w:trHeight w:val="218"/>
        </w:trPr>
        <w:tc>
          <w:tcPr>
            <w:tcW w:w="5020" w:type="dxa"/>
            <w:vAlign w:val="bottom"/>
          </w:tcPr>
          <w:p>
            <w:pPr>
              <w:jc w:val="center"/>
              <w:ind w:right="1437"/>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580" w:type="dxa"/>
            <w:vAlign w:val="bottom"/>
          </w:tcPr>
          <w:p>
            <w:pPr>
              <w:jc w:val="center"/>
              <w:ind w:left="1439"/>
              <w:spacing w:after="0"/>
              <w:rPr>
                <w:sz w:val="20"/>
                <w:szCs w:val="20"/>
                <w:color w:val="auto"/>
              </w:rPr>
            </w:pPr>
            <w:r>
              <w:rPr>
                <w:rFonts w:ascii="Arial" w:cs="Arial" w:eastAsia="Arial" w:hAnsi="Arial"/>
                <w:sz w:val="14"/>
                <w:szCs w:val="14"/>
                <w:i w:val="1"/>
                <w:iCs w:val="1"/>
                <w:color w:val="auto"/>
                <w:w w:val="93"/>
              </w:rPr>
              <w:t>(Zip Code)</w:t>
            </w:r>
          </w:p>
        </w:tc>
      </w:tr>
    </w:tbl>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(248) 353-2700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2200" w:type="dxa"/>
        <w:tblCellMar>
          <w:top w:w="0" w:type="dxa"/>
          <w:left w:w="0" w:type="dxa"/>
          <w:bottom w:w="0" w:type="dxa"/>
          <w:right w:w="0" w:type="dxa"/>
        </w:tblCellMar>
      </w:tblPr>
      <w:tr>
        <w:trPr>
          <w:trHeight w:val="184"/>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91"/>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Common Stock</w:t>
            </w:r>
          </w:p>
        </w:tc>
        <w:tc>
          <w:tcPr>
            <w:tcW w:w="358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25"/>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80" w:type="dxa"/>
            <w:vAlign w:val="bottom"/>
            <w:gridSpan w:val="2"/>
          </w:tcPr>
          <w:p>
            <w:pPr>
              <w:jc w:val="center"/>
              <w:ind w:right="2134"/>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80" w:type="dxa"/>
            <w:vAlign w:val="bottom"/>
            <w:gridSpan w:val="2"/>
          </w:tcPr>
          <w:p>
            <w:pPr>
              <w:jc w:val="center"/>
              <w:ind w:right="2134"/>
              <w:spacing w:after="0"/>
              <w:rPr>
                <w:sz w:val="20"/>
                <w:szCs w:val="20"/>
                <w:color w:val="auto"/>
              </w:rPr>
            </w:pPr>
            <w:r>
              <w:rPr>
                <w:rFonts w:ascii="Arial" w:cs="Arial" w:eastAsia="Arial" w:hAnsi="Arial"/>
                <w:sz w:val="18"/>
                <w:szCs w:val="18"/>
                <w:b w:val="1"/>
                <w:bCs w:val="1"/>
                <w:color w:val="auto"/>
                <w:w w:val="88"/>
              </w:rPr>
              <w:t>None</w:t>
            </w:r>
          </w:p>
        </w:tc>
      </w:tr>
    </w:tbl>
    <w:p>
      <w:pPr>
        <w:spacing w:after="0" w:line="76" w:lineRule="exact"/>
        <w:rPr>
          <w:sz w:val="24"/>
          <w:szCs w:val="24"/>
          <w:color w:val="auto"/>
        </w:rPr>
      </w:pPr>
    </w:p>
    <w:p>
      <w:pPr>
        <w:ind w:right="3760"/>
        <w:spacing w:after="0" w:line="25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 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86"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6"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6" w:lineRule="exact"/>
        <w:rPr>
          <w:sz w:val="24"/>
          <w:szCs w:val="24"/>
          <w:color w:val="auto"/>
        </w:rPr>
      </w:pPr>
    </w:p>
    <w:p>
      <w:pPr>
        <w:ind w:right="64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6" w:lineRule="exact"/>
        <w:rPr>
          <w:sz w:val="24"/>
          <w:szCs w:val="24"/>
          <w:color w:val="auto"/>
        </w:rPr>
      </w:pPr>
    </w:p>
    <w:p>
      <w:pPr>
        <w:ind w:right="5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p>
      <w:pPr>
        <w:ind w:left="420"/>
        <w:spacing w:after="0" w:line="161" w:lineRule="exact"/>
        <w:tabs>
          <w:tab w:leader="none" w:pos="2880" w:val="left"/>
          <w:tab w:leader="none" w:pos="5040" w:val="left"/>
          <w:tab w:leader="none" w:pos="7140" w:val="left"/>
          <w:tab w:leader="none" w:pos="94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177"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50"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The aggregate market value of 10,448,025 shares of the Registrant's common stock held by non-affiliates on June 30, 2018 was approximately $3,692.3 million. For purposes of this computation all officers, directors and 10% beneficial owners of the Registrant are assumed to be affiliates. Such determination should not be deemed an admission that such officers, directors and beneficial owners are, in fact, affiliates of the Registrant.</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color w:val="auto"/>
        </w:rPr>
        <w:t>At February 1, 2019, there were 18,780,287 shares of the Registrant's common stock issued and outstanding.</w:t>
      </w:r>
    </w:p>
    <w:p>
      <w:pPr>
        <w:spacing w:after="0" w:line="119"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160"/>
        <w:spacing w:after="0" w:line="256" w:lineRule="auto"/>
        <w:rPr>
          <w:sz w:val="20"/>
          <w:szCs w:val="20"/>
          <w:color w:val="auto"/>
        </w:rPr>
      </w:pPr>
      <w:r>
        <w:rPr>
          <w:rFonts w:ascii="Arial" w:cs="Arial" w:eastAsia="Arial" w:hAnsi="Arial"/>
          <w:sz w:val="14"/>
          <w:szCs w:val="14"/>
          <w:color w:val="auto"/>
        </w:rPr>
        <w:t>Portions of the Registrant's definitive Proxy Statement pertaining to the 2019 Annual Meeting of Shareholders (the "Proxy Statement") filed pursuant to Regulation 14A are incorporated herein by reference into Part III of this Annual Report on Form 10-K (this “Form 10-K”).</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_________________________________________________________________________________________________________________</w:t>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b w:val="1"/>
                <w:bCs w:val="1"/>
                <w:color w:val="auto"/>
              </w:rPr>
              <w:t>CREDIT ACCEPTANCE CORPORATION</w:t>
            </w:r>
          </w:p>
        </w:tc>
        <w:tc>
          <w:tcPr>
            <w:tcW w:w="15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b w:val="1"/>
                <w:bCs w:val="1"/>
                <w:color w:val="auto"/>
                <w:w w:val="97"/>
              </w:rPr>
              <w:t>YEAR ENDED DECEMBER 31, 2018</w:t>
            </w:r>
          </w:p>
        </w:tc>
        <w:tc>
          <w:tcPr>
            <w:tcW w:w="15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b w:val="1"/>
                <w:bCs w:val="1"/>
                <w:color w:val="auto"/>
              </w:rPr>
              <w:t>INDEX TO FORM 10-K</w:t>
            </w:r>
          </w:p>
        </w:tc>
        <w:tc>
          <w:tcPr>
            <w:tcW w:w="1540" w:type="dxa"/>
            <w:vAlign w:val="bottom"/>
          </w:tcPr>
          <w:p>
            <w:pPr>
              <w:spacing w:after="0"/>
              <w:rPr>
                <w:sz w:val="24"/>
                <w:szCs w:val="24"/>
                <w:color w:val="auto"/>
              </w:rPr>
            </w:pPr>
          </w:p>
        </w:tc>
      </w:tr>
      <w:tr>
        <w:trPr>
          <w:trHeight w:val="594"/>
        </w:trPr>
        <w:tc>
          <w:tcPr>
            <w:tcW w:w="720" w:type="dxa"/>
            <w:vAlign w:val="bottom"/>
          </w:tcPr>
          <w:p>
            <w:pPr>
              <w:ind w:left="240"/>
              <w:spacing w:after="0"/>
              <w:rPr>
                <w:sz w:val="20"/>
                <w:szCs w:val="20"/>
                <w:color w:val="auto"/>
              </w:rPr>
            </w:pPr>
            <w:r>
              <w:rPr>
                <w:rFonts w:ascii="Arial" w:cs="Arial" w:eastAsia="Arial" w:hAnsi="Arial"/>
                <w:sz w:val="18"/>
                <w:szCs w:val="18"/>
                <w:b w:val="1"/>
                <w:bCs w:val="1"/>
                <w:color w:val="auto"/>
              </w:rPr>
              <w:t>Item</w:t>
            </w:r>
          </w:p>
        </w:tc>
        <w:tc>
          <w:tcPr>
            <w:tcW w:w="9160" w:type="dxa"/>
            <w:vAlign w:val="bottom"/>
          </w:tcPr>
          <w:p>
            <w:pPr>
              <w:ind w:left="220"/>
              <w:spacing w:after="0"/>
              <w:rPr>
                <w:sz w:val="20"/>
                <w:szCs w:val="20"/>
                <w:color w:val="auto"/>
              </w:rPr>
            </w:pPr>
            <w:r>
              <w:rPr>
                <w:rFonts w:ascii="Arial" w:cs="Arial" w:eastAsia="Arial" w:hAnsi="Arial"/>
                <w:sz w:val="18"/>
                <w:szCs w:val="18"/>
                <w:b w:val="1"/>
                <w:bCs w:val="1"/>
                <w:color w:val="auto"/>
              </w:rPr>
              <w:t>Description</w:t>
            </w: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34"/>
        </w:trPr>
        <w:tc>
          <w:tcPr>
            <w:tcW w:w="720" w:type="dxa"/>
            <w:vAlign w:val="bottom"/>
            <w:tcBorders>
              <w:bottom w:val="single" w:sz="8" w:color="auto"/>
            </w:tcBorders>
          </w:tcPr>
          <w:p>
            <w:pPr>
              <w:spacing w:after="0"/>
              <w:rPr>
                <w:sz w:val="2"/>
                <w:szCs w:val="2"/>
                <w:color w:val="auto"/>
              </w:rPr>
            </w:pPr>
          </w:p>
        </w:tc>
        <w:tc>
          <w:tcPr>
            <w:tcW w:w="9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20" w:type="dxa"/>
            <w:vAlign w:val="bottom"/>
          </w:tcPr>
          <w:p>
            <w:pPr>
              <w:spacing w:after="0"/>
              <w:rPr>
                <w:sz w:val="21"/>
                <w:szCs w:val="21"/>
                <w:color w:val="auto"/>
              </w:rPr>
            </w:pPr>
          </w:p>
        </w:tc>
        <w:tc>
          <w:tcPr>
            <w:tcW w:w="916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w:t>
            </w:r>
          </w:p>
        </w:tc>
        <w:tc>
          <w:tcPr>
            <w:tcW w:w="15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1.</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720" w:type="dxa"/>
            <w:vAlign w:val="bottom"/>
          </w:tcPr>
          <w:p>
            <w:pPr>
              <w:jc w:val="center"/>
              <w:ind w:left="10"/>
              <w:spacing w:after="0"/>
              <w:rPr>
                <w:rFonts w:ascii="Arial" w:cs="Arial" w:eastAsia="Arial" w:hAnsi="Arial"/>
                <w:sz w:val="18"/>
                <w:szCs w:val="18"/>
                <w:color w:val="auto"/>
                <w:w w:val="96"/>
              </w:rPr>
            </w:pPr>
            <w:hyperlink w:anchor="page13">
              <w:r>
                <w:rPr>
                  <w:rFonts w:ascii="Arial" w:cs="Arial" w:eastAsia="Arial" w:hAnsi="Arial"/>
                  <w:sz w:val="18"/>
                  <w:szCs w:val="18"/>
                  <w:color w:val="auto"/>
                  <w:w w:val="96"/>
                </w:rPr>
                <w:t>1A.</w:t>
              </w:r>
            </w:hyperlink>
          </w:p>
        </w:tc>
        <w:tc>
          <w:tcPr>
            <w:tcW w:w="9160" w:type="dxa"/>
            <w:vAlign w:val="bottom"/>
          </w:tcPr>
          <w:p>
            <w:pPr>
              <w:ind w:left="12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154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6"/>
              </w:rPr>
            </w:pPr>
            <w:hyperlink w:anchor="page20">
              <w:r>
                <w:rPr>
                  <w:rFonts w:ascii="Arial" w:cs="Arial" w:eastAsia="Arial" w:hAnsi="Arial"/>
                  <w:sz w:val="18"/>
                  <w:szCs w:val="18"/>
                  <w:color w:val="auto"/>
                  <w:w w:val="96"/>
                </w:rPr>
                <w:t>1B.</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20">
              <w:r>
                <w:rPr>
                  <w:rFonts w:ascii="Arial" w:cs="Arial" w:eastAsia="Arial" w:hAnsi="Arial"/>
                  <w:sz w:val="18"/>
                  <w:szCs w:val="18"/>
                  <w:color w:val="auto"/>
                </w:rPr>
                <w:t>Unresolved Staff Comments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20">
              <w:r>
                <w:rPr>
                  <w:rFonts w:ascii="Arial" w:cs="Arial" w:eastAsia="Arial" w:hAnsi="Arial"/>
                  <w:sz w:val="18"/>
                  <w:szCs w:val="18"/>
                  <w:color w:val="auto"/>
                  <w:w w:val="92"/>
                </w:rPr>
                <w:t>2.</w:t>
              </w:r>
            </w:hyperlink>
          </w:p>
        </w:tc>
        <w:tc>
          <w:tcPr>
            <w:tcW w:w="9160" w:type="dxa"/>
            <w:vAlign w:val="bottom"/>
          </w:tcPr>
          <w:p>
            <w:pPr>
              <w:ind w:left="120"/>
              <w:spacing w:after="0"/>
              <w:rPr>
                <w:rFonts w:ascii="Arial" w:cs="Arial" w:eastAsia="Arial" w:hAnsi="Arial"/>
                <w:sz w:val="18"/>
                <w:szCs w:val="18"/>
                <w:color w:val="auto"/>
              </w:rPr>
            </w:pPr>
            <w:hyperlink w:anchor="page20">
              <w:r>
                <w:rPr>
                  <w:rFonts w:ascii="Arial" w:cs="Arial" w:eastAsia="Arial" w:hAnsi="Arial"/>
                  <w:sz w:val="18"/>
                  <w:szCs w:val="18"/>
                  <w:color w:val="auto"/>
                </w:rPr>
                <w:t>Properties</w:t>
              </w:r>
            </w:hyperlink>
          </w:p>
        </w:tc>
        <w:tc>
          <w:tcPr>
            <w:tcW w:w="154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21">
              <w:r>
                <w:rPr>
                  <w:rFonts w:ascii="Arial" w:cs="Arial" w:eastAsia="Arial" w:hAnsi="Arial"/>
                  <w:sz w:val="18"/>
                  <w:szCs w:val="18"/>
                  <w:color w:val="auto"/>
                  <w:w w:val="92"/>
                </w:rPr>
                <w:t>3.</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21">
              <w:r>
                <w:rPr>
                  <w:rFonts w:ascii="Arial" w:cs="Arial" w:eastAsia="Arial" w:hAnsi="Arial"/>
                  <w:sz w:val="18"/>
                  <w:szCs w:val="18"/>
                  <w:color w:val="auto"/>
                </w:rPr>
                <w:t>Legal Proceedings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21">
              <w:r>
                <w:rPr>
                  <w:rFonts w:ascii="Arial" w:cs="Arial" w:eastAsia="Arial" w:hAnsi="Arial"/>
                  <w:sz w:val="18"/>
                  <w:szCs w:val="18"/>
                  <w:color w:val="auto"/>
                  <w:w w:val="92"/>
                </w:rPr>
                <w:t>4.</w:t>
              </w:r>
            </w:hyperlink>
          </w:p>
        </w:tc>
        <w:tc>
          <w:tcPr>
            <w:tcW w:w="9160" w:type="dxa"/>
            <w:vAlign w:val="bottom"/>
          </w:tcPr>
          <w:p>
            <w:pPr>
              <w:ind w:left="120"/>
              <w:spacing w:after="0"/>
              <w:rPr>
                <w:rFonts w:ascii="Arial" w:cs="Arial" w:eastAsia="Arial" w:hAnsi="Arial"/>
                <w:sz w:val="18"/>
                <w:szCs w:val="18"/>
                <w:color w:val="auto"/>
              </w:rPr>
            </w:pPr>
            <w:hyperlink w:anchor="page21">
              <w:r>
                <w:rPr>
                  <w:rFonts w:ascii="Arial" w:cs="Arial" w:eastAsia="Arial" w:hAnsi="Arial"/>
                  <w:sz w:val="18"/>
                  <w:szCs w:val="18"/>
                  <w:color w:val="auto"/>
                </w:rPr>
                <w:t>Mine Safety Disclosures</w:t>
              </w:r>
            </w:hyperlink>
          </w:p>
        </w:tc>
        <w:tc>
          <w:tcPr>
            <w:tcW w:w="154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9160" w:type="dxa"/>
            <w:vAlign w:val="bottom"/>
            <w:tcBorders>
              <w:bottom w:val="single" w:sz="8" w:color="CCEEFF"/>
            </w:tcBorders>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99"/>
              </w:rPr>
              <w:t>PART II</w:t>
            </w: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21">
              <w:r>
                <w:rPr>
                  <w:rFonts w:ascii="Arial" w:cs="Arial" w:eastAsia="Arial" w:hAnsi="Arial"/>
                  <w:sz w:val="18"/>
                  <w:szCs w:val="18"/>
                  <w:color w:val="auto"/>
                  <w:w w:val="92"/>
                </w:rPr>
                <w:t>5.</w:t>
              </w:r>
            </w:hyperlink>
          </w:p>
        </w:tc>
        <w:tc>
          <w:tcPr>
            <w:tcW w:w="9160" w:type="dxa"/>
            <w:vAlign w:val="bottom"/>
          </w:tcPr>
          <w:p>
            <w:pPr>
              <w:ind w:left="120"/>
              <w:spacing w:after="0"/>
              <w:rPr>
                <w:rFonts w:ascii="Arial" w:cs="Arial" w:eastAsia="Arial" w:hAnsi="Arial"/>
                <w:sz w:val="18"/>
                <w:szCs w:val="18"/>
                <w:color w:val="auto"/>
              </w:rPr>
            </w:pPr>
            <w:hyperlink w:anchor="page21">
              <w:r>
                <w:rPr>
                  <w:rFonts w:ascii="Arial" w:cs="Arial" w:eastAsia="Arial" w:hAnsi="Arial"/>
                  <w:sz w:val="18"/>
                  <w:szCs w:val="18"/>
                  <w:color w:val="auto"/>
                </w:rPr>
                <w:t>Market for Registrant's Common Equity, Related Stockholder Matters and Issuer Purchases of Equity Securities</w:t>
              </w:r>
            </w:hyperlink>
          </w:p>
        </w:tc>
        <w:tc>
          <w:tcPr>
            <w:tcW w:w="154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23">
              <w:r>
                <w:rPr>
                  <w:rFonts w:ascii="Arial" w:cs="Arial" w:eastAsia="Arial" w:hAnsi="Arial"/>
                  <w:sz w:val="18"/>
                  <w:szCs w:val="18"/>
                  <w:color w:val="auto"/>
                  <w:w w:val="92"/>
                </w:rPr>
                <w:t>6.</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23">
              <w:r>
                <w:rPr>
                  <w:rFonts w:ascii="Arial" w:cs="Arial" w:eastAsia="Arial" w:hAnsi="Arial"/>
                  <w:sz w:val="18"/>
                  <w:szCs w:val="18"/>
                  <w:color w:val="auto"/>
                </w:rPr>
                <w:t>Selected Financial Data</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39">
              <w:r>
                <w:rPr>
                  <w:rFonts w:ascii="Arial" w:cs="Arial" w:eastAsia="Arial" w:hAnsi="Arial"/>
                  <w:sz w:val="18"/>
                  <w:szCs w:val="18"/>
                  <w:color w:val="auto"/>
                  <w:w w:val="92"/>
                </w:rPr>
                <w:t>7.</w:t>
              </w:r>
            </w:hyperlink>
          </w:p>
        </w:tc>
        <w:tc>
          <w:tcPr>
            <w:tcW w:w="9160" w:type="dxa"/>
            <w:vAlign w:val="bottom"/>
          </w:tcPr>
          <w:p>
            <w:pPr>
              <w:ind w:left="120"/>
              <w:spacing w:after="0"/>
              <w:rPr>
                <w:rFonts w:ascii="Arial" w:cs="Arial" w:eastAsia="Arial" w:hAnsi="Arial"/>
                <w:sz w:val="18"/>
                <w:szCs w:val="18"/>
                <w:color w:val="auto"/>
              </w:rPr>
            </w:pPr>
            <w:hyperlink w:anchor="page39">
              <w:r>
                <w:rPr>
                  <w:rFonts w:ascii="Arial" w:cs="Arial" w:eastAsia="Arial" w:hAnsi="Arial"/>
                  <w:sz w:val="18"/>
                  <w:szCs w:val="18"/>
                  <w:color w:val="auto"/>
                </w:rPr>
                <w:t>Management's Discussion and Analysis of Financial Condition and Results of Operations</w:t>
              </w:r>
            </w:hyperlink>
          </w:p>
        </w:tc>
        <w:tc>
          <w:tcPr>
            <w:tcW w:w="15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6"/>
              </w:rPr>
            </w:pPr>
            <w:hyperlink w:anchor="page42">
              <w:r>
                <w:rPr>
                  <w:rFonts w:ascii="Arial" w:cs="Arial" w:eastAsia="Arial" w:hAnsi="Arial"/>
                  <w:sz w:val="18"/>
                  <w:szCs w:val="18"/>
                  <w:color w:val="auto"/>
                  <w:w w:val="96"/>
                </w:rPr>
                <w:t>7A.</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42">
              <w:r>
                <w:rPr>
                  <w:rFonts w:ascii="Arial" w:cs="Arial" w:eastAsia="Arial" w:hAnsi="Arial"/>
                  <w:sz w:val="18"/>
                  <w:szCs w:val="18"/>
                  <w:color w:val="auto"/>
                </w:rPr>
                <w:t>Quantitative and Qualitative Disclosures About Market Risk</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43">
              <w:r>
                <w:rPr>
                  <w:rFonts w:ascii="Arial" w:cs="Arial" w:eastAsia="Arial" w:hAnsi="Arial"/>
                  <w:sz w:val="18"/>
                  <w:szCs w:val="18"/>
                  <w:color w:val="auto"/>
                  <w:w w:val="92"/>
                </w:rPr>
                <w:t>8.</w:t>
              </w:r>
            </w:hyperlink>
          </w:p>
        </w:tc>
        <w:tc>
          <w:tcPr>
            <w:tcW w:w="9160" w:type="dxa"/>
            <w:vAlign w:val="bottom"/>
          </w:tcPr>
          <w:p>
            <w:pPr>
              <w:ind w:left="120"/>
              <w:spacing w:after="0"/>
              <w:rPr>
                <w:rFonts w:ascii="Arial" w:cs="Arial" w:eastAsia="Arial" w:hAnsi="Arial"/>
                <w:sz w:val="18"/>
                <w:szCs w:val="18"/>
                <w:color w:val="auto"/>
              </w:rPr>
            </w:pPr>
            <w:hyperlink w:anchor="page43">
              <w:r>
                <w:rPr>
                  <w:rFonts w:ascii="Arial" w:cs="Arial" w:eastAsia="Arial" w:hAnsi="Arial"/>
                  <w:sz w:val="18"/>
                  <w:szCs w:val="18"/>
                  <w:color w:val="auto"/>
                </w:rPr>
                <w:t>Financial Statements and Supplementary Data</w:t>
              </w:r>
            </w:hyperlink>
          </w:p>
        </w:tc>
        <w:tc>
          <w:tcPr>
            <w:tcW w:w="15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93">
              <w:r>
                <w:rPr>
                  <w:rFonts w:ascii="Arial" w:cs="Arial" w:eastAsia="Arial" w:hAnsi="Arial"/>
                  <w:sz w:val="18"/>
                  <w:szCs w:val="18"/>
                  <w:color w:val="auto"/>
                  <w:w w:val="92"/>
                </w:rPr>
                <w:t>9.</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3">
              <w:r>
                <w:rPr>
                  <w:rFonts w:ascii="Arial" w:cs="Arial" w:eastAsia="Arial" w:hAnsi="Arial"/>
                  <w:sz w:val="18"/>
                  <w:szCs w:val="18"/>
                  <w:color w:val="auto"/>
                </w:rPr>
                <w:t>Changes in and Disagreements with Accountants on Accounting and Financial Disclosure</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r>
      <w:tr>
        <w:trPr>
          <w:trHeight w:val="243"/>
        </w:trPr>
        <w:tc>
          <w:tcPr>
            <w:tcW w:w="720" w:type="dxa"/>
            <w:vAlign w:val="bottom"/>
          </w:tcPr>
          <w:p>
            <w:pPr>
              <w:jc w:val="center"/>
              <w:ind w:left="10"/>
              <w:spacing w:after="0"/>
              <w:rPr>
                <w:rFonts w:ascii="Arial" w:cs="Arial" w:eastAsia="Arial" w:hAnsi="Arial"/>
                <w:sz w:val="18"/>
                <w:szCs w:val="18"/>
                <w:color w:val="auto"/>
                <w:w w:val="96"/>
              </w:rPr>
            </w:pPr>
            <w:hyperlink w:anchor="page93">
              <w:r>
                <w:rPr>
                  <w:rFonts w:ascii="Arial" w:cs="Arial" w:eastAsia="Arial" w:hAnsi="Arial"/>
                  <w:sz w:val="18"/>
                  <w:szCs w:val="18"/>
                  <w:color w:val="auto"/>
                  <w:w w:val="96"/>
                </w:rPr>
                <w:t>9A.</w:t>
              </w:r>
            </w:hyperlink>
          </w:p>
        </w:tc>
        <w:tc>
          <w:tcPr>
            <w:tcW w:w="9160" w:type="dxa"/>
            <w:vAlign w:val="bottom"/>
          </w:tcPr>
          <w:p>
            <w:pPr>
              <w:ind w:left="120"/>
              <w:spacing w:after="0"/>
              <w:rPr>
                <w:rFonts w:ascii="Arial" w:cs="Arial" w:eastAsia="Arial" w:hAnsi="Arial"/>
                <w:sz w:val="18"/>
                <w:szCs w:val="18"/>
                <w:color w:val="auto"/>
              </w:rPr>
            </w:pPr>
            <w:hyperlink w:anchor="page93">
              <w:r>
                <w:rPr>
                  <w:rFonts w:ascii="Arial" w:cs="Arial" w:eastAsia="Arial" w:hAnsi="Arial"/>
                  <w:sz w:val="18"/>
                  <w:szCs w:val="18"/>
                  <w:color w:val="auto"/>
                </w:rPr>
                <w:t>Controls and Procedures</w:t>
              </w:r>
            </w:hyperlink>
          </w:p>
        </w:tc>
        <w:tc>
          <w:tcPr>
            <w:tcW w:w="154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6"/>
              </w:rPr>
            </w:pPr>
            <w:hyperlink w:anchor="page95">
              <w:r>
                <w:rPr>
                  <w:rFonts w:ascii="Arial" w:cs="Arial" w:eastAsia="Arial" w:hAnsi="Arial"/>
                  <w:sz w:val="18"/>
                  <w:szCs w:val="18"/>
                  <w:color w:val="auto"/>
                  <w:w w:val="96"/>
                </w:rPr>
                <w:t>9B.</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5">
              <w:r>
                <w:rPr>
                  <w:rFonts w:ascii="Arial" w:cs="Arial" w:eastAsia="Arial" w:hAnsi="Arial"/>
                  <w:sz w:val="18"/>
                  <w:szCs w:val="18"/>
                  <w:color w:val="auto"/>
                </w:rPr>
                <w:t>Other Information</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243"/>
        </w:trPr>
        <w:tc>
          <w:tcPr>
            <w:tcW w:w="720" w:type="dxa"/>
            <w:vAlign w:val="bottom"/>
          </w:tcPr>
          <w:p>
            <w:pPr>
              <w:spacing w:after="0"/>
              <w:rPr>
                <w:sz w:val="21"/>
                <w:szCs w:val="21"/>
                <w:color w:val="auto"/>
              </w:rPr>
            </w:pPr>
          </w:p>
        </w:tc>
        <w:tc>
          <w:tcPr>
            <w:tcW w:w="916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III</w:t>
            </w:r>
          </w:p>
        </w:tc>
        <w:tc>
          <w:tcPr>
            <w:tcW w:w="15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5">
              <w:r>
                <w:rPr>
                  <w:rFonts w:ascii="Arial" w:cs="Arial" w:eastAsia="Arial" w:hAnsi="Arial"/>
                  <w:sz w:val="18"/>
                  <w:szCs w:val="18"/>
                  <w:color w:val="auto"/>
                  <w:w w:val="87"/>
                </w:rPr>
                <w:t>10.</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5">
              <w:r>
                <w:rPr>
                  <w:rFonts w:ascii="Arial" w:cs="Arial" w:eastAsia="Arial" w:hAnsi="Arial"/>
                  <w:sz w:val="18"/>
                  <w:szCs w:val="18"/>
                  <w:color w:val="auto"/>
                </w:rPr>
                <w:t>Directors, Executive Officers and Corporate Governance</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243"/>
        </w:trPr>
        <w:tc>
          <w:tcPr>
            <w:tcW w:w="720" w:type="dxa"/>
            <w:vAlign w:val="bottom"/>
          </w:tcPr>
          <w:p>
            <w:pPr>
              <w:jc w:val="center"/>
              <w:ind w:left="10"/>
              <w:spacing w:after="0"/>
              <w:rPr>
                <w:rFonts w:ascii="Arial" w:cs="Arial" w:eastAsia="Arial" w:hAnsi="Arial"/>
                <w:sz w:val="18"/>
                <w:szCs w:val="18"/>
                <w:color w:val="auto"/>
                <w:w w:val="87"/>
              </w:rPr>
            </w:pPr>
            <w:hyperlink w:anchor="page95">
              <w:r>
                <w:rPr>
                  <w:rFonts w:ascii="Arial" w:cs="Arial" w:eastAsia="Arial" w:hAnsi="Arial"/>
                  <w:sz w:val="18"/>
                  <w:szCs w:val="18"/>
                  <w:color w:val="auto"/>
                  <w:w w:val="87"/>
                </w:rPr>
                <w:t>11.</w:t>
              </w:r>
            </w:hyperlink>
          </w:p>
        </w:tc>
        <w:tc>
          <w:tcPr>
            <w:tcW w:w="9160" w:type="dxa"/>
            <w:vAlign w:val="bottom"/>
          </w:tcPr>
          <w:p>
            <w:pPr>
              <w:ind w:left="120"/>
              <w:spacing w:after="0"/>
              <w:rPr>
                <w:rFonts w:ascii="Arial" w:cs="Arial" w:eastAsia="Arial" w:hAnsi="Arial"/>
                <w:sz w:val="18"/>
                <w:szCs w:val="18"/>
                <w:color w:val="auto"/>
              </w:rPr>
            </w:pPr>
            <w:hyperlink w:anchor="page95">
              <w:r>
                <w:rPr>
                  <w:rFonts w:ascii="Arial" w:cs="Arial" w:eastAsia="Arial" w:hAnsi="Arial"/>
                  <w:sz w:val="18"/>
                  <w:szCs w:val="18"/>
                  <w:color w:val="auto"/>
                </w:rPr>
                <w:t>Executive Compensation</w:t>
              </w:r>
            </w:hyperlink>
          </w:p>
        </w:tc>
        <w:tc>
          <w:tcPr>
            <w:tcW w:w="154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5">
              <w:r>
                <w:rPr>
                  <w:rFonts w:ascii="Arial" w:cs="Arial" w:eastAsia="Arial" w:hAnsi="Arial"/>
                  <w:sz w:val="18"/>
                  <w:szCs w:val="18"/>
                  <w:color w:val="auto"/>
                  <w:w w:val="87"/>
                </w:rPr>
                <w:t>12.</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5">
              <w:r>
                <w:rPr>
                  <w:rFonts w:ascii="Arial" w:cs="Arial" w:eastAsia="Arial" w:hAnsi="Arial"/>
                  <w:sz w:val="18"/>
                  <w:szCs w:val="18"/>
                  <w:color w:val="auto"/>
                </w:rPr>
                <w:t>Security Ownership of Certain Beneficial Owners and Management and Related Stockholder Matters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243"/>
        </w:trPr>
        <w:tc>
          <w:tcPr>
            <w:tcW w:w="720" w:type="dxa"/>
            <w:vAlign w:val="bottom"/>
          </w:tcPr>
          <w:p>
            <w:pPr>
              <w:jc w:val="center"/>
              <w:ind w:left="10"/>
              <w:spacing w:after="0"/>
              <w:rPr>
                <w:rFonts w:ascii="Arial" w:cs="Arial" w:eastAsia="Arial" w:hAnsi="Arial"/>
                <w:sz w:val="18"/>
                <w:szCs w:val="18"/>
                <w:color w:val="auto"/>
                <w:w w:val="87"/>
              </w:rPr>
            </w:pPr>
            <w:hyperlink w:anchor="page95">
              <w:r>
                <w:rPr>
                  <w:rFonts w:ascii="Arial" w:cs="Arial" w:eastAsia="Arial" w:hAnsi="Arial"/>
                  <w:sz w:val="18"/>
                  <w:szCs w:val="18"/>
                  <w:color w:val="auto"/>
                  <w:w w:val="87"/>
                </w:rPr>
                <w:t>13.</w:t>
              </w:r>
            </w:hyperlink>
          </w:p>
        </w:tc>
        <w:tc>
          <w:tcPr>
            <w:tcW w:w="9160" w:type="dxa"/>
            <w:vAlign w:val="bottom"/>
          </w:tcPr>
          <w:p>
            <w:pPr>
              <w:ind w:left="120"/>
              <w:spacing w:after="0"/>
              <w:rPr>
                <w:rFonts w:ascii="Arial" w:cs="Arial" w:eastAsia="Arial" w:hAnsi="Arial"/>
                <w:sz w:val="18"/>
                <w:szCs w:val="18"/>
                <w:color w:val="auto"/>
              </w:rPr>
            </w:pPr>
            <w:hyperlink w:anchor="page95">
              <w:r>
                <w:rPr>
                  <w:rFonts w:ascii="Arial" w:cs="Arial" w:eastAsia="Arial" w:hAnsi="Arial"/>
                  <w:sz w:val="18"/>
                  <w:szCs w:val="18"/>
                  <w:color w:val="auto"/>
                </w:rPr>
                <w:t>Certain Relationships and Related Transactions and Director Independence</w:t>
              </w:r>
            </w:hyperlink>
          </w:p>
        </w:tc>
        <w:tc>
          <w:tcPr>
            <w:tcW w:w="154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5">
              <w:r>
                <w:rPr>
                  <w:rFonts w:ascii="Arial" w:cs="Arial" w:eastAsia="Arial" w:hAnsi="Arial"/>
                  <w:sz w:val="18"/>
                  <w:szCs w:val="18"/>
                  <w:color w:val="auto"/>
                  <w:w w:val="87"/>
                </w:rPr>
                <w:t>14.</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5">
              <w:r>
                <w:rPr>
                  <w:rFonts w:ascii="Arial" w:cs="Arial" w:eastAsia="Arial" w:hAnsi="Arial"/>
                  <w:sz w:val="18"/>
                  <w:szCs w:val="18"/>
                  <w:color w:val="auto"/>
                </w:rPr>
                <w:t>Principal Accounting Fees and Services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r>
        <w:trPr>
          <w:trHeight w:val="243"/>
        </w:trPr>
        <w:tc>
          <w:tcPr>
            <w:tcW w:w="720" w:type="dxa"/>
            <w:vAlign w:val="bottom"/>
          </w:tcPr>
          <w:p>
            <w:pPr>
              <w:spacing w:after="0"/>
              <w:rPr>
                <w:sz w:val="21"/>
                <w:szCs w:val="21"/>
                <w:color w:val="auto"/>
              </w:rPr>
            </w:pPr>
          </w:p>
        </w:tc>
        <w:tc>
          <w:tcPr>
            <w:tcW w:w="916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IV</w:t>
            </w:r>
          </w:p>
        </w:tc>
        <w:tc>
          <w:tcPr>
            <w:tcW w:w="15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6">
              <w:r>
                <w:rPr>
                  <w:rFonts w:ascii="Arial" w:cs="Arial" w:eastAsia="Arial" w:hAnsi="Arial"/>
                  <w:sz w:val="18"/>
                  <w:szCs w:val="18"/>
                  <w:color w:val="auto"/>
                  <w:w w:val="87"/>
                </w:rPr>
                <w:t>15.</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6">
              <w:r>
                <w:rPr>
                  <w:rFonts w:ascii="Arial" w:cs="Arial" w:eastAsia="Arial" w:hAnsi="Arial"/>
                  <w:sz w:val="18"/>
                  <w:szCs w:val="18"/>
                  <w:color w:val="auto"/>
                </w:rPr>
                <w:t>Exhibits, Financial Statement Schedules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r>
      <w:tr>
        <w:trPr>
          <w:trHeight w:val="243"/>
        </w:trPr>
        <w:tc>
          <w:tcPr>
            <w:tcW w:w="720" w:type="dxa"/>
            <w:vAlign w:val="bottom"/>
          </w:tcPr>
          <w:p>
            <w:pPr>
              <w:jc w:val="center"/>
              <w:ind w:left="10"/>
              <w:spacing w:after="0"/>
              <w:rPr>
                <w:sz w:val="20"/>
                <w:szCs w:val="20"/>
                <w:color w:val="auto"/>
              </w:rPr>
            </w:pPr>
            <w:r>
              <w:rPr>
                <w:rFonts w:ascii="Arial" w:cs="Arial" w:eastAsia="Arial" w:hAnsi="Arial"/>
                <w:sz w:val="18"/>
                <w:szCs w:val="18"/>
                <w:color w:val="auto"/>
                <w:w w:val="87"/>
              </w:rPr>
              <w:t>16.</w:t>
            </w:r>
          </w:p>
        </w:tc>
        <w:tc>
          <w:tcPr>
            <w:tcW w:w="9160" w:type="dxa"/>
            <w:vAlign w:val="bottom"/>
          </w:tcPr>
          <w:p>
            <w:pPr>
              <w:ind w:left="120"/>
              <w:spacing w:after="0"/>
              <w:rPr>
                <w:sz w:val="20"/>
                <w:szCs w:val="20"/>
                <w:color w:val="auto"/>
              </w:rPr>
            </w:pPr>
            <w:r>
              <w:rPr>
                <w:rFonts w:ascii="Arial" w:cs="Arial" w:eastAsia="Arial" w:hAnsi="Arial"/>
                <w:sz w:val="18"/>
                <w:szCs w:val="18"/>
                <w:color w:val="auto"/>
              </w:rPr>
              <w:t>Form 10-K Summary</w:t>
            </w:r>
          </w:p>
        </w:tc>
        <w:tc>
          <w:tcPr>
            <w:tcW w:w="154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103</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20" w:type="dxa"/>
            <w:vAlign w:val="bottom"/>
            <w:shd w:val="clear" w:color="auto" w:fill="CCEEFF"/>
          </w:tcPr>
          <w:p>
            <w:pPr>
              <w:spacing w:after="0"/>
              <w:rPr>
                <w:sz w:val="23"/>
                <w:szCs w:val="23"/>
                <w:color w:val="auto"/>
              </w:rPr>
            </w:pPr>
          </w:p>
        </w:tc>
        <w:tc>
          <w:tcPr>
            <w:tcW w:w="9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720" w:type="dxa"/>
            <w:vAlign w:val="bottom"/>
          </w:tcPr>
          <w:p>
            <w:pPr>
              <w:spacing w:after="0"/>
              <w:rPr>
                <w:sz w:val="21"/>
                <w:szCs w:val="21"/>
                <w:color w:val="auto"/>
              </w:rPr>
            </w:pPr>
          </w:p>
        </w:tc>
        <w:tc>
          <w:tcPr>
            <w:tcW w:w="9160" w:type="dxa"/>
            <w:vAlign w:val="bottom"/>
          </w:tcPr>
          <w:p>
            <w:pPr>
              <w:ind w:left="120"/>
              <w:spacing w:after="0"/>
              <w:rPr>
                <w:rFonts w:ascii="Arial" w:cs="Arial" w:eastAsia="Arial" w:hAnsi="Arial"/>
                <w:sz w:val="18"/>
                <w:szCs w:val="18"/>
                <w:color w:val="auto"/>
              </w:rPr>
            </w:pPr>
            <w:hyperlink w:anchor="page104">
              <w:r>
                <w:rPr>
                  <w:rFonts w:ascii="Arial" w:cs="Arial" w:eastAsia="Arial" w:hAnsi="Arial"/>
                  <w:sz w:val="18"/>
                  <w:szCs w:val="18"/>
                  <w:color w:val="auto"/>
                </w:rPr>
                <w:t>Signatures</w:t>
              </w:r>
            </w:hyperlink>
          </w:p>
        </w:tc>
        <w:tc>
          <w:tcPr>
            <w:tcW w:w="1540" w:type="dxa"/>
            <w:vAlign w:val="bottom"/>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104</w:t>
              </w:r>
            </w:hyperlink>
          </w:p>
        </w:tc>
      </w:tr>
      <w:tr>
        <w:trPr>
          <w:trHeight w:val="486"/>
        </w:trPr>
        <w:tc>
          <w:tcPr>
            <w:tcW w:w="720" w:type="dxa"/>
            <w:vAlign w:val="bottom"/>
          </w:tcPr>
          <w:p>
            <w:pPr>
              <w:spacing w:after="0"/>
              <w:rPr>
                <w:sz w:val="24"/>
                <w:szCs w:val="24"/>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color w:val="auto"/>
                <w:w w:val="99"/>
              </w:rPr>
              <w:t>2</w:t>
            </w:r>
          </w:p>
        </w:tc>
        <w:tc>
          <w:tcPr>
            <w:tcW w:w="15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1972, Credit Acceptance Corporation (referred to as the “Company”, “Credit Acceptance”, “we”, “our” or “us”)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Acceptance was founded to collect retail installment contracts (referred to as “Consumer Loans”) originated by automobile dealerships owned by Donald Foss, our founder, significant shareholder and former Chairman of the Board. During the 1980s, we began to market this service to non-affiliated dealers and, at the same time, began to offer dealers a non-recourse cash payment (referred to as an “advance”) against anticipated future collections on Consumer Loans serviced for that dealer.</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Consumer Loans from the Dealers to us. We are an indirect lender from a legal perspective, meaning the Consumer Loan is originated by the Dealer and assigned to us.</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Substantially all of the Consumer Loans assigned to us are made to consumers with impaired or limited credit histories. The following table shows the percentage of Consumer Loans assigned to us with either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For the Years Ended December 31,</w:t>
            </w:r>
          </w:p>
        </w:tc>
        <w:tc>
          <w:tcPr>
            <w:tcW w:w="1440" w:type="dxa"/>
            <w:vAlign w:val="bottom"/>
            <w:tcBorders>
              <w:bottom w:val="single" w:sz="8" w:color="auto"/>
            </w:tcBorders>
          </w:tcPr>
          <w:p>
            <w:pPr>
              <w:spacing w:after="0"/>
              <w:rPr>
                <w:sz w:val="17"/>
                <w:szCs w:val="17"/>
                <w:color w:val="auto"/>
              </w:rPr>
            </w:pPr>
          </w:p>
        </w:tc>
      </w:tr>
      <w:tr>
        <w:trPr>
          <w:trHeight w:val="264"/>
        </w:trPr>
        <w:tc>
          <w:tcPr>
            <w:tcW w:w="55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Consumer Loan Assignment Volume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2016</w:t>
            </w:r>
          </w:p>
        </w:tc>
      </w:tr>
      <w:tr>
        <w:trPr>
          <w:trHeight w:val="229"/>
        </w:trPr>
        <w:tc>
          <w:tcPr>
            <w:tcW w:w="5620" w:type="dxa"/>
            <w:vAlign w:val="bottom"/>
            <w:gridSpan w:val="2"/>
            <w:shd w:val="clear" w:color="auto" w:fill="CCEEFF"/>
          </w:tcPr>
          <w:p>
            <w:pPr>
              <w:ind w:left="40"/>
              <w:spacing w:after="0" w:line="228" w:lineRule="exact"/>
              <w:rPr>
                <w:sz w:val="20"/>
                <w:szCs w:val="20"/>
                <w:color w:val="auto"/>
              </w:rPr>
            </w:pPr>
            <w:r>
              <w:rPr>
                <w:rFonts w:ascii="Arial" w:cs="Arial" w:eastAsia="Arial" w:hAnsi="Arial"/>
                <w:sz w:val="18"/>
                <w:szCs w:val="18"/>
                <w:color w:val="auto"/>
                <w:w w:val="94"/>
              </w:rPr>
              <w:t>Percentage of total unit volume with either FICO</w:t>
            </w:r>
            <w:r>
              <w:rPr>
                <w:rFonts w:ascii="Arial" w:cs="Arial" w:eastAsia="Arial" w:hAnsi="Arial"/>
                <w:sz w:val="25"/>
                <w:szCs w:val="25"/>
                <w:color w:val="auto"/>
                <w:w w:val="94"/>
                <w:vertAlign w:val="superscript"/>
              </w:rPr>
              <w:t>®</w:t>
            </w:r>
            <w:r>
              <w:rPr>
                <w:rFonts w:ascii="Arial" w:cs="Arial" w:eastAsia="Arial" w:hAnsi="Arial"/>
                <w:sz w:val="18"/>
                <w:szCs w:val="18"/>
                <w:color w:val="auto"/>
                <w:w w:val="94"/>
              </w:rPr>
              <w:t xml:space="preserve"> scores below 650 or no</w:t>
            </w: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562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currently operate in one reportable segment which represents our core business of offering Dealers financing programs and related products and services that enable them to sell vehicles to consumers, regardless of their credit history. For information regarding our one reportable segment and related entity-wide disclosures, see Note 16 to the consolidated financial statements contained in Item 8 of this Form 10-K, which is incorporated herein by reference.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offer our Dealers financing programs that enable them to sell vehicles to consumers, regardless of their credit history. 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under each of the programs for each of the last three years: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gridSpan w:val="3"/>
          </w:tcPr>
          <w:p>
            <w:pPr>
              <w:jc w:val="right"/>
              <w:ind w:right="1194"/>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Pr>
          <w:p>
            <w:pPr>
              <w:spacing w:after="0"/>
              <w:rPr>
                <w:sz w:val="17"/>
                <w:szCs w:val="17"/>
                <w:color w:val="auto"/>
              </w:rPr>
            </w:pPr>
          </w:p>
        </w:tc>
        <w:tc>
          <w:tcPr>
            <w:tcW w:w="33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500" w:type="dxa"/>
            <w:vAlign w:val="bottom"/>
            <w:gridSpan w:val="2"/>
          </w:tcPr>
          <w:p>
            <w:pPr>
              <w:ind w:left="1120"/>
              <w:spacing w:after="0"/>
              <w:rPr>
                <w:sz w:val="20"/>
                <w:szCs w:val="20"/>
                <w:color w:val="auto"/>
              </w:rPr>
            </w:pPr>
            <w:r>
              <w:rPr>
                <w:rFonts w:ascii="Arial" w:cs="Arial" w:eastAsia="Arial" w:hAnsi="Arial"/>
                <w:sz w:val="14"/>
                <w:szCs w:val="14"/>
                <w:b w:val="1"/>
                <w:bCs w:val="1"/>
                <w:color w:val="auto"/>
              </w:rPr>
              <w:t>For the Years Ended December 31,</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Program</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Purchase Program</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Program</w:t>
            </w:r>
          </w:p>
        </w:tc>
        <w:tc>
          <w:tcPr>
            <w:tcW w:w="1640" w:type="dxa"/>
            <w:vAlign w:val="bottom"/>
          </w:tcPr>
          <w:p>
            <w:pPr>
              <w:jc w:val="right"/>
              <w:ind w:right="154"/>
              <w:spacing w:after="0"/>
              <w:rPr>
                <w:sz w:val="20"/>
                <w:szCs w:val="20"/>
                <w:color w:val="auto"/>
              </w:rPr>
            </w:pPr>
            <w:r>
              <w:rPr>
                <w:rFonts w:ascii="Arial" w:cs="Arial" w:eastAsia="Arial" w:hAnsi="Arial"/>
                <w:sz w:val="14"/>
                <w:szCs w:val="14"/>
                <w:b w:val="1"/>
                <w:bCs w:val="1"/>
                <w:color w:val="auto"/>
              </w:rPr>
              <w:t>Purchase Program</w:t>
            </w:r>
          </w:p>
        </w:tc>
      </w:tr>
      <w:tr>
        <w:trPr>
          <w:trHeight w:val="250"/>
        </w:trPr>
        <w:tc>
          <w:tcPr>
            <w:tcW w:w="4380" w:type="dxa"/>
            <w:vAlign w:val="bottom"/>
            <w:tcBorders>
              <w:top w:val="single" w:sz="8" w:color="auto"/>
              <w:bottom w:val="single" w:sz="8" w:color="CCEEFF"/>
            </w:tcBorders>
            <w:shd w:val="clear" w:color="auto" w:fill="CCEEFF"/>
          </w:tcPr>
          <w:p>
            <w:pPr>
              <w:jc w:val="right"/>
              <w:ind w:right="3914"/>
              <w:spacing w:after="0"/>
              <w:rPr>
                <w:sz w:val="20"/>
                <w:szCs w:val="20"/>
                <w:color w:val="auto"/>
              </w:rPr>
            </w:pPr>
            <w:r>
              <w:rPr>
                <w:rFonts w:ascii="Arial" w:cs="Arial" w:eastAsia="Arial" w:hAnsi="Arial"/>
                <w:sz w:val="18"/>
                <w:szCs w:val="18"/>
                <w:color w:val="auto"/>
                <w:w w:val="89"/>
              </w:rPr>
              <w:t>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7"/>
              </w:rPr>
              <w:t>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4380" w:type="dxa"/>
            <w:vAlign w:val="bottom"/>
          </w:tcPr>
          <w:p>
            <w:pPr>
              <w:jc w:val="right"/>
              <w:ind w:right="3914"/>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640" w:type="dxa"/>
            <w:vAlign w:val="bottom"/>
          </w:tcPr>
          <w:p>
            <w:pPr>
              <w:ind w:left="1120"/>
              <w:spacing w:after="0"/>
              <w:rPr>
                <w:sz w:val="20"/>
                <w:szCs w:val="20"/>
                <w:color w:val="auto"/>
              </w:rPr>
            </w:pPr>
            <w:r>
              <w:rPr>
                <w:rFonts w:ascii="Arial" w:cs="Arial" w:eastAsia="Arial" w:hAnsi="Arial"/>
                <w:sz w:val="18"/>
                <w:szCs w:val="18"/>
                <w:color w:val="auto"/>
                <w:w w:val="97"/>
              </w:rPr>
              <w:t>68.5%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380" w:type="dxa"/>
            <w:vAlign w:val="bottom"/>
            <w:shd w:val="clear" w:color="auto" w:fill="CCEEFF"/>
          </w:tcPr>
          <w:p>
            <w:pPr>
              <w:jc w:val="right"/>
              <w:ind w:right="3914"/>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7"/>
              </w:rPr>
              <w:t>67.2%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Portfolio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25" w:lineRule="exact"/>
        <w:rPr>
          <w:sz w:val="20"/>
          <w:szCs w:val="20"/>
          <w:color w:val="auto"/>
        </w:rPr>
      </w:pPr>
    </w:p>
    <w:p>
      <w:pPr>
        <w:ind w:left="840" w:hanging="332"/>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cash advance from us; and</w:t>
      </w:r>
    </w:p>
    <w:p>
      <w:pPr>
        <w:spacing w:after="0" w:line="9"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the advance balance (cash advance and related Dealer Loan fees and costs) has been recovered by us, the cash from payments made on the Consumer Loan, net of certain collection costs and our servicing fee (“Dealer Holdback”).</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 the amount advanced to the Dealer as a Dealer Loan, which is classified within Loans receivable in our consolidated balance sheets. Cash advanced to the Dealer is automatically assigned to the Dealer’s open pool of advances. We generally require Dealers to group advances into pools of at least 100 Consumer Loans. Unless we receive a request from the Dealer to keep a pool open, we automatically close a pool containing 100 Consumer Loans and assign subsequent advances to a new pool.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170" w:lineRule="exact"/>
        <w:rPr>
          <w:sz w:val="20"/>
          <w:szCs w:val="20"/>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at least 100 Consumer Loans.</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Dealers have an opportunity to receive an accelerated Dealer Holdback payment each time 100 Consumer Loans have been assigned to us. The amount paid to the Dealer is calculated using a formula that considers the forecasted collections and the advance balance on the related Consumer Loans.</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both"/>
        <w:ind w:firstLine="324"/>
        <w:spacing w:after="0" w:line="264"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Purchase Program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Enrollment</w:t>
      </w:r>
    </w:p>
    <w:p>
      <w:pPr>
        <w:spacing w:after="0" w:line="225"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Dealers may enroll in our Portfolio Program by (1) paying an up-front, one-time fee of $9,850, or (2) agreeing to allow us to retain 50% of their first accelerated Dealer Holdback payment. Access to the Purchase Program is typically only granted to Dealers that meet one of the following:</w:t>
      </w:r>
    </w:p>
    <w:p>
      <w:pPr>
        <w:spacing w:after="0" w:line="147" w:lineRule="exact"/>
        <w:rPr>
          <w:sz w:val="20"/>
          <w:szCs w:val="20"/>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first accelerated Dealer Holdback payment under the Portfolio Program;</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 Acceptance derives its revenues from the following principal sources:</w:t>
      </w:r>
    </w:p>
    <w:p>
      <w:pPr>
        <w:spacing w:after="0" w:line="225" w:lineRule="exact"/>
        <w:rPr>
          <w:sz w:val="20"/>
          <w:szCs w:val="20"/>
          <w:color w:val="auto"/>
        </w:rPr>
      </w:pPr>
    </w:p>
    <w:p>
      <w:pPr>
        <w:jc w:val="both"/>
        <w:ind w:left="840" w:hanging="332"/>
        <w:spacing w:after="0" w:line="271"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Finance charges, which are comprised of: (1) servicing fees earned as a result of servicing Consumer Loans assigned to us by Dealers under the Portfolio Program; (2) finance charge income from Purchased Loans; (3) fees earned from our third party ancillary product offerings; (4) monthly program fees of $599, charged to Dealers under the Portfolio Program; and (5) fees associated with certain Loans;</w:t>
      </w:r>
    </w:p>
    <w:p>
      <w:pPr>
        <w:ind w:left="840" w:hanging="33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Premiums earned on the reinsurance of vehicle service contracts; and</w:t>
      </w:r>
    </w:p>
    <w:p>
      <w:pPr>
        <w:spacing w:after="0" w:line="9" w:lineRule="exact"/>
        <w:rPr>
          <w:rFonts w:ascii="Arial" w:cs="Arial" w:eastAsia="Arial" w:hAnsi="Arial"/>
          <w:sz w:val="18"/>
          <w:szCs w:val="18"/>
          <w:color w:val="auto"/>
        </w:rPr>
      </w:pPr>
    </w:p>
    <w:p>
      <w:pPr>
        <w:jc w:val="both"/>
        <w:ind w:left="840" w:hanging="332"/>
        <w:spacing w:after="0" w:line="255"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income, which primarily consists of: ancillary product profit sharing, remarketing fees, GPS-SID fees, interest, Dealer enrollment fees, and Dealer support products and services. For additional information, see Note 8 to the consolidated financial statements contained in Item 8 to this Form 10-K, which is incorporated herein by reference.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percent relationship to total revenue of each of these sources: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460" w:type="dxa"/>
            <w:vAlign w:val="bottom"/>
            <w:tcBorders>
              <w:bottom w:val="single" w:sz="8" w:color="auto"/>
            </w:tcBorders>
          </w:tcPr>
          <w:p>
            <w:pPr>
              <w:spacing w:after="0"/>
              <w:rPr>
                <w:sz w:val="17"/>
                <w:szCs w:val="17"/>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 of Total Revenue</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2016</w:t>
            </w: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charges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Premiums earned</w:t>
            </w:r>
          </w:p>
        </w:tc>
        <w:tc>
          <w:tcPr>
            <w:tcW w:w="1840" w:type="dxa"/>
            <w:vAlign w:val="bottom"/>
          </w:tcPr>
          <w:p>
            <w:pPr>
              <w:jc w:val="right"/>
              <w:spacing w:after="0"/>
              <w:rPr>
                <w:sz w:val="20"/>
                <w:szCs w:val="20"/>
                <w:color w:val="auto"/>
              </w:rPr>
            </w:pPr>
            <w:r>
              <w:rPr>
                <w:rFonts w:ascii="Arial" w:cs="Arial" w:eastAsia="Arial" w:hAnsi="Arial"/>
                <w:sz w:val="18"/>
                <w:szCs w:val="18"/>
                <w:color w:val="auto"/>
              </w:rPr>
              <w:t>3.6%</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7"/>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560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184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is seasonal with peak Consumer Loan acceptances and collections occurring during the first quarter of the year. However, this seasonality does not have a material impact on our interim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u w:val="single" w:color="auto"/>
          <w:color w:val="auto"/>
        </w:rPr>
        <w:t>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target market is approximately 60,000 independent and franchised automobile dealers in the United States. We have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area managers located throughout the United States that market our programs to prospective Dealers, enroll new Dealers, and support active Dealers. The number of Dealer enrollments and active Dealers for each of the last three years are presented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 Years Ended December 31,</w:t>
            </w:r>
          </w:p>
        </w:tc>
        <w:tc>
          <w:tcPr>
            <w:tcW w:w="2880" w:type="dxa"/>
            <w:vAlign w:val="bottom"/>
          </w:tcPr>
          <w:p>
            <w:pPr>
              <w:ind w:left="1300"/>
              <w:spacing w:after="0"/>
              <w:rPr>
                <w:sz w:val="20"/>
                <w:szCs w:val="20"/>
                <w:color w:val="auto"/>
              </w:rPr>
            </w:pPr>
            <w:r>
              <w:rPr>
                <w:rFonts w:ascii="Arial" w:cs="Arial" w:eastAsia="Arial" w:hAnsi="Arial"/>
                <w:sz w:val="14"/>
                <w:szCs w:val="14"/>
                <w:b w:val="1"/>
                <w:bCs w:val="1"/>
                <w:color w:val="auto"/>
              </w:rPr>
              <w:t>Dealer Enrollments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jc w:val="right"/>
              <w:ind w:right="1234"/>
              <w:spacing w:after="0"/>
              <w:rPr>
                <w:sz w:val="20"/>
                <w:szCs w:val="20"/>
                <w:color w:val="auto"/>
              </w:rPr>
            </w:pPr>
            <w:r>
              <w:rPr>
                <w:rFonts w:ascii="Arial" w:cs="Arial" w:eastAsia="Arial" w:hAnsi="Arial"/>
                <w:sz w:val="14"/>
                <w:szCs w:val="14"/>
                <w:b w:val="1"/>
                <w:bCs w:val="1"/>
                <w:color w:val="auto"/>
              </w:rPr>
              <w:t>Active Dealers (1)</w:t>
            </w:r>
          </w:p>
        </w:tc>
      </w:tr>
      <w:tr>
        <w:trPr>
          <w:trHeight w:val="250"/>
        </w:trPr>
        <w:tc>
          <w:tcPr>
            <w:tcW w:w="3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10,536</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21"/>
                <w:szCs w:val="21"/>
                <w:color w:val="auto"/>
              </w:rPr>
            </w:pPr>
          </w:p>
        </w:tc>
        <w:tc>
          <w:tcPr>
            <w:tcW w:w="3760" w:type="dxa"/>
            <w:vAlign w:val="bottom"/>
          </w:tcPr>
          <w:p>
            <w:pPr>
              <w:jc w:val="right"/>
              <w:ind w:right="14"/>
              <w:spacing w:after="0"/>
              <w:rPr>
                <w:sz w:val="20"/>
                <w:szCs w:val="20"/>
                <w:color w:val="auto"/>
              </w:rPr>
            </w:pPr>
            <w:r>
              <w:rPr>
                <w:rFonts w:ascii="Arial" w:cs="Arial" w:eastAsia="Arial" w:hAnsi="Arial"/>
                <w:sz w:val="18"/>
                <w:szCs w:val="18"/>
                <w:color w:val="auto"/>
              </w:rPr>
              <w:t>11,551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4,671</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12,528</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1000" w:hanging="330"/>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Loan during the period.</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Once Dealers have enrolled in our programs, the market area managers work closely with the newly enrolled Dealers to help them successfully launch our programs within their dealerships. Market area managers also provide active Dealers with ongoing support and consulting focused on improving the Dealers’ success on our programs, including assistance with increasing the volume and performance of Consumer Loan assignments.</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Dealer Servicing Agreement. </w:t>
      </w:r>
      <w:r>
        <w:rPr>
          <w:rFonts w:ascii="Arial" w:cs="Arial" w:eastAsia="Arial" w:hAnsi="Arial"/>
          <w:sz w:val="17"/>
          <w:szCs w:val="17"/>
          <w:color w:val="auto"/>
        </w:rPr>
        <w:t>As a part of the enrollment process, a new Dealer is required to enter into a Dealer servicing agreement with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that defines the legal relationship between Credit Acceptance and the Dealer. The Dealer servicing agreement assigns the responsibilities for administering, servicing, and collecting the amounts due on Consumer Loans from the Dealers to us. Under the typical Dealer servicing agreement, a Dealer represents that it will only assign Consumer Loans to us that satisfy criteria established by us, meet certain conditions with respect to their binding nature and the status of the security interest in the purchased vehicle, and comply with applicable state and federal laws and regulations.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typical Dealer servicing agreement may be terminated by us or by the Dealer upon written notice. We may terminate the Dealer servicing agreement immediately in the case of an event of default by the Dealer. Events of default include, among other things:</w:t>
      </w:r>
    </w:p>
    <w:p>
      <w:pPr>
        <w:spacing w:after="0" w:line="170" w:lineRule="exact"/>
        <w:rPr>
          <w:sz w:val="20"/>
          <w:szCs w:val="20"/>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Dealer's refusal to allow us to audit its records relating to the Consumer Loans assigned to us;</w:t>
      </w:r>
    </w:p>
    <w:p>
      <w:pPr>
        <w:spacing w:after="0" w:line="23" w:lineRule="exact"/>
        <w:rPr>
          <w:rFonts w:ascii="Arial" w:cs="Arial" w:eastAsia="Arial" w:hAnsi="Arial"/>
          <w:sz w:val="18"/>
          <w:szCs w:val="18"/>
          <w:color w:val="auto"/>
        </w:rPr>
      </w:pPr>
    </w:p>
    <w:p>
      <w:pPr>
        <w:ind w:left="840" w:hanging="332"/>
        <w:spacing w:after="0" w:line="250"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Dealer, without our consent, is dissolved; merges or consolidates with an entity not affiliated with the Dealer; or sells a material part of its assets outside the course of its business to an entity not affiliated with the Dealer; or</w:t>
      </w: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appointment of a receiver for, or the bankruptcy or insolvency of, the Dealer.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While a Dealer can cease assigning Consumer Loans to us at any time without terminating the Dealer servicing agreement, if the Dealer elects to terminate the Dealer servicing agreement or in the event of a default, we have the right to require that the Dealer immediately pay us:</w:t>
      </w:r>
    </w:p>
    <w:p>
      <w:pPr>
        <w:spacing w:after="0" w:line="170" w:lineRule="exact"/>
        <w:rPr>
          <w:sz w:val="20"/>
          <w:szCs w:val="20"/>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unreimbursed collection costs on Dealer Loans;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unpaid advances and all amounts owed by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termination fee equal to 15% of the then outstanding amount of the Consumer Loans assigned to us.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receipt of such amounts in full, we reassign the Consumer Loans and our security interest in the financed vehicles to the Dealer.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event of a termination of the Dealer servicing agreement by us, we may continue to service Consumer Loans assigned by Dealers accepted prior to termination in the normal course of business without charging a termination fee.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Consumer Loan Assignment. </w:t>
      </w:r>
      <w:r>
        <w:rPr>
          <w:rFonts w:ascii="Arial" w:cs="Arial" w:eastAsia="Arial" w:hAnsi="Arial"/>
          <w:sz w:val="16"/>
          <w:szCs w:val="16"/>
          <w:color w:val="auto"/>
        </w:rPr>
        <w:t>Once a Dealer has enrolled in our programs, the Dealer may begin assigning Consumer Loans to us. For legal purposes,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Consumer Loan is considered to have been assigned to us after the following has occurred:</w:t>
      </w:r>
    </w:p>
    <w:p>
      <w:pPr>
        <w:spacing w:after="0" w:line="211" w:lineRule="exact"/>
        <w:rPr>
          <w:sz w:val="20"/>
          <w:szCs w:val="20"/>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23"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Consumer Loan is originated by the Dealer when a consumer enters into a contract with a Dealer that sets forth the terms of the agreement between the consumer and the Dealer for the payment of the purchase price of the vehicle. The amount of the Consumer Loan consists of the total principal and interest that the consumer is required to pay over the term of the Consumer Loan. Consumer Loans are written on a contract form provided by us. Although the Dealer is named in the Consumer Loan contract, the Dealer generally does not have legal ownership of the Consumer Loan for more than a moment and we, not the Dealer, are listed as lien holder on the vehicle title. Consumers are obligated to make payments on the Consumer Loan directly to us, and any failure to make such payments will result in our pursuing payment through collection efforts.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All Consumer Loans submitted to us for assignment are processed through our Credit Approval Processing System (“CAPS”). CAPS allows Dealers to input a consumer’s credit application and view the response from us via the Internet. CAPS allows Dealers to: (1) receive a quick approval from us; (2) interact with our proprietary credit scoring system to optimize the structure of each transaction prior to delivery; and (3) create, electronically execute and print Consumer Loan documents. All responses include the amount of funding (advance for a Dealer Loan or purchase price for a Purchased Loan), as well as any stipulations required for funding. The amount of funding is determined using a formula which considers a number of factors including the timing and amount of cash flows expected on the related Consumer Loan and our target return on capital at the time the Consumer Loan is submitted to us for assignment. The estimated future cash flows are determined based upon our proprietary credit scoring system, which considers numerous variables, including attributes contained in the consumer’s credit bureau report, data contained in the consumer’s credit application, the structure of the proposed transaction, vehicle information and other factors, to calculate a composite credit score that corresponds to an expected collection rate. Our proprietary credit scoring system forecasts the collection rate based upon the historical performance of Consumer Loans in our portfolio that share similar characteristics. The performance of our proprietary credit scoring system is evaluated monthly by comparing projected to actual Consumer Loan performance. Adjustments are made to our proprietary credit scoring system as necessary. For additional information on adjustments to forecasted collection rates, please see the Critical Accounting Estimates section in Item 7 of this Form 10-K, which is incorporated herein by reference.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a Dealer can submit any legally compliant Consumer Loan to us for assignment, the decision whether to provide funding to the Dealer and the amount of any funding is made solely by us. Through our Dealer Service Center, we perform all significant functions relating to the processing of the Consumer Loan applications and bear certain costs of Consumer Loan assignment, including the cost of assessing the adequacy of Consumer Loan documentation, compliance with underwriting and legal guidelines and the cost of verifying employment, residence and other information provided by the Dealer.</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audit Consumer Loan files for legal and underwriting guidelines on a daily basis in order to assess whether our Dealers are operating in accordance with the terms and conditions of our Dealer servicing agreement. We occasionally identify breaches of the Dealer servicing agreement and depending upon the circumstances, and at our discretion, we may:</w:t>
      </w:r>
    </w:p>
    <w:p>
      <w:pPr>
        <w:spacing w:after="0" w:line="181"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pricing or charge the Dealer fees for future Consumer Loan assignments;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reassign the Consumer Loans back to the Dealer and require repayment of the related advances and/or purchase payments;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terminate our relationship with the Dealer.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Consumer Loans that have been assigned to us can be reassigned back to the Dealer, at the Dealer’s discretion, as follows:</w:t>
      </w:r>
    </w:p>
    <w:p>
      <w:pPr>
        <w:spacing w:after="0" w:line="225" w:lineRule="exact"/>
        <w:rPr>
          <w:sz w:val="20"/>
          <w:szCs w:val="20"/>
          <w:color w:val="auto"/>
        </w:rPr>
      </w:pPr>
    </w:p>
    <w:p>
      <w:pPr>
        <w:ind w:left="840" w:hanging="332"/>
        <w:spacing w:after="0" w:line="258"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Consumer Loan may be reassigned within 180 days of assignment. We require repayment of the related advance or purchase payment and, if requested more than 90 days after assignment, payment of a fee; and</w:t>
      </w:r>
    </w:p>
    <w:p>
      <w:pPr>
        <w:spacing w:after="0" w:line="1"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Consumer Loans assigned under the Portfolio Program may be reassigned through termination of the Dealer servicing agreement, as described under "Dealer Servicing Agreement," 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7" w:name="page8"/>
    <w:bookmarkEnd w:id="7"/>
    <w:p>
      <w:pPr>
        <w:jc w:val="both"/>
        <w:ind w:firstLine="324"/>
        <w:spacing w:after="0" w:line="276" w:lineRule="auto"/>
        <w:rPr>
          <w:sz w:val="20"/>
          <w:szCs w:val="20"/>
          <w:color w:val="auto"/>
        </w:rPr>
      </w:pPr>
      <w:r>
        <w:rPr>
          <w:rFonts w:ascii="Arial" w:cs="Arial" w:eastAsia="Arial" w:hAnsi="Arial"/>
          <w:sz w:val="17"/>
          <w:szCs w:val="17"/>
          <w:color w:val="auto"/>
        </w:rPr>
        <w:t>Our business model allows us to share the risk and reward of collecting on the Consumer Loans with the Dealers, more so with the Portfolio Program than the Purchase Program. Such sharing is intended to motivate the Dealer to assign better quality Consumer Loans, follow our underwriting guidelines, comply with various legal regulations, meet our credit compliance requirements and provide appropriate service and support to the consumer after the sale. In addition, our Dealer Service Center works closely with Dealers to assist them in resolving any documentation deficiencies or funding stipulations. We believe this arrangement causes the interests of the Dealer, the consumer and us to all be aligned.</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measure various criteria for each Dealer against other Dealers in their geographic area as well as the top performing Dealers. Dealers are assigned a Dealer rating based upon the performance of their Consumer Loans in both the Portfolio and Purchase Programs as well as other criteria. The Dealer rating is one of the factors used to determine the amount paid to Dealers as an advance or to acquire a Purchased Loan. We provide each Dealer under the Portfolio Program with a monthly statement summarizing all activity that occurred on their Consumer Loan assignments.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Our largest group of collectors services Consumer Loans that are in the early stages of delinquency. Collection efforts typically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placing a call to the consumer within one day of the missed payment due date, although efforts may begin later for some segments of accounts. Consumer Loans are segmented into dialing pools by various phone contact profiles in an effort to efficiently contact the consumer. We utilize text messaging as an additional means to contact the consumer. Our collectors work with consumers to attempt to reach a solution that will help them avoid becoming further past due and get them current where possible.</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decision to repossess a vehicle is based on policy-based criteria. When a Consumer Loan is approved for repossession, the account is transferred to our repossession team. Repossession personnel continue to service the Consumer Loan as it is being assigned to a third party repossession contractor, who works on a contingency fee basis. Once a vehicle has been repossessed, the consumer can negotiate to redeem the vehicle, whereupon the vehicle is returned to the consumer in exchange for paying off the Consumer Loan balance; or, where appropriate or if required by law, the vehicle is returned to the consumer and the Consumer Loan is reinstated in exchange for a payment that reduces or eliminates the past due balance. If this process is unsuccessful, the vehicle is sold at a wholesale automobile auction. Prior to sale, the vehicle is typically inspected by a representative at the auction who provides repair and reconditioning recommendations. Alternatively, our remarketing representatives may inspect the vehicle directly. Our remarketing representatives then authorize any repair and reconditioning work in order to maximize the net sale proceeds at auction.</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vehicle sale proceeds are not sufficient to satisfy the balance owing on the Consumer Loan, the Consumer Loan is serviced by either: (1) our internal collection team, in the event the consumer is willing to make payments on the deficiency balance; or (2) where permitted by law, our external collection team, if it is believed that legal action is required to reduce the deficiency balance owing on the Consumer Loan. Our external collection team generally assigns Consumer Loans to third party collection attorneys who work on a contingency fee basis.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Collectors service Consumer Loans through our servicing platform, which consists of the following two systems:</w:t>
      </w:r>
    </w:p>
    <w:p>
      <w:pPr>
        <w:spacing w:after="0" w:line="225"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collection system, which assigns Consumer Loans to collectors through a predictive dialer and records all collection activity, including:</w:t>
      </w:r>
    </w:p>
    <w:p>
      <w:pPr>
        <w:spacing w:after="0" w:line="34" w:lineRule="exact"/>
        <w:rPr>
          <w:rFonts w:ascii="Arial" w:cs="Arial" w:eastAsia="Arial" w:hAnsi="Arial"/>
          <w:sz w:val="17"/>
          <w:szCs w:val="17"/>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details of past phone conversations with the consumer;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collection letters sent;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promises to pay;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broken promises;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repossession orders;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collection attorney activity.</w:t>
      </w:r>
    </w:p>
    <w:p>
      <w:pPr>
        <w:spacing w:after="0" w:line="210" w:lineRule="exact"/>
        <w:rPr>
          <w:rFonts w:ascii="Arial" w:cs="Arial" w:eastAsia="Arial" w:hAnsi="Arial"/>
          <w:sz w:val="18"/>
          <w:szCs w:val="18"/>
          <w:color w:val="auto"/>
        </w:rPr>
      </w:pPr>
    </w:p>
    <w:p>
      <w:pPr>
        <w:ind w:left="820" w:hanging="326"/>
        <w:spacing w:after="0" w:line="25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servicing system, which maintains a record of all transactions relating to Consumer Loan assignments and is a primary source of data utilized to:</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determine the outstanding balance of the Consumer Loans;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forecast future collections;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analyze the profitability of our program;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 our proprietary credit scoring system.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Ancillary Products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 Our agreement with one of our TPPs allows us to receive profit sharing payments depending on the performance of the vehicle service contracts.</w:t>
      </w:r>
    </w:p>
    <w:p>
      <w:pPr>
        <w:spacing w:after="0" w:line="18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VSC Re Company (“VSC Re”), our wholly-owned subsidiary, is engaged in the business of reinsuring coverage under vehicle service contracts sold to consumers by Dealers on vehicles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trust accounts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 party insurers. Our agreement with one of our TPPs allow us to receive profit sharing payments depending on the performance of the GAP contracts.</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our Purchase Program, we provide Dealers that meet certain criteria the ability to offer vehicle service contracts and GAP to consumers through the Dealers’ relationships with TPPs. The retail price of the vehicle service contract and/or GAP is included in the principal balance of the Consumer Loan and is paid to the Dealer. Under this arrangement, we do not receive an administrative fee and the Dealers’ TPPs process claims.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Dealers in certain states the ability to purchase GPS Starter Interrupt Devices (“GPS-SID”) through our relationship with a TPP. Through this program, Dealers can install GPS-SID on vehicles financed by us that can be activated if the consumer fails to make payments on their account, and can result in the prompt repossession of the vehicle. Dealers purchase GPS-SID directly from the TPP. The TPP pays us a fee for each device sold, at which time the fee revenue is recognized in other income within our consolidated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for consumers who do not qualify for conventional automobile financing is large and highly competitive. The market is currently served by “buy here, pay here” dealerships, banks, captive finance affiliates of automobile manufacturers, credit unions and independent finance companies both publicly and privately owned. Many of these companies are much larger and have greater resources than us. We compete by offering a profitable and efficient method for Dealers to finance consumers who would be more difficult or less profitable to finance through other methods. In addition, we compete on the basis of the level of service provided by our Dealer Service Center and sales personnel.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Customer and Geographic Concentrations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single Dealer accounted for more than 10% of total revenues during any of the last three years. Additionally, no single Dealer’s Loans receivable balance accounted for more than 10% of total Loans receivable balance as of December 31, 2018 or 2017. The following tables provide information regarding the five states that were responsible for the largest dollar volume of Consumer Loan assignments and the related number of active Dealers during 2018, 2017 and 2016: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Year Ended December 31, 2018</w:t>
            </w:r>
          </w:p>
        </w:tc>
        <w:tc>
          <w:tcPr>
            <w:tcW w:w="1660" w:type="dxa"/>
            <w:vAlign w:val="bottom"/>
            <w:tcBorders>
              <w:bottom w:val="single" w:sz="8" w:color="auto"/>
            </w:tcBorders>
          </w:tcPr>
          <w:p>
            <w:pPr>
              <w:spacing w:after="0"/>
              <w:rPr>
                <w:sz w:val="17"/>
                <w:szCs w:val="17"/>
                <w:color w:val="auto"/>
              </w:rPr>
            </w:pPr>
          </w:p>
        </w:tc>
      </w:tr>
      <w:tr>
        <w:trPr>
          <w:trHeight w:val="210"/>
        </w:trPr>
        <w:tc>
          <w:tcPr>
            <w:tcW w:w="4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Consumer Loan Assignments</w:t>
            </w:r>
          </w:p>
        </w:tc>
        <w:tc>
          <w:tcPr>
            <w:tcW w:w="120" w:type="dxa"/>
            <w:vAlign w:val="bottom"/>
          </w:tcPr>
          <w:p>
            <w:pPr>
              <w:spacing w:after="0"/>
              <w:rPr>
                <w:sz w:val="18"/>
                <w:szCs w:val="18"/>
                <w:color w:val="auto"/>
              </w:rPr>
            </w:pPr>
          </w:p>
        </w:tc>
        <w:tc>
          <w:tcPr>
            <w:tcW w:w="33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Active Dealers (2)</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Volume (1)</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Total</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Ohio</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2,378.1</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3,595.8</w:t>
            </w:r>
          </w:p>
        </w:tc>
        <w:tc>
          <w:tcPr>
            <w:tcW w:w="1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12,528</w:t>
            </w:r>
          </w:p>
        </w:tc>
        <w:tc>
          <w:tcPr>
            <w:tcW w:w="1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4"/>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Year Ended December 31, 2017</w:t>
            </w:r>
          </w:p>
        </w:tc>
        <w:tc>
          <w:tcPr>
            <w:tcW w:w="1660" w:type="dxa"/>
            <w:vAlign w:val="bottom"/>
            <w:tcBorders>
              <w:bottom w:val="single" w:sz="8" w:color="auto"/>
            </w:tcBorders>
          </w:tcPr>
          <w:p>
            <w:pPr>
              <w:spacing w:after="0"/>
              <w:rPr>
                <w:sz w:val="17"/>
                <w:szCs w:val="17"/>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Consumer Loan Assignments</w:t>
            </w:r>
          </w:p>
        </w:tc>
        <w:tc>
          <w:tcPr>
            <w:tcW w:w="12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Active Dealers (2)</w:t>
            </w:r>
          </w:p>
        </w:tc>
      </w:tr>
      <w:tr>
        <w:trPr>
          <w:trHeight w:val="264"/>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Volume (1)</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Total</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Ohio</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1,879.5</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8,154</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2,873.1</w:t>
            </w:r>
          </w:p>
        </w:tc>
        <w:tc>
          <w:tcPr>
            <w:tcW w:w="1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11,551</w:t>
            </w:r>
          </w:p>
        </w:tc>
        <w:tc>
          <w:tcPr>
            <w:tcW w:w="1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4"/>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Year Ended December 31, 2016</w:t>
            </w:r>
          </w:p>
        </w:tc>
        <w:tc>
          <w:tcPr>
            <w:tcW w:w="1660" w:type="dxa"/>
            <w:vAlign w:val="bottom"/>
            <w:tcBorders>
              <w:bottom w:val="single" w:sz="8" w:color="auto"/>
            </w:tcBorders>
          </w:tcPr>
          <w:p>
            <w:pPr>
              <w:spacing w:after="0"/>
              <w:rPr>
                <w:sz w:val="17"/>
                <w:szCs w:val="17"/>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Consumer Loan Assignments</w:t>
            </w:r>
          </w:p>
        </w:tc>
        <w:tc>
          <w:tcPr>
            <w:tcW w:w="12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Active Dealers (2)</w:t>
            </w:r>
          </w:p>
        </w:tc>
      </w:tr>
      <w:tr>
        <w:trPr>
          <w:trHeight w:val="264"/>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Volume (1)</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Total</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Ohio</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1,731.4</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7,452</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2,635.5</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40" w:right="20" w:hanging="332"/>
        <w:spacing w:after="0" w:line="250" w:lineRule="auto"/>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ind w:left="840" w:hanging="332"/>
        <w:spacing w:after="0"/>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Loan during the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Financial Information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 three years ended December 31, 2018, 2017 and 2016, all of our revenues were derived from the United States. As of December 31, 2018 and 2017, all of our long-lived assets were located in the United States.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business is subject to laws and regulations, including the Truth in Lending Act, the Equal Credit Opportunity Act, the Fair Credit Reporting Act and various other state and federal laws and regulations. These laws and regulations, among other things, require licensing and qualification; limit interest rates, fees and other charges associated with the Consumer Loans assigned to us; require specified disclosures by Dealers to consumers; govern the sale and terms of ancillary products; and define the rights to repossess and sell collateral. Failure to comply with these laws or regulations could have a material adverse effect on us by, among other things, limiting the jurisdictions in which we may operate, restricting our ability to realize the value of the collateral securing the Consumer Loans, making it more costly or burdensome to do business or resulting in potential liability. The volume of new or modified laws and regulations has increased in recent years and has increased significantly in response to issues arising with respect to consumer lending. From time to time, legislation and regulations are enacted which increase the cost of doing business, limit or expand permissible activities or affect the competitive balance among financial services providers. Proposals to change the laws and regulations governing the operations and taxation of financial institutions and financial services providers are frequently made in the U.S. Congress, in the state legislatures and by various regulatory agencies. This legislation may change our operating environment in substantial and unpredictable ways and may have a material adverse effect on our business.</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July 2010 the Dodd-Frank Wall Street Reform and Consumer Protection Act (the “Dodd-Frank Act”) was enacted and a number of its provisions became effective in July 2011. The Dodd-Frank Act restructured and enhanced the regulation and supervision of the financial services industry and created the Bureau of Consumer Financial Protection (the “Bureau”). We are subject to supervision by the Bureau. The Bureau has rulemaking and enforcement authority over certain non-depository institutions, including us. The Bureau is specifically authorized, among other things, to take actions to prevent companies providing consumer financial products or services and their service providers from engaging in unfair, deceptive or abusive acts or practices in connection with consumer financial products and services, and to issue rules requiring enhanced disclosures for consumer financial products or services. Under the Dodd-Frank Act, the Bureau also may restrict the use of pre-dispute mandatory arbitration clauses in contracts between covered persons and consumers for a consumer financial product or service. The Bureau also has authority to interpret, enforce and issue regulations implementing enumerated consumer laws, including certain laws that apply to our business. Further, the Bureau has issued rules allowing it to supervise non-depository “larger participants” in certain markets for consumer financial services and products. On June 10, 2015, the Bureau released its larger participant rule defining which nonbank automotive finance companies will be subject to supervision. The rule provides that nonbank auto finance companies that make, acquire or refinance 10,000 or more loans or leases in a year will come under Bureau supervision. The rule was officially published in the Federal Register on June 30, 2015, and became effective on August 31, 2015.</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Dodd-Frank Act and regulations promulgated thereunder, including by the Bureau, are likely to affect our cost of doing business, may limit or expand our permissible activities, may affect the competitive balance within our industry and market areas and could have a material adverse effect on us. Our management continues to assess the Dodd-Frank Act’s probable impact on our business, financial condition and results of operations, and to monitor developments involving the entities charged with promulgating regulations thereunder. However, the ultimate effect of the Dodd-Frank Act on the financial services industry in general, and on us in particular, is uncertain at this time.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Bureau, other state and federal agencies have the ability to regulate aspects of our business. For example, the Dodd-Frank Act provides a mechanism for state attorneys general to investigate us. Separately, state attorneys general and certain state regulators have authority under their respective rules and laws, to investigate and/or regulate aspects of the business. In addition, the Federal Trade Commission has jurisdiction to investigate aspects of our business. We expect that regulatory investigations by both state and federal agencies will continue and that the results of these investigations could have a material adverse impact on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ind w:firstLine="324"/>
        <w:spacing w:after="0" w:line="277" w:lineRule="auto"/>
        <w:rPr>
          <w:sz w:val="20"/>
          <w:szCs w:val="20"/>
          <w:color w:val="auto"/>
        </w:rPr>
      </w:pPr>
      <w:r>
        <w:rPr>
          <w:rFonts w:ascii="Arial" w:cs="Arial" w:eastAsia="Arial" w:hAnsi="Arial"/>
          <w:sz w:val="18"/>
          <w:szCs w:val="18"/>
          <w:color w:val="auto"/>
        </w:rPr>
        <w:t>We are cooperating with the following inquiries and cannot predict the eventual scopes, durations or outcomes at this time. As a result, we are unable to estimate the reasonably possible loss or range of reasonably possible loss arising from these investigations.</w:t>
      </w:r>
    </w:p>
    <w:p>
      <w:pPr>
        <w:spacing w:after="0" w:line="170" w:lineRule="exact"/>
        <w:rPr>
          <w:sz w:val="20"/>
          <w:szCs w:val="20"/>
          <w:color w:val="auto"/>
        </w:rPr>
      </w:pPr>
    </w:p>
    <w:p>
      <w:pPr>
        <w:jc w:val="both"/>
        <w:ind w:left="660" w:hanging="328"/>
        <w:spacing w:after="0" w:line="28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April 10, 2018, we were informed by the New York Department of Financial Services, Financial Frauds &amp; Consumer Protection Division (“DFS”) that it believes that the Company may have violated the law relating to fair lending; may have misrepresented to consumers information related to GPS Starter Interrupt Devices; and may have provided inaccurate information in the course of a DFS supervisory examination.</w:t>
      </w: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August 14, 2017, we received a subpoena from the Attorney General of the State of Mississippi, relating to the origination and collection of non-prime auto loans in the state of Mississippi. In connection with this inquiry, we were informed by representatives of the Attorney General's office that it believes that the Company may have engaged in unfair and deceptive acts or practices relating to the origination and collection of auto loans in violation of the Mississippi Consumer Protection Act.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June 14, 2017, we were informed that the Bureau’s Office of Fair Lending and Equal Opportunity is investigating whether the Company may have violated the Equal Credit Opportunity Act and Regulation B.</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November 7, 2016, we received a civil investigative demand from the Federal Trade Commission seeking information on the Company’s policies, practices and procedures in allowing car dealers to use GPS Starter Interrupters on consumer vehicles.</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18, 2016, we received a subpoena from the Attorney General of the State of Maryland, relating to the Company’s repossession and sale policies and procedures in the state of Maryland.</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September 18, 2015, we received a subpoena from the Attorney General of the State of New York, Civil Rights Bureau relating to the Company’s origination and collection of Consumer Loans in the state of New York.</w:t>
      </w: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w:t>
      </w:r>
    </w:p>
    <w:p>
      <w:pPr>
        <w:spacing w:after="0" w:line="1"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investigation demand from the Office of the Attorney General seeking updated information on its original civil investigation demand, additional information related to the Company's origination and collection of Consumer Loans, and information regarding securitization activities. In connection with this inquiry, we were informed by representatives of the Office of the Attorney General that it believes that the Company may have engaged in unfair and deceptive acts or practices related to the origination and collection of auto loans, which may have caused some of the Company’s representations and warranties contained in securitization documents to be inaccurate. The investigation relating to the origination, collection and securitization of non-prime auto loans and securities transactions by the Office of the Attorney General remains ongoing.</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governmental regulations which would deplete the supply of used vehicles, such as environmental protection regulations governing emissions or fuel consumption, could have a material adverse effect on us.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Dealers must also comply with credit and trade practice statutes and regulations. Failure of our Dealers to comply with these statutes and regulations could result in consumers having rights of rescission and other remedies that could have a material adverse effect on us.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sale of vehicle service contracts and GAP by Dealers in connection with Consumer Loans assigned to us from Dealers is also subject to state laws and regulations. As we are the holder of the Consumer Loans that may, in part, finance these products, some of these state laws and regulations may apply to our servicing and collection of the Consumer Loans. Although these laws and regulations do not significantly affect our business, there can be no assurance that insurance or other regulatory authorities in the jurisdictions in which these products are offered by Dealers will not seek to regulate or restrict the operation of our business in these jurisdictions. Any regulation or restriction of our business in these jurisdictions could materially adversely affect the income received from these products.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we maintain all material licenses and permits required for our current operations and are in substantial compliance with all applicable laws and regulations. Our agreements with Dealers provide that the Dealer shall indemnify us with respect to any loss or expense we incur as a result of the Dealer’s failure to comply with applicable laws and regulations.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Team Members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team members are organized into three operating functions: Originations, Servicing and Support.</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Originations. </w:t>
      </w:r>
      <w:r>
        <w:rPr>
          <w:rFonts w:ascii="Arial" w:cs="Arial" w:eastAsia="Arial" w:hAnsi="Arial"/>
          <w:sz w:val="17"/>
          <w:szCs w:val="17"/>
          <w:color w:val="auto"/>
        </w:rPr>
        <w:t>The originations function includes team members that are responsible for marketing our programs to prospective Dealers, enrolling new</w:t>
      </w:r>
      <w:r>
        <w:rPr>
          <w:rFonts w:ascii="Arial" w:cs="Arial" w:eastAsia="Arial" w:hAnsi="Arial"/>
          <w:sz w:val="17"/>
          <w:szCs w:val="17"/>
          <w:i w:val="1"/>
          <w:iCs w:val="1"/>
          <w:color w:val="auto"/>
        </w:rPr>
        <w:t xml:space="preserve"> </w:t>
      </w:r>
      <w:r>
        <w:rPr>
          <w:rFonts w:ascii="Arial" w:cs="Arial" w:eastAsia="Arial" w:hAnsi="Arial"/>
          <w:sz w:val="17"/>
          <w:szCs w:val="17"/>
          <w:color w:val="auto"/>
        </w:rPr>
        <w:t>Dealers and supporting active Dealers. Originations also includes team members responsible for processing new Consumer Loan assignments.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 The servicing function includes team members that are responsible for servicing the Consumer Loans. The majority of these team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are responsible for collection activities on delinquent Consumer Loans.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Support</w:t>
      </w:r>
      <w:r>
        <w:rPr>
          <w:rFonts w:ascii="Arial" w:cs="Arial" w:eastAsia="Arial" w:hAnsi="Arial"/>
          <w:sz w:val="18"/>
          <w:szCs w:val="18"/>
          <w:color w:val="auto"/>
        </w:rPr>
        <w:t>. The support function includes team members that are responsible for information technology, finance, compliance, analytics,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assurance and corporate legal activities.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2018, we had 2,040 full and part-time team members. Our team members have no union affiliations and we believe our relationship with our team members is in good standing. The table below presents team members by operating function: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 Team Members</w:t>
            </w:r>
          </w:p>
        </w:tc>
        <w:tc>
          <w:tcPr>
            <w:tcW w:w="1800" w:type="dxa"/>
            <w:vAlign w:val="bottom"/>
          </w:tcPr>
          <w:p>
            <w:pPr>
              <w:spacing w:after="0"/>
              <w:rPr>
                <w:sz w:val="14"/>
                <w:szCs w:val="14"/>
                <w:color w:val="auto"/>
              </w:rPr>
            </w:pPr>
          </w:p>
        </w:tc>
      </w:tr>
      <w:tr>
        <w:trPr>
          <w:trHeight w:val="205"/>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180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Function</w:t>
            </w:r>
          </w:p>
        </w:tc>
        <w:tc>
          <w:tcPr>
            <w:tcW w:w="1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Originations</w:t>
            </w:r>
          </w:p>
        </w:tc>
        <w:tc>
          <w:tcPr>
            <w:tcW w:w="1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Servicing</w:t>
            </w:r>
          </w:p>
        </w:tc>
        <w:tc>
          <w:tcPr>
            <w:tcW w:w="1840" w:type="dxa"/>
            <w:vAlign w:val="bottom"/>
          </w:tcPr>
          <w:p>
            <w:pPr>
              <w:jc w:val="right"/>
              <w:ind w:right="54"/>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1800" w:type="dxa"/>
            <w:vAlign w:val="bottom"/>
          </w:tcPr>
          <w:p>
            <w:pPr>
              <w:jc w:val="right"/>
              <w:ind w:right="18"/>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728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Support</w:t>
            </w:r>
          </w:p>
        </w:tc>
        <w:tc>
          <w:tcPr>
            <w:tcW w:w="1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r>
      <w:tr>
        <w:trPr>
          <w:trHeight w:val="264"/>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1,609</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creditacceptance.com</w:t>
      </w:r>
      <w:r>
        <w:rPr>
          <w:rFonts w:ascii="Arial" w:cs="Arial" w:eastAsia="Arial" w:hAnsi="Arial"/>
          <w:sz w:val="18"/>
          <w:szCs w:val="18"/>
          <w:color w:val="auto"/>
        </w:rPr>
        <w:t>. We make available free of charge on our Internet web site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(the “SEC”).</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inability to accurately forecast and estimate the amount and timing of future collections could have a material adverse effect on results of operations.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from operations are generated from these Consumer Loans, our ability to accurately forecast Consumer Loan performance is critical to our business and financial results. At the time of assignment, we forecast future expected cash flows from the Consumer Loan. Based on these forecasts, which include estimates for wholesale vehicle prices in the event of vehicle repossession and sale, we make an advance or one-time purchase payment to the related Dealer at a level designed to maximize economic profit, a non-GAAP financial measure. We continue to forecast the expected collection rate of each Consumer Loan subsequent to assignment. These forecasts also serve as a critical assumption in our accounting for recognizing finance charge income and determining our allowance for credit losses. Please see the Critical Accounting Estimates – Finance Charge Revenue &amp; Allowance for Credit Losses section in Item 7 of this Form 10-K, which is incorporated herein by reference. Actual cash flows from any individual Consumer Loan are often different than cash flows estimated at the time of assignment. There can be no assurance that our forecasts will be accurate or that Consumer Loan performance will be as expected. In periods with changing economic conditions, accurately forecasting the performance of Consumer Loans is more difficult. In the event that our forecasts are not accurate, our financial position, liquidity and results of operations could be materially adversely affected.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We may be unable to execute our business strategy due to current economic conditions.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financial position, liquidity and results of operations depend on management’s ability to execute our business strategy. Key factors involved in the execution of our business strategy include achieving our desired Consumer Loan assignment volume, continued and successful use of CAPS and pricing strategy, the use of effective credit risk management techniques and servicing strategies, continued investment in technology to support operating efficiency and continued access to funding and liquidity sources. Although our pricing strategy is intended to maximize the amount of economic profit we generate, within the confines of capital and infrastructure constraints, there can be no assurance that this strategy will have its intended effect. Please see the Consumer Loan Volume section in Item 7 of this Form 10-K, which is incorporated herein by reference. Our failure or inability to execute any element of our business strategy could materially adversely affect our financial position, liquidity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continue to access or renew funding sources and obtain capital needed to maintain and grow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use debt financing to maintain and grow our business. We currently utilize the following primary forms of debt financing: (1) a revolving secured line of credit; (2) revolving secured warehouse (“Warehouse”) facilities; (3) asset-backed secured financings (“Term ABS”); and (4) senior notes. We cannot guarantee that the revolving secured line of credit or the Warehouse facilities will continue to be available beyond their current maturity dates, on acceptable terms, or at all, or that we will be able to obtain additional financing on acceptable terms or at all. The availability of additional financing will depend on a variety of factors such as market conditions, the general availability of credit, our financial position, our results of operations, and the capacity for additional borrowing under our existing financing arrangements. If our various financing alternatives were to become limited or unavailable, we may be unable to maintain or grow Consumer Loan volume at the level that we anticipate and our operations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terms of our debt limit how we conduct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agreements that govern our debt contain covenants that restrict our ability to, among other things:</w:t>
      </w:r>
    </w:p>
    <w:p>
      <w:pPr>
        <w:spacing w:after="0" w:line="23" w:lineRule="exact"/>
        <w:rPr>
          <w:sz w:val="20"/>
          <w:szCs w:val="20"/>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and guarantee debt;</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redeem or repurchase our stock;</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with or into other companies;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stockholders and other affiliates.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of our debt agreements also impose requirements that we maintain specified financial measures not in excess of, or not below, specified levels. In particular, our revolving credit facility requires, among other things, that we maintain (i) as of the end of each fiscal quarter, a ratio of consolidated funded debt less unrestricted cash and cash equivalents to consolidated tangible net worth at or below a specified maximum; (ii) as of the end of each fiscal quarter calculated for the two fiscal quarters then ending, consolidated net income of not less than a specified minimum; and (iii) as of the end of each fiscal quarter, a ratio of consolidated income available for fixed charges for the period of four consecutive fiscal quarters most recently ended to consolidated fixed charges for that period of not less than a specified minimum. These covenants limit the manner in which we can conduct our business and could prevent us from engaging in favorable business activities or financing future operations and capital needs and impair our ability to successfully execute our strategy and operate our business.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breach of any of the covenants in our debt instruments would result in an event of default thereunder if not promptly cured or waived. Any continuing default would permit the creditors to accelerate the related debt, which could also result in the acceleration of other debt containing a cross-acceleration or cross-default provision. In addition, an event of default under our revolving credit facility would permit the lenders thereunder to terminate all commitments to extend further credit under our revolving credit facility. Furthermore, if we were unable to repay the amounts due and payable under our revolving credit facility or other secured debt, the lenders thereunder could cause the collateral agent to proceed against the collateral securing that debt. In the event our creditors accelerate the repayment of our debt, there can be no assurance that we would have sufficient assets to repay that debt, and our financial condition, liquidity and results of operations would suffer.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 violation of the terms of our Term ABS facilities or Warehouse facilities could have a material adverse impact on our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our Term ABS facilities and our Warehouse facilities, (1) we have various obligations and covenants as servicer and custodian of the Consumer Loans contributed thereto and in our individual capacity and (2) the special purpose subsidiaries to which we contribute Consumer Loans have various obligations and covenants. A violation of any of these obligations or covenants by us or the special purpose subsidiaries, respectively, may result in our being unable to obtain additional funding under our Warehouse facilities, the termination of our servicing rights and the loss of servicing fees, and may result in amounts outstanding under our Term ABS financings and our Warehouse facilities becoming immediately due and payable. In addition, the violation of any financial covenant under our revolving secured line of credit facility is an event of default or termination event under certain of the Term ABS facilities and our Warehouse facilities. The lack of availability from any or all of these Term ABS facilities and Warehouse facilities may have a material adverse effect on our financial position, liquidity, and results of operations.</w:t>
      </w:r>
    </w:p>
    <w:p>
      <w:pPr>
        <w:spacing w:after="0" w:line="18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2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Periodically, there has been uncertainty in the global capital markets and the overall economy. Such uncertainty can result in disruptions in the financial sector and affect lenders with which we have relationships. Disruptions in the financial sector may increase our exposure to credit risk and adversely affect the ability of lenders to perform under the terms of their lending arrangements with us. Failure by our lenders to perform under the terms of our lending arrangements could cause us to incur additional costs that may adversely affect our liquidity, financial condition and results of operations. There can be no assurance that future disruptions in the financial sector will not occur that could have similar adverse effects on our business.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substantial debt could negatively impact our business, prevent us from satisfying our debt obligations and adversely affect our financial condition.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substantial amount of debt, which could have negative consequences, including the following:</w:t>
      </w:r>
    </w:p>
    <w:p>
      <w:pPr>
        <w:spacing w:after="0" w:line="23" w:lineRule="exact"/>
        <w:rPr>
          <w:sz w:val="20"/>
          <w:szCs w:val="20"/>
          <w:color w:val="auto"/>
        </w:rPr>
      </w:pPr>
    </w:p>
    <w:p>
      <w:pPr>
        <w:ind w:left="840" w:hanging="332"/>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obtain additional financing for Consumer Loan assignments, working capital, debt refinancing or other purposes could be impaired;</w:t>
      </w:r>
    </w:p>
    <w:p>
      <w:pPr>
        <w:spacing w:after="0" w:line="32" w:lineRule="exact"/>
        <w:rPr>
          <w:rFonts w:ascii="Arial" w:cs="Arial" w:eastAsia="Arial" w:hAnsi="Arial"/>
          <w:sz w:val="16"/>
          <w:szCs w:val="16"/>
          <w:color w:val="auto"/>
        </w:rPr>
      </w:pPr>
    </w:p>
    <w:p>
      <w:pPr>
        <w:ind w:left="840" w:hanging="332"/>
        <w:spacing w:after="0" w:line="250"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will be dedicated to paying principal and interest on our debt, reducing funds available for other purposes;</w:t>
      </w:r>
    </w:p>
    <w:p>
      <w:pPr>
        <w:ind w:left="840" w:hanging="332"/>
        <w:spacing w:after="0" w:line="250"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vulnerable to interest rate increases, as some of our borrowings, including those under our revolving credit facility, bear interest at variable rates;</w:t>
      </w:r>
    </w:p>
    <w:p>
      <w:pPr>
        <w:ind w:left="840" w:hanging="332"/>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more vulnerable to adverse developments in our industry or in general economic conditions;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restricted from taking advantage of business opportunities or making strategic acquisitions;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limited in our flexibility in planning for, or reacting to, changes in our business and the industries in which we operate.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competition from traditional financing sources and non-traditional lenders, we may not be able to compete successfully.</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automobile finance market for consumers who do not qualify for conventional automobile financing is large and highly competitive. The market is served by a variety of companies including "buy here, pay here" dealerships. The market is also currently served by banks, captive finance affiliates of automobile manufacturers, credit unions and independent finance companies both publicly and privately owned. Many of these companies are much larger and have greater financial resources than are available to us, and many have long standing relationships with automobile dealerships. Providers of automobile financing have traditionally competed based on the interest rate charged, the quality of credit accepted, the flexibility of loan terms offered and the quality of service provided to dealers and consumers. We may be unable to compete successfully in the automobile finance market or, due to the intense competition in this market, our results of operations, cash flows and financial condition may be adversely affected as we adjust our business in response to competitive pressures. Increasing advance rates on Loans has the impact of reducing the return on capital we expect to earn on Loans. Additionally, if we are unsuccessful in maintaining and expanding our relationships with Dealers, we may be unable to accept Consumer Loans in the volume and on the terms that we anticipate.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8"/>
          <w:szCs w:val="18"/>
          <w:b w:val="1"/>
          <w:bCs w:val="1"/>
          <w:color w:val="auto"/>
        </w:rPr>
        <w:t>We may not be able to generate sufficient cash flows to service our outstanding debt and fund operations and may be forced to take other actions to satisfy our obligations under such debt.</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ability to make payments of principal and interest on indebtedness will depend in part on our cash flows from operations, which are subject to economic, financial, competitive and other factors beyond our control. We cannot assure you that we will maintain a level of cash flows from operations sufficient to permit us to meet our debt service obligations. If we are unable to generate sufficient cash flows from operations to service our debt, we may be required to sell assets, refinance all or a portion of our existing debt or obtain additional financing. There can be no assurance that any refinancing will be possible or that any asset sales or additional financing can be completed on acceptable terms or at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fluctuations may adversely affect our borrowing costs, profitability and liquidity.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profitability may be directly affected by the level of and fluctuations in interest rates, whether caused by changes in economic conditions or other factors, which affect our borrowing costs. Our profitability and liquidity could be materially adversely affected during any period of higher interest rates. We monitor the interest rate environment and employ strategies designed to mitigate the impact of increases in interest rates. We can provide no assurance, however, that our strategies will mitigate the impact of increases in interest rates.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Reduction in our credit rating could increase the cost of our funding from, and restrict our access to, the capital markets and adversely affect our liquidity, financial condition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Credit rating agencies evaluate us, and their ratings of our debt and creditworthiness are based on a number of factors. These factors include our financial strength and other factors not entirely within our control, including conditions affecting the financial services industry generally. As the financial services industry and the financial markets periodically face difficulties, there can be no assurance that we will maintain our current ratings. Failure to maintain those ratings could, among other things, adversely limit our access to the capital markets and affect the cost and other terms upon which we are able to obtain financing.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substantially more debt and other liabilities. This could exacerbate further the risks associated with our current debt levels.</w:t>
      </w:r>
    </w:p>
    <w:p>
      <w:pPr>
        <w:spacing w:after="0" w:line="2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be able to incur substantial additional debt in the future. Although the terms of our debt instruments contain restrictions on our ability to incur additional debt, these restrictions are subject to exemptions that could permit us to incur a substantial amount of additional debt. In addition, our debt instruments do not prevent us from incurring liabilities that do not constitute indebtedness as defined for purposes of those debt instruments. If new debt or other liabilities are added to our current debt levels, the risks associated with our having substantial debt could intensify.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regulation to which we are or may become subject could result in a material adverse effect on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should be made to Item 1. Business “Regulation” for a discussion of regulatory risk factors.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subject to general economic conditions which are beyond our control. During periods of economic slowdown or recession, delinquencies, defaults, repossessions and losses may increase on our Consumer Loans and Consumer Loan prepayments may decline. These periods are also typically accompanied by decreased consumer demand for automobiles and declining values of automobiles securing outstanding Consumer Loans, which weakens collateral coverage and increases the amount of a loss in the event of default. Significant increases in the inventory of used automobiles during periods of economic recession may also depress the prices at which repossessed automobiles may be sold or delay the timing of these sales. Additionally, higher gasoline prices, declining stock market values, unstable real estate values, resets of adjustable rate mortgages to higher interest rates, increasing unemployment levels, general availability of consumer credit or other factors that impact consumer confidence or disposable income could increase loss frequency and decrease consumer demand for automobiles as well as weaken collateral values of automobiles. Because our business is focused on consumers who do not qualify for conventional automobile financing, the actual rates of delinquencies, defaults, repossessions and losses on these Consumer Loans could be higher than that of those experienced in the general automobile finance industry, and could be more dramatically affected by a general economic downturn.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jc w:val="both"/>
        <w:ind w:firstLine="324"/>
        <w:spacing w:after="0" w:line="273" w:lineRule="auto"/>
        <w:rPr>
          <w:sz w:val="20"/>
          <w:szCs w:val="20"/>
          <w:color w:val="auto"/>
        </w:rPr>
      </w:pPr>
      <w:r>
        <w:rPr>
          <w:rFonts w:ascii="Arial" w:cs="Arial" w:eastAsia="Arial" w:hAnsi="Arial"/>
          <w:sz w:val="17"/>
          <w:szCs w:val="17"/>
          <w:color w:val="auto"/>
        </w:rPr>
        <w:t>We rely on Dealers to originate Consumer Loans for assignment under our programs. High levels of Dealer attrition, due to a general economic downturn or otherwise, could materially adversely affect our operations. In addition, we rely on vendors to provide us with services we need to operate our business. Any disruption in our operations due to the untimely or discontinued supply of these services could substantially adversely affect our operations. Finally, during an economic slowdown or recession, our servicing costs may increase without a corresponding increase in finance charge revenue. Any sustained period of increased delinquencies, defaults, repossessions or losses or increased servicing costs could also materially adversely affect our financial position, liquidity and results of operations and our ability to enter into future financing transactions.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Technological advancements or changes to trends in the automobile industry such as new autonomous driving technologies or car- and ride-sharing programs could decrease consumer demand for automobiles. Decreased consumer demand for automobiles could negatively impact demand for our financing programs as well as weaken collateral values of automobiles, which could materially adversely affect our financial position,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we are involved in from time to time may adversely affect our financial condition, results of operations and cash flows.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result of the consumer-oriented nature of the industry in which we operate and uncertainties with respect to the application of various laws and regulations in some circumstances, we are subject to various consumer claims, litigation and regulatory investigations seeking damages, fines and statutory penalties, based upon, among other things, usury, disclosure inaccuracies, wrongful repossession, violations of bankruptcy stay provisions, certificate of title disputes, fraud and breach of contract.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A significant judgment against us in connection with any litigation or arbitration could have a material adverse effect on our financial position, liquidity and results of operations.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significant litigation to which we are a party, see Note 17 to the consolidated financial statements contained in Item 8 of this Form 10-K, which is incorporated herein by reference.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tax laws and the resolution of uncertain income tax matters could have a material adverse effect on our results of operations and cash flows from operations.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income tax in many of the various jurisdictions in which we operate. Increases in statutory income tax rates and other adverse changes in applicable law in these jurisdictions could have an adverse effect on our results of operations. In the ordinary course of business, there are transactions and calculations where the ultimate tax determination is uncertain. At any one time, multiple tax years are subject to audit by various taxing jurisdictions. We provide reserves for potential payments of tax to various tax authorities related to uncertain tax positions. Please see the Critical Accounting Estimates – Uncertain Tax Positions section in Item 7 of this Form 10-K, which is incorporated herein by reference. We adjust these liabilities as a result of changing facts and circumstances; however, due to the complexity of some of these uncertainties, the ultimate resolution may result in a payment that is materially different from our current estimate of the tax liabilities. Such payments could have a material adverse effect on our results of operations and cash flows from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dependence on technology could have a material adverse effect on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All Consumer Loans submitted to us for assignment are processed through our internet-based CAPS application, which enables our Dealers to interact with our proprietary credit scoring system. Our Consumer Loan servicing platform is also technology based. We rely on these systems to record and process significant amounts of data quickly and accurately and believe that these systems provide us with a competitive advantage. All of these systems are dependent upon computer and telecommunications equipment, software systems and Internet access. The temporary or permanent loss of any components of these systems through hardware failures, software errors, operating malfunctions, the vulnerability of the Internet or otherwise could interrupt our business operations, harm our business and adversely affect our competitive advantage. In addition, our competitors could create or acquire systems similar to ours, which would adversely affect our competitive advantage.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jc w:val="both"/>
        <w:ind w:firstLine="324"/>
        <w:spacing w:after="0" w:line="286" w:lineRule="auto"/>
        <w:rPr>
          <w:sz w:val="20"/>
          <w:szCs w:val="20"/>
          <w:color w:val="auto"/>
        </w:rPr>
      </w:pPr>
      <w:r>
        <w:rPr>
          <w:rFonts w:ascii="Arial" w:cs="Arial" w:eastAsia="Arial" w:hAnsi="Arial"/>
          <w:sz w:val="17"/>
          <w:szCs w:val="17"/>
          <w:color w:val="auto"/>
        </w:rPr>
        <w:t>Our systems, and the equipment, software and Internet access on which they depend, may be subject to cyber attacks, security breaches and other cybersecurity incidents. Although the cybersecurity incidents we have experienced to date have not had a material effect on our business, financial condition or results of operations, there can be no assurance that cybersecurity incidents will not have a material adverse effect on us in the future.</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a variety of measures to protect our technology and proprietary information, including copyrights and a comprehensive information security program. However, these measures may not prevent misappropriation or infringement of our intellectual property or proprietary information, which would adversely affect us. In addition, our competitors or other third parties may allege that our systems, processes or technologies infringe their intellectual property rights.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integrate computer and telecommunications technologies into our business is essential to our success. Computer and telecommunications technologies are evolving rapidly and are characterized by short product life cycles. We may not be successful in anticipating, managing or adopting technological changes on a timely basis. While we believe that our existing information systems are sufficient to meet our current demands and continued expansion, our future growth may require additional investment in these systems. We cannot assure that adequate capital resources will be available to us at the appropriate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electronic contracts could impact our ability to perfect our ownership or security interest in Consumer Loans.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modified our systems to permit origination and assignment of Consumer Loans in electronic form. We have engaged a TPP to facilitate the process of creating, establishing control of and storing electronic contracts in a manner that enables us to perfect our ownership or security interest in the electronic contracts by satisfying the requirements for “control” of electronic chattel paper under the Uniform Commercial Code.</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Although the law governing the perfection of ownership and security interests in electronic contracts was enacted in 2001, the statutory requirements for the relevant control arrangements have not been meaningfully tested in court. In addition, market practices regarding control of electronic contracts are still developing. As a result, there is a risk that the systems employed by us or any TPP to maintain control of the electronic contracts may not be sufficient as a matter of law to give us a perfected ownership or security interest in the Consumer Loans evidenced by electronic contracts. In addition, technological failure, including failure in the security or access restrictions with respect to the systems, and operational failure, such as the failure to implement and maintain adequate internal controls and procedures, could also affect our ability to obtain or maintain a perfected ownership or security interest in the Consumer Loans evidenced by electronic contracts (or the priority of such interests). Our failure or inability to perfect our ownership or security interest in the Consumer Loans could materially adversely affect our financial position, liquidity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third parties to administer our ancillary product offerings could adversely affect our business and financial results.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relationships with TPPs to administer vehicle service contracts and GAP underwritten by third party insurers and financed by us. We depend on these TPPs to evaluate and pay claims in an accurate and timely manner. We also have a relationship with a TPP to sell and administer GPS-SID. If our relationships with these TPPs were modified, disrupted, or terminated, we would need to obtain these services from an alternative administrator or provide them using our internal resources. We may be unable to replace these TPPs with a suitable alternative in a timely and efficient manner on terms we consider acceptable, or at all. In the event we were unable to effectively administer our ancillary products offerings, we may need to eliminate or suspend our ancillary product offerings from our future business, we may experience a decline in the performance of our Consumer Loans, our reputation in the marketplace could be undermined, and our financial position, liquidity and results of operations could be adversely affected.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our senior management and the loss of any of these individuals or an inability to hire additional team members could adversely affect our ability to operate profitably.</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senior management average over 15 years of experience with us. Our success is dependent upon the management and the leadership skills of this team. In addition, competition from other companies to hire our team members possessing the necessary skills and experience required could contribute to an increase in team member turnover. The loss of any of these individuals or an inability to attract and retain additional qualified team members could adversely affect us. There can be no assurance that we will be able to retain our existing senior management or attract additional qualified team members.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Our reputation is a key asset to our business, and our business may be affected by how we are perceived in the marketplace.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reputation is a key asset to our business. Our ability to attract consumers through our Dealers is highly dependent upon external perceptions of our level of service, trustworthiness, business practices and financial condition. Negative publicity regarding these matters could damage our reputation among existing and potential consumers and Dealers, which could make it difficult for us to attract new consumers and Dealers and maintain existing Dealers. Adverse developments with respect to our industry may also, by association, negatively impact our reputation or result in greater regulatory or legislative scrutiny or litigation against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concentration of our Dealers in several states could adversely affect us.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Dealers are located throughout the United States. During the year ended December 31, 2018, our five largest states (measured by advances paid to Dealers on Consumer Loans assigned under our Portfolio Program and one-time payments made to Dealers to purchase Consumer Loans assigned under our Purchase Program) contained 29.2% of our Dealers. While we believe we have a diverse geographic presence, for the near term, we expect that significant amounts of Consumer Loan assignments will continue to be generated by Dealers in these five states due to the number of Dealers in these states and currently prevailing economic, demographic, regulatory, competitive and other conditions in these states. Changes to conditions in these states could lead to an increase in Dealer attrition or a reduction in demand for our service that could materially adversely affect our financial position, liquidity and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properly safeguard confidential consumer and team member information could subject us to liability, decrease our profitability and damage our reputation.</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our business, we collect and store sensitive data, including our proprietary business information and personally identifiable information of our consumers and team members, on our computer networks. The secure processing, maintenance and transmission of this information is critical to our operations and business strategy.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third parties or our team members are able to breach our network security, the network security of a third party that we share information with or otherwise misappropriate our consumers’ and team members' personal information, or if we give third parties or our team members improper access to our consumers’ and team members' personal information, we could be subject to liability. This liability could include identity theft or other similar fraud-related claims. This liability could also include claims for other misuses or losses of personal information, including for unauthorized marketing purposes. Other liabilities could include claims alleging misrepresentation of our privacy and data security practices.</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on encryption and authentication technology licensed from third parties to provide the security and authentication necessary to secure online transmission of confidential consumer and team member information. Advances in computer capabilities, new discoveries in the field of cryptography or other events or developments may result in a compromise or breach of the algorithms that we use to protect sensitive consumer transaction data. A party who is able to circumvent our security measures could misappropriate proprietary information or cause interruptions in our operations. We may be required to expend capital and other resources to protect against, or alleviate problems caused by, security breaches or other cybersecurity incidents. Although we have experienced cybersecurity incidents from time to time that have not had a material effect on our business, financial condition or results of operations, there can be no assurance that a cyber attack, security breach or other cybersecurity incident will not have a material adverse effect on us in the future. Our security measures are designed to protect against security breaches, but our failure to prevent security breaches could subject us to liability, decrease our profitability and damage our reputation.</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2018, based on filings made with the SEC and other information made available to us, Prescott General Partners, LLC and its affiliates beneficially owned 15.8% of our common stock, Jill Foss Watson beneficially owned 13.2% of our common stock and Donald Foss, our founder and former Chairman of the Board, beneficially owned 10.7% of our common stock. As a result, these few shareholders are able to significantly influence matters presented to shareholders, including the election and removal of directors, the approval of significant corporate transactions, such as any reclassification, reorganization, merger, consolidation or sale of all or substantially all of our assets, and the control of our management and affairs, including executive compensation arrangements. Their interests may conflict with the interests of our other security holders.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jc w:val="both"/>
        <w:ind w:firstLine="324"/>
        <w:spacing w:after="0" w:line="255" w:lineRule="auto"/>
        <w:rPr>
          <w:sz w:val="20"/>
          <w:szCs w:val="20"/>
          <w:color w:val="auto"/>
        </w:rPr>
      </w:pPr>
      <w:r>
        <w:rPr>
          <w:rFonts w:ascii="Arial" w:cs="Arial" w:eastAsia="Arial" w:hAnsi="Arial"/>
          <w:sz w:val="18"/>
          <w:szCs w:val="18"/>
          <w:color w:val="auto"/>
        </w:rPr>
        <w:t>On January 3, 2017, Mr. Foss retired as an officer, director and employee of the Company and entered into a shareholder agreement with the Company. Under the shareholder agreement, Mr. Foss agreed, until the final adjournment of the tenth annual meeting of shareholders held by the Company after the date of the shareholder agreement, to cause all shares beneficially owned by him or any of his affiliates or associates to be voted in accordance with the recommendation of the Company’s Board of Directors with respect to election and removal of directors, certain routine matters and any other proposal to be submitted to the Company’s shareholders with respect to any extraordinary transaction providing for the acquisition of all of the Company’s outstanding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our outsourced business functions could adversely affect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outsource certain business functions to third party service providers, which increases our operational complexity and decreases our control. We rely on these service providers to provide a high level of service and support, which subjects us to risks associated with inadequate or untimely service. In addition, if these outsourcing arrangements were not renewed or were terminated or the services provided to us were otherwise disrupted, we would have to obtain these services from an alternative provider or provide them using our internal resources. We may be unable to replace, or be delayed in replacing these sources and there is a risk that we would be unable to enter into a similar agreement with an alternate provider on terms that we consider favorable or in a timely manner. In the future, we may outsource additional business functions. If any of these or other risks related to outsourcing were realized, our financial position, liquidity and results of operations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hire and retain foreign information technology personnel could be hindered by immigration restrictions.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significant portion of our information technology team is composed of foreign nationals whose ability to work for us depends on obtaining the necessary H-1B visas. The H-1B visa category allows U.S. employers to hire qualified foreign nationals to perform services in specialty occupations that require the attainment of at least a bachelor’s degree or its equivalent. Our ability to hire and retain these foreign nationals and their ability to remain and work in the United States are affected by various laws and regulations, including limitations on the number of available H-1B visas, which the U.S. government allocates by lottery. Changes in the laws or regulations affecting the availability, allocation and/or cost of H-1B visas, eligibility for the H-1B visa category, or otherwise affecting the admission or retention of skilled foreign nationals by U.S. employers, or any increase in demand for H-1B visas relative to the limited supply of those visas, may adversely affect our ability to hire or retain foreign information technology personnel and may, as a result, increase our operating costs and impair our business operations.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Natural disasters, acts of war, terrorist attacks and the escalation of military activity in response to these attacks or otherwise may have negative and significant effects, such as imposition of increased security measures, changes in applicable laws, market disruptions and job losses. These events may have an adverse effect on the economy in general. Moreover, the potential for future terrorist attacks and the national and international responses to these threats could affect the business in ways that cannot be predicted. The effect of any of these events or threats could have a material adverse effect on our business, financial condition and results of operations.</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headquarters is located in Southfield, Michigan, in an office building we purchased in 1993, which includes approximately 136,000 square feet of space. Additionally, in August 2018, we purchased a second office building in Southfield, which includes approximately 297,000 square feet of space that will be used to consolidate operations from our current Southfield leased locations and accommodate future growth. We have a mortgage loan from a commercial bank that is secured by a first mortgage lien on the second office property.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lease approximately 85,000 square feet of office space in Southfield and approximately 31,000 square feet of office space in Henderson, Nevada. The multiple leases for the Southfield space expire in April 2019 and July 2021. The lease for the Henderson space expires in December 2022. We have renewal options on most of our office space leases. Additionally, there currently is a significant amount of unoccupied office space available for lease in the markets where we operate.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An adverse ultimate disposition in any action to which we are a party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or otherwise subject could have a material adverse impact on our financial position, liquidity and results of operations.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significant litigation to which we are a party, see Note 17 to the consolidated financial statements contained in Item 8 of this Form 10-K, which is incorporated herein by reference.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on The Nasdaq Global Select Market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under the symbol “CACC”.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February 1, 2019, we had 223 shareholders of record and approximately 11,600 beneficial holders of our common stock based upon securities position listings furnished to 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following graph compares the percentage change in the cumulative total shareholder return on our common stock during the period beginning January 1, 2014 and ending on December 31, 2018 with the cumulative total return on the NASDAQ Composite Index and a peer group index based upon approximately 100 companies included in the Dow Jones U.S. Financial Services Index. The comparison assumes that $100 was invested on January 1, 2014 in our common stock and in the foregoing indices and assumes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848985" cy="3104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stock repurchases for the three months ended December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 Number of Shares</w:t>
            </w:r>
          </w:p>
        </w:tc>
        <w:tc>
          <w:tcPr>
            <w:tcW w:w="18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through October 31, 2018</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776,208</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 through November 30,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398.51</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899</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775,309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through December 31, 2018</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335,844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377.50</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335,844</w:t>
            </w:r>
          </w:p>
        </w:tc>
        <w:tc>
          <w:tcPr>
            <w:tcW w:w="1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439,465</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336,743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377.55</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336,743</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February 13, 2017, our board of directors authorized the repurchase by us from time to time in the open market or in privately negotiated transactions of up to one million shares of our common stock. The authorization, which was announced on February 17, 2017, does not have a specified expiration date.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selected financial data presented below are derived from our audited consolidated financial statements and should be read in conjunction with our consolidated financial statements as of December 31, 2018 and 2017 and for the years ended December 31, 2018, 2017 and 2016, and notes thereto, and Item 7, Management's Discussion and Analysis of Financial Condition and Results of Operations, which are included elsewhere in this Form 10-K, and are incorporated herein by reference.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Finance charges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1,176.8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1,011.5</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Premiums earned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1,285.8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969.2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825.3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Salaries and wages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Provision for claims</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84"/>
        </w:trPr>
        <w:tc>
          <w:tcPr>
            <w:tcW w:w="4700" w:type="dxa"/>
            <w:vAlign w:val="bottom"/>
            <w:tcBorders>
              <w:top w:val="single" w:sz="8" w:color="CCEEFF"/>
              <w:bottom w:val="single" w:sz="8" w:color="CCEEFF"/>
            </w:tcBorders>
            <w:gridSpan w:val="2"/>
          </w:tcPr>
          <w:p>
            <w:pPr>
              <w:ind w:left="6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530.7</w:t>
            </w:r>
          </w:p>
        </w:tc>
        <w:tc>
          <w:tcPr>
            <w:tcW w:w="1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438.0</w:t>
            </w:r>
          </w:p>
        </w:tc>
        <w:tc>
          <w:tcPr>
            <w:tcW w:w="10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350.8</w:t>
            </w:r>
          </w:p>
        </w:tc>
        <w:tc>
          <w:tcPr>
            <w:tcW w:w="10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574.0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24.04</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19,446,067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19,497,719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20,331,769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20,891,695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22,257,104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19,532,312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19,558,936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20,410,116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20,980,753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22,331,401</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2,512.9</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 other assets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474.1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6,237.4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4,985.6</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4,218.0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2,771.2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3,820.9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3,070.8</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2,603.7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2,067.8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1,738.3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440.6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4,246.5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2,069.0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 (1)</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1,990.9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1,173.7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928.1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64"/>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6,237.4</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4,985.6</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4,218.0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3,372.6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2,771.2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 dividends were paid during the periods presented.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contained in Item 8 of this Form 10-K,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the year ended December 31, 2018, consolidated net income was $574.0 million, or $29.39 per diluted share, compared to $470.2 million, or $24.04 per diluted share, for the same period in 2017 and $332.8 million, or $16.31 per diluted share, for the same period in 2016. The growth in 2018 consolidated net income was primarily due to an increase in the average balance of our Loan portfolio and an improvement in Consumer Loan performance, partially offset by an increase in our effective tax rate. The growth in 2017 consolidated net income was primarily due to a decrease in our effective tax rate and an increase in the average balance of our Loan portfolio, partially offset by a revision to our Loan net cash flow timing forecast during the fourth quarter of 2017, which decreased consolidated net income by $30.8 million. The fluctuations in our effective tax rates were related to the enactment of the Tax Cuts and Jobs Act in December 2017 ("2017 Tax Act"), which lowered our federal statutory income tax rate from 35.0% in 2017 and 2016 to 21.0% in 2018. While the lower federal statutory income tax rate was not effective until 2018, the 2017 Tax Act increased 2017 consolidated net income by $99.8 million as we were required to revalue deferred taxes and uncertain tax positions at the lower federal statutory income tax rate.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Success Factors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Critical success factors include our ability to accurately forecast Consumer Loan performance, access capital on acceptable terms, and maintain or grow Consumer Loan volume at the level and on the terms that we anticipate, with an objective to maximize economic profit. Economic profit is a non-GAAP financial measure we use to evaluate our financial results and determine incentive compensation. Economic profit measures how efficiently we utilize our total capital, both debt and equity, and is a function of the return on capital in excess of the cost of capital and the amount of capital invested in the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Consumer Loan Metrics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December 31, 2018, with the forecasts as of December 31, 2017, as of December 31, 2016, and at the time of assignment, segmented by year of assignment: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Forecasted Collection Percentage as of (1)</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auto"/>
            </w:tcBorders>
            <w:gridSpan w:val="5"/>
          </w:tcPr>
          <w:p>
            <w:pPr>
              <w:jc w:val="center"/>
              <w:ind w:left="913"/>
              <w:spacing w:after="0"/>
              <w:rPr>
                <w:sz w:val="20"/>
                <w:szCs w:val="20"/>
                <w:color w:val="auto"/>
              </w:rPr>
            </w:pPr>
            <w:r>
              <w:rPr>
                <w:rFonts w:ascii="Arial" w:cs="Arial" w:eastAsia="Arial" w:hAnsi="Arial"/>
                <w:sz w:val="14"/>
                <w:szCs w:val="14"/>
                <w:b w:val="1"/>
                <w:bCs w:val="1"/>
                <w:color w:val="auto"/>
                <w:w w:val="95"/>
              </w:rPr>
              <w:t>Current Forecast Variance from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Consumer Loan</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2018</w:t>
            </w: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2017</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2016</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Initial</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2017</w:t>
            </w:r>
          </w:p>
        </w:tc>
        <w:tc>
          <w:tcPr>
            <w:tcW w:w="17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1"/>
              </w:rPr>
              <w:t>December 31, 2016</w:t>
            </w:r>
          </w:p>
        </w:tc>
        <w:tc>
          <w:tcPr>
            <w:tcW w:w="9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205"/>
        </w:trPr>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Assignment Year</w:t>
            </w:r>
          </w:p>
        </w:tc>
        <w:tc>
          <w:tcPr>
            <w:tcW w:w="138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420" w:type="dxa"/>
            <w:vAlign w:val="bottom"/>
            <w:gridSpan w:val="2"/>
            <w:vMerge w:val="continue"/>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50"/>
        </w:trPr>
        <w:tc>
          <w:tcPr>
            <w:tcW w:w="1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57"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Loans assigned in 2009 through 2013, 2017 and 2018 have yielded forecasted collection results materially better than our initial estimates, while Consumer Loans assigned in 2015 and 2016 have yielded forecasted collection results materially worse than our initial estimates. For Consumer Loans assigned in 2014, actual results have been close to our initial estimates.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2018, forecasted collection rates improved for Consumer Loans assigned in 2018, declined for Consumer Loans assigned in 2016 and were generally consistent with expectations at the start of the period for all other assignment years presented.</w:t>
      </w:r>
    </w:p>
    <w:p>
      <w:pPr>
        <w:spacing w:after="0" w:line="14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2017, forecasted collection rates improved for Consumer Loans assigned in 2017, declined for Consumer Loans assigned in 2015 and 2016 and were generally consistent with expectations at the start of the period for all other assignment years presented.</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in forecasted collection rates impacted forecasted net cash flows (forecasted collections less forecasted Dealer Holdback payments)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40" w:type="dxa"/>
            <w:vAlign w:val="bottom"/>
            <w:gridSpan w:val="6"/>
            <w:vMerge w:val="restart"/>
          </w:tcPr>
          <w:p>
            <w:pPr>
              <w:jc w:val="right"/>
              <w:ind w:right="250"/>
              <w:spacing w:after="0"/>
              <w:rPr>
                <w:sz w:val="20"/>
                <w:szCs w:val="20"/>
                <w:color w:val="auto"/>
              </w:rPr>
            </w:pPr>
            <w:r>
              <w:rPr>
                <w:rFonts w:ascii="Arial" w:cs="Arial" w:eastAsia="Arial" w:hAnsi="Arial"/>
                <w:sz w:val="14"/>
                <w:szCs w:val="14"/>
                <w:b w:val="1"/>
                <w:bCs w:val="1"/>
                <w:color w:val="auto"/>
                <w:w w:val="91"/>
              </w:rPr>
              <w:t>For the years ended December 31,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2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gridSpan w:val="6"/>
            <w:vMerge w:val="continue"/>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Increase (decrease) in forecasted net cash flows</w:t>
            </w: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Loans</w:t>
            </w:r>
          </w:p>
        </w:tc>
        <w:tc>
          <w:tcPr>
            <w:tcW w:w="22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8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Purchased Loans</w:t>
            </w:r>
          </w:p>
        </w:tc>
        <w:tc>
          <w:tcPr>
            <w:tcW w:w="1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2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5" w:name="page26"/>
    <w:bookmarkEnd w:id="25"/>
    <w:p>
      <w:pPr>
        <w:jc w:val="both"/>
        <w:ind w:firstLine="324"/>
        <w:spacing w:after="0" w:line="259" w:lineRule="auto"/>
        <w:rPr>
          <w:sz w:val="20"/>
          <w:szCs w:val="20"/>
          <w:color w:val="auto"/>
        </w:rPr>
      </w:pPr>
      <w:r>
        <w:rPr>
          <w:rFonts w:ascii="Arial" w:cs="Arial" w:eastAsia="Arial" w:hAnsi="Arial"/>
          <w:sz w:val="18"/>
          <w:szCs w:val="18"/>
          <w:color w:val="auto"/>
        </w:rPr>
        <w:t>In addition to the statistical model used to forecast collection rates, we use a model to forecast the timing of future net cash flows. During the fourth quarter of 2017, we updated our net cash flow timing model to incorporate more recent data. The revised forecast resulted in an expected cash flow stream with a lower net present value as compared to the prior forecast, as less cash flows were expected in earlier periods and more cash flows were expected in later periods.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reduction in net present value was primarily the result of a change in the expected timing of cash flows from longer-term Consumer Loans. Due to our limited historical experience with longer-term Consumer Loans, our prior model relied on extrapolations from the historical performance of shorter-term Consumer Loans to predict the timing of future net cash flows on longer-term Consumer Loans. We used our additional historical experience on these longer-term loans to refine our estimate.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revision to our net cash flow timing forecast did not impact the amount of undiscounted net cash flows we expected to receive. As a result, the dollar amount of future net portfolio revenue (finance charges less provision for credit losses) was not impacted by the revision. However, the revision did impact the period in which those net revenues are recorded as a portion of the impact of the revised timing estimate was recorded as a current period expense and a portion was recorded as a yield adjustment. For the fourth quarter of 2017, the revision increased provision for credit losses by $41.6 million, reduced finance charge revenue by $7.3 million and reduced net income by $30.8 million. The revision reduced the yield on our Loan portfolio by 90 basis points, which impacts the timing of revenue recognition in future periods.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we enhanced our methodology for forecasting the amount and timing of future collections on Consumer Loans through the utilization of more recent data and new forecast variables. Implementation of the enhanced forecasting methodology as of October 31, 2016 did not have a material impact on provision for credit losses or net income; however, it did reduce forecasted net cash flows by $1.8 million, all of which related to Dealer Loans. The implementation also decreased the forecasted collection rates for Consumer Loans assigned in 2015 and 2016 and increased the forecasted collection rates for Consumer Loans assigned in 2011 through 2013.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on the average Consumer Loan assignment for each of the last ten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Consumer Loan Assignment Year</w:t>
            </w:r>
          </w:p>
        </w:tc>
        <w:tc>
          <w:tcPr>
            <w:tcW w:w="19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Consumer Loan (1)</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Advance (2)</w:t>
            </w:r>
          </w:p>
        </w:tc>
        <w:tc>
          <w:tcPr>
            <w:tcW w:w="182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Average Initial Term (in</w:t>
            </w:r>
          </w:p>
        </w:tc>
        <w:tc>
          <w:tcPr>
            <w:tcW w:w="0" w:type="dxa"/>
            <w:vAlign w:val="bottom"/>
          </w:tcPr>
          <w:p>
            <w:pPr>
              <w:spacing w:after="0"/>
              <w:rPr>
                <w:sz w:val="1"/>
                <w:szCs w:val="1"/>
                <w:color w:val="auto"/>
              </w:rPr>
            </w:pPr>
          </w:p>
        </w:tc>
      </w:tr>
      <w:tr>
        <w:trPr>
          <w:trHeight w:val="205"/>
        </w:trPr>
        <w:tc>
          <w:tcPr>
            <w:tcW w:w="5740" w:type="dxa"/>
            <w:vAlign w:val="bottom"/>
            <w:gridSpan w:val="2"/>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820" w:type="dxa"/>
            <w:vAlign w:val="bottom"/>
          </w:tcPr>
          <w:p>
            <w:pPr>
              <w:jc w:val="right"/>
              <w:ind w:right="573"/>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15,468</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7,165</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15,692</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7,492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18,218</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9,635</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repayments that we were contractually owed on Consumer Loans at the time of assignment, which include both principal and interest.</w:t>
      </w:r>
    </w:p>
    <w:p>
      <w:pPr>
        <w:spacing w:after="0" w:line="13" w:lineRule="exact"/>
        <w:rPr>
          <w:rFonts w:ascii="Arial" w:cs="Arial" w:eastAsia="Arial" w:hAnsi="Arial"/>
          <w:sz w:val="14"/>
          <w:szCs w:val="14"/>
          <w:color w:val="auto"/>
        </w:rPr>
      </w:pPr>
    </w:p>
    <w:p>
      <w:pPr>
        <w:ind w:left="500" w:right="20" w:hanging="330"/>
        <w:spacing w:after="0" w:line="255"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jc w:val="both"/>
        <w:ind w:firstLine="324"/>
        <w:spacing w:after="0" w:line="312" w:lineRule="auto"/>
        <w:rPr>
          <w:sz w:val="20"/>
          <w:szCs w:val="20"/>
          <w:color w:val="auto"/>
        </w:rPr>
      </w:pPr>
      <w:r>
        <w:rPr>
          <w:rFonts w:ascii="Arial" w:cs="Arial" w:eastAsia="Arial" w:hAnsi="Arial"/>
          <w:sz w:val="16"/>
          <w:szCs w:val="16"/>
          <w:color w:val="auto"/>
        </w:rPr>
        <w:t>The following table presents forecasted Consumer Loan collection rates, advance rates, the spread (the forecasted collection rate less the advance rate), and the percentage of the forecasted collections that had been realized as of December 31, 2018. All amounts, unless otherwise noted, are presented as a percentage of the initial balance of the Consumer Loan (principal + interest). The table includes both Dealer Loans and Purchased Loans.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ind w:left="1180"/>
              <w:spacing w:after="0"/>
              <w:rPr>
                <w:sz w:val="20"/>
                <w:szCs w:val="20"/>
                <w:color w:val="auto"/>
              </w:rPr>
            </w:pPr>
            <w:r>
              <w:rPr>
                <w:rFonts w:ascii="Arial" w:cs="Arial" w:eastAsia="Arial" w:hAnsi="Arial"/>
                <w:sz w:val="14"/>
                <w:szCs w:val="14"/>
                <w:b w:val="1"/>
                <w:bCs w:val="1"/>
                <w:color w:val="auto"/>
              </w:rPr>
              <w:t>As of December 31, 2018</w:t>
            </w:r>
          </w:p>
        </w:tc>
        <w:tc>
          <w:tcPr>
            <w:tcW w:w="1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Consumer Loan Assignment Year</w:t>
            </w:r>
          </w:p>
        </w:tc>
        <w:tc>
          <w:tcPr>
            <w:tcW w:w="1340" w:type="dxa"/>
            <w:vAlign w:val="bottom"/>
          </w:tcPr>
          <w:p>
            <w:pPr>
              <w:jc w:val="center"/>
              <w:ind w:left="448"/>
              <w:spacing w:after="0" w:line="153" w:lineRule="exact"/>
              <w:rPr>
                <w:sz w:val="20"/>
                <w:szCs w:val="20"/>
                <w:color w:val="auto"/>
              </w:rPr>
            </w:pPr>
            <w:r>
              <w:rPr>
                <w:rFonts w:ascii="Arial" w:cs="Arial" w:eastAsia="Arial" w:hAnsi="Arial"/>
                <w:sz w:val="14"/>
                <w:szCs w:val="14"/>
                <w:b w:val="1"/>
                <w:bCs w:val="1"/>
                <w:color w:val="auto"/>
                <w:w w:val="88"/>
              </w:rPr>
              <w:t>Forecasted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Advance % (1)</w:t>
            </w:r>
          </w:p>
        </w:tc>
        <w:tc>
          <w:tcPr>
            <w:tcW w:w="19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Spread %</w:t>
            </w:r>
          </w:p>
        </w:tc>
        <w:tc>
          <w:tcPr>
            <w:tcW w:w="186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 of Forecast</w:t>
            </w:r>
          </w:p>
        </w:tc>
        <w:tc>
          <w:tcPr>
            <w:tcW w:w="0" w:type="dxa"/>
            <w:vAlign w:val="bottom"/>
          </w:tcPr>
          <w:p>
            <w:pPr>
              <w:spacing w:after="0"/>
              <w:rPr>
                <w:sz w:val="1"/>
                <w:szCs w:val="1"/>
                <w:color w:val="auto"/>
              </w:rPr>
            </w:pPr>
          </w:p>
        </w:tc>
      </w:tr>
      <w:tr>
        <w:trPr>
          <w:trHeight w:val="205"/>
        </w:trPr>
        <w:tc>
          <w:tcPr>
            <w:tcW w:w="3660" w:type="dxa"/>
            <w:vAlign w:val="bottom"/>
            <w:gridSpan w:val="2"/>
            <w:vMerge w:val="continue"/>
          </w:tcPr>
          <w:p>
            <w:pPr>
              <w:spacing w:after="0"/>
              <w:rPr>
                <w:sz w:val="17"/>
                <w:szCs w:val="17"/>
                <w:color w:val="auto"/>
              </w:rPr>
            </w:pPr>
          </w:p>
        </w:tc>
        <w:tc>
          <w:tcPr>
            <w:tcW w:w="1340" w:type="dxa"/>
            <w:vAlign w:val="bottom"/>
          </w:tcPr>
          <w:p>
            <w:pPr>
              <w:jc w:val="center"/>
              <w:ind w:left="428"/>
              <w:spacing w:after="0"/>
              <w:rPr>
                <w:sz w:val="20"/>
                <w:szCs w:val="20"/>
                <w:color w:val="auto"/>
              </w:rPr>
            </w:pPr>
            <w:r>
              <w:rPr>
                <w:rFonts w:ascii="Arial" w:cs="Arial" w:eastAsia="Arial" w:hAnsi="Arial"/>
                <w:sz w:val="14"/>
                <w:szCs w:val="14"/>
                <w:b w:val="1"/>
                <w:bCs w:val="1"/>
                <w:color w:val="auto"/>
                <w:w w:val="95"/>
              </w:rPr>
              <w:t>Collection %</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1860" w:type="dxa"/>
            <w:vAlign w:val="bottom"/>
          </w:tcPr>
          <w:p>
            <w:pPr>
              <w:jc w:val="right"/>
              <w:ind w:right="473"/>
              <w:spacing w:after="0"/>
              <w:rPr>
                <w:sz w:val="20"/>
                <w:szCs w:val="20"/>
                <w:color w:val="auto"/>
              </w:rPr>
            </w:pPr>
            <w:r>
              <w:rPr>
                <w:rFonts w:ascii="Arial" w:cs="Arial" w:eastAsia="Arial" w:hAnsi="Arial"/>
                <w:sz w:val="14"/>
                <w:szCs w:val="14"/>
                <w:b w:val="1"/>
                <w:bCs w:val="1"/>
                <w:color w:val="auto"/>
              </w:rPr>
              <w:t>Realized (2)</w:t>
            </w:r>
          </w:p>
        </w:tc>
        <w:tc>
          <w:tcPr>
            <w:tcW w:w="0" w:type="dxa"/>
            <w:vAlign w:val="bottom"/>
          </w:tcPr>
          <w:p>
            <w:pPr>
              <w:spacing w:after="0"/>
              <w:rPr>
                <w:sz w:val="1"/>
                <w:szCs w:val="1"/>
                <w:color w:val="auto"/>
              </w:rPr>
            </w:pPr>
          </w:p>
        </w:tc>
      </w:tr>
      <w:tr>
        <w:trPr>
          <w:trHeight w:val="250"/>
        </w:trPr>
        <w:tc>
          <w:tcPr>
            <w:tcW w:w="35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77.7%</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73.8%</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71.7%</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64.2%</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65.0%</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right="20" w:hanging="330"/>
        <w:spacing w:after="0" w:line="269" w:lineRule="auto"/>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 w:lineRule="exact"/>
        <w:rPr>
          <w:rFonts w:ascii="Arial" w:cs="Arial" w:eastAsia="Arial" w:hAnsi="Arial"/>
          <w:sz w:val="13"/>
          <w:szCs w:val="13"/>
          <w:color w:val="auto"/>
        </w:rPr>
      </w:pPr>
    </w:p>
    <w:p>
      <w:pPr>
        <w:ind w:left="500" w:hanging="330"/>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spacing w:after="0" w:line="21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risk of a material change in our forecasted collection rate declines as the Consumer Loans age. For 2014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spread between the forecasted collection rate and the advance rate has ranged from 20.4% to 35.7% over the last 10 years. The spread was at the high end of this range in 2009 and 2010, when the competitive environment was unusually favorable, and much lower during other years (2015 through 2018) when competition was more intense. The decrease in the spread from 2017 to 2018 was the result of a change in the mix of Consumer Loan assignments received during 2018, including an increase in Purchased Loans as a percentage of total unit volume.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ind w:firstLine="324"/>
        <w:spacing w:after="0" w:line="277" w:lineRule="auto"/>
        <w:rPr>
          <w:sz w:val="20"/>
          <w:szCs w:val="20"/>
          <w:color w:val="auto"/>
        </w:rPr>
      </w:pPr>
      <w:r>
        <w:rPr>
          <w:rFonts w:ascii="Arial" w:cs="Arial" w:eastAsia="Arial" w:hAnsi="Arial"/>
          <w:sz w:val="18"/>
          <w:szCs w:val="18"/>
          <w:color w:val="auto"/>
        </w:rPr>
        <w:t>The following table compares our forecast of Consumer Loan collection rates as of December 31, 2018 with the forecasts at the time of assignment, for Dealer Loans and Purchased Loans separately.</w:t>
      </w:r>
    </w:p>
    <w:p>
      <w:pPr>
        <w:sectPr>
          <w:pgSz w:w="11900" w:h="16838" w:orient="portrait"/>
          <w:cols w:equalWidth="0" w:num="1">
            <w:col w:w="11420"/>
          </w:cols>
          <w:pgMar w:left="240" w:top="368" w:right="239" w:bottom="1440" w:gutter="0" w:footer="0" w:header="0"/>
        </w:sectPr>
      </w:pPr>
    </w:p>
    <w:p>
      <w:pPr>
        <w:spacing w:after="0" w:line="162"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26155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03" w:lineRule="exact"/>
        <w:rPr>
          <w:sz w:val="20"/>
          <w:szCs w:val="20"/>
          <w:color w:val="auto"/>
        </w:rPr>
      </w:pPr>
    </w:p>
    <w:p>
      <w:pPr>
        <w:ind w:left="318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38100</wp:posOffset>
            </wp:positionV>
            <wp:extent cx="17068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31115</wp:posOffset>
            </wp:positionV>
            <wp:extent cx="25984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17151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5135" cy="1714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680" w:space="720"/>
            <w:col w:w="4020"/>
          </w:cols>
          <w:pgMar w:left="240" w:top="368"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Consumer Loan Assignment Year</w:t>
            </w: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2018</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Variance</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2018</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2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05"/>
        </w:trPr>
        <w:tc>
          <w:tcPr>
            <w:tcW w:w="310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42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Forecast</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forecasted collection rates presented for Dealer Loans and Purchased Loans reflect the Consumer Loan classification at the time of assignment.</w:t>
      </w:r>
    </w:p>
    <w:p>
      <w:pPr>
        <w:spacing w:after="0" w:line="22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December 31, 2018 for Dealer Loans and Purchased Loans separately. All amounts are presented as a percentage of the initial balance of the Consumer Loan (principal + interest).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Dealer Loans</w:t>
            </w: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Purchased Loans</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Consumer Loan Assignment Year</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Forecasted</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Advance % (1)(2)</w:t>
            </w:r>
          </w:p>
        </w:tc>
        <w:tc>
          <w:tcPr>
            <w:tcW w:w="13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Spread %</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Forecasted</w:t>
            </w: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Advance % (1)(2)</w:t>
            </w:r>
          </w:p>
        </w:tc>
        <w:tc>
          <w:tcPr>
            <w:tcW w:w="12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205"/>
        </w:trPr>
        <w:tc>
          <w:tcPr>
            <w:tcW w:w="312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Collection % (1)</w:t>
            </w:r>
          </w:p>
        </w:tc>
        <w:tc>
          <w:tcPr>
            <w:tcW w:w="14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Collection % (1)</w:t>
            </w:r>
          </w:p>
        </w:tc>
        <w:tc>
          <w:tcPr>
            <w:tcW w:w="14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forecasted collection rates and advance rates presented for Dealer Loans and Purchased Loans reflect the Consumer Loan classification at the time of assignment.</w:t>
      </w:r>
    </w:p>
    <w:p>
      <w:pPr>
        <w:spacing w:after="0" w:line="13" w:lineRule="exact"/>
        <w:rPr>
          <w:rFonts w:ascii="Arial" w:cs="Arial" w:eastAsia="Arial" w:hAnsi="Arial"/>
          <w:sz w:val="14"/>
          <w:szCs w:val="14"/>
          <w:color w:val="auto"/>
        </w:rPr>
      </w:pPr>
    </w:p>
    <w:p>
      <w:pPr>
        <w:ind w:left="500" w:right="20" w:hanging="330"/>
        <w:spacing w:after="0" w:line="293" w:lineRule="auto"/>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spread on Dealer Loans decreased from 22.7% in 2017 to 22.0% in 2018 primarily as a result of a change in the mix of Consumer Loan assignments.</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spread on Purchased Loans decreased from 21.2% in 2017 to 20.4% in 2018 primarily as a result of a change in the mix of Consumer Loan assignments, and the performance of the 2017 Consumer Loans, which has exceeded our initial estimates by a greater margin than those assigned to us in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Access to Capital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strategy for accessing capital on acceptable terms needed to maintain and grow the business is to: (1) maintain consistent financial performance; (2) maintain modest financial leverage; and (3) maintain multiple funding sources. Our funded debt to equity ratio was 1.9 to 1 as of December 31, 2018. We currently utilize the following primary forms of debt financing: (1) a revolving secured line of credit; (2) Warehouse facilities; (3) Term ABS financings; and (4) senior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Volume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three years as compared to the same period in the previous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Borders>
              <w:bottom w:val="single" w:sz="8" w:color="auto"/>
            </w:tcBorders>
            <w:gridSpan w:val="3"/>
          </w:tcPr>
          <w:p>
            <w:pPr>
              <w:jc w:val="right"/>
              <w:ind w:right="1214"/>
              <w:spacing w:after="0"/>
              <w:rPr>
                <w:sz w:val="20"/>
                <w:szCs w:val="20"/>
                <w:color w:val="auto"/>
              </w:rPr>
            </w:pPr>
            <w:r>
              <w:rPr>
                <w:rFonts w:ascii="Arial" w:cs="Arial" w:eastAsia="Arial" w:hAnsi="Arial"/>
                <w:sz w:val="14"/>
                <w:szCs w:val="14"/>
                <w:b w:val="1"/>
                <w:bCs w:val="1"/>
                <w:color w:val="auto"/>
              </w:rPr>
              <w:t>Year over Year Percent Change</w:t>
            </w:r>
          </w:p>
        </w:tc>
      </w:tr>
      <w:tr>
        <w:trPr>
          <w:trHeight w:val="264"/>
        </w:trPr>
        <w:tc>
          <w:tcPr>
            <w:tcW w:w="6840" w:type="dxa"/>
            <w:vAlign w:val="bottom"/>
            <w:gridSpan w:val="2"/>
          </w:tcPr>
          <w:p>
            <w:pPr>
              <w:ind w:left="2320"/>
              <w:spacing w:after="0"/>
              <w:rPr>
                <w:sz w:val="20"/>
                <w:szCs w:val="20"/>
                <w:color w:val="auto"/>
              </w:rPr>
            </w:pPr>
            <w:r>
              <w:rPr>
                <w:rFonts w:ascii="Arial" w:cs="Arial" w:eastAsia="Arial" w:hAnsi="Arial"/>
                <w:sz w:val="14"/>
                <w:szCs w:val="14"/>
                <w:b w:val="1"/>
                <w:bCs w:val="1"/>
                <w:color w:val="auto"/>
              </w:rPr>
              <w:t>For the Year Ended December 31,</w:t>
            </w:r>
          </w:p>
        </w:tc>
        <w:tc>
          <w:tcPr>
            <w:tcW w:w="2360" w:type="dxa"/>
            <w:vAlign w:val="bottom"/>
            <w:gridSpan w:val="2"/>
          </w:tcPr>
          <w:p>
            <w:pPr>
              <w:ind w:left="740"/>
              <w:spacing w:after="0"/>
              <w:rPr>
                <w:sz w:val="20"/>
                <w:szCs w:val="20"/>
                <w:color w:val="auto"/>
              </w:rPr>
            </w:pPr>
            <w:r>
              <w:rPr>
                <w:rFonts w:ascii="Arial" w:cs="Arial" w:eastAsia="Arial" w:hAnsi="Arial"/>
                <w:sz w:val="14"/>
                <w:szCs w:val="14"/>
                <w:b w:val="1"/>
                <w:bCs w:val="1"/>
                <w:color w:val="auto"/>
              </w:rPr>
              <w:t>Unit Volume</w:t>
            </w:r>
          </w:p>
        </w:tc>
        <w:tc>
          <w:tcPr>
            <w:tcW w:w="2220" w:type="dxa"/>
            <w:vAlign w:val="bottom"/>
          </w:tcPr>
          <w:p>
            <w:pPr>
              <w:jc w:val="right"/>
              <w:ind w:right="474"/>
              <w:spacing w:after="0"/>
              <w:rPr>
                <w:sz w:val="20"/>
                <w:szCs w:val="20"/>
                <w:color w:val="auto"/>
              </w:rPr>
            </w:pPr>
            <w:r>
              <w:rPr>
                <w:rFonts w:ascii="Arial" w:cs="Arial" w:eastAsia="Arial" w:hAnsi="Arial"/>
                <w:sz w:val="14"/>
                <w:szCs w:val="14"/>
                <w:b w:val="1"/>
                <w:bCs w:val="1"/>
                <w:color w:val="auto"/>
              </w:rPr>
              <w:t>Dollar Volume (1)</w:t>
            </w:r>
          </w:p>
        </w:tc>
      </w:tr>
      <w:tr>
        <w:trPr>
          <w:trHeight w:val="250"/>
        </w:trPr>
        <w:tc>
          <w:tcPr>
            <w:tcW w:w="6740" w:type="dxa"/>
            <w:vAlign w:val="bottom"/>
            <w:tcBorders>
              <w:top w:val="single" w:sz="8" w:color="auto"/>
              <w:bottom w:val="single" w:sz="8" w:color="CCEEFF"/>
            </w:tcBorders>
            <w:shd w:val="clear" w:color="auto" w:fill="CCEEFF"/>
          </w:tcPr>
          <w:p>
            <w:pPr>
              <w:jc w:val="right"/>
              <w:ind w:right="6254"/>
              <w:spacing w:after="0"/>
              <w:rPr>
                <w:sz w:val="20"/>
                <w:szCs w:val="20"/>
                <w:color w:val="auto"/>
              </w:rPr>
            </w:pPr>
            <w:r>
              <w:rPr>
                <w:rFonts w:ascii="Arial" w:cs="Arial" w:eastAsia="Arial" w:hAnsi="Arial"/>
                <w:sz w:val="18"/>
                <w:szCs w:val="18"/>
                <w:color w:val="auto"/>
                <w:w w:val="94"/>
              </w:rPr>
              <w:t>2016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6740" w:type="dxa"/>
            <w:vAlign w:val="bottom"/>
          </w:tcPr>
          <w:p>
            <w:pPr>
              <w:jc w:val="right"/>
              <w:ind w:right="6254"/>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6740" w:type="dxa"/>
            <w:vAlign w:val="bottom"/>
            <w:shd w:val="clear" w:color="auto" w:fill="CCEEFF"/>
          </w:tcPr>
          <w:p>
            <w:pPr>
              <w:jc w:val="right"/>
              <w:ind w:right="6254"/>
              <w:spacing w:after="0"/>
              <w:rPr>
                <w:sz w:val="20"/>
                <w:szCs w:val="20"/>
                <w:color w:val="auto"/>
              </w:rPr>
            </w:pPr>
            <w:r>
              <w:rPr>
                <w:rFonts w:ascii="Arial" w:cs="Arial" w:eastAsia="Arial" w:hAnsi="Arial"/>
                <w:sz w:val="18"/>
                <w:szCs w:val="18"/>
                <w:color w:val="auto"/>
                <w:w w:val="94"/>
              </w:rPr>
              <w:t>2018</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6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2018, unit and dollar volumes grew 13.6% and 25.2%, respectively, as the number of active Dealers grew 8.5% while average volume per active Dealer increased 4.9%. Dollar volume grew faster than unit volume during 2018 due to an increase in the average advance paid per unit. This increase was the result of an increase in the average size of the Consumer Loans assigned primarily due to increases in the average initial loan term and average vehicle selling price and an increase in Purchased Loans as a percentage of total unit volume.</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2017, unit volume declined 0.7% while dollar volume grew 9.0%, as the number of active Dealers grew 9.6% while average volume per active Dealer declined 9.6%. Dollar volume grew while unit volume declined during 2017 due to an increase in the average advance paid per unit. This increase was the result of an increase in the average size of the Consumer Loans assigned primarily due to increases in the average initial loan term and average vehicle selling price and an increase in Purchased Loans as a percentage of total unit volume, partially offset by a decrease in the average advance rate due to a decrease in the average initial forecast of the Consumer Loans assigned.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0" w:type="dxa"/>
            <w:vAlign w:val="bottom"/>
            <w:tcBorders>
              <w:bottom w:val="single" w:sz="8" w:color="auto"/>
            </w:tcBorders>
            <w:gridSpan w:val="5"/>
          </w:tcPr>
          <w:p>
            <w:pPr>
              <w:jc w:val="right"/>
              <w:ind w:right="819"/>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7"/>
                <w:szCs w:val="17"/>
                <w:color w:val="auto"/>
              </w:rPr>
            </w:pPr>
          </w:p>
        </w:tc>
        <w:tc>
          <w:tcPr>
            <w:tcW w:w="4060" w:type="dxa"/>
            <w:vAlign w:val="bottom"/>
            <w:tcBorders>
              <w:bottom w:val="single" w:sz="8" w:color="auto"/>
            </w:tcBorders>
            <w:gridSpan w:val="5"/>
          </w:tcPr>
          <w:p>
            <w:pPr>
              <w:jc w:val="right"/>
              <w:ind w:right="859"/>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Consumer Loan unit volume</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373,329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328,507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328,507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330,710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84"/>
        </w:trPr>
        <w:tc>
          <w:tcPr>
            <w:tcW w:w="324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Active Dealers (1)</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12,528</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11,551</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11,551</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10,536</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9.6 %</w:t>
            </w:r>
          </w:p>
        </w:tc>
      </w:tr>
      <w:tr>
        <w:trPr>
          <w:trHeight w:val="244"/>
        </w:trPr>
        <w:tc>
          <w:tcPr>
            <w:tcW w:w="3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active Dealer</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32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5"/>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324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8"/>
                <w:szCs w:val="18"/>
                <w:color w:val="auto"/>
              </w:rPr>
              <w:t>active both periods</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323,514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296,869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278,497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295,444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84"/>
        </w:trPr>
        <w:tc>
          <w:tcPr>
            <w:tcW w:w="324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Dealers active both periods</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8,278</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8,278</w:t>
            </w: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7,524</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7,524</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8"/>
                <w:szCs w:val="18"/>
                <w:color w:val="auto"/>
              </w:rPr>
              <w:t>—</w:t>
            </w:r>
          </w:p>
        </w:tc>
      </w:tr>
      <w:tr>
        <w:trPr>
          <w:trHeight w:val="209"/>
        </w:trPr>
        <w:tc>
          <w:tcPr>
            <w:tcW w:w="32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Dealer active both</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7"/>
        </w:trPr>
        <w:tc>
          <w:tcPr>
            <w:tcW w:w="324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8"/>
                <w:szCs w:val="18"/>
                <w:color w:val="auto"/>
              </w:rPr>
              <w:t>periods</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32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5"/>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190"/>
        </w:trPr>
        <w:tc>
          <w:tcPr>
            <w:tcW w:w="360" w:type="dxa"/>
            <w:vAlign w:val="bottom"/>
            <w:shd w:val="clear" w:color="auto" w:fill="CCEEFF"/>
          </w:tcPr>
          <w:p>
            <w:pPr>
              <w:spacing w:after="0"/>
              <w:rPr>
                <w:sz w:val="16"/>
                <w:szCs w:val="16"/>
                <w:color w:val="auto"/>
              </w:rPr>
            </w:pPr>
          </w:p>
        </w:tc>
        <w:tc>
          <w:tcPr>
            <w:tcW w:w="288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rPr>
              <w:t>not active both periods</w:t>
            </w:r>
          </w:p>
        </w:tc>
        <w:tc>
          <w:tcPr>
            <w:tcW w:w="1240" w:type="dxa"/>
            <w:vAlign w:val="bottom"/>
            <w:shd w:val="clear" w:color="auto" w:fill="CCEEFF"/>
          </w:tcPr>
          <w:p>
            <w:pPr>
              <w:jc w:val="right"/>
              <w:ind w:right="13"/>
              <w:spacing w:after="0" w:line="190" w:lineRule="exact"/>
              <w:rPr>
                <w:sz w:val="20"/>
                <w:szCs w:val="20"/>
                <w:color w:val="auto"/>
              </w:rPr>
            </w:pPr>
            <w:r>
              <w:rPr>
                <w:rFonts w:ascii="Arial" w:cs="Arial" w:eastAsia="Arial" w:hAnsi="Arial"/>
                <w:sz w:val="18"/>
                <w:szCs w:val="18"/>
                <w:color w:val="auto"/>
              </w:rPr>
              <w:t>49,815</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31,638</w:t>
            </w:r>
          </w:p>
        </w:tc>
        <w:tc>
          <w:tcPr>
            <w:tcW w:w="142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3"/>
              <w:spacing w:after="0" w:line="190" w:lineRule="exact"/>
              <w:rPr>
                <w:sz w:val="20"/>
                <w:szCs w:val="20"/>
                <w:color w:val="auto"/>
              </w:rPr>
            </w:pPr>
            <w:r>
              <w:rPr>
                <w:rFonts w:ascii="Arial" w:cs="Arial" w:eastAsia="Arial" w:hAnsi="Arial"/>
                <w:sz w:val="18"/>
                <w:szCs w:val="18"/>
                <w:color w:val="auto"/>
              </w:rPr>
              <w:t>50,010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35,266</w:t>
            </w:r>
          </w:p>
        </w:tc>
        <w:tc>
          <w:tcPr>
            <w:tcW w:w="148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41.8 %</w:t>
            </w:r>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16"/>
        </w:trPr>
        <w:tc>
          <w:tcPr>
            <w:tcW w:w="3240" w:type="dxa"/>
            <w:vAlign w:val="bottom"/>
            <w:gridSpan w:val="7"/>
          </w:tcPr>
          <w:p>
            <w:pPr>
              <w:ind w:left="40"/>
              <w:spacing w:after="0"/>
              <w:rPr>
                <w:sz w:val="20"/>
                <w:szCs w:val="20"/>
                <w:color w:val="auto"/>
              </w:rPr>
            </w:pPr>
            <w:r>
              <w:rPr>
                <w:rFonts w:ascii="Arial" w:cs="Arial" w:eastAsia="Arial" w:hAnsi="Arial"/>
                <w:sz w:val="18"/>
                <w:szCs w:val="18"/>
                <w:color w:val="auto"/>
              </w:rPr>
              <w:t>Dealers not active both periods</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3,273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3,012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33.7 %</w:t>
            </w:r>
          </w:p>
        </w:tc>
      </w:tr>
      <w:tr>
        <w:trPr>
          <w:trHeight w:val="41"/>
        </w:trPr>
        <w:tc>
          <w:tcPr>
            <w:tcW w:w="3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r>
      <w:tr>
        <w:trPr>
          <w:trHeight w:val="189"/>
        </w:trPr>
        <w:tc>
          <w:tcPr>
            <w:tcW w:w="3240" w:type="dxa"/>
            <w:vAlign w:val="bottom"/>
            <w:gridSpan w:val="7"/>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Average volume per Dealer not active both</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7"/>
        </w:trPr>
        <w:tc>
          <w:tcPr>
            <w:tcW w:w="36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periods</w:t>
            </w:r>
          </w:p>
        </w:tc>
        <w:tc>
          <w:tcPr>
            <w:tcW w:w="2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4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16"/>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Consumer Loan during the period.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60" w:type="dxa"/>
            <w:vAlign w:val="bottom"/>
          </w:tcPr>
          <w:p>
            <w:pPr>
              <w:spacing w:after="0"/>
              <w:rPr>
                <w:sz w:val="17"/>
                <w:szCs w:val="17"/>
                <w:color w:val="auto"/>
              </w:rPr>
            </w:pPr>
          </w:p>
        </w:tc>
        <w:tc>
          <w:tcPr>
            <w:tcW w:w="314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1"/>
              </w:rPr>
              <w:t>For the Years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1"/>
              </w:rPr>
              <w:t>For the Years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3060" w:type="dxa"/>
            <w:vAlign w:val="bottom"/>
          </w:tcPr>
          <w:p>
            <w:pPr>
              <w:spacing w:after="0"/>
              <w:rPr>
                <w:sz w:val="22"/>
                <w:szCs w:val="22"/>
                <w:color w:val="auto"/>
              </w:rPr>
            </w:pP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 Change</w:t>
            </w:r>
          </w:p>
        </w:tc>
      </w:tr>
      <w:tr>
        <w:trPr>
          <w:trHeight w:val="215"/>
        </w:trPr>
        <w:tc>
          <w:tcPr>
            <w:tcW w:w="3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Consumer Loan unit volume from new</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7"/>
        </w:trPr>
        <w:tc>
          <w:tcPr>
            <w:tcW w:w="3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active Dealers</w:t>
            </w: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47,898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46,985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46,985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46,232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8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New active Dealers (1)</w:t>
            </w: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9.8 %</w:t>
            </w: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Average volume per new active Dealer</w:t>
            </w: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97"/>
        </w:trPr>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Attrition (2)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
        </w:trPr>
        <w:tc>
          <w:tcPr>
            <w:tcW w:w="30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Loan from us during the period.</w:t>
      </w:r>
    </w:p>
    <w:p>
      <w:pPr>
        <w:spacing w:after="0" w:line="13" w:lineRule="exact"/>
        <w:rPr>
          <w:rFonts w:ascii="Arial" w:cs="Arial" w:eastAsia="Arial" w:hAnsi="Arial"/>
          <w:sz w:val="14"/>
          <w:szCs w:val="14"/>
          <w:color w:val="auto"/>
        </w:rPr>
      </w:pPr>
    </w:p>
    <w:p>
      <w:pPr>
        <w:ind w:left="500" w:hanging="330"/>
        <w:spacing w:after="0" w:line="255"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spacing w:after="0" w:line="19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Consumer Loans are assigned to us as either Dealer Loans through our Portfolio Program or Purchased Loans through our Purchase Program. The following table shows the percentage of Consumer Loans assigned to us under each of the programs for each of the last three years: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auto"/>
            </w:tcBorders>
            <w:gridSpan w:val="3"/>
          </w:tcPr>
          <w:p>
            <w:pPr>
              <w:jc w:val="right"/>
              <w:ind w:right="1214"/>
              <w:spacing w:after="0"/>
              <w:rPr>
                <w:sz w:val="20"/>
                <w:szCs w:val="20"/>
                <w:color w:val="auto"/>
              </w:rPr>
            </w:pPr>
            <w:r>
              <w:rPr>
                <w:rFonts w:ascii="Arial" w:cs="Arial" w:eastAsia="Arial" w:hAnsi="Arial"/>
                <w:sz w:val="14"/>
                <w:szCs w:val="14"/>
                <w:b w:val="1"/>
                <w:bCs w:val="1"/>
                <w:color w:val="auto"/>
              </w:rPr>
              <w:t>Unit Volume</w:t>
            </w:r>
          </w:p>
        </w:tc>
        <w:tc>
          <w:tcPr>
            <w:tcW w:w="100" w:type="dxa"/>
            <w:vAlign w:val="bottom"/>
          </w:tcPr>
          <w:p>
            <w:pPr>
              <w:spacing w:after="0"/>
              <w:rPr>
                <w:sz w:val="17"/>
                <w:szCs w:val="17"/>
                <w:color w:val="auto"/>
              </w:rPr>
            </w:pPr>
          </w:p>
        </w:tc>
        <w:tc>
          <w:tcPr>
            <w:tcW w:w="33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560" w:type="dxa"/>
            <w:vAlign w:val="bottom"/>
            <w:gridSpan w:val="2"/>
          </w:tcPr>
          <w:p>
            <w:pPr>
              <w:ind w:left="1160"/>
              <w:spacing w:after="0"/>
              <w:rPr>
                <w:sz w:val="20"/>
                <w:szCs w:val="20"/>
                <w:color w:val="auto"/>
              </w:rPr>
            </w:pPr>
            <w:r>
              <w:rPr>
                <w:rFonts w:ascii="Arial" w:cs="Arial" w:eastAsia="Arial" w:hAnsi="Arial"/>
                <w:sz w:val="14"/>
                <w:szCs w:val="14"/>
                <w:b w:val="1"/>
                <w:bCs w:val="1"/>
                <w:color w:val="auto"/>
              </w:rPr>
              <w:t>For the Years Ended December 31,</w:t>
            </w: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auto"/>
              </w:rPr>
              <w:t>Portfolio Program</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Purchase Program</w:t>
            </w: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auto"/>
              </w:rPr>
              <w:t>Portfolio Program</w:t>
            </w:r>
          </w:p>
        </w:tc>
        <w:tc>
          <w:tcPr>
            <w:tcW w:w="1640" w:type="dxa"/>
            <w:vAlign w:val="bottom"/>
          </w:tcPr>
          <w:p>
            <w:pPr>
              <w:jc w:val="right"/>
              <w:ind w:right="154"/>
              <w:spacing w:after="0"/>
              <w:rPr>
                <w:sz w:val="20"/>
                <w:szCs w:val="20"/>
                <w:color w:val="auto"/>
              </w:rPr>
            </w:pPr>
            <w:r>
              <w:rPr>
                <w:rFonts w:ascii="Arial" w:cs="Arial" w:eastAsia="Arial" w:hAnsi="Arial"/>
                <w:sz w:val="14"/>
                <w:szCs w:val="14"/>
                <w:b w:val="1"/>
                <w:bCs w:val="1"/>
                <w:color w:val="auto"/>
              </w:rPr>
              <w:t>Purchase Program</w:t>
            </w:r>
          </w:p>
        </w:tc>
      </w:tr>
      <w:tr>
        <w:trPr>
          <w:trHeight w:val="250"/>
        </w:trPr>
        <w:tc>
          <w:tcPr>
            <w:tcW w:w="4460" w:type="dxa"/>
            <w:vAlign w:val="bottom"/>
            <w:tcBorders>
              <w:top w:val="single" w:sz="8" w:color="auto"/>
              <w:bottom w:val="single" w:sz="8" w:color="CCEEFF"/>
            </w:tcBorders>
            <w:shd w:val="clear" w:color="auto" w:fill="CCEEFF"/>
          </w:tcPr>
          <w:p>
            <w:pPr>
              <w:jc w:val="right"/>
              <w:ind w:right="3974"/>
              <w:spacing w:after="0"/>
              <w:rPr>
                <w:sz w:val="20"/>
                <w:szCs w:val="20"/>
                <w:color w:val="auto"/>
              </w:rPr>
            </w:pPr>
            <w:r>
              <w:rPr>
                <w:rFonts w:ascii="Arial" w:cs="Arial" w:eastAsia="Arial" w:hAnsi="Arial"/>
                <w:sz w:val="18"/>
                <w:szCs w:val="18"/>
                <w:color w:val="auto"/>
                <w:w w:val="94"/>
              </w:rPr>
              <w:t>2016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3"/>
              </w:rPr>
              <w:t>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4460" w:type="dxa"/>
            <w:vAlign w:val="bottom"/>
          </w:tcPr>
          <w:p>
            <w:pPr>
              <w:jc w:val="right"/>
              <w:ind w:right="3974"/>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w w:val="93"/>
              </w:rPr>
              <w:t>68.5%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460" w:type="dxa"/>
            <w:vAlign w:val="bottom"/>
            <w:shd w:val="clear" w:color="auto" w:fill="CCEEFF"/>
          </w:tcPr>
          <w:p>
            <w:pPr>
              <w:jc w:val="right"/>
              <w:ind w:right="3974"/>
              <w:spacing w:after="0"/>
              <w:rPr>
                <w:sz w:val="20"/>
                <w:szCs w:val="20"/>
                <w:color w:val="auto"/>
              </w:rPr>
            </w:pPr>
            <w:r>
              <w:rPr>
                <w:rFonts w:ascii="Arial" w:cs="Arial" w:eastAsia="Arial" w:hAnsi="Arial"/>
                <w:sz w:val="18"/>
                <w:szCs w:val="18"/>
                <w:color w:val="auto"/>
                <w:w w:val="94"/>
              </w:rPr>
              <w:t>2018</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3"/>
              </w:rPr>
              <w:t>67.2%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2018 and 2017, the net Dealer Loans receivable balance was 65.3% and 68.2%, respectively, of the total net Loans receivable balance.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discussion of our results of operations and income statement data on a consolidated basis.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4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charges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Premiums earned</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1,110.0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Salaries and wages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 and marketing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claims</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530.7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29.39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19,446,067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19,497,719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19,532,312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19,558,936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Operating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The increase of $165.3 million, or 16.3%, was primarily the result of an increase in the average net Loans receivable balance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decrease in the average yield on our Loan portfolio,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6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420" w:type="dxa"/>
            <w:vAlign w:val="bottom"/>
            <w:tcBorders>
              <w:bottom w:val="single" w:sz="8" w:color="auto"/>
            </w:tcBorders>
          </w:tcPr>
          <w:p>
            <w:pPr>
              <w:spacing w:after="0"/>
              <w:rPr>
                <w:sz w:val="17"/>
                <w:szCs w:val="17"/>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net Loans receivable balance</w:t>
            </w:r>
          </w:p>
        </w:tc>
        <w:tc>
          <w:tcPr>
            <w:tcW w:w="27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6"/>
              </w:rPr>
              <w:t>5,279.7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4,276.4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1,003.3</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Average yield on our Loan portfolio</w:t>
            </w:r>
          </w:p>
        </w:tc>
        <w:tc>
          <w:tcPr>
            <w:tcW w:w="1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702"/>
        </w:trPr>
        <w:tc>
          <w:tcPr>
            <w:tcW w:w="4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7"/>
          <w:szCs w:val="17"/>
          <w:color w:val="auto"/>
        </w:rPr>
        <w:t>The following table summarizes the impact each component had on the overall increase in finance charges for the year ended December 31, 2018:</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33"/>
        </w:trPr>
        <w:tc>
          <w:tcPr>
            <w:tcW w:w="9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w w:val="98"/>
              </w:rPr>
              <w:t>For the Year Ended</w:t>
            </w:r>
          </w:p>
        </w:tc>
      </w:tr>
      <w:tr>
        <w:trPr>
          <w:trHeight w:val="205"/>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Impact on finance charges: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an increase in the average net Loans receivable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237.3</w:t>
            </w: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Due to a decrease in the average yield</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5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increase in finance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165.3</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the average net Loans receivable balance was primarily due to the dollar volume of new Consumer Loan assignments exceeding the principal collected on Loans receivable. The average yield on our Loan portfolio for the year ended December 31, 2018 decreased as compared to the same period in 2017 due to lower yields on new Consumer Loan assignments.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increase of $37.2 million, or 14.6%, was primarily due to the following:</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salaries and wages expense of $27.7 million, or 19.8%, comprised of the following:</w:t>
      </w:r>
    </w:p>
    <w:p>
      <w:pPr>
        <w:spacing w:after="0" w:line="23" w:lineRule="exact"/>
        <w:rPr>
          <w:rFonts w:ascii="Arial" w:cs="Arial" w:eastAsia="Arial" w:hAnsi="Arial"/>
          <w:sz w:val="18"/>
          <w:szCs w:val="18"/>
          <w:color w:val="auto"/>
        </w:rPr>
      </w:pPr>
    </w:p>
    <w:p>
      <w:pPr>
        <w:ind w:left="1620" w:right="20" w:hanging="315"/>
        <w:spacing w:after="0" w:line="250"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of $16.9 million in cash-based incentive compensation expense primarily due to an improvement in Company performance measures.</w:t>
      </w:r>
    </w:p>
    <w:p>
      <w:pPr>
        <w:ind w:left="1620" w:hanging="315"/>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decrease of $4.9 million in stock-based compensation expense primarily due to 2017 stock awards.</w:t>
      </w:r>
    </w:p>
    <w:p>
      <w:pPr>
        <w:spacing w:after="0" w:line="9" w:lineRule="exact"/>
        <w:rPr>
          <w:rFonts w:ascii="Arial" w:cs="Arial" w:eastAsia="Arial" w:hAnsi="Arial"/>
          <w:sz w:val="18"/>
          <w:szCs w:val="18"/>
          <w:color w:val="auto"/>
        </w:rPr>
      </w:pPr>
    </w:p>
    <w:p>
      <w:pPr>
        <w:ind w:left="1620" w:right="20" w:hanging="315"/>
        <w:spacing w:after="0" w:line="250"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Excluding the changes in cash-based and stock-based incentive compensation expenses, salaries and wages expense increased $15.7 million, primarily related to our support function as a result of an increase in the number of team members.</w:t>
      </w:r>
    </w:p>
    <w:p>
      <w:pPr>
        <w:ind w:left="980" w:hanging="324"/>
        <w:spacing w:after="0" w:line="261"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sales and marketing expense of $9.3 million, or 15.9%, primarily due to an increase in the size of our sales force and an increase in sales commissions related to growth in Consumer Loan assignment volume.</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Provision for Credit Losses</w:t>
      </w:r>
      <w:r>
        <w:rPr>
          <w:rFonts w:ascii="Arial" w:cs="Arial" w:eastAsia="Arial" w:hAnsi="Arial"/>
          <w:sz w:val="17"/>
          <w:szCs w:val="17"/>
          <w:color w:val="auto"/>
        </w:rPr>
        <w:t>. Under accounting principles generally accepted in the United States of America (“GAAP”), when the present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forecasted future cash flows declines relative to our expectations at the time of assignment, a provision for credit losses is recorded immediately as a current period expense and a corresponding allowance for credit losses is established. For purposes of calculating the required allowance, Dealer Loans are grouped by Dealer and Purchased Loans are grouped by month of purchase. As a result, regardless of the overall performance of the portfolio of Consumer Loans, a provision can be required if any individual Loan pool performs worse than expected. Conversely, a previously recorded provision can be reversed if any previously impaired individual Loan pool experiences an improvement in performance.</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year ended December 31, 2018, overall Consumer Loan performance was generally consistent with our expectations at the start of the year. However, the performance of certain Loan pools declined from our expectations during the year, resulting in a provision for credit losses of $56.9 million for the year ended December 31, 2018, of which $48.0 million related to Dealer Loans and $8.9 million related to Purchased Loans. For additional information, see Note 5 to the consolidated financial statements contained in Item 8 of this Form 10-K, which is incorporated herein by reference.</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December 31, 2017, overall Consumer Loan performance was generally consistent with our expectations at the start of the year. However, the performance of certain Loan pools declined from our expectations during the year, resulting in a provision for credit losses of $129.3 million for the year ended December 31, 2017, of which $103.4 million related to Dealer Loans and $25.9 million related to Purchased Loans. Provision for credit losses included an additional expense of $41.6 million related to the revision of our net cash flow timing forecast during the fourth quarter of 2017, of which $31.9 million related to Dealer Loans and $9.7 million related to Purchased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The increase of $36.4 million, or 30.3%, was due to an increase in the average outstanding debt balance,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7"/>
                <w:szCs w:val="17"/>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Average outstanding debt principal balance (1)</w:t>
            </w:r>
          </w:p>
        </w:tc>
        <w:tc>
          <w:tcPr>
            <w:tcW w:w="360" w:type="dxa"/>
            <w:vAlign w:val="bottom"/>
          </w:tcPr>
          <w:p>
            <w:pPr>
              <w:spacing w:after="0"/>
              <w:rPr>
                <w:sz w:val="21"/>
                <w:szCs w:val="21"/>
                <w:color w:val="auto"/>
              </w:rPr>
            </w:pP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3,639.8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2,944.8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695.0</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debt</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Includes the unamortized debt discount and excludes deferred debt issuance costs.</w:t>
      </w:r>
    </w:p>
    <w:p>
      <w:pPr>
        <w:spacing w:after="0" w:line="2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average outstanding debt balance increased primarily due to debt proceeds used to fund growth in new Consumer Loan assignments and stock repurchases.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For the year ended December 31, 2018, the effective income tax rate increased to 24.0% from 19.5%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The increase was primarily due to the enactment of the 2017 Tax Act in December 2017, which resulted in a one-time reversal of $99.8 million of provision for income taxes in 2017. While the 2017 Tax Act lowered our federal statutory income tax rate from 35% in 2017 to 21% in 2018, we were required to revalue deferred taxes and uncertain tax positions as of December 31, 2017 at the lower federal statutory income tax rate. Based on currently enacted federal and state statutory income tax rates, we believe our long-term effective income tax rate will average approximately 23% in future years. For additional information, see Note 12 to the consolidated financial statements contained in Item 8 of this Form 10-K,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4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charges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Premiums earned</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1,110.0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969.2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Salaries and wages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 and marketing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claims</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47.4 %</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19,497,719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20,331,769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(834,050)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19,558,936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20,410,116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(851,180)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Operating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The increase of $137.2 million, or 15.7%, was primarily the result of an increase in the average net Loans receivable balance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decrease in the average yield on our Loan portfolio,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6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1400" w:type="dxa"/>
            <w:vAlign w:val="bottom"/>
            <w:tcBorders>
              <w:bottom w:val="single" w:sz="8" w:color="auto"/>
            </w:tcBorders>
          </w:tcPr>
          <w:p>
            <w:pPr>
              <w:spacing w:after="0"/>
              <w:rPr>
                <w:sz w:val="17"/>
                <w:szCs w:val="17"/>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net Loans receivable balance</w:t>
            </w:r>
          </w:p>
        </w:tc>
        <w:tc>
          <w:tcPr>
            <w:tcW w:w="27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6"/>
              </w:rPr>
              <w:t>4,276.4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3,534.0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742.4</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Average yield on our Loan portfolio</w:t>
            </w:r>
          </w:p>
        </w:tc>
        <w:tc>
          <w:tcPr>
            <w:tcW w:w="1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702"/>
        </w:trPr>
        <w:tc>
          <w:tcPr>
            <w:tcW w:w="4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7"/>
          <w:szCs w:val="17"/>
          <w:color w:val="auto"/>
        </w:rPr>
        <w:t>The following table summarizes the impact each component had on the overall increase in finance charges for the year ended December 31, 2017:</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33"/>
        </w:trPr>
        <w:tc>
          <w:tcPr>
            <w:tcW w:w="9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w w:val="98"/>
              </w:rPr>
              <w:t>For the Year Ended</w:t>
            </w:r>
          </w:p>
        </w:tc>
      </w:tr>
      <w:tr>
        <w:trPr>
          <w:trHeight w:val="205"/>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Impact on finance charges: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an increase in the average net Loans receivable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183.7</w:t>
            </w: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Due to a decrease in the average yield</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5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increase in finance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137.2</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the average net Loans receivable balance was primarily due to the dollar volume of new Consumer Loan assignments exceeding the principal collected on Loans receivable. The average yield on our Loan portfolio for the year ended December 31, 2017 decreased as compared to the same period in 2016 due to lower yields on new Consumer Loan assignments.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of $5.5 million, or 10.6%, was primarily due to an increase in ancillary product profit sharing income due to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Loan portfolio, partially offset by a decrease in GPS Starter Interrupt Device fee income due to a decrease in the number of units purchased by Dealers from our third party provider in the current year.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increase of $29.9 million, or 13.3%, was primarily due to the following:</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salaries and wages expense of $13.6 million, or 10.8%, comprised of the following:</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 increase of $7.9 million in stock-based compensation expense primarily due to 2017 stock awards.</w:t>
      </w:r>
    </w:p>
    <w:p>
      <w:pPr>
        <w:spacing w:after="0" w:line="9" w:lineRule="exact"/>
        <w:rPr>
          <w:rFonts w:ascii="Arial" w:cs="Arial" w:eastAsia="Arial" w:hAnsi="Arial"/>
          <w:sz w:val="18"/>
          <w:szCs w:val="18"/>
          <w:color w:val="auto"/>
        </w:rPr>
      </w:pPr>
    </w:p>
    <w:p>
      <w:pPr>
        <w:ind w:left="1620" w:hanging="315"/>
        <w:spacing w:after="0" w:line="250"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decrease of $4.8 million in cash-based incentive compensation expense primarily due to a decline in Company performance measures.</w:t>
      </w:r>
    </w:p>
    <w:p>
      <w:pPr>
        <w:jc w:val="both"/>
        <w:ind w:left="1620" w:hanging="315"/>
        <w:spacing w:after="0" w:line="250"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Excluding the changes in stock-based and cash-based incentive compensation expenses, salaries and wages expense increased $10.5 million primarily related to an increase of $6.2 million for our servicing function and $3.9 million for our support function as a result of an increase in the number of team members.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sales and marketing expense of $9.0 million, or 18.2%, primarily due to an increase in the size of our sales force.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$7.3 million, or 15.1%, primarily as a result of an increase in legal fees.</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Provision for Credit Losses</w:t>
      </w:r>
      <w:r>
        <w:rPr>
          <w:rFonts w:ascii="Arial" w:cs="Arial" w:eastAsia="Arial" w:hAnsi="Arial"/>
          <w:sz w:val="17"/>
          <w:szCs w:val="17"/>
          <w:color w:val="auto"/>
        </w:rPr>
        <w:t>. During the year ended December 31, 2017, overall Consumer Loan performance was generally consistent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expectations at the start of the year. However, the performance of certain Loan pools declined from our expectations during the year, resulting in a provision for credit losses of $129.3 million for the year ended December 31, 2017, of which $103.4 million related to Dealer Loans and $25.9 million related to Purchased Loans. Provision for credit losses included an additional expense of $41.6 million related to the revision of our net cash flow timing forecast during the fourth quarter of 2017, of which $31.9 million related to Dealer Loans and $9.7 million related to Purchased Loans.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 ended December 31, 2016, overall Consumer Loan performance declined from our expectations at the start of the year, resulting in a provision for credit losses of $90.2 million for the year ended December 31, 2016, of which $87.3 million related to Dealer Loans and $2.9 million related to Purchased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The increase of $22.5 million, or 23.0%, was due to increases in the average outstanding debt balance and our average cost of debt,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7"/>
                <w:szCs w:val="17"/>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Average outstanding debt principal balance (1)</w:t>
            </w:r>
          </w:p>
        </w:tc>
        <w:tc>
          <w:tcPr>
            <w:tcW w:w="360" w:type="dxa"/>
            <w:vAlign w:val="bottom"/>
          </w:tcPr>
          <w:p>
            <w:pPr>
              <w:spacing w:after="0"/>
              <w:rPr>
                <w:sz w:val="21"/>
                <w:szCs w:val="21"/>
                <w:color w:val="auto"/>
              </w:rPr>
            </w:pP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2,944.8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2,459.5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485.3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debt</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Includes the unamortized debt discount and excludes deferred debt issuance costs.</w:t>
      </w:r>
    </w:p>
    <w:p>
      <w:pPr>
        <w:spacing w:after="0" w:line="2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average outstanding debt balance increased primarily due to debt proceeds used to fund growth in new Consumer Loan assignments and stock repurchases. The increase in our average cost of debt was primarily a result of a change in the mix of our outstanding debt.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year ended December 31, 2017, the effective income tax rate decreased to 19.5% from 37.3%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The decrease was primarily due to the enactment of the 2017 Tax Act in December 2017, which resulted in a one-time reversal of $99.8 million of provision for income taxes in 2017. While the 2017 Tax Act lowered our federal statutory income tax rate from 35% in 2017 and 2016 to 21% in 2018, we were required to revalue deferred taxes and uncertain tax positions as of December 31, 2017 at the lower federal statutory income tax rate. Based on currently enacted federal and state statutory income tax rates, we believe our long-term effective income tax rate will average approximately 23% in future years. For additional information, see Note 12 to the consolidated financial statements contained in Item 8 of this Form 10-K,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Item 8 of this Form 10-K, which is incorporated herein by reference. We believe that the following accounting estimates are the most critical to aid in fully understanding and evaluating our reported financial results, and involve a high degree of subjective or complex judgment, and the use of different estimates or assumptions could produce materially different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Finance Charge Revenue &amp; Allowance for Credit Losses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We estimate the amount and timing of future collections and Dealer Holdback payments. These estimates impact Loans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and allowance for credit losses on our balance sheet and finance charges and provision for credit losses on our income statement.</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Assumptions and Approaches Used. </w:t>
      </w:r>
      <w:r>
        <w:rPr>
          <w:rFonts w:ascii="Arial" w:cs="Arial" w:eastAsia="Arial" w:hAnsi="Arial"/>
          <w:sz w:val="17"/>
          <w:szCs w:val="17"/>
          <w:color w:val="auto"/>
        </w:rPr>
        <w:t>For accounting purposes, we are not considered to be an originator of Consumer Loans, but instead are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a lender to our Dealers for Consumer Loans assigned under our Portfolio Program, and a purchaser of Consumer Loans assigned under our Purchase Program. As a result of this classification, our accounting policies for recognizing finance charge revenue and determining our allowance for credit losses may be different from other lenders in our market, who, based on their different business models, may be considered to be a direct lender to consumers for accounting purposes. For additional information regarding our classification as a lender to our Dealers for accounting purposes, see Note 1 to the consolidated financial statements contained in Item 8 of this Form 10-K, which is incorporated herein by reference.</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 finance charges under the interest method such that revenue is recognized on a level-yield basis based upon forecasted cash flows. For Dealer Loans, finance charge revenue and the allowance for credit losses are calculated after first aggregating Dealer Loans outstanding for each Dealer. For the same purpose, Purchased Loans are aggregated according to the month the Loan was purchased. An allowance for credit losses is maintained at an amount that reduces the net asset value (Loan balance less the allowance) to the value of forecasted future cash flows discounted at the yield established at the time of assignment. Future cash flows are comprised of estimated future collections on the Loans, less any estimated Dealer Holdback payments related to Dealer Loans. We write off Loans once there are no forecasted future collections on any of the associated Consumer Loans.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Actual cash flows from any individual Dealer Loan or pool of Purchased Loans are often different than estimated cash flows at the time of assignment. If such difference is favorable, the difference is recognized prospectively into income over the remaining life of the Dealer Loan or pool of Purchased Loans through a yield adjustment. If such difference is unfavorable, a provision for credit losses is recorded immediately as a current period expense and a corresponding allowance for credit losses is established. Because differences between estimated cash flows at the time of assignment and actual cash flows occur often, an allowance is required for a significant portion of our Loan portfolio. An allowance for credit losses does not necessarily indicate that a Dealer Loan or pool of Purchased Loans is unprofitable, and in recent years, seldom are cash flows from a Dealer Loan or pool of Purchased Loans insufficient to repay the initial amounts advanced or paid to the Dealer.</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Future collections are forecasted for each individual Dealer Loan or pool of Purchased Loans based on the historical performance of Consumer Loans with similar characteristics, adjusted for recent trends in payment patterns. Dealer Holdback is forecasted for each individual Dealer Loan based on the expected future collections and current advance balance of each Dealer Loan.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2017, we updated our net cash flow timing model to incorporate more recent data. The revised forecast resulted in an expected cash flow stream with a lower net present value as compared to the prior forecast, as less cash flows were expected in earlier periods and more cash flows were expected in later periods.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jc w:val="both"/>
        <w:ind w:firstLine="324"/>
        <w:spacing w:after="0" w:line="259" w:lineRule="auto"/>
        <w:rPr>
          <w:sz w:val="20"/>
          <w:szCs w:val="20"/>
          <w:color w:val="auto"/>
        </w:rPr>
      </w:pPr>
      <w:r>
        <w:rPr>
          <w:rFonts w:ascii="Arial" w:cs="Arial" w:eastAsia="Arial" w:hAnsi="Arial"/>
          <w:sz w:val="18"/>
          <w:szCs w:val="18"/>
          <w:color w:val="auto"/>
        </w:rPr>
        <w:t>The reduction in net present value was primarily the result of a change in the expected timing of cash flows from longer-term Consumer Loans. Due to our limited historical experience with longer-term Consumer Loans, our prior model relied on extrapolations from the historical performance of shorter-term Consumer Loans to predict the timing of future net cash flows on longer-term Consumer Loans. We used our additional historical experience on these longer-term loans to refine our estimate.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revision to our net cash flow timing forecast did not impact the amount of undiscounted net cash flows we expected to receive. As a result, the dollar amount of future net portfolio revenue (finance charges less provision for credit losses) was not impacted by the revision. However, the revision did impact the period in which those net revenues are recorded as a portion of the impact of the revised timing estimate was recorded as a current period expense and a portion was recorded as a yield adjustment. For the fourth quarter of 2017, the revision increased provision for credit losses by $41.6 million, reduced finance charge revenue by $7.3 million and reduced net income by $30.8 million. The revision reduced the yield on our Loan portfolio by 90 basis points, which impacts the timing of revenue recognition in future periods.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we enhanced our methodology for forecasting the amount and timing of future collections on Consumer Loans through the utilization of more recent data and new forecast variables. Implementation of the enhanced forecasting methodology as of October 31, 2016 did not have a material impact on provision for credit losses or net income; however, it did reduce forecasted net cash flows by $1.8 million, all of which related to Dealer Loans. The implementation also decreased the forecasted collection rates for Consumer Loans assigned in 2015 and 2016 and increased the forecasted collection rates for Consumer Loans assigned in 2011 through 2013.</w:t>
      </w:r>
    </w:p>
    <w:p>
      <w:pPr>
        <w:spacing w:after="0" w:line="18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Key Factors. </w:t>
      </w:r>
      <w:r>
        <w:rPr>
          <w:rFonts w:ascii="Arial" w:cs="Arial" w:eastAsia="Arial" w:hAnsi="Arial"/>
          <w:sz w:val="16"/>
          <w:szCs w:val="16"/>
          <w:color w:val="auto"/>
        </w:rPr>
        <w:t>Variances in the amount and timing of future net cash flows from current estimates could materially impact earnings in future periods. A</w:t>
      </w:r>
      <w:r>
        <w:rPr>
          <w:rFonts w:ascii="Arial" w:cs="Arial" w:eastAsia="Arial" w:hAnsi="Arial"/>
          <w:sz w:val="16"/>
          <w:szCs w:val="16"/>
          <w:i w:val="1"/>
          <w:iCs w:val="1"/>
          <w:color w:val="auto"/>
        </w:rPr>
        <w:t xml:space="preserve"> </w:t>
      </w:r>
      <w:r>
        <w:rPr>
          <w:rFonts w:ascii="Arial" w:cs="Arial" w:eastAsia="Arial" w:hAnsi="Arial"/>
          <w:sz w:val="16"/>
          <w:szCs w:val="16"/>
          <w:color w:val="auto"/>
        </w:rPr>
        <w:t>1% decline in the forecasted future net cash flows on Loans as of December 31, 2018 would have reduced 2018 net income by approximately $25.0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 Earned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We estimate the pattern of future claims on vehicle service contracts. These estimates impact accounts payable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liabilities on our balance sheet and premiums earned on our income statement.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Assumptions and Approaches Used. </w:t>
      </w:r>
      <w:r>
        <w:rPr>
          <w:rFonts w:ascii="Arial" w:cs="Arial" w:eastAsia="Arial" w:hAnsi="Arial"/>
          <w:sz w:val="18"/>
          <w:szCs w:val="18"/>
          <w:color w:val="auto"/>
        </w:rPr>
        <w:t>Premiums from the reinsurance of vehicle service contracts are recognized over the life of the policy in proportion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expected costs of servicing those contracts. Expected costs are determined based on our historical claims experience. In developing our cost expectations, we stratify our historical claims experience into groupings based on contractual term, as this characteristic has led to different patterns of cost incurrence in the past. We will continue to update our analysis of historical costs under the vehicle service contract program as appropriate, including the consideration of other characteristics that may have led to different patterns of cost incurrence, and revise our revenue recognition timing for any changes in the pattern of our expected costs as they are identified.</w:t>
      </w:r>
    </w:p>
    <w:p>
      <w:pPr>
        <w:spacing w:after="0" w:line="19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Key Factors. </w:t>
      </w:r>
      <w:r>
        <w:rPr>
          <w:rFonts w:ascii="Arial" w:cs="Arial" w:eastAsia="Arial" w:hAnsi="Arial"/>
          <w:sz w:val="17"/>
          <w:szCs w:val="17"/>
          <w:color w:val="auto"/>
        </w:rPr>
        <w:t>Variances in the pattern of future claims from our current estimates would impact the timing of premiums recognized in future periods. A</w:t>
      </w:r>
      <w:r>
        <w:rPr>
          <w:rFonts w:ascii="Arial" w:cs="Arial" w:eastAsia="Arial" w:hAnsi="Arial"/>
          <w:sz w:val="17"/>
          <w:szCs w:val="17"/>
          <w:i w:val="1"/>
          <w:iCs w:val="1"/>
          <w:color w:val="auto"/>
        </w:rPr>
        <w:t xml:space="preserve"> </w:t>
      </w:r>
      <w:r>
        <w:rPr>
          <w:rFonts w:ascii="Arial" w:cs="Arial" w:eastAsia="Arial" w:hAnsi="Arial"/>
          <w:sz w:val="17"/>
          <w:szCs w:val="17"/>
          <w:color w:val="auto"/>
        </w:rPr>
        <w:t>10% change in premiums earned for the year ended December 31, 2018 would have affected 2018 net income by approximately $3.6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Expense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Stock-based compensation expense is based on the fair value on the date the equity instrument is granted or awarded by</w:t>
      </w:r>
      <w:r>
        <w:rPr>
          <w:rFonts w:ascii="Arial" w:cs="Arial" w:eastAsia="Arial" w:hAnsi="Arial"/>
          <w:sz w:val="18"/>
          <w:szCs w:val="18"/>
          <w:i w:val="1"/>
          <w:iCs w:val="1"/>
          <w:color w:val="auto"/>
        </w:rPr>
        <w:t xml:space="preserve"> </w:t>
      </w:r>
      <w:r>
        <w:rPr>
          <w:rFonts w:ascii="Arial" w:cs="Arial" w:eastAsia="Arial" w:hAnsi="Arial"/>
          <w:sz w:val="18"/>
          <w:szCs w:val="18"/>
          <w:color w:val="auto"/>
        </w:rPr>
        <w:t>us, and is recognized over the expected vesting period of the equity instrument. We also estimate expected forfeiture rates of restricted stock awards. These estimates impact paid in capital on our balance sheet and salaries and wages on our income statement.</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Assumptions and Approaches Used. </w:t>
      </w:r>
      <w:r>
        <w:rPr>
          <w:rFonts w:ascii="Arial" w:cs="Arial" w:eastAsia="Arial" w:hAnsi="Arial"/>
          <w:sz w:val="16"/>
          <w:szCs w:val="16"/>
          <w:color w:val="auto"/>
        </w:rPr>
        <w:t>In recognizing restricted stock-based compensation expense, we make assumptions regarding the expected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rates of the restricted stock awards. We also make assumptions regarding the expected vesting dates of performance-based restricted stock awards.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restricted stock awards are estimated as if they were vested and issued on the grant date and are recognized over the expected vesting period of the restricted stock award. For additional information, see Notes 2 and 15 to the consolidated financial statements contained in Item 8 of this Form 10-K, which are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38" w:name="page39"/>
    <w:bookmarkEnd w:id="38"/>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Changes in the expected vesting dates of performance-based restricted stock awards and expected forfeiture rates would impact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of stock-based compensation expense recognized in future periods. A 10% change in stock-based compensation expense for the year ended December 31, 2018 would have affected 2018 net income by approximately $0.8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We estimate the likelihood of adverse judgments against us and any resulting damages, fines or statutory penalties</w:t>
      </w:r>
      <w:r>
        <w:rPr>
          <w:rFonts w:ascii="Arial" w:cs="Arial" w:eastAsia="Arial" w:hAnsi="Arial"/>
          <w:sz w:val="18"/>
          <w:szCs w:val="18"/>
          <w:i w:val="1"/>
          <w:iCs w:val="1"/>
          <w:color w:val="auto"/>
        </w:rPr>
        <w:t xml:space="preserve"> </w:t>
      </w:r>
      <w:r>
        <w:rPr>
          <w:rFonts w:ascii="Arial" w:cs="Arial" w:eastAsia="Arial" w:hAnsi="Arial"/>
          <w:sz w:val="18"/>
          <w:szCs w:val="18"/>
          <w:color w:val="auto"/>
        </w:rPr>
        <w:t>owed. These estimates impact accounts payable and accrued liabilities on our balance sheet and are general and administrative expenses on our income statement.</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Assumptions and Approaches Used. </w:t>
      </w:r>
      <w:r>
        <w:rPr>
          <w:rFonts w:ascii="Arial" w:cs="Arial" w:eastAsia="Arial" w:hAnsi="Arial"/>
          <w:sz w:val="17"/>
          <w:szCs w:val="17"/>
          <w:color w:val="auto"/>
        </w:rPr>
        <w:t>With assistance from our legal counsel, we determine if the likelihood of an adverse judgment for various claims,</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and regulatory investigations is remote, reasonably possible, or probable. To the extent we believe an adverse judgment is probable and the amount of the judgment is estimable, we recognize a liability. For information regarding current actions to which we are a party, see Note 17 to the consolidated financial statements contained in Item 8 of this Form 10-K, which is incorporated herein by reference.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Negative variances in the ultimate disposition of claims and litigation outstanding from current estimates could result in additional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 Tax Positions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We estimate the impact of an uncertain income tax position on the income tax return. These estimates impact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taxes receivable and accounts payable and accrued liabilities on our balance sheet and provision for income taxes on our income statement.</w:t>
      </w:r>
    </w:p>
    <w:p>
      <w:pPr>
        <w:spacing w:after="0" w:line="1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Assumptions and Approaches Used. </w:t>
      </w:r>
      <w:r>
        <w:rPr>
          <w:rFonts w:ascii="Arial" w:cs="Arial" w:eastAsia="Arial" w:hAnsi="Arial"/>
          <w:sz w:val="16"/>
          <w:szCs w:val="16"/>
          <w:color w:val="auto"/>
        </w:rPr>
        <w:t>We follow a two-step approach for recognizing uncertain tax positions. First, we evaluate the tax position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adjust this liability in the period in which an uncertain tax position is effectively settled, the statute of limitations expires for the relevant taxing authority to examine the tax position, or more information becomes available.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To the extent we prevail in matters for which a liability has been established or are required to pay amounts in excess of our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our effective income tax rate in future periods could be materially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need capital to maintain and grow our business. Our primary sources of capital are cash flows from operating activities, collections of Consumer Loans and borrowings under: (1) a revolving secured line of credit; (2) Warehouse facilities; (3) Term ABS financings; and (4) senior notes. There are various restrictive covenants to which we are subject under each financing arrangement and we were in compliance with those covenants as of December 31, 2018. For information regarding these financings and the covenants included in the related documents, see Note 9 to the consolidated financial statements contained in Item 8 of this Form 10-K, which is incorporated herein by reference.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22, 2018, we completed a $500.0 million Term ABS financing, which was used to repay outstanding indebtedness. The financing has an expected annualized cost of approximately 3.6% (including the initial purchasers’ fees and other costs), and it will revolve for 24 months, after which it will amortize based upon the cash flows on the contributed Loans.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May 10, 2018, we added a new lender to Warehouse Facility IV and increased the financing amount on the facility from $100.0 million to $250.0 million. There were no other material changes to the terms of the facility.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24, 2018, we completed a $450.0 million Term ABS financing, which was used to repay outstanding indebtedness. The financing has an expected annualized cost of approximately 4.0% (including the initial purchasers’ fees and other costs), and it will revolve for 24 months, after which it will amortize based upon the cash flows on the contributed Loans.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39" w:name="page40"/>
    <w:bookmarkEnd w:id="39"/>
    <w:p>
      <w:pPr>
        <w:jc w:val="both"/>
        <w:ind w:right="20" w:firstLine="324"/>
        <w:spacing w:after="0" w:line="308" w:lineRule="auto"/>
        <w:rPr>
          <w:sz w:val="20"/>
          <w:szCs w:val="20"/>
          <w:color w:val="auto"/>
        </w:rPr>
      </w:pPr>
      <w:r>
        <w:rPr>
          <w:rFonts w:ascii="Arial" w:cs="Arial" w:eastAsia="Arial" w:hAnsi="Arial"/>
          <w:sz w:val="17"/>
          <w:szCs w:val="17"/>
          <w:color w:val="auto"/>
        </w:rPr>
        <w:t>On June 27, 2018, we extended the maturity of our revolving secured line of credit facility from June 22, 2020 to June 22, 2021. There were no other material changes to the terms of the facility. As previously disclosed, the amount of the facility will decrease to $315.0 million on June 22, 2019.</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6, 2018, we entered into a $12.0 million mortgage note with a commercial bank that is secured by a first mortgage lien on a building acquired by us and an assignment of all leases, rents, revenues and profits under all present and future leases of the building. The note matures on August 6, 2023, and bears interest at LIBOR plus 150 basis points.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August 15, 2018, we extended the date on which our $100.0 million Warehouse Facility V will cease to revolve from August 18, 2019 to August 17, 2021. The maturity of the facility was also extended from August 18, 2021 to August 17, 2023. The interest rate on borrowings under the facility has decreased from LIBOR plus 225 basis points to LIBOR plus 190 basis points. There were no other material changes to the terms of the facility.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23, 2018, we completed a $398.3 million Term ABS financing, which was used to repay outstanding indebtedness. The financing has an expected annualized cost of approximately 4.0% (including the initial purchasers’ fees and other costs), and it will revolve for 24 months, after which it will amortize based upon the cash flows on the contributed Loans.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17, 2018, we extended the date on which our $150.0 million Warehouse Facility VII will cease to revolve from December 1, 2019 to December 17, 2020. The maturity of the facility was also extended from December 1, 2021 to December 17, 2022. Prior to the extension, borrowings under the facility had an interest rate equal to the Commercial Paper rate plus 190 basis points to class A lenders and the Commercial Paper rate plus 220 basis points to class B lenders. Following the extension, there is only one class of notes, which will bear interest at a rate equal to the Commercial Paper rate plus 200 basis points. There were no other material changes to the terms of the facility.</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and cash equivalents increased to $25.7 million as of December 31, 2018 from $8.2 million as of December 31, 2017. As of December 31, 2018 and December 31, 2017 we had $1,153.1 million and $1,161.1 million in unused and available lines of credit, respectively. Our total balance sheet indebtedness increased to $3,820.9 million as of December 31, 2018 from $3,070.8 million as of December 31, 2017 primarily due to the growth in new Consumer Loan assignments and stock repurchases.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total future contractual obligations requiring repayments as of December 31, 2018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More than</w:t>
            </w:r>
          </w:p>
        </w:tc>
        <w:tc>
          <w:tcPr>
            <w:tcW w:w="280" w:type="dxa"/>
            <w:vAlign w:val="bottom"/>
          </w:tcPr>
          <w:p>
            <w:pPr>
              <w:spacing w:after="0"/>
              <w:rPr>
                <w:sz w:val="13"/>
                <w:szCs w:val="13"/>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Long-term debt, including current maturities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Dealer Holdback (2)</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Purchase obligations (3)</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future obligations (4)</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64"/>
        </w:trPr>
        <w:tc>
          <w:tcPr>
            <w:tcW w:w="334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4,773.7</w:t>
            </w: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1,206.2</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2,798.8</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522.7</w:t>
            </w: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207.3</w:t>
            </w: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660" w:hanging="328"/>
        <w:spacing w:after="0" w:line="264" w:lineRule="auto"/>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Long-term debt obligations included in the above table consist solely of principal repayments. The amounts are presented on a principal basis to exclude deferred debt issuance costs of $20.5 million and the unamortized debt discount of $1.1 million. We are also obligated to make interest payments at the applicable interest rates, as discussed in Note 9 to the consolidated financial statements contained in Item 8 of this Form 10-K, which is incorporated herein by reference. Based on the actual amounts outstanding under our revolving secured line of credit, our Warehouse facilities, and our senior notes as of December 31, 2018, the forecasted amounts outstanding on all other debt and the actual interest rates in effect as of December 31, 2018, interest is expected to be approximately $130.4 million during 2019; $96.1 million during 2020; and $70.9 million during 2021 and thereafter.</w:t>
      </w:r>
    </w:p>
    <w:p>
      <w:pPr>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have contractual obligations to pay Dealer Holdback to our Dealers. Payments of Dealer Holdback are contingent upon the receipt of consumer payments and the repayment of advances. The amounts presented represent our forecast as of December 31, 2018.</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Purchase obligations consist primarily of contractual obligations related to our information system and facility needs.</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future obligations included in the above table consist solely of reserves for uncertain tax positions. Payments are contingent upon examination and would occur in the periods in which the uncertain tax positions are settled.</w:t>
      </w:r>
    </w:p>
    <w:p>
      <w:pPr>
        <w:spacing w:after="0" w:line="13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Based upon anticipated cash flows, management believes that cash flows from operations and its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primarily to market risks associated with movements in interest rates. Our policies and procedures prohibit the use of financial instruments for speculative purposes. A discussion of our accounting policies for derivative instruments is included in Note 2 to the consolidated financial statements contained in Item 8 of this Form 10-K, which is incorporated herein by reference.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rely on various sources of financing, some of which contain floating rates of interest and expose us to risks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interest rates. We manage such risk primarily by entering into interest rate cap agreements.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2018, we had $171.9 million of floating rate debt outstanding on our revolving secured line of credit, without interest rate protection. For every 1.0% increase in interest rates on our revolving secured line of credit, annual after-tax earnings would decrease by approximately $1.3 million, assuming we maintain a level amount of floating rate debt.</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2018, we had interest rate cap agreements outstanding to manage the interest rate risk on Warehouse Facility II, Warehouse Facility IV, Warehouse Facility V and Warehouse Facility VII. However, as of December 31, 2018, there was no floating rate debt outstanding under these facilities.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2018, we did not have a balance outstanding under Warehouse Facility VI, which does not have interest rate protection.</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2018, we had $125.3 million in floating rate debt outstanding under Term ABS 2016-1, of which $64.2 million was covered by an interest rate cap with a cap rate of 5.00% on the underlying benchmark rate. For every 1.0% increase in interest rates on Term ABS 2016-1 up to the cap rate of 5.00%, annual after-tax earnings would decrease by approximately $1.0 million, assuming we maintain a level amount of floating rate debt. For every 1.0% increase in interest rates above the cap rate, annual after-tax earnings would decrease by approximately $0.5 million, assuming we maintain a level amount of floating rate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2 to the consolidated financial statements contained in Item 8 of this Form 10-K, which is incorporated herein by reference, for information concerning the following new accounting updates and the impact of the implementation of these updates on our financial statements:</w:t>
      </w:r>
    </w:p>
    <w:p>
      <w:pPr>
        <w:spacing w:after="0" w:line="147" w:lineRule="exact"/>
        <w:rPr>
          <w:sz w:val="20"/>
          <w:szCs w:val="20"/>
          <w:color w:val="auto"/>
        </w:rPr>
      </w:pPr>
    </w:p>
    <w:p>
      <w:pPr>
        <w:ind w:left="840" w:hanging="33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Amendments to SEC Paragraphs Pursuant to SEC Staff Accounting Bulletin No. 118</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Recognition and Measurement of Financial Assets and Financial Liabilities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from Contracts with Customers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Accounting for Costs of Implementing Cloud Computing</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Leases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Measurement of Credit Losses on Financial Instruments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make forward-looking statements in this report and may make such statements in future filings with the SEC.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under Item 1A of this Form 10-K, which is incorporated herein by reference, elsewhere in this report and the risks and uncertainties discussed in our other reports filed or furnished from time to time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called for by Item 7A is incorporated herein by reference from the information in Item 7 under the caption "Market Risk" in this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Page</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Consolidated Balance Sheets as of December 31, 2018 and 2017</w:t>
            </w:r>
          </w:p>
        </w:tc>
        <w:tc>
          <w:tcPr>
            <w:tcW w:w="136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Income for the years ended December 31, 2018, 2017 and 2016</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Consolidated Statements of Comprehensive Income for the years ended December 31, 2018, 2017 and 2016</w:t>
            </w:r>
          </w:p>
        </w:tc>
        <w:tc>
          <w:tcPr>
            <w:tcW w:w="136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Shareholders' Equity for the years ended December 31, 2018, 2017 and 2016</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136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459"/>
        </w:trPr>
        <w:tc>
          <w:tcPr>
            <w:tcW w:w="10060" w:type="dxa"/>
            <w:vAlign w:val="bottom"/>
          </w:tcPr>
          <w:p>
            <w:pPr>
              <w:ind w:left="5620"/>
              <w:spacing w:after="0"/>
              <w:rPr>
                <w:sz w:val="20"/>
                <w:szCs w:val="20"/>
                <w:color w:val="auto"/>
              </w:rPr>
            </w:pPr>
            <w:r>
              <w:rPr>
                <w:rFonts w:ascii="Arial" w:cs="Arial" w:eastAsia="Arial" w:hAnsi="Arial"/>
                <w:sz w:val="18"/>
                <w:szCs w:val="18"/>
                <w:color w:val="auto"/>
              </w:rPr>
              <w:t>43</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Credit Acceptance Corporation (a Michigan corporation) and subsidiaries (the “Company”) as of December 31, 2018 and 2017, the related consolidated statements of income, comprehensive income, shareholders’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8, 2019 expressed an unqualified opinion.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r>
        <w:rPr>
          <w:rFonts w:ascii="Arial" w:cs="Arial" w:eastAsia="Arial" w:hAnsi="Arial"/>
          <w:sz w:val="18"/>
          <w:szCs w:val="18"/>
          <w:color w:val="0000FF"/>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43"/>
        </w:trPr>
        <w:tc>
          <w:tcPr>
            <w:tcW w:w="8580" w:type="dxa"/>
            <w:vAlign w:val="bottom"/>
          </w:tcPr>
          <w:p>
            <w:pPr>
              <w:ind w:left="39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 and cash equivalents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255.6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securities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r>
      <w:tr>
        <w:trPr>
          <w:trHeight w:val="32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5,049.0</w:t>
            </w:r>
          </w:p>
        </w:tc>
      </w:tr>
      <w:tr>
        <w:trPr>
          <w:trHeight w:val="28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Allowance for credit losses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r>
      <w:tr>
        <w:trPr>
          <w:trHeight w:val="271"/>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Loans receivable, net</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5,763.3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4,619.6</w:t>
            </w:r>
          </w:p>
        </w:tc>
      </w:tr>
      <w:tr>
        <w:trPr>
          <w:trHeight w:val="32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30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6,237.4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4,985.6</w:t>
            </w:r>
          </w:p>
        </w:tc>
      </w:tr>
      <w:tr>
        <w:trPr>
          <w:trHeight w:val="311"/>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232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151.7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Revolving secured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Secured financing</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3,092.7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2,514.1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note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r>
      <w:tr>
        <w:trPr>
          <w:trHeight w:val="28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39.9</w:t>
            </w:r>
          </w:p>
        </w:tc>
      </w:tr>
      <w:tr>
        <w:trPr>
          <w:trHeight w:val="271"/>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4,246.5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3,449.8</w:t>
            </w:r>
          </w:p>
        </w:tc>
      </w:tr>
      <w:tr>
        <w:trPr>
          <w:trHeight w:val="32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 See Note 17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680"/>
              <w:spacing w:after="0"/>
              <w:rPr>
                <w:sz w:val="20"/>
                <w:szCs w:val="20"/>
                <w:color w:val="auto"/>
              </w:rPr>
            </w:pPr>
            <w:r>
              <w:rPr>
                <w:rFonts w:ascii="Arial" w:cs="Arial" w:eastAsia="Arial" w:hAnsi="Arial"/>
                <w:sz w:val="18"/>
                <w:szCs w:val="18"/>
                <w:color w:val="auto"/>
                <w:w w:val="89"/>
              </w:rPr>
              <w:t>Common stock, $0.01 par value, 80,000,000 shares authorized, 18,972,558 and 19,310,049 shares issued and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8580" w:type="dxa"/>
            <w:vAlign w:val="bottom"/>
          </w:tcPr>
          <w:p>
            <w:pPr>
              <w:ind w:left="680"/>
              <w:spacing w:after="0"/>
              <w:rPr>
                <w:sz w:val="20"/>
                <w:szCs w:val="20"/>
                <w:color w:val="auto"/>
              </w:rPr>
            </w:pPr>
            <w:r>
              <w:rPr>
                <w:rFonts w:ascii="Arial" w:cs="Arial" w:eastAsia="Arial" w:hAnsi="Arial"/>
                <w:sz w:val="18"/>
                <w:szCs w:val="18"/>
                <w:color w:val="auto"/>
              </w:rPr>
              <w:t>outstanding as of December 31, 2018 and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580" w:type="dxa"/>
            <w:vAlign w:val="bottom"/>
          </w:tcPr>
          <w:p>
            <w:pPr>
              <w:ind w:left="680"/>
              <w:spacing w:after="0"/>
              <w:rPr>
                <w:sz w:val="20"/>
                <w:szCs w:val="20"/>
                <w:color w:val="auto"/>
              </w:rPr>
            </w:pPr>
            <w:r>
              <w:rPr>
                <w:rFonts w:ascii="Arial" w:cs="Arial" w:eastAsia="Arial" w:hAnsi="Arial"/>
                <w:sz w:val="18"/>
                <w:szCs w:val="18"/>
                <w:color w:val="auto"/>
              </w:rPr>
              <w:t>December 31, 2017,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1,390.3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8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1,990.9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1,535.8</w:t>
            </w: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6,237.4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4,985.6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64" w:right="239" w:bottom="1440" w:gutter="0" w:footer="0" w:header="0"/>
          <w:type w:val="continuous"/>
        </w:sectPr>
      </w:pPr>
    </w:p>
    <w:bookmarkStart w:id="45" w:name="page46"/>
    <w:bookmarkEnd w:id="45"/>
    <w:p>
      <w:pPr>
        <w:jc w:val="center"/>
        <w:ind w:left="340"/>
        <w:spacing w:after="0"/>
        <w:rPr>
          <w:sz w:val="20"/>
          <w:szCs w:val="20"/>
          <w:color w:val="auto"/>
        </w:rPr>
      </w:pPr>
      <w:r>
        <w:rPr>
          <w:rFonts w:ascii="Arial" w:cs="Arial" w:eastAsia="Arial" w:hAnsi="Arial"/>
          <w:sz w:val="18"/>
          <w:szCs w:val="18"/>
          <w:b w:val="1"/>
          <w:bCs w:val="1"/>
          <w:color w:val="auto"/>
        </w:rPr>
        <w:t>CONSOLIDATED STATEMENTS OF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charges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Premiums earned</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1,110.0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Salaries and wages</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credit losses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claims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530.7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526.2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29.39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19,446,067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19,497,719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20,331,769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19,532,312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19,558,936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20,410,116</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64"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574.0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securities, net of tax</w:t>
            </w:r>
          </w:p>
        </w:tc>
        <w:tc>
          <w:tcPr>
            <w:tcW w:w="8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84"/>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8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573.9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332.7</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3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2"/>
                <w:szCs w:val="12"/>
                <w:color w:val="auto"/>
              </w:rPr>
            </w:pPr>
          </w:p>
        </w:tc>
        <w:tc>
          <w:tcPr>
            <w:tcW w:w="1100" w:type="dxa"/>
            <w:vAlign w:val="bottom"/>
          </w:tcPr>
          <w:p>
            <w:pPr>
              <w:jc w:val="center"/>
              <w:ind w:right="72"/>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 Capital</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2016</w:t>
            </w:r>
          </w:p>
        </w:tc>
        <w:tc>
          <w:tcPr>
            <w:tcW w:w="12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20,132,972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awards,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forfeitures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(666,330)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 converted to</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common stock</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404,096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Tax benefits from stock-based</w:t>
            </w: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57"/>
        </w:trPr>
        <w:tc>
          <w:tcPr>
            <w:tcW w:w="3200" w:type="dxa"/>
            <w:vAlign w:val="bottom"/>
          </w:tcPr>
          <w:p>
            <w:pPr>
              <w:ind w:left="520"/>
              <w:spacing w:after="0"/>
              <w:rPr>
                <w:sz w:val="20"/>
                <w:szCs w:val="20"/>
                <w:color w:val="auto"/>
              </w:rPr>
            </w:pPr>
            <w:r>
              <w:rPr>
                <w:rFonts w:ascii="Arial" w:cs="Arial" w:eastAsia="Arial" w:hAnsi="Arial"/>
                <w:sz w:val="18"/>
                <w:szCs w:val="18"/>
                <w:color w:val="auto"/>
              </w:rPr>
              <w:t>compensation plans</w:t>
            </w:r>
          </w:p>
        </w:tc>
        <w:tc>
          <w:tcPr>
            <w:tcW w:w="1400" w:type="dxa"/>
            <w:vAlign w:val="bottom"/>
            <w:gridSpan w:val="2"/>
            <w:vMerge w:val="continue"/>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2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19,877,381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1,042.0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awards,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20"/>
              <w:spacing w:after="0"/>
              <w:rPr>
                <w:sz w:val="20"/>
                <w:szCs w:val="20"/>
                <w:color w:val="auto"/>
              </w:rPr>
            </w:pPr>
            <w:r>
              <w:rPr>
                <w:rFonts w:ascii="Arial" w:cs="Arial" w:eastAsia="Arial" w:hAnsi="Arial"/>
                <w:sz w:val="18"/>
                <w:szCs w:val="18"/>
                <w:color w:val="auto"/>
              </w:rPr>
              <w:t>forfeitures</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(610,260)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units converted to</w:t>
            </w: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34,836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tcPr>
          <w:p>
            <w:pPr>
              <w:ind w:left="520"/>
              <w:spacing w:after="0"/>
              <w:rPr>
                <w:sz w:val="20"/>
                <w:szCs w:val="20"/>
                <w:color w:val="auto"/>
              </w:rPr>
            </w:pPr>
            <w:r>
              <w:rPr>
                <w:rFonts w:ascii="Arial" w:cs="Arial" w:eastAsia="Arial" w:hAnsi="Arial"/>
                <w:sz w:val="18"/>
                <w:szCs w:val="18"/>
                <w:color w:val="auto"/>
              </w:rPr>
              <w:t>common stock</w:t>
            </w:r>
          </w:p>
        </w:tc>
        <w:tc>
          <w:tcPr>
            <w:tcW w:w="12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2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19,310,049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1,390.3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awards,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forfeitures</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3,998</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(342,928)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 converted to</w:t>
            </w: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3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stock</w:t>
            </w: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December 31, 2018</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18,972,558</w:t>
            </w:r>
          </w:p>
        </w:tc>
        <w:tc>
          <w:tcPr>
            <w:tcW w:w="120" w:type="dxa"/>
            <w:vAlign w:val="bottom"/>
            <w:tcBorders>
              <w:top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154.9</w:t>
            </w: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1,990.9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64" w:right="239" w:bottom="1440" w:gutter="0" w:footer="0" w:header="0"/>
          <w:type w:val="continuous"/>
        </w:sectPr>
      </w:pPr>
    </w:p>
    <w:bookmarkStart w:id="48" w:name="page49"/>
    <w:bookmarkEnd w:id="48"/>
    <w:p>
      <w:pPr>
        <w:jc w:val="cente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Adjustments to reconcile cash provided by 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credit losses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Provision (credit) for deferred income taxes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Increase in accounts payable and accrued liabilities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(increase) in 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Increase (decrease) in income taxes payable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other assets</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566.0</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restricted securities available for sale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restricted securities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Maturities of restricted securities available for sale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collected on Loans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Advances to Dealers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(1,881.3)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Consumer Loans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Accelerated payments of Dealer Holdback</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Dealer Holdback</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revolving secured line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under revolving secured line of credit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(1,673.1)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secured financing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secured financing</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mortgage note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Payments of debt issuance costs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increase in cash and cash equivalents and restricted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4"/>
              </w:rPr>
              <w:t>Cash and cash equivalents and restricted cash and cash equivalents, beginning of period</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and restricted cash and cash equivalents,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Cash paid during the period for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64"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Principal Business. </w:t>
      </w:r>
      <w:r>
        <w:rPr>
          <w:rFonts w:ascii="Arial" w:cs="Arial" w:eastAsia="Arial" w:hAnsi="Arial"/>
          <w:sz w:val="18"/>
          <w:szCs w:val="18"/>
          <w:color w:val="auto"/>
        </w:rPr>
        <w:t>Since 1972, Credit Acceptance Corporation (referred to as the “Company”, “Credit Acceptance”, “we”, “our” or “us”) has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Substantially all of the Consumer Loans assigned to us are made to consumers with impaired or limited credit histories. The following table shows the percentage of Consumer Loans assigned to us with either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For the Years Ended December 31,</w:t>
            </w:r>
          </w:p>
        </w:tc>
        <w:tc>
          <w:tcPr>
            <w:tcW w:w="1440" w:type="dxa"/>
            <w:vAlign w:val="bottom"/>
            <w:tcBorders>
              <w:bottom w:val="single" w:sz="8" w:color="auto"/>
            </w:tcBorders>
          </w:tcPr>
          <w:p>
            <w:pPr>
              <w:spacing w:after="0"/>
              <w:rPr>
                <w:sz w:val="17"/>
                <w:szCs w:val="17"/>
                <w:color w:val="auto"/>
              </w:rPr>
            </w:pPr>
          </w:p>
        </w:tc>
      </w:tr>
      <w:tr>
        <w:trPr>
          <w:trHeight w:val="264"/>
        </w:trPr>
        <w:tc>
          <w:tcPr>
            <w:tcW w:w="55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Consumer Loan Assignment Volume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2016</w:t>
            </w:r>
          </w:p>
        </w:tc>
      </w:tr>
      <w:tr>
        <w:trPr>
          <w:trHeight w:val="229"/>
        </w:trPr>
        <w:tc>
          <w:tcPr>
            <w:tcW w:w="5620" w:type="dxa"/>
            <w:vAlign w:val="bottom"/>
            <w:gridSpan w:val="2"/>
            <w:shd w:val="clear" w:color="auto" w:fill="CCEEFF"/>
          </w:tcPr>
          <w:p>
            <w:pPr>
              <w:ind w:left="40"/>
              <w:spacing w:after="0" w:line="228" w:lineRule="exact"/>
              <w:rPr>
                <w:sz w:val="20"/>
                <w:szCs w:val="20"/>
                <w:color w:val="auto"/>
              </w:rPr>
            </w:pPr>
            <w:r>
              <w:rPr>
                <w:rFonts w:ascii="Arial" w:cs="Arial" w:eastAsia="Arial" w:hAnsi="Arial"/>
                <w:sz w:val="18"/>
                <w:szCs w:val="18"/>
                <w:color w:val="auto"/>
                <w:w w:val="94"/>
              </w:rPr>
              <w:t>Percentage of total unit volume with either FICO</w:t>
            </w:r>
            <w:r>
              <w:rPr>
                <w:rFonts w:ascii="Arial" w:cs="Arial" w:eastAsia="Arial" w:hAnsi="Arial"/>
                <w:sz w:val="25"/>
                <w:szCs w:val="25"/>
                <w:color w:val="auto"/>
                <w:w w:val="94"/>
                <w:vertAlign w:val="superscript"/>
              </w:rPr>
              <w:t>®</w:t>
            </w:r>
            <w:r>
              <w:rPr>
                <w:rFonts w:ascii="Arial" w:cs="Arial" w:eastAsia="Arial" w:hAnsi="Arial"/>
                <w:sz w:val="18"/>
                <w:szCs w:val="18"/>
                <w:color w:val="auto"/>
                <w:w w:val="94"/>
              </w:rPr>
              <w:t xml:space="preserve"> scores below 650 or no</w:t>
            </w: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562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as Dealer Loans and Purchased Loans for each of the last three years: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gridSpan w:val="3"/>
          </w:tcPr>
          <w:p>
            <w:pPr>
              <w:jc w:val="right"/>
              <w:ind w:right="1194"/>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Pr>
          <w:p>
            <w:pPr>
              <w:spacing w:after="0"/>
              <w:rPr>
                <w:sz w:val="17"/>
                <w:szCs w:val="17"/>
                <w:color w:val="auto"/>
              </w:rPr>
            </w:pPr>
          </w:p>
        </w:tc>
        <w:tc>
          <w:tcPr>
            <w:tcW w:w="33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500" w:type="dxa"/>
            <w:vAlign w:val="bottom"/>
            <w:gridSpan w:val="2"/>
          </w:tcPr>
          <w:p>
            <w:pPr>
              <w:ind w:left="1120"/>
              <w:spacing w:after="0"/>
              <w:rPr>
                <w:sz w:val="20"/>
                <w:szCs w:val="20"/>
                <w:color w:val="auto"/>
              </w:rPr>
            </w:pPr>
            <w:r>
              <w:rPr>
                <w:rFonts w:ascii="Arial" w:cs="Arial" w:eastAsia="Arial" w:hAnsi="Arial"/>
                <w:sz w:val="14"/>
                <w:szCs w:val="14"/>
                <w:b w:val="1"/>
                <w:bCs w:val="1"/>
                <w:color w:val="auto"/>
              </w:rPr>
              <w:t>For the Years Ended December 31,</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Dealer Loans</w:t>
            </w: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Purchased Loans</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Dealer Loans</w:t>
            </w:r>
          </w:p>
        </w:tc>
        <w:tc>
          <w:tcPr>
            <w:tcW w:w="1640" w:type="dxa"/>
            <w:vAlign w:val="bottom"/>
          </w:tcPr>
          <w:p>
            <w:pPr>
              <w:jc w:val="right"/>
              <w:ind w:right="214"/>
              <w:spacing w:after="0"/>
              <w:rPr>
                <w:sz w:val="20"/>
                <w:szCs w:val="20"/>
                <w:color w:val="auto"/>
              </w:rPr>
            </w:pPr>
            <w:r>
              <w:rPr>
                <w:rFonts w:ascii="Arial" w:cs="Arial" w:eastAsia="Arial" w:hAnsi="Arial"/>
                <w:sz w:val="14"/>
                <w:szCs w:val="14"/>
                <w:b w:val="1"/>
                <w:bCs w:val="1"/>
                <w:color w:val="auto"/>
              </w:rPr>
              <w:t>Purchased Loans</w:t>
            </w:r>
          </w:p>
        </w:tc>
      </w:tr>
      <w:tr>
        <w:trPr>
          <w:trHeight w:val="250"/>
        </w:trPr>
        <w:tc>
          <w:tcPr>
            <w:tcW w:w="4380" w:type="dxa"/>
            <w:vAlign w:val="bottom"/>
            <w:tcBorders>
              <w:top w:val="single" w:sz="8" w:color="auto"/>
              <w:bottom w:val="single" w:sz="8" w:color="CCEEFF"/>
            </w:tcBorders>
            <w:shd w:val="clear" w:color="auto" w:fill="CCEEFF"/>
          </w:tcPr>
          <w:p>
            <w:pPr>
              <w:jc w:val="right"/>
              <w:ind w:right="3914"/>
              <w:spacing w:after="0"/>
              <w:rPr>
                <w:sz w:val="20"/>
                <w:szCs w:val="20"/>
                <w:color w:val="auto"/>
              </w:rPr>
            </w:pPr>
            <w:r>
              <w:rPr>
                <w:rFonts w:ascii="Arial" w:cs="Arial" w:eastAsia="Arial" w:hAnsi="Arial"/>
                <w:sz w:val="18"/>
                <w:szCs w:val="18"/>
                <w:color w:val="auto"/>
                <w:w w:val="89"/>
              </w:rPr>
              <w:t>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7"/>
              </w:rPr>
              <w:t>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4380" w:type="dxa"/>
            <w:vAlign w:val="bottom"/>
          </w:tcPr>
          <w:p>
            <w:pPr>
              <w:jc w:val="right"/>
              <w:ind w:right="3914"/>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640" w:type="dxa"/>
            <w:vAlign w:val="bottom"/>
          </w:tcPr>
          <w:p>
            <w:pPr>
              <w:ind w:left="1120"/>
              <w:spacing w:after="0"/>
              <w:rPr>
                <w:sz w:val="20"/>
                <w:szCs w:val="20"/>
                <w:color w:val="auto"/>
              </w:rPr>
            </w:pPr>
            <w:r>
              <w:rPr>
                <w:rFonts w:ascii="Arial" w:cs="Arial" w:eastAsia="Arial" w:hAnsi="Arial"/>
                <w:sz w:val="18"/>
                <w:szCs w:val="18"/>
                <w:color w:val="auto"/>
                <w:w w:val="97"/>
              </w:rPr>
              <w:t>68.5%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380" w:type="dxa"/>
            <w:vAlign w:val="bottom"/>
            <w:shd w:val="clear" w:color="auto" w:fill="CCEEFF"/>
          </w:tcPr>
          <w:p>
            <w:pPr>
              <w:jc w:val="right"/>
              <w:ind w:right="3914"/>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7"/>
              </w:rPr>
              <w:t>67.2%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Portfolio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25" w:lineRule="exact"/>
        <w:rPr>
          <w:sz w:val="20"/>
          <w:szCs w:val="20"/>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non-recourse cash payment (“advance”) from us; and</w:t>
      </w:r>
    </w:p>
    <w:p>
      <w:pPr>
        <w:spacing w:after="0" w:line="9"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after the advance has been recovered by us, the cash from payments made on the Consumer Loan, net of certain collection costs and our servicing fee (“Dealer Holdback”).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 the amount advanced to the Dealer as a Dealer Loan, which is classified within Loans receivable in our consolidated balance sheets. Cash advanced to the Dealer is automatically assigned to the Dealer’s open pool of advances. We generally require Dealers to group advances into pools of at least 100 Consumer Loans. Unless we receive a request from the Dealer to keep a pool open, we automatically close a pool containing 100 Consumer Loans and assign subsequent advances to a new pool.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170" w:lineRule="exact"/>
        <w:rPr>
          <w:sz w:val="20"/>
          <w:szCs w:val="20"/>
          <w:color w:val="auto"/>
        </w:rPr>
      </w:pPr>
    </w:p>
    <w:p>
      <w:pPr>
        <w:ind w:left="840" w:hanging="332"/>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at least 100 Consumer Loans.</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Dealers have an opportunity to receive an accelerated Dealer Holdback payment each time 100 Consumer Loans have been assigned to us. The amount paid to the Dealer is calculated using a formula that considers the forecasted collections and the advance balance on the related Consumer Loans.</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Purchase Program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Enrollment</w:t>
      </w:r>
    </w:p>
    <w:p>
      <w:pPr>
        <w:spacing w:after="0" w:line="225"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Dealers may enroll in our Portfolio Program by (1) paying an up-front, one-time fee of $9,850, or (2) agreeing to allow us to retain 50% of their first accelerated Dealer Holdback payment. Access to the Purchase Program is typically only granted to Dealers that meet one of the following:</w:t>
      </w:r>
    </w:p>
    <w:p>
      <w:pPr>
        <w:spacing w:after="0" w:line="147" w:lineRule="exact"/>
        <w:rPr>
          <w:sz w:val="20"/>
          <w:szCs w:val="20"/>
          <w:color w:val="auto"/>
        </w:rPr>
      </w:pPr>
    </w:p>
    <w:p>
      <w:pPr>
        <w:ind w:left="840" w:hanging="33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received first accelerated Dealer Holdback payment under the Portfolio Program;</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6400" w:firstLine="8"/>
        <w:spacing w:after="0" w:line="503" w:lineRule="auto"/>
        <w:tabs>
          <w:tab w:leader="none" w:pos="31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consolidated financial statements include our accounts and our wholly-owned subsidiaries. All significant intercompany transactions have been eliminated. Our primary subsidiaries as of December 31, 2018 are: Buyer’s Vehicle Protection Plan, Inc. (“BVPP”), Vehicle Remarketing Services, Inc. (“VRS”), VSC Re Company (“VSC Re”), CAC Warehouse Funding Corp. II, CAC Warehouse Funding LLC IV, CAC Warehouse Funding LLC V, CAC Warehouse Funding LLC VI, CAC Warehouse Funding LLC VII, Credit Acceptance Funding LLC 2016-1, Credit Acceptance Funding LLC 2016-2, Credit Acceptance Funding LLC 2016-3, Credit Acceptance Funding LLC 2017-1, Credit Acceptance Funding LLC 2017-2, Credit Acceptance Funding LLC 2017-3, Credit Acceptance Funding LLC 2018-1, Credit Acceptance Funding LLC 2018-2 and Credit Acceptance Funding LLC 2018-3.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currently operate in one reportable segment which represents our core business of offering financing programs that enable Dealers to sell vehicles to consumers regardless of their credit history. For information regarding our one reportable segment and related entity wide disclosures, see Note 16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The accounts which are subject to significant estimation include the allowance for credit losses, finance charge revenue, premiums earned, stock-based compensation expense, contingencies, and uncertain tax positions. Actual results could materially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 and Cash Equivalents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equivalents consist of readily marketable securities with original maturities at the date of acquisition of three months or less. As of December 31, 2018 and 2017, we had $25.1 million and $7.8 million, respectively, in cash and cash equivalents that were not insured by the Federal Deposit Insurance Corporation (“FDIC”).</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cash and cash equivalents consist of cash pledged as collateral for secured financings and cash held in a trust for future vehicle service contract claims. As of December 31, 2018 and 2017, we had $303.0 million and $255.1 million, respectively, in restricted cash and cash equivalents that were not insured by the FDIC.</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and cash equivalents reported in our consolidated balance sheets to the total shown in our consolidated statements of cash flows: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22"/>
                <w:szCs w:val="22"/>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31, 2017</w:t>
            </w:r>
          </w:p>
        </w:tc>
        <w:tc>
          <w:tcPr>
            <w:tcW w:w="220" w:type="dxa"/>
            <w:vAlign w:val="bottom"/>
          </w:tcPr>
          <w:p>
            <w:pPr>
              <w:spacing w:after="0"/>
              <w:rPr>
                <w:sz w:val="22"/>
                <w:szCs w:val="22"/>
                <w:color w:val="auto"/>
              </w:rPr>
            </w:pPr>
          </w:p>
        </w:tc>
        <w:tc>
          <w:tcPr>
            <w:tcW w:w="160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r>
      <w:tr>
        <w:trPr>
          <w:trHeight w:val="284"/>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224.7</w:t>
            </w:r>
          </w:p>
        </w:tc>
      </w:tr>
      <w:tr>
        <w:trPr>
          <w:trHeight w:val="25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cash and cash equivalents and restricted cash and cash equivalents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239.3</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Securities Available for Sale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Restricted securities available for sale consist of amounts held in a trust for future vehicle service contract claims.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Receivable and Allowance for Credit Losses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Consumer Loan Assignment. </w:t>
      </w:r>
      <w:r>
        <w:rPr>
          <w:rFonts w:ascii="Arial" w:cs="Arial" w:eastAsia="Arial" w:hAnsi="Arial"/>
          <w:sz w:val="17"/>
          <w:szCs w:val="17"/>
          <w:color w:val="auto"/>
        </w:rPr>
        <w:t>For legal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23"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Portfolio Segments and Classes. </w:t>
      </w:r>
      <w:r>
        <w:rPr>
          <w:rFonts w:ascii="Arial" w:cs="Arial" w:eastAsia="Arial" w:hAnsi="Arial"/>
          <w:sz w:val="17"/>
          <w:szCs w:val="17"/>
          <w:color w:val="auto"/>
        </w:rPr>
        <w:t>We are considered to be a lender to our Dealers for Consumer Loans assigned under our Portfolio Program and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of Consumer Loans assigned under our Purchase Program. As a result, our Loan portfolio consists of two portfolio segments: Dealer Loans and Purchased Loans. Each portfolio segment is comprised of one class of Consumer Loan assignments, which is Consumer Loans originated by Dealers to finance purchases of vehicles and related ancillary products by consumers with impaired or limited credit histories.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Dealer Loans</w:t>
      </w:r>
      <w:r>
        <w:rPr>
          <w:rFonts w:ascii="Arial" w:cs="Arial" w:eastAsia="Arial" w:hAnsi="Arial"/>
          <w:sz w:val="18"/>
          <w:szCs w:val="18"/>
          <w:color w:val="auto"/>
        </w:rPr>
        <w:t>. Amounts advanced to Dealers for Consumer Loans assigned under the Portfolio Program are recorded as Dealer Loans and are aggregated</w:t>
      </w:r>
      <w:r>
        <w:rPr>
          <w:rFonts w:ascii="Arial" w:cs="Arial" w:eastAsia="Arial" w:hAnsi="Arial"/>
          <w:sz w:val="18"/>
          <w:szCs w:val="18"/>
          <w:i w:val="1"/>
          <w:iCs w:val="1"/>
          <w:color w:val="auto"/>
        </w:rPr>
        <w:t xml:space="preserve"> </w:t>
      </w:r>
      <w:r>
        <w:rPr>
          <w:rFonts w:ascii="Arial" w:cs="Arial" w:eastAsia="Arial" w:hAnsi="Arial"/>
          <w:sz w:val="18"/>
          <w:szCs w:val="18"/>
          <w:color w:val="auto"/>
        </w:rPr>
        <w:t>by Dealer for purposes of recognizing revenue and evaluating impairment. We account for Dealer Loans based on forecasted cash flows instead of contractual cash flows as we do not expect to collect all of the contractually specified amounts due to the credit quality of the underlying Consumer Loans. The outstanding balance of each Dealer Loan included in Loans receivable is comprised of the following:</w:t>
      </w:r>
    </w:p>
    <w:p>
      <w:pPr>
        <w:spacing w:after="0" w:line="187" w:lineRule="exact"/>
        <w:rPr>
          <w:sz w:val="20"/>
          <w:szCs w:val="20"/>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amount of all cash advances paid;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Dealer Holdback payments;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accelerated Dealer Holdback payments;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recoveries.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collections (net of certain collection costs);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write-offs;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allowance for credit losses is maintained at an amount that reduces the net asset value (Dealer Loan balance less the allowance) to the value of forecasted future cash flows discounted at the yield established at the time of assignment. This allowance calculation is completed for each individual Dealer. Future cash flows are comprised of estimated future collections on the Consumer Loans, less any estimated Dealer Holdback payments. We write off Dealer Loans once there are no forecasted future cash flows on any of the associated Consumer Loans, which generally occurs 120 months after the last Consumer Loan assignment.</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Future collections on Dealer Loans are forecasted for each individual Dealer based on the historical performance of Consumer Loans with similar characteristics, adjusted for recent trends in payment patterns. Dealer Holdback is forecasted for each individual Dealer based on the expected future collections and current advance balance of each Dealer Loan. Cash flows from any individual Dealer Loan are often different than estimated cash flows at the time of assignment. If such difference is favorable, the difference is recognized prospectively into income over the remaining life of the Dealer Loan through a yield adjustment. If such difference is unfavorable, a provision for credit losses is recorded immediately as a current period expense and a corresponding allowance for credit losses is established. Because differences between estimated cash flows at the time of assignment and actual cash flows occur often, an allowance is required for a significant portion of our Dealer Loan portfolio. An allowance for credit losses does not necessarily indicate that a Dealer Loan is unprofitable, and seldom are cash flows from a Dealer Loan insufficient to repay the initial amounts advanced to the Dealer.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Purchased Loans</w:t>
      </w:r>
      <w:r>
        <w:rPr>
          <w:rFonts w:ascii="Arial" w:cs="Arial" w:eastAsia="Arial" w:hAnsi="Arial"/>
          <w:sz w:val="16"/>
          <w:szCs w:val="16"/>
          <w:color w:val="auto"/>
        </w:rPr>
        <w:t>. Amounts paid to Dealers for Consumer Loans assigned under the Purchase Program are recorded as Purchased Loans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aggregated into pools based on the month of purchase for purposes of recognizing revenue and evaluating impairment. We account for Purchased Loans based on forecasted cash flows instead of contractual cash flows as we do not expect to collect all of the contractually specified amounts due to the credit quality of the assigned Consumer Loans. The outstanding balance of each Purchased Loan pool included in Loans receivable is comprised of the following:</w:t>
      </w:r>
    </w:p>
    <w:p>
      <w:pPr>
        <w:spacing w:after="0" w:line="154" w:lineRule="exact"/>
        <w:rPr>
          <w:sz w:val="20"/>
          <w:szCs w:val="20"/>
          <w:color w:val="auto"/>
        </w:rPr>
      </w:pPr>
    </w:p>
    <w:p>
      <w:pPr>
        <w:ind w:left="840" w:hanging="332"/>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amount of all amounts paid during the month of purchase to purchase Consumer Loans from Dealers;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recoveries;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ind w:left="840" w:hanging="332"/>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collections (net of certain collection costs);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write-offs.</w:t>
      </w:r>
    </w:p>
    <w:p>
      <w:pPr>
        <w:spacing w:after="0" w:line="211"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color w:val="auto"/>
        </w:rPr>
        <w:t>An allowance for credit losses is maintained at an amount that reduces the net asset value (Purchased Loan pool balance less the allowance) to the value of forecasted future cash flows discounted at the yield established at the time of assignment. This allowance calculation is completed for each individual monthly pool of Purchased Loans. Future cash flows are comprised of estimated future collections on the pool of Purchased Loans. We write off pools of Purchased Loans once there are no forecasted future cash flows on any of the Purchased Loans included in the pool, which generally occurs 120 months after the month of purchase.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Future collections on Purchased Loans are forecasted for each individual pool based on the historical performance of Consumer Loans with similar characteristics, adjusted for recent trends in payment patterns. Cash flows from any individual pool of Purchased Loans are often different than estimated cash flows at the time of assignment. If such difference is favorable, the difference is recognized prospectively into income over the remaining life of the pool of Purchased Loans through a yield adjustment. If such difference is unfavorable, a provision for credit losses is recorded immediately as a current period expense and a corresponding allowance for credit losses is established.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our Portfolio Program, certain events may result in Dealers forfeiting their rights to Dealer Holdback. We transfer the Dealer’s outstanding Dealer Loan balance to Purchased Loans in the period this forfeiture occurs. During the fourth quarter of 2017, we enhanced our accounting methodology for transferring loans. Beginning in the fourth quarter of 2017, we:</w:t>
      </w:r>
    </w:p>
    <w:p>
      <w:pPr>
        <w:spacing w:after="0" w:line="181" w:lineRule="exact"/>
        <w:rPr>
          <w:sz w:val="20"/>
          <w:szCs w:val="20"/>
          <w:color w:val="auto"/>
        </w:rPr>
      </w:pPr>
    </w:p>
    <w:p>
      <w:pPr>
        <w:ind w:left="840" w:hanging="332"/>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 the related Dealer Loan allowance for credit losses balance to Purchased Loans in the period this forfeiture occurs;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aggregate these Purchased Loans by Dealer for purposes of recognizing revenue and evaluating impairment.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Prior to the fourth quarter of 2017, we:</w:t>
      </w:r>
    </w:p>
    <w:p>
      <w:pPr>
        <w:spacing w:after="0" w:line="225" w:lineRule="exact"/>
        <w:rPr>
          <w:sz w:val="20"/>
          <w:szCs w:val="20"/>
          <w:color w:val="auto"/>
        </w:rPr>
      </w:pPr>
    </w:p>
    <w:p>
      <w:pPr>
        <w:ind w:left="840" w:hanging="332"/>
        <w:spacing w:after="0" w:line="258"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reversed the Dealer Loan allowance for credit losses balance through Dealer Loan provision for credit losses and established a new allowance for credit losses in Purchased Loans through Purchased Loan provision for credit losses; and</w:t>
      </w:r>
    </w:p>
    <w:p>
      <w:pPr>
        <w:spacing w:after="0" w:line="1" w:lineRule="exact"/>
        <w:rPr>
          <w:rFonts w:ascii="Arial" w:cs="Arial" w:eastAsia="Arial" w:hAnsi="Arial"/>
          <w:sz w:val="18"/>
          <w:szCs w:val="18"/>
          <w:color w:val="auto"/>
        </w:rPr>
      </w:pPr>
    </w:p>
    <w:p>
      <w:pPr>
        <w:ind w:left="840" w:hanging="332"/>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aggregated these Purchased Loans by month of purchase for purposes of recognizing revenue and evaluating impairment.</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Credit Quality. </w:t>
      </w:r>
      <w:r>
        <w:rPr>
          <w:rFonts w:ascii="Arial" w:cs="Arial" w:eastAsia="Arial" w:hAnsi="Arial"/>
          <w:sz w:val="17"/>
          <w:szCs w:val="17"/>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the Consumer Loan is submitted to us for assignment, we forecast future expected cash flows from the Consumer Loan. Based on these forecasts, an advance or one-time purchase payment is made to the related Dealer at a price designed to maximize economic profit, a non-GAAP financial measure that considers our return on capital, our cost of capital and the amount of capital invested.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of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than historical Consumer Loans with similar characteristics. We periodically adjust our statistical pricing model for new trends that we identify through our evaluation of these forecasted collection rate variances.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When overall forecasted collection rates underperform our initial expectations, the decline in forecasted collections has a more adverse impact on the profitability of the Purchased Loans than on the profitability of the Dealer Loans. For Purchased Loans, the decline in forecasted collections is absorbed entirely by us. For Dealer Loans, the decline in the forecasted collections is substantially offset by a decline in forecasted payments of Dealer Holdback.</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Methodology Changes. </w:t>
      </w:r>
      <w:r>
        <w:rPr>
          <w:rFonts w:ascii="Arial" w:cs="Arial" w:eastAsia="Arial" w:hAnsi="Arial"/>
          <w:sz w:val="18"/>
          <w:szCs w:val="18"/>
          <w:color w:val="auto"/>
        </w:rPr>
        <w:t>During 2017, we enhanced our methodology for transferring Loans and updated our net cash flow timing model. During 2016, we</w:t>
      </w:r>
      <w:r>
        <w:rPr>
          <w:rFonts w:ascii="Arial" w:cs="Arial" w:eastAsia="Arial" w:hAnsi="Arial"/>
          <w:sz w:val="18"/>
          <w:szCs w:val="18"/>
          <w:i w:val="1"/>
          <w:iCs w:val="1"/>
          <w:color w:val="auto"/>
        </w:rPr>
        <w:t xml:space="preserve"> </w:t>
      </w:r>
      <w:r>
        <w:rPr>
          <w:rFonts w:ascii="Arial" w:cs="Arial" w:eastAsia="Arial" w:hAnsi="Arial"/>
          <w:sz w:val="18"/>
          <w:szCs w:val="18"/>
          <w:color w:val="auto"/>
        </w:rPr>
        <w:t>enhanced our methodology for forecasting the amount and timing of future collections on Consumer Loans. For additional information regarding these methodology changes, see Note 5 to the consolidated financial statements. For the three year period ended December 31, 2018, we did not make any other methodology changes for Loans that had a material impact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Purchases of property and equipment are recorded at cost. Depreciation is provided on a straight-line basis over the estimated useful life of the asset. Estimated useful lives are generally as follows: buildings – 40 years, building improvements – 10 years, data processing equipment – 3 years, software</w:t>
      </w:r>
    </w:p>
    <w:p>
      <w:pPr>
        <w:jc w:val="both"/>
        <w:spacing w:after="0" w:line="295" w:lineRule="auto"/>
        <w:rPr>
          <w:sz w:val="20"/>
          <w:szCs w:val="20"/>
          <w:color w:val="auto"/>
        </w:rPr>
      </w:pPr>
      <w:r>
        <w:rPr>
          <w:rFonts w:ascii="Arial" w:cs="Arial" w:eastAsia="Arial" w:hAnsi="Arial"/>
          <w:sz w:val="16"/>
          <w:szCs w:val="16"/>
          <w:color w:val="auto"/>
        </w:rPr>
        <w:t>– 5 years, office furniture and equipment – 7 years, and leasehold improvements – the lesser of the lease term or 7 years. The cost of assets sold or retired and the related accumulated depreciation are removed from the balance sheet at the time of disposition and any resulting gain or loss is included in operations. Maintenance, repairs and minor replacements are charged to operations as incurred; major replacements and improvements are capitalized. We evaluate long-lived assets for impairment whenever events or changes in circumstances indicate that the carrying amount of an asset may not be recoverable.</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Costs incurred during the application development stage of software developed for internal use are capitalized and generally depreciated on a straight-line basis over five years. Costs incurred to maintain existing software are expensed as incurred. For additional information regarding our property and equipment, see Note 6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Deferred debt issuance costs associated with secured financings and senior notes are included as a deduction from the carrying amount of the related debt liability, and deferred debt issuance costs associated with our revolving secured line of credit are included in other assets. Expenses associated with the issuance of debt instruments are capitalized and amortized as interest expense over the term of the debt instrument using the effective interest method for asset-backed secured financings (“Term ABS”) and senior notes and the straight-line method for lines of credit and revolving secured warehouse (“Warehouse”) facilities. For additional information regarding deferred debt issuance costs, see Note 9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rely on various sources of financing, some of which contain floating rates of interest and expose us to risks associated with increases in interest rates. We manage such risk primarily by entering into interest rate cap agreements (“derivative instruments”). These derivative instruments are not designated as hedges, and changes in their fair value increase or decrease interest expense.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derivative instruments as either other assets or accounts payable and accrued liabilities on our consolidated balance sheets. For additional information regarding our derivative instruments, see Note 10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Charges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Finance charges is comprised of: (1) servicing fees earned as a result of servicing Consumer Loans assigned to us by Dealers under the Portfolio Program; (2) finance charge income from Purchased Loans; (3) fees earned from our third party ancillary product offerings; (4) monthly program fees charged to Dealers under the Portfolio Program; and (5) fees associated with certain Loans. We recognize finance charges under the interest method such that revenue is recognized on a level-yield basis based upon forecasted cash flows. For Dealer Loans only, certain direct origination costs such as salaries and credit reports are deferred and the net costs are recognized as an adjustment to finance charges over the life of the related Dealer Loan on a level-yield basis.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 party insurers.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 fees represent monthly fees charged to Dealers for access to our Credit Approval Processing System (“CAPS”); administration, servicing and collection services offered by us; documentation related to or affecting our program; and all tangible and intangible property owned by Credit Acceptance. We charge a monthly fee of $599 to Dealers participating in our Portfolio Program and we collect it from future Dealer Holdback payments. As a result, we record program fees under the Portfolio Program as a yield adjustment, recognizing these fees as finance charge revenue over the forecasted net cash flows of the Dealer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VSC Re, our wholly-owned subsidiary, is engaged in the business of reinsuring coverage under vehicle service contracts sold to consumers by Dealers on vehicles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consolidated the trust assets within our financial statements based on our determination of the following:</w:t>
      </w:r>
    </w:p>
    <w:p>
      <w:pPr>
        <w:spacing w:after="0" w:line="225" w:lineRule="exact"/>
        <w:rPr>
          <w:sz w:val="20"/>
          <w:szCs w:val="20"/>
          <w:color w:val="auto"/>
        </w:rPr>
      </w:pPr>
    </w:p>
    <w:p>
      <w:pPr>
        <w:jc w:val="both"/>
        <w:ind w:left="840" w:hanging="332"/>
        <w:spacing w:after="0" w:line="256" w:lineRule="auto"/>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We have a variable interest in the trust. </w:t>
      </w:r>
      <w:r>
        <w:rPr>
          <w:rFonts w:ascii="Arial" w:cs="Arial" w:eastAsia="Arial" w:hAnsi="Arial"/>
          <w:sz w:val="18"/>
          <w:szCs w:val="18"/>
          <w:color w:val="auto"/>
        </w:rPr>
        <w:t>We have a residual interest in the assets of the trust, which is variable in nature, given that it increases or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based upon the actual loss experience of the related service contracts. In addition, VSC Re is required to absorb any losses in excess of the trust's assets.</w:t>
      </w:r>
    </w:p>
    <w:p>
      <w:pPr>
        <w:ind w:left="840" w:hanging="332"/>
        <w:spacing w:after="0" w:line="250" w:lineRule="auto"/>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The trust is a variable interest entity. </w:t>
      </w:r>
      <w:r>
        <w:rPr>
          <w:rFonts w:ascii="Arial" w:cs="Arial" w:eastAsia="Arial" w:hAnsi="Arial"/>
          <w:sz w:val="18"/>
          <w:szCs w:val="18"/>
          <w:color w:val="auto"/>
        </w:rPr>
        <w:t>The trust has insufficient equity at risk as no parties to the trust were required to contribute assets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them with any ownership interest.</w:t>
      </w:r>
    </w:p>
    <w:p>
      <w:pPr>
        <w:jc w:val="both"/>
        <w:ind w:left="840" w:hanging="332"/>
        <w:spacing w:after="0" w:line="254" w:lineRule="auto"/>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We are the primary beneficiary of the trust. </w:t>
      </w:r>
      <w:r>
        <w:rPr>
          <w:rFonts w:ascii="Arial" w:cs="Arial" w:eastAsia="Arial" w:hAnsi="Arial"/>
          <w:sz w:val="18"/>
          <w:szCs w:val="18"/>
          <w:color w:val="auto"/>
        </w:rPr>
        <w:t>We control the amount of premiums written and placed in the trust through Consumer Loan</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stock-based compensation plans for team members and non-employee directors, which are described more fully in Note 15 to the consolidated financial statements. We apply a fair-value-based measurement method in accounting for stock-based compensation plans and recognize stock-based compensation expense over the requisite service period of the grant as salaries and wages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sponsor a 401(k) plan that covers substantially all of our team members. We offer matching contributions to the 401(k) plan based on each enrolled team members’ eligible annual gross pay (subject to statutory limitations). Our matching contribution rate is equal to 100% of the first 2% participants contribute and an additional 50% of the next 4% participants contribute, for a maximum matching contribution of 4% of each participant’s eligible annual gross pay. For the years ended December 31, 2018, 2017 and 2016, we recognized compensation expense of $5.3 million, $4.6 million, and $3.6 million, respectively, for our matching contributions to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Provisions for federal, state and foreign income taxes are calculated on reported pre-tax earnings based on current tax law and also include, in the current period, the cumulative effect of any changes in tax rates from those used previously in determining deferred tax assets and liabilities. Such provisions differ from the amounts currently receivable or payable because certain items of income and expense are recognized in different time periods for financial reporting purposes than for income tax purposes.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follow a two-step approach for recognizing uncertain tax positions. First, we evaluate the tax position for 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consider many factors when evaluating and estimating our tax positions and tax benefits, which may require periodic adjustments and which may not accurately anticipate actual outcomes. We recognize interest and penalties related to uncertain tax positions in provision for income taxes. For additional information regarding our income taxes, see Note 12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Advertising costs are expensed as incurred. Advertising expenses were $0.2 million for the year ended December 31, 2018, $0.4 million for the year ended December 31, 2017 and $0.3 million for the year ended December 31,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 Adopted During the Current Year</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Amendments to SEC Paragraphs Pursuant to SEC Staff Accounting Bulletin No. 118. </w:t>
      </w:r>
      <w:r>
        <w:rPr>
          <w:rFonts w:ascii="Arial" w:cs="Arial" w:eastAsia="Arial" w:hAnsi="Arial"/>
          <w:sz w:val="16"/>
          <w:szCs w:val="16"/>
          <w:color w:val="auto"/>
        </w:rPr>
        <w:t>In March 2018, the Financial Accounting Standards Board</w:t>
      </w:r>
      <w:r>
        <w:rPr>
          <w:rFonts w:ascii="Arial" w:cs="Arial" w:eastAsia="Arial" w:hAnsi="Arial"/>
          <w:sz w:val="16"/>
          <w:szCs w:val="16"/>
          <w:i w:val="1"/>
          <w:iCs w:val="1"/>
          <w:color w:val="auto"/>
        </w:rPr>
        <w:t xml:space="preserve"> </w:t>
      </w:r>
      <w:r>
        <w:rPr>
          <w:rFonts w:ascii="Arial" w:cs="Arial" w:eastAsia="Arial" w:hAnsi="Arial"/>
          <w:sz w:val="16"/>
          <w:szCs w:val="16"/>
          <w:color w:val="auto"/>
        </w:rPr>
        <w:t>(“FASB”) issued Accounting Standards Update (“ASU”) 2018-05, which amended Accounting Standards Codification (“ASC”) Topic 740 (Income Taxes) for income tax accounting implications of the December 2017 Tax Cuts and Jobs Act ("2017 Tax Act"). ASU 2018-05 is effective for fiscal years, and interim periods, beginning in the reporting period that includes the enactment of the 2017 Tax Act. ASU 2018-05 provides guidance for entities under three scenarios:</w:t>
      </w:r>
    </w:p>
    <w:p>
      <w:pPr>
        <w:spacing w:after="0" w:line="2"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Measurement of certain income tax effects is complete—an entity must reflect the tax effects of the 2017 Tax Act for which the accounting is complete;</w:t>
      </w:r>
    </w:p>
    <w:p>
      <w:pPr>
        <w:spacing w:after="0" w:line="32" w:lineRule="exact"/>
        <w:rPr>
          <w:rFonts w:ascii="Arial" w:cs="Arial" w:eastAsia="Arial" w:hAnsi="Arial"/>
          <w:sz w:val="16"/>
          <w:szCs w:val="16"/>
          <w:color w:val="auto"/>
        </w:rPr>
      </w:pPr>
    </w:p>
    <w:p>
      <w:pPr>
        <w:jc w:val="both"/>
        <w:ind w:firstLine="8"/>
        <w:spacing w:after="0" w:line="286" w:lineRule="auto"/>
        <w:tabs>
          <w:tab w:leader="none" w:pos="263"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Measurement of certain income tax effects can be reasonably estimated—an entity must report provisional amounts for those specific income tax effects of the 2017 Tax Act for which the accounting is incomplete but a reasonable estimate can be determined. Provisional amounts or adjustments to provisional amounts identified in the measurement period, as defined, should be included as an adjustment to tax expense or benefit from continuing operations in the period the amounts are determined; and (3) Measurement of certain income tax effects cannot be reasonably estimated—an entity is not required to report provisional amounts for any specific income tax effects of the 2017 Tax Act for which a reasonable estimate cannot be determined, and would continue to apply ASC Topic 740 based on the provisions of the tax laws that were in effect immediately prior to the enactment of the 2017 Tax Act. Entities would report the provisional amounts of the tax effects of the 2017 Tax Act in the first reporting period in which a reasonable estimate can be determined. ASU 2018-05 further provides that the measurement period is complete when a company's accounting is complete and in no circumstances should the measurement period extend beyond one year from the enactment date of the 2017 Tax Act. An entity may be able to complete the accounting under some provisions of the 2017 Tax Act earlier than others. As a result it may need to apply all three scenarios in determining the accounting for the 2017 Tax Act based on the information that is available. For information regarding the impact of the enactment of the 2017 Tax Act, see Note 12 to the consolidated financial statements.</w:t>
      </w:r>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Recognition and Measurement of Financial Assets and Financial Liabilities. </w:t>
      </w:r>
      <w:r>
        <w:rPr>
          <w:rFonts w:ascii="Arial" w:cs="Arial" w:eastAsia="Arial" w:hAnsi="Arial"/>
          <w:sz w:val="16"/>
          <w:szCs w:val="16"/>
          <w:color w:val="auto"/>
        </w:rPr>
        <w:t>In January 2016, the FASB issued ASU 2016-01, which revised ASC Topic</w:t>
      </w:r>
      <w:r>
        <w:rPr>
          <w:rFonts w:ascii="Arial" w:cs="Arial" w:eastAsia="Arial" w:hAnsi="Arial"/>
          <w:sz w:val="16"/>
          <w:szCs w:val="16"/>
          <w:i w:val="1"/>
          <w:iCs w:val="1"/>
          <w:color w:val="auto"/>
        </w:rPr>
        <w:t xml:space="preserve"> </w:t>
      </w:r>
      <w:r>
        <w:rPr>
          <w:rFonts w:ascii="Arial" w:cs="Arial" w:eastAsia="Arial" w:hAnsi="Arial"/>
          <w:sz w:val="16"/>
          <w:szCs w:val="16"/>
          <w:color w:val="auto"/>
        </w:rPr>
        <w:t>825 (Financial Instruments) for the recognition, measurement, presentation and disclosure of financial instruments. ASU 2016-01 makes targeted improvements on how entities account for equity investments, present and disclose financial instruments and measure the valuation allowance on deferred tax assets related to available-for-sale debt securities. ASU 2016-01 is effective for fiscal years, and interim periods, beginning after December 15, 2017, with early adoption not permitted. The adoption of ASU 2016-01 on January 1, 2018 did not have a material impact on our consolidated financial statements.</w:t>
      </w:r>
    </w:p>
    <w:p>
      <w:pPr>
        <w:spacing w:after="0" w:line="1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In November 2016, the FASB issued ASU 2016-18, which amended ASC Topic 230 (Statement of Cash Flows) and requires that a</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cash flows explain the change during the period in the total of cash, cash equivalents, and amounts generally described as restricted cash or restricted cash equivalents. ASU 2016-18 is intended to reduce diversity in practice in how restricted cash or restricted cash equivalents are presented and classified in the statement of cash flows. ASU 2016-18 is effective for fiscal years, and interim periods, beginning after December 15, 2017, with early adoption permitted. The standard required application using a retrospective transition method. The adoption of ASU 2016-18 changed the presentation and classification of restricted cash and cash equivalents in our consolidated statements of cash flows. In addition, since cash and cash equivalents and restricted cash and cash equivalents are presented on separate lines on our consolidated balance sheets, we enhanced the cash and restricted cash disclosures in our significant accounting policies to reconcile the totals in our consolidated statement of cash flows to the related line items in our consolidated balance sheets.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reconcile the consolidated statement of cash flows line items impacted by the adoption of this standard on January 1, 2018:</w:t>
      </w:r>
    </w:p>
    <w:p>
      <w:pPr>
        <w:sectPr>
          <w:pgSz w:w="11900" w:h="16838" w:orient="portrait"/>
          <w:cols w:equalWidth="0" w:num="1">
            <w:col w:w="11420"/>
          </w:cols>
          <w:pgMar w:left="240" w:top="337" w:right="239" w:bottom="1440" w:gutter="0" w:footer="0" w:header="0"/>
        </w:sect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0" w:right="1660"/>
        <w:spacing w:after="0" w:line="371" w:lineRule="auto"/>
        <w:rPr>
          <w:sz w:val="20"/>
          <w:szCs w:val="20"/>
          <w:color w:val="auto"/>
        </w:rPr>
      </w:pPr>
      <w:r>
        <w:rPr>
          <w:rFonts w:ascii="Arial" w:cs="Arial" w:eastAsia="Arial" w:hAnsi="Arial"/>
          <w:sz w:val="18"/>
          <w:szCs w:val="18"/>
          <w:color w:val="auto"/>
        </w:rPr>
        <w:t>Decrease (increase) in restricted cash and cash equivalents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58" w:lineRule="exact"/>
        <w:rPr>
          <w:sz w:val="20"/>
          <w:szCs w:val="20"/>
          <w:color w:val="auto"/>
        </w:rPr>
      </w:pPr>
    </w:p>
    <w:p>
      <w:pPr>
        <w:ind w:left="40" w:right="40"/>
        <w:spacing w:after="0" w:line="277" w:lineRule="auto"/>
        <w:rPr>
          <w:sz w:val="20"/>
          <w:szCs w:val="20"/>
          <w:color w:val="auto"/>
        </w:rPr>
      </w:pPr>
      <w:r>
        <w:rPr>
          <w:rFonts w:ascii="Arial" w:cs="Arial" w:eastAsia="Arial" w:hAnsi="Arial"/>
          <w:sz w:val="18"/>
          <w:szCs w:val="18"/>
          <w:color w:val="auto"/>
        </w:rPr>
        <w:t>Net increase (decrease) in cash and cash equivalents and 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right="40"/>
        <w:spacing w:after="0" w:line="277" w:lineRule="auto"/>
        <w:rPr>
          <w:sz w:val="20"/>
          <w:szCs w:val="20"/>
          <w:color w:val="auto"/>
        </w:rPr>
      </w:pPr>
      <w:r>
        <w:rPr>
          <w:rFonts w:ascii="Arial" w:cs="Arial" w:eastAsia="Arial" w:hAnsi="Arial"/>
          <w:sz w:val="18"/>
          <w:szCs w:val="18"/>
          <w:color w:val="auto"/>
        </w:rPr>
        <w:t>Cash and cash equivalents and restricted cash and cash equivalents, beginning of period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 and restricted cash and cash equivalents, end of period</w:t>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0" w:right="1660"/>
        <w:spacing w:after="0" w:line="371" w:lineRule="auto"/>
        <w:rPr>
          <w:sz w:val="20"/>
          <w:szCs w:val="20"/>
          <w:color w:val="auto"/>
        </w:rPr>
      </w:pPr>
      <w:r>
        <w:rPr>
          <w:rFonts w:ascii="Arial" w:cs="Arial" w:eastAsia="Arial" w:hAnsi="Arial"/>
          <w:sz w:val="18"/>
          <w:szCs w:val="18"/>
          <w:color w:val="auto"/>
        </w:rPr>
        <w:t>Decrease (increase) in restricted cash and cash equivalents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58" w:lineRule="exact"/>
        <w:rPr>
          <w:sz w:val="20"/>
          <w:szCs w:val="20"/>
          <w:color w:val="auto"/>
        </w:rPr>
      </w:pPr>
    </w:p>
    <w:p>
      <w:pPr>
        <w:ind w:left="40" w:right="40"/>
        <w:spacing w:after="0" w:line="277" w:lineRule="auto"/>
        <w:rPr>
          <w:sz w:val="20"/>
          <w:szCs w:val="20"/>
          <w:color w:val="auto"/>
        </w:rPr>
      </w:pPr>
      <w:r>
        <w:rPr>
          <w:rFonts w:ascii="Arial" w:cs="Arial" w:eastAsia="Arial" w:hAnsi="Arial"/>
          <w:sz w:val="18"/>
          <w:szCs w:val="18"/>
          <w:color w:val="auto"/>
        </w:rPr>
        <w:t>Net increase (decrease) in cash and cash equivalents and 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right="40"/>
        <w:spacing w:after="0" w:line="277" w:lineRule="auto"/>
        <w:rPr>
          <w:sz w:val="20"/>
          <w:szCs w:val="20"/>
          <w:color w:val="auto"/>
        </w:rPr>
      </w:pPr>
      <w:r>
        <w:rPr>
          <w:rFonts w:ascii="Arial" w:cs="Arial" w:eastAsia="Arial" w:hAnsi="Arial"/>
          <w:sz w:val="18"/>
          <w:szCs w:val="18"/>
          <w:color w:val="auto"/>
        </w:rPr>
        <w:t>Cash and cash equivalents and restricted cash and cash equivalents, beginning of period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 and restricted cash and cash equivalents, end of period</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404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ASU 2016-18</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32"/>
        </w:trPr>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Previously Reported</w:t>
            </w:r>
          </w:p>
        </w:tc>
      </w:tr>
      <w:tr>
        <w:trPr>
          <w:trHeight w:val="243"/>
        </w:trPr>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34"/>
        </w:trPr>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(902.7)</w:t>
            </w:r>
          </w:p>
        </w:tc>
      </w:tr>
      <w:tr>
        <w:trPr>
          <w:trHeight w:val="34"/>
        </w:trPr>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797"/>
        </w:trPr>
        <w:tc>
          <w:tcPr>
            <w:tcW w:w="360" w:type="dxa"/>
            <w:vAlign w:val="bottom"/>
          </w:tcPr>
          <w:p>
            <w:pPr>
              <w:spacing w:after="0"/>
              <w:rPr>
                <w:sz w:val="24"/>
                <w:szCs w:val="24"/>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73"/>
        </w:trPr>
        <w:tc>
          <w:tcPr>
            <w:tcW w:w="360" w:type="dxa"/>
            <w:vAlign w:val="bottom"/>
          </w:tcPr>
          <w:p>
            <w:pPr>
              <w:spacing w:after="0"/>
              <w:rPr>
                <w:sz w:val="24"/>
                <w:szCs w:val="24"/>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34"/>
        </w:trPr>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8.2</w:t>
            </w:r>
          </w:p>
        </w:tc>
      </w:tr>
      <w:tr>
        <w:trPr>
          <w:trHeight w:val="27"/>
        </w:trPr>
        <w:tc>
          <w:tcPr>
            <w:tcW w:w="1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41"/>
        </w:trPr>
        <w:tc>
          <w:tcPr>
            <w:tcW w:w="3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 Ended December 31, 2016</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80"/>
        </w:trPr>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ASU 2016-18</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2"/>
        </w:trPr>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Previously Reported</w:t>
            </w:r>
          </w:p>
        </w:tc>
      </w:tr>
      <w:tr>
        <w:trPr>
          <w:trHeight w:val="243"/>
        </w:trPr>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34"/>
        </w:trPr>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(935.5)</w:t>
            </w:r>
          </w:p>
        </w:tc>
      </w:tr>
      <w:tr>
        <w:trPr>
          <w:trHeight w:val="34"/>
        </w:trPr>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797"/>
        </w:trPr>
        <w:tc>
          <w:tcPr>
            <w:tcW w:w="360" w:type="dxa"/>
            <w:vAlign w:val="bottom"/>
          </w:tcPr>
          <w:p>
            <w:pPr>
              <w:spacing w:after="0"/>
              <w:rPr>
                <w:sz w:val="24"/>
                <w:szCs w:val="24"/>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473"/>
        </w:trPr>
        <w:tc>
          <w:tcPr>
            <w:tcW w:w="360" w:type="dxa"/>
            <w:vAlign w:val="bottom"/>
          </w:tcPr>
          <w:p>
            <w:pPr>
              <w:spacing w:after="0"/>
              <w:rPr>
                <w:sz w:val="24"/>
                <w:szCs w:val="24"/>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34"/>
        </w:trPr>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
        </w:trPr>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160"/>
            <w:col w:w="5360"/>
          </w:cols>
          <w:pgMar w:left="240" w:top="337" w:right="239" w:bottom="1440" w:gutter="0" w:footer="0" w:header="0"/>
          <w:type w:val="continuous"/>
        </w:sectPr>
      </w:pPr>
    </w:p>
    <w:p>
      <w:pPr>
        <w:spacing w:after="0" w:line="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FASB issued ASU 2014-09, which superseded the revenue recognition requirements of ASC</w:t>
      </w:r>
      <w:r>
        <w:rPr>
          <w:rFonts w:ascii="Arial" w:cs="Arial" w:eastAsia="Arial" w:hAnsi="Arial"/>
          <w:sz w:val="17"/>
          <w:szCs w:val="17"/>
          <w:i w:val="1"/>
          <w:iCs w:val="1"/>
          <w:color w:val="auto"/>
        </w:rPr>
        <w:t xml:space="preserve"> </w:t>
      </w:r>
      <w:r>
        <w:rPr>
          <w:rFonts w:ascii="Arial" w:cs="Arial" w:eastAsia="Arial" w:hAnsi="Arial"/>
          <w:sz w:val="17"/>
          <w:szCs w:val="17"/>
          <w:color w:val="auto"/>
        </w:rPr>
        <w:t>Topic 605 (Revenue Recognition), and most industry-specific guidance.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only applicable to our other income source of revenue. Finance charges and premiums earned sources of revenue are outside the scope of this guidance. ASU 2014-09 permits two methods of adoption: retrospectively to each prior reporting period presented (full retrospective method), or retrospectively with the cumulative effect of initially applying the guidance recognized at the date of initial application (modified retrospective method). In August 2015, the FASB issued ASU 2015-14 to defer the effective date of ASU 2014-09 by one year to fiscal years beginning after December 15, 2017. ASU 2015-14 also permits early adoption of ASU 2014-09, but not before the original effective date, which was for fiscal years beginning after December 15, 2016. We adopted ASU 2014-09, as amended by ASU 2015-14, on January 1, 2018 using the modified retrospective method. We assessed the impact of the new guidance by evaluating our contracts, identifying our performance obligations, determining when the performance obligations were satisfied to allow us to recognize revenue and determining the amount of revenue to recognize. As a result of this analysis, we determined that our recognition and measurement of other income will not change. The adoption of ASU 2014-09, as amended by ASU 2015-14, did not impact the timing of our revenue recognition; however, it expanded our disclosures related to our other income source of revenue.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 Not Yet Adopted</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Accounting for Costs of Implementing Cloud Computing. </w:t>
      </w:r>
      <w:r>
        <w:rPr>
          <w:rFonts w:ascii="Arial" w:cs="Arial" w:eastAsia="Arial" w:hAnsi="Arial"/>
          <w:sz w:val="18"/>
          <w:szCs w:val="18"/>
          <w:color w:val="auto"/>
        </w:rPr>
        <w:t>In August 2018, the FASB issued ASU 2018-15, which reduces complexity in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costs of implementing a cloud computing service arrangement. This standard aligns the accounting for implementation costs of hosting arrangements, regardless of whether they convey a license to the hosted software. Under the current guidance, the classification of an arrangement as either a software license or a service contract determines whether or not we capitalize implementation costs. If an arrangement meets the definition of a software license, implementation costs are capitalized. If an arrangement meets the definition of a service contract, implementation costs are expensed as incurred. Under the new guidance, implementation costs will be capitalized regardless of their classification. ASU 2018-15 is effective for fiscal years, and interim periods, beginning after December 15, 2019. Early application is permitted, but we have not yet adopted ASU 2018-15. The adoption of ASU 2018-15 will change how we account for our cloud computing arrangements. However, we do not believe that its adoption will have a material impact on our consolidated financial statements and related disclosures.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February 2016, the FASB issued ASU 2016-02, which required lessees to recognize a right-of-use asset and related lease liability for leases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as operating leases at the commencement date that have lease terms of more than 12 months. This ASU retains the classification distinction between finance leases and operating leases. ASU 2016-02 is effective for fiscal years, and interim periods, beginning after December 15, 2018. Early application is permitted, but we have not yet adopted ASU 2016-02. This ASU requires application using a retrospective transition method. We estimate that upon adoption on January 1, 2019, our consolidated balance sheet will have an approximately $4.2 million right-of-use asset and an approximately $4.3 million lease liability. We do not expect material changes to the recognition of operating lease expense in our consolidated statements of income. For additional information regarding lease commitments, see Note 17 to the consolidated financial statements.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In June 2016, the FASB issued ASU 2016-13, which included an impairment model (known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expected credit loss (“CECL”) model) that is based on expected losses rather than incurred losses. Under the new guidance, an entity recognizes an allowance for credit losses based on the difference between contractual future net cash flows and its estimate of expected future net cash flows. The new guidance also changes the scope of the special accounting for loans acquired with significant credit deterioration. ASU 2016-13 is effective for fiscal years, and interim periods, beginning after December 15, 2019. Early application is permitted for fiscal years, and interim periods, beginning after December 15, 2018. We believe the adoption of ASU 2016-13 will have a material impact on our consolidated financial statements and related disclosures as it will change our accounting policies for Loans.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Application of CECL to Existing Loans</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believe that Loans outstanding prior to the adoption date would qualify for transition relief under ASU 2016-13 and would be accounted for as purchased financial assets with credit deterioration (“PCD Method”). Under the PCD Method, on the adoption date, we would:</w:t>
      </w:r>
    </w:p>
    <w:p>
      <w:pPr>
        <w:spacing w:after="0" w:line="1" w:lineRule="exact"/>
        <w:rPr>
          <w:sz w:val="20"/>
          <w:szCs w:val="20"/>
          <w:color w:val="auto"/>
        </w:rPr>
      </w:pPr>
    </w:p>
    <w:p>
      <w:pPr>
        <w:ind w:left="840" w:hanging="332"/>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calculate an effective interest rate based on expected future net cash flows;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increase the Loans receivable and related allowance for credit losses balances by the present value of the difference between contractual future net</w:t>
      </w:r>
    </w:p>
    <w:p>
      <w:pPr>
        <w:spacing w:after="0" w:line="32" w:lineRule="exact"/>
        <w:rPr>
          <w:sz w:val="20"/>
          <w:szCs w:val="20"/>
          <w:color w:val="auto"/>
        </w:rPr>
      </w:pPr>
    </w:p>
    <w:p>
      <w:pPr>
        <w:ind w:left="840" w:right="20"/>
        <w:spacing w:after="0" w:line="250" w:lineRule="auto"/>
        <w:rPr>
          <w:sz w:val="20"/>
          <w:szCs w:val="20"/>
          <w:color w:val="auto"/>
        </w:rPr>
      </w:pPr>
      <w:r>
        <w:rPr>
          <w:rFonts w:ascii="Arial" w:cs="Arial" w:eastAsia="Arial" w:hAnsi="Arial"/>
          <w:sz w:val="18"/>
          <w:szCs w:val="18"/>
          <w:color w:val="auto"/>
        </w:rPr>
        <w:t>cash flows and expected future net cash flows discounted at the effective interest rate. This “gross-up” would not impact the net carrying amount of Loans (Loans receivable less allowance for credit losses) or net income.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reporting period subsequent to adoption, we would:</w:t>
      </w:r>
    </w:p>
    <w:p>
      <w:pPr>
        <w:spacing w:after="0" w:line="9" w:lineRule="exact"/>
        <w:rPr>
          <w:sz w:val="20"/>
          <w:szCs w:val="20"/>
          <w:color w:val="auto"/>
        </w:rPr>
      </w:pPr>
    </w:p>
    <w:p>
      <w:pPr>
        <w:ind w:left="840" w:hanging="332"/>
        <w:spacing w:after="0" w:line="250"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on the adoption date based on expected future net cash flows; and</w:t>
      </w:r>
    </w:p>
    <w:p>
      <w:pPr>
        <w:jc w:val="both"/>
        <w:ind w:left="840" w:hanging="332"/>
        <w:spacing w:after="0" w:line="255"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would be recognized as either provision for credit losses expense or a reversal of provision for credit losses expense.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Application of CECL to Future Loans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Consumer Loans assigned subsequent to the adoption of ASU 2016-13 would not qualify for the PCD Method and would be accounted for as originated financial assets (“Originated Method”). While the cash flows we expect to collect at the time of assignment are significantly lower than the contractual cash flows owed to us due to credit quality, our Loans do not qualify for the PCD Method due to the following:</w:t>
      </w:r>
    </w:p>
    <w:p>
      <w:pPr>
        <w:ind w:left="660" w:right="2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assignment of the Consumer Loan occurs a moment after the Consumer Loan is originated by the Dealer, so “a more-than-insignificant deterioration in credit quality since origination” has not occurred; and</w:t>
      </w:r>
    </w:p>
    <w:p>
      <w:pPr>
        <w:ind w:left="660" w:right="20" w:hanging="328"/>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Consumer Loans assigned under the Portfolio Program are considered to be advances under Dealer Loans originated by us rather than Consumer Loans purchased by us.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Originated Method, at the time of assignment, we would:</w:t>
      </w:r>
    </w:p>
    <w:p>
      <w:pPr>
        <w:spacing w:after="0" w:line="23" w:lineRule="exact"/>
        <w:rPr>
          <w:sz w:val="20"/>
          <w:szCs w:val="20"/>
          <w:color w:val="auto"/>
        </w:rPr>
      </w:pPr>
    </w:p>
    <w:p>
      <w:pPr>
        <w:ind w:left="840" w:hanging="332"/>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calculate the effective interest rate based on contractual future net cash flows; and</w:t>
      </w:r>
    </w:p>
    <w:p>
      <w:pPr>
        <w:spacing w:after="0" w:line="9" w:lineRule="exact"/>
        <w:rPr>
          <w:rFonts w:ascii="Arial" w:cs="Arial" w:eastAsia="Arial" w:hAnsi="Arial"/>
          <w:sz w:val="18"/>
          <w:szCs w:val="18"/>
          <w:color w:val="auto"/>
        </w:rPr>
      </w:pPr>
    </w:p>
    <w:p>
      <w:pPr>
        <w:jc w:val="both"/>
        <w:ind w:left="840" w:hanging="332"/>
        <w:spacing w:after="0" w:line="255"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record an allowance for credit losses equal to the difference between the initial balance of the Loan (advance or purchase amount) and the present value of expected future net cash flows discounted at the effective interest rate. The initial allowance for credit losses would be recognized as provision for credit losses expense.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reporting period subsequent to assignment, we would:</w:t>
      </w:r>
    </w:p>
    <w:p>
      <w:pPr>
        <w:spacing w:after="0" w:line="23" w:lineRule="exact"/>
        <w:rPr>
          <w:sz w:val="20"/>
          <w:szCs w:val="20"/>
          <w:color w:val="auto"/>
        </w:rPr>
      </w:pPr>
    </w:p>
    <w:p>
      <w:pPr>
        <w:ind w:left="840" w:hanging="332"/>
        <w:spacing w:after="0" w:line="250" w:lineRule="auto"/>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at the time of assignment based on contractual future net cash flows; and</w:t>
      </w:r>
    </w:p>
    <w:p>
      <w:pPr>
        <w:jc w:val="both"/>
        <w:ind w:left="840" w:hanging="332"/>
        <w:spacing w:after="0" w:line="255" w:lineRule="auto"/>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would be recognized as either provision for credit losses expense or a reversal of provision for credit losses expense.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Originated Method would result in financial reporting that is inconsistent with the economics of our Loans as:</w:t>
      </w:r>
    </w:p>
    <w:p>
      <w:pPr>
        <w:spacing w:after="0" w:line="23" w:lineRule="exact"/>
        <w:rPr>
          <w:sz w:val="20"/>
          <w:szCs w:val="20"/>
          <w:color w:val="auto"/>
        </w:rPr>
      </w:pPr>
    </w:p>
    <w:p>
      <w:pPr>
        <w:ind w:left="840" w:hanging="332"/>
        <w:spacing w:after="0" w:line="250"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effective interest rate would be significantly inflated for contractual amounts that were not expected to be collected at the time of assignment; and</w:t>
      </w:r>
    </w:p>
    <w:p>
      <w:pPr>
        <w:jc w:val="both"/>
        <w:ind w:left="840" w:hanging="332"/>
        <w:spacing w:after="0" w:line="255"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expected credit losses, including significant credit losses that were expected at both the time of origination and the time of assignment, would be recognized as provision for credit losses expense, despite the fact that credit losses expected at the time of assignment do not represent an economic loss to us.</w:t>
      </w:r>
    </w:p>
    <w:p>
      <w:pPr>
        <w:spacing w:after="0" w:line="1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net Loan income (finance charge revenue less provision for credit losses) that we will recognize over the life of a Loan equals the cash we collect from the underlying Consumer Loan less the cash we pay to the Dealer. While the total amount of net Loan income we would recognize over the life of the Loan is not impacted by the new guidance, the timing of when we would recognize this income changes significantly. We believe that recognizing net Loan income on a level-yield basis over the life of the Loan based on expected future net cash flows matches the economics of our business. The Originated Method diverges from economic reality by requiring us to recognize a significant provision for credit losses at the time of assignment for amounts we never expected to realize and finance charge revenue in subsequent periods that is significantly in excess of our expected yields.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Election of the Fair Value Option for Future Loans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ASC 825, Financial Instruments, we have the ability to choose to measure Loans at fair value on an instrument-by-instrument basis at specified election dates, with changes in fair value reported in net income (the fair value option). Dealer Loans are only eligible for fair value election at the time a new active Dealer assigns the first Consumer Loan under the Portfolio Program. All Purchased Loans are eligible for fair value election at the time of assignment. The fair value election may not be revoked once an election is made.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Given that we believe CECL would result in financial reporting that is inconsistent with the economics of our Loans, we are evaluating the fair value option as an alternative to CECL for future Loans. The fair value of our Loans would be determined by calculating the present value of future expected net cash flows estimated by us utilizing a discount rate based on market participant discount rates for comparable investments. While we believe the fair value option would likely result in financial reporting that approximates the economics of our Loans in a stable rate environment, this option could cause our reported results to be volatile in periods when interest rates are rapidly changing. As a result, we are continuing to evaluate our alternatives with respect to the accounting methods that are or will be available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evaluated events and transactions occurring subsequent to the consolidated balance sheet date of December 31, 2018 for items that could potentially be recognized or disclosed in these financial statements. We did not identify any items which would require disclosure in or adjustment to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their value.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and Restricted Cash and Cash Equivalents. </w:t>
      </w:r>
      <w:r>
        <w:rPr>
          <w:rFonts w:ascii="Arial" w:cs="Arial" w:eastAsia="Arial" w:hAnsi="Arial"/>
          <w:sz w:val="18"/>
          <w:szCs w:val="18"/>
          <w:color w:val="auto"/>
        </w:rPr>
        <w:t>The carrying amounts approximate their fair value due to the short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Restricted Securities Available for Sale. </w:t>
      </w:r>
      <w:r>
        <w:rPr>
          <w:rFonts w:ascii="Arial" w:cs="Arial" w:eastAsia="Arial" w:hAnsi="Arial"/>
          <w:sz w:val="18"/>
          <w:szCs w:val="18"/>
          <w:color w:val="auto"/>
        </w:rPr>
        <w:t>The fair value of U.S. Government and agency securities and corporate bonds is based on quoted market values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For asset-backed securities, mortgage-backed securities and commercial paper we use model-based valuation techniques for which all significant assumptions are observable in the market.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Loans Receivable, net. </w:t>
      </w:r>
      <w:r>
        <w:rPr>
          <w:rFonts w:ascii="Arial" w:cs="Arial" w:eastAsia="Arial" w:hAnsi="Arial"/>
          <w:sz w:val="18"/>
          <w:szCs w:val="18"/>
          <w:color w:val="auto"/>
        </w:rPr>
        <w:t>The fair value is determined by calculating the present value of future net cash flows estimated by us utilizing a discount rate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with the rate used to calculate our allowance for credit losses.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Revolving Secured Line of Credit. </w:t>
      </w:r>
      <w:r>
        <w:rPr>
          <w:rFonts w:ascii="Arial" w:cs="Arial" w:eastAsia="Arial" w:hAnsi="Arial"/>
          <w:sz w:val="18"/>
          <w:szCs w:val="18"/>
          <w:color w:val="auto"/>
        </w:rPr>
        <w:t>The fair value is determined by calculating the present value of the debt instrument based on current rates for debt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similar risk profile and maturity.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Secured Financing. </w:t>
      </w:r>
      <w:r>
        <w:rPr>
          <w:rFonts w:ascii="Arial" w:cs="Arial" w:eastAsia="Arial" w:hAnsi="Arial"/>
          <w:sz w:val="18"/>
          <w:szCs w:val="18"/>
          <w:color w:val="auto"/>
        </w:rPr>
        <w:t>The fair value of our Term ABS financings is determined using quoted market prices, however, these instruments trade in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low trading volume. For our warehouse facilities, the fair values are determined by calculating the present value of each debt instrument based on current rates for debt with similar risk profiles and maturities.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fair value is determined using quoted market prices in an active market.</w:t>
      </w:r>
    </w:p>
    <w:p>
      <w:pPr>
        <w:spacing w:after="0" w:line="225" w:lineRule="exact"/>
        <w:rPr>
          <w:sz w:val="20"/>
          <w:szCs w:val="20"/>
          <w:color w:val="auto"/>
        </w:rPr>
      </w:pPr>
    </w:p>
    <w:p>
      <w:pPr>
        <w:ind w:right="2300" w:firstLine="324"/>
        <w:spacing w:after="0" w:line="277" w:lineRule="auto"/>
        <w:rPr>
          <w:sz w:val="20"/>
          <w:szCs w:val="20"/>
          <w:color w:val="auto"/>
        </w:rPr>
      </w:pPr>
      <w:r>
        <w:rPr>
          <w:rFonts w:ascii="Arial" w:cs="Arial" w:eastAsia="Arial" w:hAnsi="Arial"/>
          <w:sz w:val="18"/>
          <w:szCs w:val="18"/>
          <w:i w:val="1"/>
          <w:iCs w:val="1"/>
          <w:color w:val="auto"/>
        </w:rPr>
        <w:t xml:space="preserve">Mortgage Note. </w:t>
      </w:r>
      <w:r>
        <w:rPr>
          <w:rFonts w:ascii="Arial" w:cs="Arial" w:eastAsia="Arial" w:hAnsi="Arial"/>
          <w:sz w:val="18"/>
          <w:szCs w:val="18"/>
          <w:color w:val="auto"/>
        </w:rPr>
        <w:t>The fair value is determined by calculating the present value of the debt instrument based on current 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debt with a similar risk profile and maturity.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the carrying amount and estimated fair value of these financial instruments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264"/>
        </w:trPr>
        <w:tc>
          <w:tcPr>
            <w:tcW w:w="3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2018</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89"/>
              </w:rPr>
              <w:t>2017</w:t>
            </w:r>
          </w:p>
        </w:tc>
        <w:tc>
          <w:tcPr>
            <w:tcW w:w="1480" w:type="dxa"/>
            <w:vAlign w:val="bottom"/>
            <w:tcBorders>
              <w:bottom w:val="single" w:sz="8" w:color="auto"/>
            </w:tcBorders>
          </w:tcPr>
          <w:p>
            <w:pPr>
              <w:spacing w:after="0"/>
              <w:rPr>
                <w:sz w:val="22"/>
                <w:szCs w:val="22"/>
                <w:color w:val="auto"/>
              </w:rPr>
            </w:pPr>
          </w:p>
        </w:tc>
      </w:tr>
      <w:tr>
        <w:trPr>
          <w:trHeight w:val="153"/>
        </w:trPr>
        <w:tc>
          <w:tcPr>
            <w:tcW w:w="3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Estimated</w:t>
            </w:r>
          </w:p>
        </w:tc>
        <w:tc>
          <w:tcPr>
            <w:tcW w:w="600" w:type="dxa"/>
            <w:vAlign w:val="bottom"/>
          </w:tcPr>
          <w:p>
            <w:pPr>
              <w:spacing w:after="0"/>
              <w:rPr>
                <w:sz w:val="13"/>
                <w:szCs w:val="13"/>
                <w:color w:val="auto"/>
              </w:rPr>
            </w:pPr>
          </w:p>
        </w:tc>
        <w:tc>
          <w:tcPr>
            <w:tcW w:w="114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right"/>
              <w:ind w:right="514"/>
              <w:spacing w:after="0" w:line="153" w:lineRule="exact"/>
              <w:rPr>
                <w:sz w:val="20"/>
                <w:szCs w:val="20"/>
                <w:color w:val="auto"/>
              </w:rPr>
            </w:pPr>
            <w:r>
              <w:rPr>
                <w:rFonts w:ascii="Arial" w:cs="Arial" w:eastAsia="Arial" w:hAnsi="Arial"/>
                <w:sz w:val="14"/>
                <w:szCs w:val="14"/>
                <w:b w:val="1"/>
                <w:bCs w:val="1"/>
                <w:color w:val="auto"/>
              </w:rPr>
              <w:t>Estimated</w:t>
            </w:r>
          </w:p>
        </w:tc>
      </w:tr>
      <w:tr>
        <w:trPr>
          <w:trHeight w:val="205"/>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47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Restricted cash and cash equivalents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255.6</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securities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Loans receivable, net</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5,855.1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4,741.5</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Revolving secured line of credit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171.9</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13.9</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Secured financing</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2,527.6</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Senior notes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569.4</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Mortgage note</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 is based upon quoted prices for identical instruments traded in active markets.</w:t>
      </w:r>
    </w:p>
    <w:p>
      <w:pPr>
        <w:spacing w:after="0" w:line="225"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170"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the level of measurement used to determine the fair value for each of our financial instruments measured or disclosed at fair value: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64"/>
        </w:trPr>
        <w:tc>
          <w:tcPr>
            <w:tcW w:w="4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2"/>
                <w:szCs w:val="22"/>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 Value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 (1)</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Restricted cash and cash equivalents (1)</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303.6</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 (2)</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Loans receivable, net (1)</w:t>
            </w:r>
          </w:p>
        </w:tc>
        <w:tc>
          <w:tcPr>
            <w:tcW w:w="1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5,855.1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5,855.1</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Revolving secured line of credit (1)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171.9</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3,100.9</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556.3</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Mortgage note (1)</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r>
      <w:tr>
        <w:trPr>
          <w:trHeight w:val="412"/>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 December 31, 2017</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2"/>
                <w:szCs w:val="22"/>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 Value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 (1)</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Restricted cash and cash equivalents (1)</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255.6</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 (2)</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Loans receivable, net (1)</w:t>
            </w:r>
          </w:p>
        </w:tc>
        <w:tc>
          <w:tcPr>
            <w:tcW w:w="11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4,741.5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4,741.5</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Revolving secured line of credit (1)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13.9</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2,527.6</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569.4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569.4</w:t>
            </w:r>
          </w:p>
        </w:tc>
      </w:tr>
    </w:tbl>
    <w:p>
      <w:pPr>
        <w:spacing w:after="0" w:line="170" w:lineRule="exact"/>
        <w:rPr>
          <w:sz w:val="20"/>
          <w:szCs w:val="20"/>
          <w:color w:val="auto"/>
        </w:rPr>
      </w:pPr>
    </w:p>
    <w:p>
      <w:pPr>
        <w:ind w:left="500" w:hanging="330"/>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Measured at amortized cost with fair value disclosed.</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Measured at fair value on a recurring basis.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SECURITIES AVAILABLE FOR SALE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securities available for sale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2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4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Unrealized Losses</w:t>
            </w:r>
          </w:p>
        </w:tc>
        <w:tc>
          <w:tcPr>
            <w:tcW w:w="340" w:type="dxa"/>
            <w:vAlign w:val="bottom"/>
          </w:tcPr>
          <w:p>
            <w:pPr>
              <w:spacing w:after="0"/>
              <w:rPr>
                <w:sz w:val="13"/>
                <w:szCs w:val="13"/>
                <w:color w:val="auto"/>
              </w:rPr>
            </w:pPr>
          </w:p>
        </w:tc>
        <w:tc>
          <w:tcPr>
            <w:tcW w:w="14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ind w:lef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1240" w:type="dxa"/>
            <w:vAlign w:val="bottom"/>
            <w:tcBorders>
              <w:top w:val="single" w:sz="8" w:color="auto"/>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84"/>
        </w:trPr>
        <w:tc>
          <w:tcPr>
            <w:tcW w:w="378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2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78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2"/>
              </w:rPr>
              <w:t>Total restricted securities available for sale</w:t>
            </w:r>
          </w:p>
        </w:tc>
        <w:tc>
          <w:tcPr>
            <w:tcW w:w="124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20" w:type="dxa"/>
            <w:vAlign w:val="bottom"/>
            <w:tcBorders>
              <w:top w:val="single" w:sz="8" w:color="CCEEFF"/>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auto"/>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5"/>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2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Gross Unrealized Losses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Mortgage-backed securities</w:t>
            </w:r>
          </w:p>
        </w:tc>
        <w:tc>
          <w:tcPr>
            <w:tcW w:w="1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Total restricted securities available for sale</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and gross unrealized losses for restricted securities available for sale, aggregated by investment category and length of time that individual securities have been in a continuous unrealized loss position,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4"/>
                <w:szCs w:val="14"/>
                <w:b w:val="1"/>
                <w:bCs w:val="1"/>
                <w:color w:val="auto"/>
                <w:w w:val="91"/>
              </w:rPr>
              <w:t>Securities Available for Sale with Gross Unrealized Losses as of December 31, 2018</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w w:val="96"/>
              </w:rPr>
              <w:t>12 Months or More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Estimated</w:t>
            </w:r>
          </w:p>
        </w:tc>
        <w:tc>
          <w:tcPr>
            <w:tcW w:w="200" w:type="dxa"/>
            <w:vAlign w:val="bottom"/>
          </w:tcPr>
          <w:p>
            <w:pPr>
              <w:spacing w:after="0"/>
              <w:rPr>
                <w:sz w:val="13"/>
                <w:szCs w:val="13"/>
                <w:color w:val="auto"/>
              </w:rPr>
            </w:pPr>
          </w:p>
        </w:tc>
        <w:tc>
          <w:tcPr>
            <w:tcW w:w="106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89"/>
              </w:rPr>
              <w:t>Total Gross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Total restricted securities available for</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4"/>
                <w:szCs w:val="14"/>
                <w:b w:val="1"/>
                <w:bCs w:val="1"/>
                <w:color w:val="auto"/>
                <w:w w:val="91"/>
              </w:rPr>
              <w:t>Securities Available for Sale with Gross Unrealized Losses as of December 31, 2017</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w w:val="96"/>
              </w:rPr>
              <w:t>12 Months or More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Estimated</w:t>
            </w:r>
          </w:p>
        </w:tc>
        <w:tc>
          <w:tcPr>
            <w:tcW w:w="200" w:type="dxa"/>
            <w:vAlign w:val="bottom"/>
          </w:tcPr>
          <w:p>
            <w:pPr>
              <w:spacing w:after="0"/>
              <w:rPr>
                <w:sz w:val="13"/>
                <w:szCs w:val="13"/>
                <w:color w:val="auto"/>
              </w:rPr>
            </w:pPr>
          </w:p>
        </w:tc>
        <w:tc>
          <w:tcPr>
            <w:tcW w:w="106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89"/>
              </w:rPr>
              <w:t>Total Gross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Fair Value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24"/>
                <w:szCs w:val="24"/>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Total restricted securities available for</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2018</w:t>
            </w:r>
          </w:p>
        </w:tc>
        <w:tc>
          <w:tcPr>
            <w:tcW w:w="1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Contractual Maturity</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Estimated Fair Value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Estimated 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Over one year to five years</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 five years to ten years</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Over ten years</w:t>
            </w: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Total restricted securities available for sale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LOANS RECEIVABLE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Loans receivable consists of the following:</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 2018</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6,225.2</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4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4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3,762.9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2,000.4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5,763.3</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 2017</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5,049.0</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4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3,152.1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1,467.5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4,619.6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65</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Loans receivable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5,049.0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2,414.8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3,595.8</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Transfers (2)</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4,141.0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2,084.2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6,225.2</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4,207.0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1,968.3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904.8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2,873.1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Transfers (2)</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3,518.1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1,530.9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5,049.0</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0"/>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3,345.1</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754.2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2,635.5</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(1,955.8)</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53.6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Transfers (2)</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3,209.0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998.0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4,207.0</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right="20" w:hanging="330"/>
        <w:spacing w:after="0" w:line="250"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ind w:left="500" w:hanging="330"/>
        <w:spacing w:after="0" w:line="241"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to Purchased Loans in the period this forfeiture occurs.</w:t>
      </w:r>
    </w:p>
    <w:p>
      <w:pPr>
        <w:ind w:left="500" w:hanging="330"/>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collections received on previously written off Loans.</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fourth quarter of 2017, we transferred $89.0 million of Dealer Loans along with the related allowance for credit losses balance of $31.8 million to Purchased Loans. Under our Portfolio Program, certain events may result in Dealers forfeiting their rights to Dealer Holdback. Substantially all of these transfers relate to Dealers where events had occurred in prior periods that met our criteria for forfeiture. However, while we intended to exercise our rights to Dealer Holdback in the period the forfeiture event occurred, we did not exercise our rights for these Dealers until the fourth quarter of 2017. We also enhanced our accounting methodology for transferring Loans. In the fourth quarter of 2017, we began transferring the related allowance for credit losses balance to Purchased Loans. Prior to the fourth quarter of 2017, rather than transferring the related allowance for credit losses balance to Purchased Loans, we reversed the balance through Dealer Loan provision for credit losses and established a new allowance for credit losses in Purchased Loans through Purchased Loan provision for credit losses.</w:t>
      </w:r>
    </w:p>
    <w:p>
      <w:pPr>
        <w:sectPr>
          <w:pgSz w:w="11900" w:h="16838" w:orient="portrait"/>
          <w:cols w:equalWidth="0" w:num="1">
            <w:col w:w="11420"/>
          </w:cols>
          <w:pgMar w:left="240" w:top="337"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337"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Contractual net cash flows are comprised of the contractual repayments of the underlying Consumer Loans for Dealer Loans and Purchased Loans, less the related Dealer Holdback payments for Dealer Loans. The difference between the contractual net cash flows and the expected net cash flows is referred to as the nonaccretable difference. This difference is neither accreted into income nor recorded in our balance sheets. We do not believe that the contractual net cash flows of our Loan portfolio are relevant in assessing our financial position. We are contractually owed repayments on many Consumer Loans, primarily those older than 120 months, where we are not forecasting any future net cash flows.</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excess of expected net cash flows over the outstanding balance of Loans receivable, net is referred to as the accretable yield and is recognized on a level-yield basis as finance charge income over the remaining lives of the Loans. A summary of changes in the accretable yield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1,665.5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990.2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1,478.6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56.9</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Forecast changes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Transfers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1,283.0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782.5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2,065.5</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1,180.9</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129.3</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Forecast changes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Transfers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576.9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1,665.5</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1,072.8</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782.6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1,067.3</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90.2</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Forecast changes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Transfers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348.1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1,330.7</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580" w:hanging="329"/>
        <w:spacing w:after="0" w:line="247" w:lineRule="auto"/>
        <w:tabs>
          <w:tab w:leader="none" w:pos="5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Dealer Loans amount represents the net cash flows expected at the time of assignment on Consumer Loans assigned under our Portfolio Program, less the related advances paid to Dealers. The Purchased Loans amount represents the net cash flows expected at the time of assignment on Consumer Loans assigned under our Purchase Program, less the related one-time payments made to Dealers.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finance charges excluding the amortization of deferred direct origination costs for Dealer Loans.</w:t>
      </w:r>
    </w:p>
    <w:p>
      <w:pPr>
        <w:spacing w:after="0" w:line="1" w:lineRule="exact"/>
        <w:rPr>
          <w:rFonts w:ascii="Arial" w:cs="Arial" w:eastAsia="Arial" w:hAnsi="Arial"/>
          <w:sz w:val="14"/>
          <w:szCs w:val="14"/>
          <w:color w:val="auto"/>
        </w:rPr>
      </w:pPr>
    </w:p>
    <w:p>
      <w:pPr>
        <w:ind w:left="580" w:hanging="329"/>
        <w:spacing w:after="0" w:line="255" w:lineRule="auto"/>
        <w:tabs>
          <w:tab w:leader="none" w:pos="5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and related expected future net cash flows to Purchased Loans in the period this forfeiture occurs.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new Consumer Loan assignments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net cash flows at the time of assignment (1)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6,438.1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Expected net cash flows at the time of assignment (2)</w:t>
            </w:r>
          </w:p>
        </w:tc>
        <w:tc>
          <w:tcPr>
            <w:tcW w:w="3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3,405.0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1,669.4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5,074.4</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the time of assignment (3)</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3,595.8</w:t>
            </w:r>
          </w:p>
        </w:tc>
      </w:tr>
      <w:tr>
        <w:trPr>
          <w:trHeight w:val="426"/>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net cash flows at the time of assignment (1)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5,105.3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Expected net cash flows at the time of assignment (2)</w:t>
            </w:r>
          </w:p>
        </w:tc>
        <w:tc>
          <w:tcPr>
            <w:tcW w:w="3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1,282.7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4,054.0</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the time of assignment (3)</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2,873.1</w:t>
            </w:r>
          </w:p>
        </w:tc>
      </w:tr>
      <w:tr>
        <w:trPr>
          <w:trHeight w:val="426"/>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net cash flows at the time of assignment (1)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4,550.2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Expected net cash flows at the time of assignment (2)</w:t>
            </w:r>
          </w:p>
        </w:tc>
        <w:tc>
          <w:tcPr>
            <w:tcW w:w="3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2,663.9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1,038.9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3,702.8</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the time of assignment (3)</w:t>
            </w: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1,881.3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754.2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2,635.5</w:t>
            </w:r>
          </w:p>
        </w:tc>
      </w:tr>
      <w:tr>
        <w:trPr>
          <w:trHeight w:val="27"/>
        </w:trPr>
        <w:tc>
          <w:tcPr>
            <w:tcW w:w="5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Dealer Loans amount represents the repayments that we were contractually owed at the time of assignment on Consumer Loans assigned under our Portfolio Program, less the related Dealer Holdback payments that we would be required to make if we collected all of the contractual repayments. The Purchased Loans amount represents the repayments that we were contractually owed at the time of assignment on Consumer Loans assigned under our Purchase Program.</w:t>
      </w:r>
    </w:p>
    <w:p>
      <w:pPr>
        <w:spacing w:after="0" w:line="1" w:lineRule="exact"/>
        <w:rPr>
          <w:rFonts w:ascii="Arial" w:cs="Arial" w:eastAsia="Arial" w:hAnsi="Arial"/>
          <w:sz w:val="14"/>
          <w:szCs w:val="14"/>
          <w:color w:val="auto"/>
        </w:rPr>
      </w:pPr>
    </w:p>
    <w:p>
      <w:pPr>
        <w:jc w:val="both"/>
        <w:ind w:left="500" w:hanging="330"/>
        <w:spacing w:after="0" w:line="241" w:lineRule="auto"/>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Dealer Loans amount represents the repayments that we expected to collect at the time of assignment on Consumer Loans assigned under our Portfolio Program, less the related Dealer Holdback payments that we expected to make. The Purchased Loans amount represents the repayments that we expected to collect at the time of assignment on Consumer Loans assigned under our Purchase Program.</w:t>
      </w:r>
    </w:p>
    <w:p>
      <w:pPr>
        <w:spacing w:after="0" w:line="1" w:lineRule="exact"/>
        <w:rPr>
          <w:rFonts w:ascii="Arial" w:cs="Arial" w:eastAsia="Arial" w:hAnsi="Arial"/>
          <w:sz w:val="14"/>
          <w:szCs w:val="14"/>
          <w:color w:val="auto"/>
        </w:rPr>
      </w:pPr>
    </w:p>
    <w:p>
      <w:pPr>
        <w:ind w:left="500" w:right="20" w:hanging="330"/>
        <w:spacing w:after="0" w:line="255" w:lineRule="auto"/>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monitor and evaluate the credit quality of Consumer Loans assigned under our Portfolio and Purchase Programs on a monthly basis by comparing our current forecasted collection rates to our initial expectations. For additional information regarding credit quality, see Note 2 to the consolidated financial statements. The following table compares our forecast of Consumer Loan collection rates as of December 31, 2018, with the forecasts as of December 31, 2017, as of December 31, 2016, and at the time of assignment, segmented by year of assignment: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Forecasted Collection Percentage as of (1)</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tcBorders>
              <w:bottom w:val="single" w:sz="8" w:color="auto"/>
            </w:tcBorders>
            <w:gridSpan w:val="5"/>
          </w:tcPr>
          <w:p>
            <w:pPr>
              <w:jc w:val="center"/>
              <w:ind w:left="953"/>
              <w:spacing w:after="0"/>
              <w:rPr>
                <w:sz w:val="20"/>
                <w:szCs w:val="20"/>
                <w:color w:val="auto"/>
              </w:rPr>
            </w:pPr>
            <w:r>
              <w:rPr>
                <w:rFonts w:ascii="Arial" w:cs="Arial" w:eastAsia="Arial" w:hAnsi="Arial"/>
                <w:sz w:val="14"/>
                <w:szCs w:val="14"/>
                <w:b w:val="1"/>
                <w:bCs w:val="1"/>
                <w:color w:val="auto"/>
                <w:w w:val="94"/>
              </w:rPr>
              <w:t>Current Forecast Variance from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Consumer Loan</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2017</w:t>
            </w: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2016</w:t>
            </w: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Initial</w:t>
            </w: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2017</w:t>
            </w:r>
          </w:p>
        </w:tc>
        <w:tc>
          <w:tcPr>
            <w:tcW w:w="17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1"/>
              </w:rPr>
              <w:t>December 31, 2016</w:t>
            </w:r>
          </w:p>
        </w:tc>
        <w:tc>
          <w:tcPr>
            <w:tcW w:w="9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205"/>
        </w:trPr>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Assignment Year</w:t>
            </w:r>
          </w:p>
        </w:tc>
        <w:tc>
          <w:tcPr>
            <w:tcW w:w="136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Forecast</w:t>
            </w:r>
          </w:p>
        </w:tc>
        <w:tc>
          <w:tcPr>
            <w:tcW w:w="1440" w:type="dxa"/>
            <w:vAlign w:val="bottom"/>
            <w:gridSpan w:val="2"/>
            <w:vMerge w:val="continue"/>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50"/>
        </w:trPr>
        <w:tc>
          <w:tcPr>
            <w:tcW w:w="1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57" w:lineRule="auto"/>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Loans assigned in 2009 through 2013, 2017 and 2018 have yielded forecasted collection results materially better than our initial estimates, while Consumer Loans assigned in 2015 and 2016 have yielded forecasted collection results materially worse than our initial estimates. For Consumer Loans assigned in 2014, actual results have been close to our initial estimates.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2018, forecasted collection rates improved for Consumer Loans assigned in 2018, declined for Consumer Loans assigned in 2016 and were generally consistent with expectations at the start of the period for all other assignment years presented.</w:t>
      </w:r>
    </w:p>
    <w:p>
      <w:pPr>
        <w:spacing w:after="0" w:line="14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2017, forecasted collection rates improved for Consumer Loans assigned in 2017, declined for Consumer Loans assigned in 2015 and 2016 and were generally consistent with expectations at the start of the period for all other assignment years presented.</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statistical model used to forecast collection rates, we use a model to forecast the timing of future net cash flows. During the fourth quarter of 2017, we updated our net cash flow timing model to incorporate more recent data. The revised forecast resulted in an expected cash flow stream with a lower net present value as compared to the prior forecast, as less cash flows were expected in earlier periods and more cash flows were expected in later periods.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reduction in net present value was primarily the result of a change in the expected timing of cash flows from longer-term Consumer Loans. Due to our limited historical experience with longer-term Consumer Loans, our prior model relied on extrapolations from the historical performance of shorter-term Consumer Loans to predict the timing of future net cash flows on longer-term Consumer Loans. We used our additional historical experience on these longer-term loans to refine our estimate.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revision to our net cash flow timing forecast did not impact the amount of undiscounted net cash flows we expected to receive. As a result, the dollar amount of future net portfolio revenue (finance charges less provision for credit losses) was not impacted by the revision. However, the revision did impact the period in which those net revenues are recorded as a portion of the impact of the revised timing estimate was recorded as a current period expense and a portion was recorded as a yield adjustment. For the fourth quarter of 2017, the revision increased provision for credit losses by $41.6 million, reduced finance charge revenue by $7.3 million and reduced net income by $30.8 million. The revision reduced the yield on our Loan portfolio by 90 basis points, which impacts the timing of revenue recognition in future periods.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we enhanced our methodology for forecasting the amount and timing of future collections on Consumer Loans through the utilization of more recent data and new forecast variables. Implementation of the enhanced forecasting methodology as of October 31, 2016 did not have a material impact on provision for credit losses or net income, however it did reduce forecasted net cash flows by $1.8 million, all of which related to Dealer Loans. The implementation also decreased the forecasted collection rates for Consumer Loans assigned in 2015 and 2016 and increased the forecasted collection rates for Consumer Loans assigned in 2011 through 2013.</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Advances paid to Dealers on Consumer Loans assigned under our Portfolio Program and one-time payments made to Dealers to purchase Consumer Loans assigned under our Purchase Program are aggregated into pools for purposes of recognizing revenue and evaluating impairment. As a result of this aggregation, we are not able to segment the carrying amounts of the majority of our Loan portfolio by year of assignment. We are able to segment our Loan portfolio by the performance of the Loan pools. Performance considers both the amount and timing of expected net cash flows and is measured by comparing the balance of the Loan pool to the discounted value of the expected future net cash flows of each Loan pool using the yield established at the time of assignment. The following table segments our Loan portfolio by the performance of the Loan pools: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As of December 31, 2018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4"/>
                <w:szCs w:val="14"/>
                <w:b w:val="1"/>
                <w:bCs w:val="1"/>
                <w:color w:val="auto"/>
                <w:w w:val="92"/>
              </w:rPr>
              <w:t>Meets or Exceeds Initial Estimates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w w:val="93"/>
              </w:rPr>
              <w:t>Less than Initial Estimates</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Dealer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Dealer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Loans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1,355.1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2,785.9</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3,478.0</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57"/>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1,355.1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1,392.1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2,747.2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2,407.8</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3,016.1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As of December 31, 2017</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4"/>
                <w:szCs w:val="14"/>
                <w:b w:val="1"/>
                <w:bCs w:val="1"/>
                <w:color w:val="auto"/>
                <w:w w:val="92"/>
              </w:rPr>
              <w:t>Meets or Exceeds Initial Estimates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w w:val="93"/>
              </w:rPr>
              <w:t>Less than Initial Estimates</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Dealer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Dealer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Loans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755.2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2,762.9</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3,821.1</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755.2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1,227.9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994.8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3,391.7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70</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the allowance for credit losses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5"/>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56.9</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(1)</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Recoveries (2)</w:t>
            </w:r>
          </w:p>
        </w:tc>
        <w:tc>
          <w:tcPr>
            <w:tcW w:w="3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461.9</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5"/>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129.3</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(1)</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Recoveries (2)</w:t>
            </w:r>
          </w:p>
        </w:tc>
        <w:tc>
          <w:tcPr>
            <w:tcW w:w="3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429.4</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5"/>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90.2</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(2)</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320.4</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1"/>
          <w:numId w:val="65"/>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to Purchased Loans in the period this forfeiture occurs. Beginning in the fourth quarter of 2017, we also transfer the related allowance for credit losses balance to Purchased Loans in the period this forfeiture occurs.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1"/>
          <w:numId w:val="65"/>
        </w:numPr>
        <w:rPr>
          <w:rFonts w:ascii="Arial" w:cs="Arial" w:eastAsia="Arial" w:hAnsi="Arial"/>
          <w:sz w:val="14"/>
          <w:szCs w:val="14"/>
          <w:color w:val="auto"/>
        </w:rPr>
      </w:pPr>
      <w:r>
        <w:rPr>
          <w:rFonts w:ascii="Arial" w:cs="Arial" w:eastAsia="Arial" w:hAnsi="Arial"/>
          <w:sz w:val="14"/>
          <w:szCs w:val="14"/>
          <w:color w:val="auto"/>
        </w:rPr>
        <w:t>Represents collections received on previously written off Loans.</w:t>
      </w:r>
    </w:p>
    <w:p>
      <w:pPr>
        <w:spacing w:after="0" w:line="205"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1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15.6</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Data processing equipment and software</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8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property and equipment</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55.4</w:t>
            </w:r>
          </w:p>
        </w:tc>
      </w:tr>
      <w:tr>
        <w:trPr>
          <w:trHeight w:val="27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on property and equipment</w:t>
            </w:r>
          </w:p>
        </w:tc>
        <w:tc>
          <w:tcPr>
            <w:tcW w:w="1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64"/>
        </w:trPr>
        <w:tc>
          <w:tcPr>
            <w:tcW w:w="766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20.5</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on property and equipment was $5.4 million, $6.0 million and $6.1 million for the years ended December 31, 2018, 2017 and 2016, respectively.</w:t>
      </w:r>
    </w:p>
    <w:p>
      <w:pPr>
        <w:sectPr>
          <w:pgSz w:w="11900" w:h="16838" w:orient="portrait"/>
          <w:cols w:equalWidth="0" w:num="1">
            <w:col w:w="11420"/>
          </w:cols>
          <w:pgMar w:left="240" w:top="33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37"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REINSURANCE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reinsurance activity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510"/>
              <w:spacing w:after="0"/>
              <w:rPr>
                <w:sz w:val="20"/>
                <w:szCs w:val="20"/>
                <w:color w:val="auto"/>
              </w:rPr>
            </w:pPr>
            <w:r>
              <w:rPr>
                <w:rFonts w:ascii="Arial" w:cs="Arial" w:eastAsia="Arial" w:hAnsi="Arial"/>
                <w:sz w:val="14"/>
                <w:szCs w:val="14"/>
                <w:b w:val="1"/>
                <w:bCs w:val="1"/>
                <w:color w:val="auto"/>
                <w:w w:val="92"/>
              </w:rPr>
              <w:t>For the Years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28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assumed written premiums</w:t>
            </w:r>
          </w:p>
        </w:tc>
        <w:tc>
          <w:tcPr>
            <w:tcW w:w="4060" w:type="dxa"/>
            <w:vAlign w:val="bottom"/>
            <w:tcBorders>
              <w:bottom w:val="single" w:sz="8" w:color="CCEEFF"/>
            </w:tcBorders>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43.0</w:t>
            </w:r>
          </w:p>
        </w:tc>
      </w:tr>
      <w:tr>
        <w:trPr>
          <w:trHeight w:val="27"/>
        </w:trPr>
        <w:tc>
          <w:tcPr>
            <w:tcW w:w="28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claims</w:t>
            </w:r>
          </w:p>
        </w:tc>
        <w:tc>
          <w:tcPr>
            <w:tcW w:w="2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r>
      <w:tr>
        <w:trPr>
          <w:trHeight w:val="243"/>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Amortization of capitalized acquisition costs</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459"/>
        </w:trPr>
        <w:tc>
          <w:tcPr>
            <w:tcW w:w="6940" w:type="dxa"/>
            <w:vAlign w:val="bottom"/>
            <w:gridSpan w:val="3"/>
          </w:tcPr>
          <w:p>
            <w:pPr>
              <w:ind w:left="340"/>
              <w:spacing w:after="0"/>
              <w:rPr>
                <w:sz w:val="20"/>
                <w:szCs w:val="20"/>
                <w:color w:val="auto"/>
              </w:rPr>
            </w:pPr>
            <w:r>
              <w:rPr>
                <w:rFonts w:ascii="Arial" w:cs="Arial" w:eastAsia="Arial" w:hAnsi="Arial"/>
                <w:sz w:val="18"/>
                <w:szCs w:val="18"/>
                <w:color w:val="auto"/>
              </w:rPr>
              <w:t>The trust assets and related reinsurance liabilities are as follows: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28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4060" w:type="dxa"/>
            <w:vAlign w:val="bottom"/>
            <w:tcBorders>
              <w:bottom w:val="single" w:sz="8" w:color="auto"/>
            </w:tcBorders>
            <w:gridSpan w:val="2"/>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assets</w:t>
            </w: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w:t>
            </w: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Trust assets</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Restricted securities available for sale</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46.1</w:t>
            </w:r>
          </w:p>
        </w:tc>
      </w:tr>
      <w:tr>
        <w:trPr>
          <w:trHeight w:val="27"/>
        </w:trPr>
        <w:tc>
          <w:tcPr>
            <w:tcW w:w="288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w:t>
            </w: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Claims reserve (1)</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w:t>
            </w:r>
          </w:p>
        </w:tc>
      </w:tr>
    </w:tbl>
    <w:p>
      <w:pPr>
        <w:spacing w:after="0" w:line="224" w:lineRule="exact"/>
        <w:rPr>
          <w:sz w:val="20"/>
          <w:szCs w:val="20"/>
          <w:color w:val="auto"/>
        </w:rPr>
      </w:pPr>
    </w:p>
    <w:p>
      <w:pPr>
        <w:ind w:left="500" w:hanging="330"/>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claims reserve represents our liability for incurred-but-not-reported claims and is estimated based on historical claims experience.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information about incurred and paid claims development for the five-year period ended December 31,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(Dollars 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w w:val="95"/>
              </w:rPr>
              <w:t>Cumulative Incurred Claims</w:t>
            </w: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5"/>
              </w:rPr>
              <w:t>As of December 31,</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Cumulative Number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Incident Year</w:t>
            </w:r>
          </w:p>
        </w:tc>
        <w:tc>
          <w:tcPr>
            <w:tcW w:w="120" w:type="dxa"/>
            <w:vAlign w:val="bottom"/>
            <w:vMerge w:val="restart"/>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Claims Reserve</w:t>
            </w:r>
          </w:p>
        </w:tc>
        <w:tc>
          <w:tcPr>
            <w:tcW w:w="100" w:type="dxa"/>
            <w:vAlign w:val="bottom"/>
            <w:gridSpan w:val="2"/>
            <w:vMerge w:val="restart"/>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Reported Claims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20,457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21,503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140,992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4"/>
              </w:rPr>
              <w:t>Cumulative Paid Claims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Incident Year</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39.9</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760"/>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26.0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760"/>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gridSpan w:val="18"/>
            <w:vMerge w:val="restart"/>
          </w:tcPr>
          <w:p>
            <w:pPr>
              <w:jc w:val="center"/>
              <w:ind w:left="699"/>
              <w:spacing w:after="0"/>
              <w:rPr>
                <w:sz w:val="20"/>
                <w:szCs w:val="20"/>
                <w:color w:val="auto"/>
              </w:rPr>
            </w:pPr>
            <w:r>
              <w:rPr>
                <w:rFonts w:ascii="Arial" w:cs="Arial" w:eastAsia="Arial" w:hAnsi="Arial"/>
                <w:sz w:val="14"/>
                <w:szCs w:val="14"/>
                <w:b w:val="1"/>
                <w:bCs w:val="1"/>
                <w:color w:val="auto"/>
                <w:w w:val="92"/>
              </w:rPr>
              <w:t>Average Annual Percentage Payout of Incurred Claims by Age</w:t>
            </w: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8"/>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Claim Age (Years)</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4</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6"/>
              </w:rPr>
              <w:t>Payout Percentage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5"/>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72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income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3"/>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Ancillary product profit sharing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Remarketing fees</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GPS-SID fees</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enrollment fees</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Dealer support products and services</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62.4</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51.9</w:t>
            </w:r>
          </w:p>
        </w:tc>
      </w:tr>
      <w:tr>
        <w:trPr>
          <w:trHeight w:val="20"/>
        </w:trPr>
        <w:tc>
          <w:tcPr>
            <w:tcW w:w="5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Ancillary product profit sharing consists of payments received from Third Party Providers (“TPPs”) based upon the performance of vehicle service contracts and Guaranteed Asset Protection (“GAP”) contracts and is recognized as income over the life of the vehicle service contracts and GAP contracts.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Remarketing fees consist of fees retained from the sale of repossessed vehicles by Vehicle Remarketing Services, Inc. (“VRS”), our wholly-owned subsidiary that is responsible for remarketing vehicles for Credit Acceptance. VRS coordinates vehicle repossessions with a nationwide network of repossession contractors, the redemption of the vehicles by the consumers, and the sale of the vehicles through a nationwide network of vehicle auctions. VRS recognizes income from the retained fees at the time of the sale and does not retain a fee if a repossessed vehicle is redeemed by the consumer prior to the sale.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GPS-SID fees consist of fees we receive from a TPP for providing Dealers in certain states the ability to purchase GPS Starter Interrupt Devices ("GPS-SID"). Through this program, Dealers can install GPS-SID on vehicles financed by us that can be activated if the consumer fails to make payments on their account, and can result in the prompt repossession of the vehicle. Dealers purchase GPS-SID directly from the TPP and the TPP pays us a vendor fee for each device sold. GPS-SID fee income is recognized when the unit is sold.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consists of income earned on cash and cash equivalents, restricted cash and cash equivalents, and restricted securities available for sale. Interest income is generally recognized over time as it is earned. Interest income on restricted securities available for sale is recognized over the life of the underlying financial instruments using the interest method.</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Dealer enrollment fees include fees from Dealers that enroll in our Portfolio Program. Depending on the enrollment option selected by the Dealer, Dealers may have enrolled by paying us an upfront, one-time fee, or by agreeing to allow us to retain 50% of their first accelerated Dealer Holdback payment. For additional information regarding program enrollment, see Note 2 to the consolidated financial statements. A portion of the $9,850 upfront, one-time fee is considered to be Dealer support products and services revenue. The remaining portion of the $9,850 fee is considered to be a Dealer enrollment fee, which is amortized on a straight-line basis over the estimated life of the Dealer relationship. The 50% portion of the first accelerated Dealer Holdback payment is also considered to be a Dealer enrollment fee. We do not recognize any of this Dealer enrollment fee until the Dealer has met the eligibility requirements to receive an accelerated Dealer Holdback payment and the amount of the first payment, if any, has been calculated. Once the accelerated Dealer Holdback payment has been calculated, we defer the 50% portion that we keep and recognize it on a straight-line basis over the remaining estimated life of the Dealer relationship.</w:t>
      </w:r>
    </w:p>
    <w:p>
      <w:pPr>
        <w:spacing w:after="0" w:line="18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Dealer support products and services consist of income earned from products and services provided to Dealers to assist with their operations, including sales and marketing, purchasing supplies and materials and acquiring vehicle inventory. Income is recognized in the period the product or service is provided.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our other income by major source of income and timing of the revenue recognition: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Ancillary product</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Dealer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Dealer support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Remarketing fees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GPS-SID fees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products and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profit sharing</w:t>
            </w:r>
          </w:p>
        </w:tc>
        <w:tc>
          <w:tcPr>
            <w:tcW w:w="1400" w:type="dxa"/>
            <w:vAlign w:val="bottom"/>
            <w:gridSpan w:val="6"/>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5"/>
          </w:tcPr>
          <w:p>
            <w:pPr>
              <w:jc w:val="right"/>
              <w:ind w:right="25"/>
              <w:spacing w:after="0"/>
              <w:rPr>
                <w:sz w:val="20"/>
                <w:szCs w:val="20"/>
                <w:color w:val="auto"/>
              </w:rPr>
            </w:pPr>
            <w:r>
              <w:rPr>
                <w:rFonts w:ascii="Arial" w:cs="Arial" w:eastAsia="Arial" w:hAnsi="Arial"/>
                <w:sz w:val="14"/>
                <w:szCs w:val="14"/>
                <w:b w:val="1"/>
                <w:bCs w:val="1"/>
                <w:color w:val="auto"/>
                <w:w w:val="98"/>
              </w:rPr>
              <w:t>enrollment fees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85"/>
              </w:rPr>
              <w:t>services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Source of income</w:t>
            </w:r>
          </w:p>
        </w:tc>
        <w:tc>
          <w:tcPr>
            <w:tcW w:w="14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88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7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5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Party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Providers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84"/>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Dealers</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4.3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7"/>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Timing of revenue</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Over time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a point in time</w:t>
            </w:r>
          </w:p>
        </w:tc>
        <w:tc>
          <w:tcPr>
            <w:tcW w:w="1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64"/>
        </w:trPr>
        <w:tc>
          <w:tcPr>
            <w:tcW w:w="162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0.8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9.  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20" w:type="dxa"/>
            <w:vAlign w:val="bottom"/>
            <w:gridSpan w:val="4"/>
          </w:tcPr>
          <w:p>
            <w:pPr>
              <w:ind w:left="340"/>
              <w:spacing w:after="0"/>
              <w:rPr>
                <w:sz w:val="20"/>
                <w:szCs w:val="20"/>
                <w:color w:val="auto"/>
              </w:rPr>
            </w:pPr>
            <w:r>
              <w:rPr>
                <w:rFonts w:ascii="Arial" w:cs="Arial" w:eastAsia="Arial" w:hAnsi="Arial"/>
                <w:sz w:val="18"/>
                <w:szCs w:val="18"/>
                <w:color w:val="auto"/>
              </w:rPr>
              <w:t>Debt consists of the following:</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right"/>
              <w:ind w:right="574"/>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w w:val="94"/>
              </w:rPr>
              <w:t>Principal Outstanding</w:t>
            </w:r>
          </w:p>
        </w:tc>
        <w:tc>
          <w:tcPr>
            <w:tcW w:w="120" w:type="dxa"/>
            <w:vAlign w:val="bottom"/>
            <w:vMerge w:val="restart"/>
          </w:tcPr>
          <w:p>
            <w:pPr>
              <w:spacing w:after="0"/>
              <w:rPr>
                <w:sz w:val="13"/>
                <w:szCs w:val="13"/>
                <w:color w:val="auto"/>
              </w:rPr>
            </w:pPr>
          </w:p>
        </w:tc>
        <w:tc>
          <w:tcPr>
            <w:tcW w:w="1960" w:type="dxa"/>
            <w:vAlign w:val="bottom"/>
            <w:gridSpan w:val="7"/>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Unamortized Debt Issuance</w:t>
            </w:r>
          </w:p>
        </w:tc>
        <w:tc>
          <w:tcPr>
            <w:tcW w:w="100" w:type="dxa"/>
            <w:vAlign w:val="bottom"/>
          </w:tcPr>
          <w:p>
            <w:pPr>
              <w:spacing w:after="0"/>
              <w:rPr>
                <w:sz w:val="13"/>
                <w:szCs w:val="13"/>
                <w:color w:val="auto"/>
              </w:rPr>
            </w:pPr>
          </w:p>
        </w:tc>
        <w:tc>
          <w:tcPr>
            <w:tcW w:w="1660" w:type="dxa"/>
            <w:vAlign w:val="bottom"/>
            <w:gridSpan w:val="5"/>
            <w:vMerge w:val="restart"/>
          </w:tcPr>
          <w:p>
            <w:pPr>
              <w:jc w:val="right"/>
              <w:ind w:right="90"/>
              <w:spacing w:after="0"/>
              <w:rPr>
                <w:sz w:val="20"/>
                <w:szCs w:val="20"/>
                <w:color w:val="auto"/>
              </w:rPr>
            </w:pPr>
            <w:r>
              <w:rPr>
                <w:rFonts w:ascii="Arial" w:cs="Arial" w:eastAsia="Arial" w:hAnsi="Arial"/>
                <w:sz w:val="14"/>
                <w:szCs w:val="14"/>
                <w:b w:val="1"/>
                <w:bCs w:val="1"/>
                <w:color w:val="auto"/>
                <w:w w:val="98"/>
              </w:rPr>
              <w:t>Unamortized Discount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gridSpan w:val="3"/>
          </w:tcPr>
          <w:p>
            <w:pPr>
              <w:jc w:val="center"/>
              <w:ind w:right="492"/>
              <w:spacing w:after="0" w:line="15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05"/>
        </w:trPr>
        <w:tc>
          <w:tcPr>
            <w:tcW w:w="1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7"/>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49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Revolving secured line of credit (1)</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w w:val="91"/>
              </w:rPr>
              <w:t>Secured financing (2)</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3,108.7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3,092.7</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284"/>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 note</w:t>
            </w: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5"/>
              </w:rPr>
              <w:t>11.9</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7"/>
        </w:trPr>
        <w:tc>
          <w:tcPr>
            <w:tcW w:w="1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3,842.5</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3,820.9</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right"/>
              <w:ind w:right="574"/>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w w:val="94"/>
              </w:rPr>
              <w:t>Principal Outstanding</w:t>
            </w:r>
          </w:p>
        </w:tc>
        <w:tc>
          <w:tcPr>
            <w:tcW w:w="120" w:type="dxa"/>
            <w:vAlign w:val="bottom"/>
            <w:vMerge w:val="restart"/>
          </w:tcPr>
          <w:p>
            <w:pPr>
              <w:spacing w:after="0"/>
              <w:rPr>
                <w:sz w:val="13"/>
                <w:szCs w:val="13"/>
                <w:color w:val="auto"/>
              </w:rPr>
            </w:pPr>
          </w:p>
        </w:tc>
        <w:tc>
          <w:tcPr>
            <w:tcW w:w="1960" w:type="dxa"/>
            <w:vAlign w:val="bottom"/>
            <w:gridSpan w:val="7"/>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Unamortized Debt Issuance</w:t>
            </w:r>
          </w:p>
        </w:tc>
        <w:tc>
          <w:tcPr>
            <w:tcW w:w="100" w:type="dxa"/>
            <w:vAlign w:val="bottom"/>
          </w:tcPr>
          <w:p>
            <w:pPr>
              <w:spacing w:after="0"/>
              <w:rPr>
                <w:sz w:val="13"/>
                <w:szCs w:val="13"/>
                <w:color w:val="auto"/>
              </w:rPr>
            </w:pPr>
          </w:p>
        </w:tc>
        <w:tc>
          <w:tcPr>
            <w:tcW w:w="1660" w:type="dxa"/>
            <w:vAlign w:val="bottom"/>
            <w:gridSpan w:val="5"/>
            <w:vMerge w:val="restart"/>
          </w:tcPr>
          <w:p>
            <w:pPr>
              <w:jc w:val="right"/>
              <w:ind w:right="90"/>
              <w:spacing w:after="0"/>
              <w:rPr>
                <w:sz w:val="20"/>
                <w:szCs w:val="20"/>
                <w:color w:val="auto"/>
              </w:rPr>
            </w:pPr>
            <w:r>
              <w:rPr>
                <w:rFonts w:ascii="Arial" w:cs="Arial" w:eastAsia="Arial" w:hAnsi="Arial"/>
                <w:sz w:val="14"/>
                <w:szCs w:val="14"/>
                <w:b w:val="1"/>
                <w:bCs w:val="1"/>
                <w:color w:val="auto"/>
                <w:w w:val="98"/>
              </w:rPr>
              <w:t>Unamortized Discount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gridSpan w:val="3"/>
          </w:tcPr>
          <w:p>
            <w:pPr>
              <w:jc w:val="center"/>
              <w:ind w:right="492"/>
              <w:spacing w:after="0" w:line="15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05"/>
        </w:trPr>
        <w:tc>
          <w:tcPr>
            <w:tcW w:w="1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7"/>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49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Revolving secured line of credit (1)</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w w:val="91"/>
              </w:rPr>
              <w:t>Secured financing (2)</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2,529.1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2,514.1</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64"/>
        </w:trPr>
        <w:tc>
          <w:tcPr>
            <w:tcW w:w="1620" w:type="dxa"/>
            <w:vAlign w:val="bottom"/>
          </w:tcPr>
          <w:p>
            <w:pPr>
              <w:ind w:left="38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3,093.0</w:t>
            </w:r>
          </w:p>
        </w:tc>
        <w:tc>
          <w:tcPr>
            <w:tcW w:w="120" w:type="dxa"/>
            <w:vAlign w:val="bottom"/>
          </w:tcPr>
          <w:p>
            <w:pPr>
              <w:spacing w:after="0"/>
              <w:rPr>
                <w:sz w:val="22"/>
                <w:szCs w:val="22"/>
                <w:color w:val="auto"/>
              </w:rPr>
            </w:pP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72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3,070.8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Excludes deferred debt issuance costs of $2.9 million and $2.8 million as of December 31, 2018 and December 31, 2017, respectively, which are included in other assets.</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Warehouse facilities and Term ABS financings.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7"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information for each of our financing transactions in place as of December 31, 2018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gridSpan w:val="2"/>
          </w:tcPr>
          <w:p>
            <w:pPr>
              <w:ind w:left="80"/>
              <w:spacing w:after="0"/>
              <w:rPr>
                <w:sz w:val="20"/>
                <w:szCs w:val="20"/>
                <w:color w:val="auto"/>
              </w:rPr>
            </w:pPr>
            <w:r>
              <w:rPr>
                <w:rFonts w:ascii="Arial" w:cs="Arial" w:eastAsia="Arial" w:hAnsi="Arial"/>
                <w:sz w:val="14"/>
                <w:szCs w:val="14"/>
                <w:color w:val="auto"/>
              </w:rPr>
              <w:t>(Dollars in millions)</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Financings</w:t>
            </w:r>
          </w:p>
        </w:tc>
        <w:tc>
          <w:tcPr>
            <w:tcW w:w="2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Wholly-owned Subsidiary</w:t>
            </w:r>
          </w:p>
        </w:tc>
        <w:tc>
          <w:tcPr>
            <w:tcW w:w="17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Financing</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Interest Rate as of December 31, 2018</w:t>
            </w:r>
          </w:p>
        </w:tc>
        <w:tc>
          <w:tcPr>
            <w:tcW w:w="0" w:type="dxa"/>
            <w:vAlign w:val="bottom"/>
          </w:tcPr>
          <w:p>
            <w:pPr>
              <w:spacing w:after="0"/>
              <w:rPr>
                <w:sz w:val="1"/>
                <w:szCs w:val="1"/>
                <w:color w:val="auto"/>
              </w:rPr>
            </w:pPr>
          </w:p>
        </w:tc>
      </w:tr>
      <w:tr>
        <w:trPr>
          <w:trHeight w:val="205"/>
        </w:trPr>
        <w:tc>
          <w:tcPr>
            <w:tcW w:w="2540" w:type="dxa"/>
            <w:vAlign w:val="bottom"/>
            <w:gridSpan w:val="2"/>
            <w:vMerge w:val="continue"/>
          </w:tcPr>
          <w:p>
            <w:pPr>
              <w:spacing w:after="0"/>
              <w:rPr>
                <w:sz w:val="17"/>
                <w:szCs w:val="17"/>
                <w:color w:val="auto"/>
              </w:rPr>
            </w:pPr>
          </w:p>
        </w:tc>
        <w:tc>
          <w:tcPr>
            <w:tcW w:w="2620" w:type="dxa"/>
            <w:vAlign w:val="bottom"/>
            <w:gridSpan w:val="2"/>
            <w:vMerge w:val="continue"/>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At our option, either LIBOR plus 187.5</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Secured</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basis points or the prime rate plus 87.5</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06/22/21</w:t>
            </w: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basis points</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CAC Warehouse Funding Corp.</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Warehouse Facility II (2)</w:t>
            </w: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rPr>
              <w:t>II</w:t>
            </w:r>
          </w:p>
        </w:tc>
        <w:tc>
          <w:tcPr>
            <w:tcW w:w="1100" w:type="dxa"/>
            <w:vAlign w:val="bottom"/>
          </w:tcPr>
          <w:p>
            <w:pPr>
              <w:ind w:left="360"/>
              <w:spacing w:after="0"/>
              <w:rPr>
                <w:sz w:val="20"/>
                <w:szCs w:val="20"/>
                <w:color w:val="auto"/>
              </w:rPr>
            </w:pPr>
            <w:r>
              <w:rPr>
                <w:rFonts w:ascii="Arial" w:cs="Arial" w:eastAsia="Arial" w:hAnsi="Arial"/>
                <w:sz w:val="18"/>
                <w:szCs w:val="18"/>
                <w:color w:val="auto"/>
              </w:rPr>
              <w:t>12/20/20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LIBOR plus 175 basis points (4)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IV (2)</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IV</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04/30/20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plus 225 basis points (4)</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Warehouse Facility V (2)</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CAC Warehouse Funding LLC V</w:t>
            </w:r>
          </w:p>
        </w:tc>
        <w:tc>
          <w:tcPr>
            <w:tcW w:w="1100" w:type="dxa"/>
            <w:vAlign w:val="bottom"/>
          </w:tcPr>
          <w:p>
            <w:pPr>
              <w:ind w:left="360"/>
              <w:spacing w:after="0"/>
              <w:rPr>
                <w:sz w:val="20"/>
                <w:szCs w:val="20"/>
                <w:color w:val="auto"/>
              </w:rPr>
            </w:pPr>
            <w:r>
              <w:rPr>
                <w:rFonts w:ascii="Arial" w:cs="Arial" w:eastAsia="Arial" w:hAnsi="Arial"/>
                <w:sz w:val="18"/>
                <w:szCs w:val="18"/>
                <w:color w:val="auto"/>
              </w:rPr>
              <w:t>08/17/21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LIBOR plus 190 basis points (4)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VI (2)</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VI</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09/30/20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plus 200 basis points</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Warehouse Facility VII (2)</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VII</w:t>
            </w:r>
          </w:p>
        </w:tc>
        <w:tc>
          <w:tcPr>
            <w:tcW w:w="1100" w:type="dxa"/>
            <w:vAlign w:val="bottom"/>
          </w:tcPr>
          <w:p>
            <w:pPr>
              <w:ind w:left="360"/>
              <w:spacing w:after="0"/>
              <w:rPr>
                <w:sz w:val="20"/>
                <w:szCs w:val="20"/>
                <w:color w:val="auto"/>
              </w:rPr>
            </w:pPr>
            <w:r>
              <w:rPr>
                <w:rFonts w:ascii="Arial" w:cs="Arial" w:eastAsia="Arial" w:hAnsi="Arial"/>
                <w:sz w:val="18"/>
                <w:szCs w:val="18"/>
                <w:color w:val="auto"/>
              </w:rPr>
              <w:t>12/17/20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Commercial paper rate plus 200 (4)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2016-1 (2)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02/15/18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plus 195 basis points (4)</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2016-2 (2)</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2016-2</w:t>
            </w:r>
          </w:p>
        </w:tc>
        <w:tc>
          <w:tcPr>
            <w:tcW w:w="12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05/15/18</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2016-3 (2)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10/15/18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2017-1 (2)</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2017-1</w:t>
            </w:r>
          </w:p>
        </w:tc>
        <w:tc>
          <w:tcPr>
            <w:tcW w:w="12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02/15/19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2017-2 (2)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06/17/19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2017-3 (2)</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2017-3</w:t>
            </w:r>
          </w:p>
        </w:tc>
        <w:tc>
          <w:tcPr>
            <w:tcW w:w="12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10/15/19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2018-1 (2)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02/17/20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Term ABS 2018-2 (2)</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2018-2</w:t>
            </w:r>
          </w:p>
        </w:tc>
        <w:tc>
          <w:tcPr>
            <w:tcW w:w="12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color w:val="auto"/>
              </w:rPr>
              <w:t>05/15/20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450.0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2018-3 (2)</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08/17/20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2021 Senior Notes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Pr>
          <w:p>
            <w:pPr>
              <w:ind w:left="360"/>
              <w:spacing w:after="0"/>
              <w:rPr>
                <w:sz w:val="20"/>
                <w:szCs w:val="20"/>
                <w:color w:val="auto"/>
              </w:rPr>
            </w:pPr>
            <w:r>
              <w:rPr>
                <w:rFonts w:ascii="Arial" w:cs="Arial" w:eastAsia="Arial" w:hAnsi="Arial"/>
                <w:sz w:val="18"/>
                <w:szCs w:val="18"/>
                <w:color w:val="auto"/>
              </w:rPr>
              <w:t>02/15/21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 Senior Notes</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03/15/23</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Mortgage Note</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Chapter 4 Properties, LLC</w:t>
            </w:r>
          </w:p>
        </w:tc>
        <w:tc>
          <w:tcPr>
            <w:tcW w:w="1100" w:type="dxa"/>
            <w:vAlign w:val="bottom"/>
          </w:tcPr>
          <w:p>
            <w:pPr>
              <w:ind w:left="360"/>
              <w:spacing w:after="0"/>
              <w:rPr>
                <w:sz w:val="20"/>
                <w:szCs w:val="20"/>
                <w:color w:val="auto"/>
              </w:rPr>
            </w:pPr>
            <w:r>
              <w:rPr>
                <w:rFonts w:ascii="Arial" w:cs="Arial" w:eastAsia="Arial" w:hAnsi="Arial"/>
                <w:sz w:val="18"/>
                <w:szCs w:val="18"/>
                <w:color w:val="auto"/>
              </w:rPr>
              <w:t>08/06/23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40"/>
              <w:spacing w:after="0"/>
              <w:rPr>
                <w:sz w:val="20"/>
                <w:szCs w:val="20"/>
                <w:color w:val="auto"/>
              </w:rPr>
            </w:pPr>
            <w:r>
              <w:rPr>
                <w:rFonts w:ascii="Arial" w:cs="Arial" w:eastAsia="Arial" w:hAnsi="Arial"/>
                <w:sz w:val="18"/>
                <w:szCs w:val="18"/>
                <w:color w:val="auto"/>
              </w:rPr>
              <w:t>LIBOR plus 150 basis points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00" w:hanging="330"/>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 of the facility will decrease to $315.0 million on June 22, 2019.</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Financing made available only to a specified subsidiary of the Company.</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the revolving maturity date. The outstanding balance will amortize after the revolving maturity date based on the cash flows of the pledged assets.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Interest rate cap agreements are in place to limit the exposure to increasing interest rates.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the revolving maturity date. The outstanding balance will amortize after the revolving maturity date and any amounts remaining on August 17, 2023 will be due on that date.</w:t>
      </w:r>
    </w:p>
    <w:p>
      <w:pPr>
        <w:spacing w:after="0" w:line="12" w:lineRule="exact"/>
        <w:rPr>
          <w:rFonts w:ascii="Arial" w:cs="Arial" w:eastAsia="Arial" w:hAnsi="Arial"/>
          <w:sz w:val="13"/>
          <w:szCs w:val="13"/>
          <w:color w:val="auto"/>
        </w:rPr>
      </w:pPr>
    </w:p>
    <w:p>
      <w:pPr>
        <w:ind w:left="500" w:hanging="330"/>
        <w:spacing w:after="0"/>
        <w:tabs>
          <w:tab w:leader="none" w:pos="5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the revolving maturity date. The outstanding balance will amortize after the revolving maturity date and any amounts remaining on December 17, 2022 will be due on that date.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337"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the amounts outstanding on each facility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446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Revolving Secured Line of Credit</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276.7</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80.3</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275.0</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5.9</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VII</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459"/>
        </w:trPr>
        <w:tc>
          <w:tcPr>
            <w:tcW w:w="4460" w:type="dxa"/>
            <w:vAlign w:val="bottom"/>
          </w:tcPr>
          <w:p>
            <w:pPr>
              <w:spacing w:after="0"/>
              <w:rPr>
                <w:sz w:val="24"/>
                <w:szCs w:val="24"/>
                <w:color w:val="auto"/>
              </w:rPr>
            </w:pPr>
          </w:p>
        </w:tc>
        <w:tc>
          <w:tcPr>
            <w:tcW w:w="3200" w:type="dxa"/>
            <w:vAlign w:val="bottom"/>
          </w:tcPr>
          <w:p>
            <w:pPr>
              <w:jc w:val="right"/>
              <w:ind w:right="1770"/>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48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tcBorders>
              <w:bottom w:val="single" w:sz="8" w:color="auto"/>
            </w:tcBorders>
          </w:tcPr>
          <w:p>
            <w:pPr>
              <w:spacing w:after="0"/>
              <w:rPr>
                <w:sz w:val="17"/>
                <w:szCs w:val="17"/>
                <w:color w:val="auto"/>
              </w:rPr>
            </w:pPr>
          </w:p>
        </w:tc>
      </w:tr>
      <w:tr>
        <w:trPr>
          <w:trHeight w:val="264"/>
        </w:trPr>
        <w:tc>
          <w:tcPr>
            <w:tcW w:w="2660" w:type="dxa"/>
            <w:vAlign w:val="bottom"/>
          </w:tcPr>
          <w:p>
            <w:pPr>
              <w:spacing w:after="0"/>
              <w:rPr>
                <w:sz w:val="22"/>
                <w:szCs w:val="22"/>
                <w:color w:val="auto"/>
              </w:rPr>
            </w:pPr>
          </w:p>
        </w:tc>
        <w:tc>
          <w:tcPr>
            <w:tcW w:w="6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20" w:type="dxa"/>
            <w:vAlign w:val="bottom"/>
          </w:tcPr>
          <w:p>
            <w:pPr>
              <w:jc w:val="right"/>
              <w:ind w:right="710"/>
              <w:spacing w:after="0"/>
              <w:rPr>
                <w:sz w:val="20"/>
                <w:szCs w:val="20"/>
                <w:color w:val="auto"/>
              </w:rPr>
            </w:pPr>
            <w:r>
              <w:rPr>
                <w:rFonts w:ascii="Arial" w:cs="Arial" w:eastAsia="Arial" w:hAnsi="Arial"/>
                <w:sz w:val="14"/>
                <w:szCs w:val="14"/>
                <w:b w:val="1"/>
                <w:bCs w:val="1"/>
                <w:color w:val="auto"/>
              </w:rPr>
              <w:t>2017</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w w:val="91"/>
              </w:rPr>
              <w:t>Revolving Secured Line of Credit</w:t>
            </w:r>
          </w:p>
        </w:tc>
        <w:tc>
          <w:tcPr>
            <w:tcW w:w="488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336.1</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w w:val="95"/>
              </w:rPr>
              <w:t>Amount available for borrowing</w:t>
            </w:r>
          </w:p>
        </w:tc>
        <w:tc>
          <w:tcPr>
            <w:tcW w:w="4880" w:type="dxa"/>
            <w:vAlign w:val="bottom"/>
          </w:tcPr>
          <w:p>
            <w:pPr>
              <w:jc w:val="right"/>
              <w:ind w:right="4532"/>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400.0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100.0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100.0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75.0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VII</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150.0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Term ABS 2015-1</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78.0</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238.4</w:t>
            </w:r>
          </w:p>
        </w:tc>
      </w:tr>
      <w:tr>
        <w:trPr>
          <w:trHeight w:val="27"/>
        </w:trPr>
        <w:tc>
          <w:tcPr>
            <w:tcW w:w="75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2015-2</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215.9</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313.3</w:t>
            </w:r>
          </w:p>
        </w:tc>
      </w:tr>
      <w:tr>
        <w:trPr>
          <w:trHeight w:val="243"/>
        </w:trPr>
        <w:tc>
          <w:tcPr>
            <w:tcW w:w="872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26.4</w:t>
            </w: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Term ABS 2016-1</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6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385.0</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467.2</w:t>
            </w:r>
          </w:p>
        </w:tc>
      </w:tr>
      <w:tr>
        <w:trPr>
          <w:trHeight w:val="27"/>
        </w:trPr>
        <w:tc>
          <w:tcPr>
            <w:tcW w:w="75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36.6</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4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w:t>
            </w:r>
          </w:p>
        </w:tc>
      </w:tr>
    </w:tbl>
    <w:p>
      <w:pPr>
        <w:spacing w:after="0" w:line="200" w:lineRule="exact"/>
        <w:rPr>
          <w:sz w:val="20"/>
          <w:szCs w:val="20"/>
          <w:color w:val="auto"/>
        </w:rPr>
      </w:pPr>
    </w:p>
    <w:p>
      <w:pPr>
        <w:sectPr>
          <w:pgSz w:w="11900" w:h="16838" w:orient="portrait"/>
          <w:cols w:equalWidth="0" w:num="1">
            <w:col w:w="11420"/>
          </w:cols>
          <w:pgMar w:left="240" w:top="337" w:right="239" w:bottom="947"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337" w:right="239" w:bottom="947"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 ABS 2016-2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184.5</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350.2</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335.0</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428.0</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28.3</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33.2</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Term ABS 2016-3</w:t>
            </w:r>
          </w:p>
        </w:tc>
        <w:tc>
          <w:tcPr>
            <w:tcW w:w="2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300.6</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350.0</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392.7</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425.7</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30.7</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31.1</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2017-1</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350.0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350.0</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429.8</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425.9</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30.9</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30.8</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Term ABS 2017-2</w:t>
            </w:r>
          </w:p>
        </w:tc>
        <w:tc>
          <w:tcPr>
            <w:tcW w:w="2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450.0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450.0</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548.4</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545.8</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39.4</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39.8</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2017-3</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350.0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350.0</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426.1</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482.6</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28.6</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29.6</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Term ABS 2018-1</w:t>
            </w:r>
          </w:p>
        </w:tc>
        <w:tc>
          <w:tcPr>
            <w:tcW w:w="2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614.5</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41.8</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2018-2</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450.0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552.2</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36.3</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Term ABS 2018-3</w:t>
            </w:r>
          </w:p>
        </w:tc>
        <w:tc>
          <w:tcPr>
            <w:tcW w:w="2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398.3</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578.8</w:t>
            </w:r>
          </w:p>
        </w:tc>
        <w:tc>
          <w:tcPr>
            <w:tcW w:w="7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33.6</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2021 Senior Notes</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300.0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300.0</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2023 Senior Notes</w:t>
            </w:r>
          </w:p>
        </w:tc>
        <w:tc>
          <w:tcPr>
            <w:tcW w:w="2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250.0</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250.0</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7.375%</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7.375%</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Mortgage Note</w:t>
            </w:r>
          </w:p>
        </w:tc>
        <w:tc>
          <w:tcPr>
            <w:tcW w:w="2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11.9</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7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500" w:hanging="330"/>
        <w:spacing w:after="0"/>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Availability may be limited by the amount of assets pledged as collateral.</w:t>
      </w:r>
    </w:p>
    <w:p>
      <w:pPr>
        <w:sectPr>
          <w:pgSz w:w="11900" w:h="16838" w:orient="portrait"/>
          <w:cols w:equalWidth="0" w:num="1">
            <w:col w:w="11420"/>
          </w:cols>
          <w:pgMar w:left="240" w:top="337"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337"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$350.0 million revolving secured line of credit facility with a commercial bank syndicate. The amount of the facility will decrease to $315.0 million on June 22, 2019. Borrowings under the revolving secured line of credit facility, including any letters of credit issued under the facility, are subject to a borrowing-base limitation. This limitation equals 80% of the net book value of Loans, less a hedging reserve (not exceeding $1.0 million), and the amount of other debt secured by the collateral which secures the revolving secured line of credit facility. Borrowings under the revolving secured line of credit facility agreement are secured by a lien on most of our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five Warehouse facilities with total borrowing capacity of $975.0 million. Each of the facilities is with a different lender or group of lenders. Under each Warehouse facility, we can contribute Loans to our wholly-owned subsidiaries in return for cash and equity in each subsidiary. In turn, each subsidiary pledges the Loans as collateral to lenders to secure financing that will fund the cash portion of the purchase price of the Loans. The financing provided to each subsidiary under the applicable facility is generally limited to the lesser of 80% of the net book value of the contributed Loans plus the restricted cash and cash equivalents pledged as collateral on such Loans or the facility limit.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financings create indebtedness for which the subsidiaries are liable and which is secured by all the assets of each subsidiary. Such indebtedness is non-recourse to us, even though we are consolidated for financial reporting purposes with the subsidiaries. Because the subsidiaries are organized as legal entities separate from us, their assets (including the contributed Loans) are not available to our creditors.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subsidiaries pay us a monthly servicing fee equal to 6% of the collections received with respect to the contributed Loans. The servicing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ABS Financings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wholly-owned subsidiaries (the “Funding LLCs”) that have completed secured financing transactions with qualified institutional investors or lenders. In connection with these transactions, we contributed Loans on an arms-length basis to each Funding LLC for cash and the sole membership interest in that Funding LLC. In turn, each Funding LLC, other than that of Term ABS 2016-1, contributed the Loans to a respective trust that issued notes to qualified institutional investors. The Funding LLC for the Term ABS 2016-1 transaction pledged the Loans to lenders. The Term ABS 2016-2, 2016-3, 2017-1, 2017-2, 2017-3, 2018-1, 2018-2 and 2018-3 transactions each consist of three classes of notes.</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Each financing at the time of issuance has a specified revolving period during which we may be required, and are likely, to contribute additional Loans to each Funding LLC. Each Funding LLC (other than that of Term ABS 2016-1) will then contribute the Loans to its respective trust. At the end of the applicable revolving period, the debt outstanding under each financing will begin to amortize.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financings create indebtedness for which the trusts or Funding LLC are liable and which is secured by all the assets of each trust or Funding LLC. Such indebtedness is non-recourse to us, even though we are consolidated for financial reporting purposes with the trusts and the Funding LLCs. Because the Funding LLCs are organized as legal entities separate from us, their assets (including the contributed Loans) are not available to our creditors. We receive a monthly servicing fee on each financing equal to 6% of the collections received with respect to the contributed Loans. The fee is paid out of the collections. Except for the servicing fee and Dealer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 However, in our capacity as servicer of the Loans, we do have a limited right to exercise a “clean-up call” option to purchase Loans from the Funding LLCs and/or the trusts under certain specified circumstances. For those Funding LLCs with a trust, when the trust’s underlying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certain additional details regarding the outstanding Term ABS Financings: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 ABS Financings</w:t>
            </w:r>
          </w:p>
        </w:tc>
        <w:tc>
          <w:tcPr>
            <w:tcW w:w="120" w:type="dxa"/>
            <w:vAlign w:val="bottom"/>
            <w:vMerge w:val="restart"/>
          </w:tcPr>
          <w:p>
            <w:pPr>
              <w:spacing w:after="0"/>
              <w:rPr>
                <w:sz w:val="14"/>
                <w:szCs w:val="1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Close Date</w:t>
            </w:r>
          </w:p>
        </w:tc>
        <w:tc>
          <w:tcPr>
            <w:tcW w:w="120" w:type="dxa"/>
            <w:vAlign w:val="bottom"/>
            <w:vMerge w:val="restart"/>
          </w:tcPr>
          <w:p>
            <w:pPr>
              <w:spacing w:after="0"/>
              <w:rPr>
                <w:sz w:val="14"/>
                <w:szCs w:val="14"/>
                <w:color w:val="auto"/>
              </w:rPr>
            </w:pPr>
          </w:p>
        </w:tc>
        <w:tc>
          <w:tcPr>
            <w:tcW w:w="2500" w:type="dxa"/>
            <w:vAlign w:val="bottom"/>
            <w:gridSpan w:val="2"/>
          </w:tcPr>
          <w:p>
            <w:pPr>
              <w:ind w:left="440"/>
              <w:spacing w:after="0"/>
              <w:rPr>
                <w:sz w:val="20"/>
                <w:szCs w:val="20"/>
                <w:color w:val="auto"/>
              </w:rPr>
            </w:pPr>
            <w:r>
              <w:rPr>
                <w:rFonts w:ascii="Arial" w:cs="Arial" w:eastAsia="Arial" w:hAnsi="Arial"/>
                <w:sz w:val="14"/>
                <w:szCs w:val="14"/>
                <w:b w:val="1"/>
                <w:bCs w:val="1"/>
                <w:color w:val="auto"/>
              </w:rPr>
              <w:t>Net Book Value of Loans</w:t>
            </w:r>
          </w:p>
        </w:tc>
        <w:tc>
          <w:tcPr>
            <w:tcW w:w="4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24 Month Revolving Period</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3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Contributed at Closing</w:t>
            </w:r>
          </w:p>
        </w:tc>
        <w:tc>
          <w:tcPr>
            <w:tcW w:w="120" w:type="dxa"/>
            <w:vAlign w:val="bottom"/>
            <w:tcBorders>
              <w:bottom w:val="single" w:sz="8" w:color="CCEEFF"/>
            </w:tcBorders>
          </w:tcPr>
          <w:p>
            <w:pPr>
              <w:spacing w:after="0"/>
              <w:rPr>
                <w:sz w:val="17"/>
                <w:szCs w:val="17"/>
                <w:color w:val="auto"/>
              </w:rPr>
            </w:pPr>
          </w:p>
        </w:tc>
        <w:tc>
          <w:tcPr>
            <w:tcW w:w="4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2016-1</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26, 2016</w:t>
            </w:r>
          </w:p>
        </w:tc>
        <w:tc>
          <w:tcPr>
            <w:tcW w:w="2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481.4</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Through February 15, 2018</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2016-2</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12, 2016</w:t>
            </w:r>
          </w:p>
        </w:tc>
        <w:tc>
          <w:tcPr>
            <w:tcW w:w="2380" w:type="dxa"/>
            <w:vAlign w:val="bottom"/>
          </w:tcPr>
          <w:p>
            <w:pPr>
              <w:jc w:val="right"/>
              <w:ind w:right="13"/>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Through May 15, 2018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2016-3</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27, 2016</w:t>
            </w:r>
          </w:p>
        </w:tc>
        <w:tc>
          <w:tcPr>
            <w:tcW w:w="2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Through October 15, 2018</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2017-1</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23, 2017</w:t>
            </w:r>
          </w:p>
        </w:tc>
        <w:tc>
          <w:tcPr>
            <w:tcW w:w="2380" w:type="dxa"/>
            <w:vAlign w:val="bottom"/>
          </w:tcPr>
          <w:p>
            <w:pPr>
              <w:jc w:val="right"/>
              <w:ind w:right="13"/>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Through February 15, 2019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2017-2</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29, 2017</w:t>
            </w:r>
          </w:p>
        </w:tc>
        <w:tc>
          <w:tcPr>
            <w:tcW w:w="2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563.2</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Through June 17, 2019</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2017-3</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26, 2017</w:t>
            </w:r>
          </w:p>
        </w:tc>
        <w:tc>
          <w:tcPr>
            <w:tcW w:w="2380" w:type="dxa"/>
            <w:vAlign w:val="bottom"/>
          </w:tcPr>
          <w:p>
            <w:pPr>
              <w:jc w:val="right"/>
              <w:ind w:right="13"/>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Through October 15, 2019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2018-1</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22, 2018</w:t>
            </w:r>
          </w:p>
        </w:tc>
        <w:tc>
          <w:tcPr>
            <w:tcW w:w="2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625.1</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Through February 17, 2020</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2018-2</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24, 2018</w:t>
            </w:r>
          </w:p>
        </w:tc>
        <w:tc>
          <w:tcPr>
            <w:tcW w:w="2380" w:type="dxa"/>
            <w:vAlign w:val="bottom"/>
          </w:tcPr>
          <w:p>
            <w:pPr>
              <w:jc w:val="right"/>
              <w:ind w:right="13"/>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Through May 15, 2020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ABS 2018-3</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August 23, 2018</w:t>
            </w:r>
          </w:p>
        </w:tc>
        <w:tc>
          <w:tcPr>
            <w:tcW w:w="2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500.1</w:t>
            </w:r>
          </w:p>
        </w:tc>
        <w:tc>
          <w:tcPr>
            <w:tcW w:w="120" w:type="dxa"/>
            <w:vAlign w:val="bottom"/>
            <w:shd w:val="clear" w:color="auto" w:fill="CCEEFF"/>
          </w:tcPr>
          <w:p>
            <w:pPr>
              <w:spacing w:after="0"/>
              <w:rPr>
                <w:sz w:val="21"/>
                <w:szCs w:val="21"/>
                <w:color w:val="auto"/>
              </w:rPr>
            </w:pP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Through August 17, 2020</w:t>
            </w:r>
          </w:p>
        </w:tc>
        <w:tc>
          <w:tcPr>
            <w:tcW w:w="0" w:type="dxa"/>
            <w:vAlign w:val="bottom"/>
          </w:tcPr>
          <w:p>
            <w:pPr>
              <w:spacing w:after="0"/>
              <w:rPr>
                <w:sz w:val="1"/>
                <w:szCs w:val="1"/>
                <w:color w:val="auto"/>
              </w:rPr>
            </w:pPr>
          </w:p>
        </w:tc>
      </w:tr>
      <w:tr>
        <w:trPr>
          <w:trHeight w:val="27"/>
        </w:trPr>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March 30, 2015, we issued $250.0 million aggregate principal amount of 7.375% senior notes due 2023 (the “2023 senior notes”). The 2023 senior notes were issued pursuant to an indenture, dated as of March 30, 2015, among the Company, as issuer, the Company’s subsidiaries Buyers Vehicle Protection Plan, Inc. and Vehicle Remarketing Services, Inc., as guarantors (collectively, the “Guarantors”), and U.S. Bank National Association, as trustee.</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2023 senior notes mature on March 15, 2023 and bear interest at a rate of 7.375% per annum, computed on the basis of a 360-day year composed of twelve 30-day months and payable semi-annually on March 15 and September 15 of each year, beginning on September 15, 2015. The 2023 senior notes were issued at a price of 99.266% of their aggregate principal amount, resulting in gross proceeds of $248.2 million, and a yield to maturity of 7.5% per annum. We used the net proceeds from the offering of the notes for general corporate purposes, including repayment of outstanding borrowings under our revolving secured line of credit facility.</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22, 2014, we issued $300.0 million aggregate principal amount of 6.125% senior notes due 2021 (the “2021 senior notes”). The 2021 senior notes were issued pursuant to an indenture, dated as of January 22, 2014, among the Company, the Guarantors, and U.S. Bank National Association, as trustee.</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2021 senior notes mature on February 15, 2021 and bear interest at a rate of 6.125% per annum, computed on the basis of a 360-day year composed of twelve 30-day months and payable semi-annually on February 15 and August 15 of each year, beginning on August 15, 2014. We used the net proceeds from the 2021 senior notes, together with borrowings under our revolving credit facilities, to redeem in full the $350.0 million aggregate principal amount of our 9.125% first priority senior secured notes due 2017 (the “2017 senior notes”) on February 21, 2014. During the first quarter of 2014, we recognized a pre-tax loss on extinguishment of debt of $21.8 million related to the redemption of the 2017 senior notes.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3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Both the 2021 senior notes and the 2023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6, 2018, we entered into a $12.0 million mortgage note with a commercial bank that is secured by a first mortgage lien on a building acquired by us and an assignment of all leases, rents, revenues and profits under all present and future leases of the building. The note matures on August 6, 2023, and bears interest at LIBOR plus 150 basis points.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Debt Maturities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scheduled principal maturities of our debt as of December 31, 2018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Revolving Secured</w:t>
            </w:r>
          </w:p>
        </w:tc>
        <w:tc>
          <w:tcPr>
            <w:tcW w:w="15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7"/>
              </w:rPr>
              <w:t>Warehouse 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Term ABS</w:t>
            </w:r>
          </w:p>
        </w:tc>
        <w:tc>
          <w:tcPr>
            <w:tcW w:w="240" w:type="dxa"/>
            <w:vAlign w:val="bottom"/>
          </w:tcPr>
          <w:p>
            <w:pPr>
              <w:spacing w:after="0"/>
              <w:rPr>
                <w:sz w:val="14"/>
                <w:szCs w:val="14"/>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Senior Notes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Mortgage Note</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Line of Credit Facility</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Financings (1)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1,048.6</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1,339.2</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84"/>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3,842.5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00" w:hanging="330"/>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principal maturities of the Term ABS transactions are estimated based on forecasted collections.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2018, we were in compliance with our covenants under the revolving secured line of credit facility, including those that require the maintenance of certain financial ratios and other financial conditions. These covenants require a minimum ratio of (1) our net earnings, adjusted for specified items, before income taxes, depreciation, amortization and fixed charges to (2) our fixed charges. These covenants also limit the maximum ratio of our funded debt less unrestricted cash and cash equivalents to tangible net worth. Additionally, we must maintain consolidated net income of not less than $1 for the two most recently ended fiscal quarters. Some of these covenants may indirectly limit the repurchase of common stock or payment of dividends on common stock.</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Warehouse facilities and Term ABS financings also contain covenants that measure the performance of the contributed assets. As of December 31, 2018, we were in compliance with all such covenants. As of the end of the year, we were also in compliance with our covenants under the senior notes indentures.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DERIVATIVE AND HEDGING INSTRUMENTS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Interest Rate Caps. </w:t>
      </w:r>
      <w:r>
        <w:rPr>
          <w:rFonts w:ascii="Arial" w:cs="Arial" w:eastAsia="Arial" w:hAnsi="Arial"/>
          <w:sz w:val="18"/>
          <w:szCs w:val="18"/>
          <w:color w:val="auto"/>
        </w:rPr>
        <w:t>We utilize interest rate cap agreements to manage the interest rate risk on certain secured financings. The following tables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our interest rate cap agreements that were in effect as of December 31, 2018 and 2017:</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Facility Amount</w:t>
            </w:r>
          </w:p>
        </w:tc>
        <w:tc>
          <w:tcPr>
            <w:tcW w:w="12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Purpose</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Start</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End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 Interest Rate (1)</w:t>
            </w:r>
          </w:p>
        </w:tc>
      </w:tr>
      <w:tr>
        <w:trPr>
          <w:trHeight w:val="250"/>
        </w:trPr>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Warehouse Facility II</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12/2020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0"/>
        </w:trPr>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Warehouse Facility IV</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05/2017</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04/2021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05/2018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7"/>
        </w:trPr>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3"/>
        </w:trPr>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Warehouse Facility V</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08/2018</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08/2023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Term ABS 2016-1</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02/2019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Warehouse Facility VII</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12/2017</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11/2021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5.50%</w:t>
            </w:r>
          </w:p>
        </w:tc>
      </w:tr>
      <w:tr>
        <w:trPr>
          <w:trHeight w:val="420"/>
        </w:trPr>
        <w:tc>
          <w:tcPr>
            <w:tcW w:w="1500" w:type="dxa"/>
            <w:vAlign w:val="bottom"/>
            <w:gridSpan w:val="3"/>
          </w:tcPr>
          <w:p>
            <w:pPr>
              <w:ind w:left="40"/>
              <w:spacing w:after="0"/>
              <w:rPr>
                <w:sz w:val="20"/>
                <w:szCs w:val="20"/>
                <w:color w:val="auto"/>
              </w:rPr>
            </w:pPr>
            <w:r>
              <w:rPr>
                <w:rFonts w:ascii="Arial" w:cs="Arial" w:eastAsia="Arial" w:hAnsi="Arial"/>
                <w:sz w:val="14"/>
                <w:szCs w:val="14"/>
                <w:color w:val="auto"/>
              </w:rPr>
              <w:t>(Dollars in millions)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2"/>
        </w:trPr>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As of December 31, 2017</w:t>
            </w: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64"/>
        </w:trPr>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Facility Amount</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Purpose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Start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End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 Interest Rate (1)</w:t>
            </w:r>
          </w:p>
        </w:tc>
      </w:tr>
      <w:tr>
        <w:trPr>
          <w:trHeight w:val="250"/>
        </w:trPr>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Warehouse Facility II</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12/2020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324"/>
        </w:trPr>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2"/>
          </w:tcPr>
          <w:p>
            <w:pPr>
              <w:spacing w:after="0"/>
              <w:rPr>
                <w:sz w:val="24"/>
                <w:szCs w:val="24"/>
                <w:color w:val="auto"/>
              </w:rPr>
            </w:pPr>
          </w:p>
        </w:tc>
        <w:tc>
          <w:tcPr>
            <w:tcW w:w="194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tcPr>
          <w:p>
            <w:pPr>
              <w:spacing w:after="0"/>
              <w:rPr>
                <w:sz w:val="24"/>
                <w:szCs w:val="24"/>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Warehouse Facility IV</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05/2017</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04/2021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324"/>
        </w:trPr>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2"/>
          </w:tcPr>
          <w:p>
            <w:pPr>
              <w:spacing w:after="0"/>
              <w:rPr>
                <w:sz w:val="24"/>
                <w:szCs w:val="24"/>
                <w:color w:val="auto"/>
              </w:rPr>
            </w:pPr>
          </w:p>
        </w:tc>
        <w:tc>
          <w:tcPr>
            <w:tcW w:w="194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tcPr>
          <w:p>
            <w:pPr>
              <w:spacing w:after="0"/>
              <w:rPr>
                <w:sz w:val="24"/>
                <w:szCs w:val="24"/>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Warehouse Facility V</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06/2015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07/2018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Term ABS 2016-1</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02/2019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r>
      <w:tr>
        <w:trPr>
          <w:trHeight w:val="243"/>
        </w:trPr>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Warehouse Facility VII</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12/2017</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11/2021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ind w:left="500" w:hanging="330"/>
        <w:spacing w:after="0"/>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Rate excludes the spread over the LIBOR rate.</w:t>
      </w:r>
    </w:p>
    <w:p>
      <w:pPr>
        <w:spacing w:after="0" w:line="168"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The interest rate caps have not been designated as hedging instruments. As of December 31, 2018 and 2017, the interest rate caps had a fair value of $0.0 million as the capped rates were significantly above market rates.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related to the effect of derivative instruments not designated as hedging instruments on our consolidated statements of income for the years ended December 31, 2018, 2017 and 2016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6"/>
          </w:tcPr>
          <w:p>
            <w:pPr>
              <w:jc w:val="center"/>
              <w:ind w:right="250"/>
              <w:spacing w:after="0"/>
              <w:rPr>
                <w:sz w:val="20"/>
                <w:szCs w:val="20"/>
                <w:color w:val="auto"/>
              </w:rPr>
            </w:pPr>
            <w:r>
              <w:rPr>
                <w:rFonts w:ascii="Arial" w:cs="Arial" w:eastAsia="Arial" w:hAnsi="Arial"/>
                <w:sz w:val="14"/>
                <w:szCs w:val="14"/>
                <w:b w:val="1"/>
                <w:bCs w:val="1"/>
                <w:color w:val="auto"/>
                <w:w w:val="94"/>
              </w:rPr>
              <w:t>Amount of (Loss)/ Gain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1"/>
              </w:rPr>
              <w:t>Recognized in Income on Derivatives</w:t>
            </w:r>
          </w:p>
        </w:tc>
        <w:tc>
          <w:tcPr>
            <w:tcW w:w="0" w:type="dxa"/>
            <w:vAlign w:val="bottom"/>
          </w:tcPr>
          <w:p>
            <w:pPr>
              <w:spacing w:after="0"/>
              <w:rPr>
                <w:sz w:val="1"/>
                <w:szCs w:val="1"/>
                <w:color w:val="auto"/>
              </w:rPr>
            </w:pPr>
          </w:p>
        </w:tc>
      </w:tr>
      <w:tr>
        <w:trPr>
          <w:trHeight w:val="250"/>
        </w:trPr>
        <w:tc>
          <w:tcPr>
            <w:tcW w:w="4000" w:type="dxa"/>
            <w:vAlign w:val="bottom"/>
            <w:vMerge w:val="restart"/>
          </w:tcPr>
          <w:p>
            <w:pPr>
              <w:jc w:val="center"/>
              <w:ind w:left="664"/>
              <w:spacing w:after="0"/>
              <w:rPr>
                <w:sz w:val="20"/>
                <w:szCs w:val="20"/>
                <w:color w:val="auto"/>
              </w:rPr>
            </w:pPr>
            <w:r>
              <w:rPr>
                <w:rFonts w:ascii="Arial" w:cs="Arial" w:eastAsia="Arial" w:hAnsi="Arial"/>
                <w:sz w:val="14"/>
                <w:szCs w:val="14"/>
                <w:b w:val="1"/>
                <w:bCs w:val="1"/>
                <w:color w:val="auto"/>
                <w:w w:val="90"/>
              </w:rPr>
              <w:t>Derivatives Not Designated as</w:t>
            </w: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000" w:type="dxa"/>
            <w:vAlign w:val="bottom"/>
            <w:vMerge w:val="continue"/>
          </w:tcPr>
          <w:p>
            <w:pPr>
              <w:spacing w:after="0"/>
              <w:rPr>
                <w:sz w:val="5"/>
                <w:szCs w:val="5"/>
                <w:color w:val="auto"/>
              </w:rPr>
            </w:pPr>
          </w:p>
        </w:tc>
        <w:tc>
          <w:tcPr>
            <w:tcW w:w="3660" w:type="dxa"/>
            <w:vAlign w:val="bottom"/>
            <w:vMerge w:val="restart"/>
          </w:tcPr>
          <w:p>
            <w:pPr>
              <w:jc w:val="right"/>
              <w:ind w:right="1116"/>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05"/>
        </w:trPr>
        <w:tc>
          <w:tcPr>
            <w:tcW w:w="4000" w:type="dxa"/>
            <w:vAlign w:val="bottom"/>
            <w:tcBorders>
              <w:bottom w:val="single" w:sz="8" w:color="auto"/>
            </w:tcBorders>
          </w:tcPr>
          <w:p>
            <w:pPr>
              <w:jc w:val="center"/>
              <w:ind w:left="624"/>
              <w:spacing w:after="0"/>
              <w:rPr>
                <w:sz w:val="20"/>
                <w:szCs w:val="20"/>
                <w:color w:val="auto"/>
              </w:rPr>
            </w:pPr>
            <w:r>
              <w:rPr>
                <w:rFonts w:ascii="Arial" w:cs="Arial" w:eastAsia="Arial" w:hAnsi="Arial"/>
                <w:sz w:val="14"/>
                <w:szCs w:val="14"/>
                <w:b w:val="1"/>
                <w:bCs w:val="1"/>
                <w:color w:val="auto"/>
                <w:w w:val="92"/>
              </w:rPr>
              <w:t>Hedging Instruments</w:t>
            </w:r>
          </w:p>
        </w:tc>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caps</w:t>
            </w:r>
          </w:p>
        </w:tc>
        <w:tc>
          <w:tcPr>
            <w:tcW w:w="37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675"/>
        </w:trPr>
        <w:tc>
          <w:tcPr>
            <w:tcW w:w="4000" w:type="dxa"/>
            <w:vAlign w:val="bottom"/>
          </w:tcPr>
          <w:p>
            <w:pPr>
              <w:spacing w:after="0"/>
              <w:rPr>
                <w:sz w:val="24"/>
                <w:szCs w:val="24"/>
                <w:color w:val="auto"/>
              </w:rPr>
            </w:pPr>
          </w:p>
        </w:tc>
        <w:tc>
          <w:tcPr>
            <w:tcW w:w="3660" w:type="dxa"/>
            <w:vAlign w:val="bottom"/>
          </w:tcPr>
          <w:p>
            <w:pPr>
              <w:jc w:val="right"/>
              <w:ind w:right="1776"/>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720" w:hanging="712"/>
        <w:spacing w:after="0"/>
        <w:tabs>
          <w:tab w:leader="none" w:pos="7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normal course of our business, affiliated Dealers assigned Consumer Loans to us under the Portfolio and Purchase Programs. Dealer Loans and Purchased Loans with affiliated Dealers were on the same terms as those with non-affiliated Dealers. Affiliated Dealers were comprised of Dealers owned or controlled by: (1) Donald Foss, our founder, significant shareholder and former Chairman of the Board; and (2) a member of Mr. Foss's immediate family.</w:t>
      </w:r>
    </w:p>
    <w:p>
      <w:pPr>
        <w:spacing w:after="0" w:line="14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January 3, 2017, Mr. Foss retired as officer, director and employee of the Company and entered into a shareholder agreement with the Company. Under the shareholder agreement, Mr. Foss agreed, until the final adjournment of the tenth annual meeting of shareholders held by the Company after the date of the shareholder agreement, to cause all shares of the Company beneficially owned by him or any of his affiliates or associates to be voted in accordance with the recommendation of the Company’s Board of Directors with respect to election and removal of directors, certain routine matters and any other proposal to be submitted to the Company’s shareholders with respect to any extraordinary transaction providing for the acquisition of all of the Company’s outstanding common stock. As a result, we no longer consider the remaining Dealers owned or controlled by Mr. Foss or a member of Mr. Foss’s immediate family to be affiliated with us while Mr. Foss’s voting interests in the Company are subject to the voting restrictions under the shareholder agreement and accordingly, we have excluded these Dealers from the affiliated amounts reported effective January 3, 2017.</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June 7, 2016, Mr. Foss sold certain affiliated Dealers previously owned or controlled by him to a third party. As a result, we no longer consider these Dealers to be affiliated and, accordingly, we have excluded these Dealers from the affiliated amounts reported below effective June 7, 2016.</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affiliated Dealer Loan balances as of December 31,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related party Loan activity during 2018 and 2017. The following table summarizes our related party Loan activity for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9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3"/>
              </w:rPr>
              <w:t>For the Year Ended December 31, 2016</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60" w:type="dxa"/>
            <w:vAlign w:val="bottom"/>
          </w:tcPr>
          <w:p>
            <w:pPr>
              <w:spacing w:after="0"/>
              <w:rPr>
                <w:sz w:val="13"/>
                <w:szCs w:val="13"/>
                <w:color w:val="auto"/>
              </w:rPr>
            </w:pPr>
          </w:p>
        </w:tc>
        <w:tc>
          <w:tcPr>
            <w:tcW w:w="1180" w:type="dxa"/>
            <w:vAlign w:val="bottom"/>
          </w:tcPr>
          <w:p>
            <w:pPr>
              <w:jc w:val="center"/>
              <w:ind w:left="324"/>
              <w:spacing w:after="0" w:line="153" w:lineRule="exact"/>
              <w:rPr>
                <w:sz w:val="20"/>
                <w:szCs w:val="20"/>
                <w:color w:val="auto"/>
              </w:rPr>
            </w:pPr>
            <w:r>
              <w:rPr>
                <w:rFonts w:ascii="Arial" w:cs="Arial" w:eastAsia="Arial" w:hAnsi="Arial"/>
                <w:sz w:val="14"/>
                <w:szCs w:val="14"/>
                <w:b w:val="1"/>
                <w:bCs w:val="1"/>
                <w:color w:val="auto"/>
                <w:w w:val="96"/>
              </w:rPr>
              <w:t>Affiliated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 of</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18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93"/>
              </w:rPr>
              <w:t>Dealer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0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w w:val="95"/>
              </w:rPr>
              <w:t>activity</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0"/>
              </w:rPr>
              <w:t>consolidated</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Loan revenue</w:t>
            </w:r>
          </w:p>
        </w:tc>
        <w:tc>
          <w:tcPr>
            <w:tcW w:w="1180" w:type="dxa"/>
            <w:vAlign w:val="bottom"/>
            <w:tcBorders>
              <w:bottom w:val="single" w:sz="8" w:color="CCEEFF"/>
            </w:tcBorders>
            <w:shd w:val="clear" w:color="auto" w:fill="CCEEFF"/>
          </w:tcPr>
          <w:p>
            <w:pPr>
              <w:jc w:val="right"/>
              <w:ind w:right="98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New Consumer Loan assignments (1)</w:t>
            </w:r>
          </w:p>
        </w:tc>
        <w:tc>
          <w:tcPr>
            <w:tcW w:w="11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Dealer Holdback payments</w:t>
            </w: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Dealer Holdback payments</w:t>
            </w:r>
          </w:p>
        </w:tc>
        <w:tc>
          <w:tcPr>
            <w:tcW w:w="11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0.7%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right="20" w:hanging="330"/>
        <w:spacing w:after="0" w:line="273" w:lineRule="auto"/>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provision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3"/>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62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Current provision for income taxes:</w:t>
            </w: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State</w:t>
            </w: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r>
      <w:tr>
        <w:trPr>
          <w:trHeight w:val="289"/>
        </w:trPr>
        <w:tc>
          <w:tcPr>
            <w:tcW w:w="57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w:t>
            </w:r>
          </w:p>
        </w:tc>
      </w:tr>
      <w:tr>
        <w:trPr>
          <w:trHeight w:val="230"/>
        </w:trPr>
        <w:tc>
          <w:tcPr>
            <w:tcW w:w="57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Deferred provision for income taxes:</w:t>
            </w:r>
          </w:p>
        </w:tc>
        <w:tc>
          <w:tcPr>
            <w:tcW w:w="4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State</w:t>
            </w: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r>
      <w:tr>
        <w:trPr>
          <w:trHeight w:val="289"/>
        </w:trPr>
        <w:tc>
          <w:tcPr>
            <w:tcW w:w="57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30"/>
        </w:trPr>
        <w:tc>
          <w:tcPr>
            <w:tcW w:w="57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Interest and penalties expense:</w:t>
            </w:r>
          </w:p>
        </w:tc>
        <w:tc>
          <w:tcPr>
            <w:tcW w:w="4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84"/>
        </w:trPr>
        <w:tc>
          <w:tcPr>
            <w:tcW w:w="5720" w:type="dxa"/>
            <w:vAlign w:val="bottom"/>
          </w:tcPr>
          <w:p>
            <w:pPr>
              <w:ind w:left="380"/>
              <w:spacing w:after="0"/>
              <w:rPr>
                <w:sz w:val="20"/>
                <w:szCs w:val="20"/>
                <w:color w:val="auto"/>
              </w:rPr>
            </w:pPr>
            <w:r>
              <w:rPr>
                <w:rFonts w:ascii="Arial" w:cs="Arial" w:eastAsia="Arial" w:hAnsi="Arial"/>
                <w:sz w:val="18"/>
                <w:szCs w:val="18"/>
                <w:color w:val="auto"/>
              </w:rPr>
              <w:t>Penalties</w:t>
            </w:r>
          </w:p>
        </w:tc>
        <w:tc>
          <w:tcPr>
            <w:tcW w:w="4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6"/>
        </w:trPr>
        <w:tc>
          <w:tcPr>
            <w:tcW w:w="572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64"/>
        </w:trPr>
        <w:tc>
          <w:tcPr>
            <w:tcW w:w="57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113.6</w:t>
            </w:r>
          </w:p>
        </w:tc>
        <w:tc>
          <w:tcPr>
            <w:tcW w:w="120" w:type="dxa"/>
            <w:vAlign w:val="bottom"/>
            <w:tcBorders>
              <w:top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198.4</w:t>
            </w: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 assets and deferred tax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660" w:type="dxa"/>
            <w:vAlign w:val="bottom"/>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credit losses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state net operating loss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84"/>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r>
      <w:tr>
        <w:trPr>
          <w:trHeight w:val="271"/>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 assets before valuation allowance</w:t>
            </w:r>
          </w:p>
        </w:tc>
        <w:tc>
          <w:tcPr>
            <w:tcW w:w="1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126.8</w:t>
            </w:r>
          </w:p>
        </w:tc>
      </w:tr>
      <w:tr>
        <w:trPr>
          <w:trHeight w:val="284"/>
        </w:trPr>
        <w:tc>
          <w:tcPr>
            <w:tcW w:w="7660" w:type="dxa"/>
            <w:vAlign w:val="bottom"/>
          </w:tcPr>
          <w:p>
            <w:pPr>
              <w:ind w:left="360"/>
              <w:spacing w:after="0"/>
              <w:rPr>
                <w:sz w:val="20"/>
                <w:szCs w:val="20"/>
                <w:color w:val="auto"/>
              </w:rPr>
            </w:pPr>
            <w:r>
              <w:rPr>
                <w:rFonts w:ascii="Arial" w:cs="Arial" w:eastAsia="Arial" w:hAnsi="Arial"/>
                <w:sz w:val="18"/>
                <w:szCs w:val="18"/>
                <w:color w:val="auto"/>
              </w:rPr>
              <w:t>Less: valuation allowance</w:t>
            </w:r>
          </w:p>
        </w:tc>
        <w:tc>
          <w:tcPr>
            <w:tcW w:w="11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766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w:t>
            </w:r>
          </w:p>
        </w:tc>
        <w:tc>
          <w:tcPr>
            <w:tcW w:w="118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spacing w:after="0"/>
              <w:rPr>
                <w:sz w:val="24"/>
                <w:szCs w:val="24"/>
                <w:color w:val="auto"/>
              </w:rPr>
            </w:pPr>
          </w:p>
        </w:tc>
        <w:tc>
          <w:tcPr>
            <w:tcW w:w="1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of Loans receivable</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Loan origination costs</w:t>
            </w:r>
          </w:p>
        </w:tc>
        <w:tc>
          <w:tcPr>
            <w:tcW w:w="11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8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deferred tax liabilities</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308.7</w:t>
            </w: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deferred state net operating loss tax asset arising from the operating loss carryforward for state income tax purposes is expected to expire at various times beginning in 2026, if not utilized. During 2018, we wrote off $3.4 million of this deferred tax asset as we determined that we would not be able to utilize a state net operating loss carryforward prior to its expiration. We do not anticipate expiration of the remaining net operating loss carryforwards prior to their utilization.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337"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Valuation allowance</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a result of the enactment of the 2017 Tax Act, we established a provisional valuation allowance in the fourth quarter of 2017 related to the executive compensation provisions of the law that limit a public entity's ability to deduct compensation for covered employees in excess of $1.0 million for years after December 31, 2017, regardless of the nature of those payments. In prior years, qualifying performance-based compensation was excluded from the $1.0 million limitation. Qualifying performance-based compensation paid in 2018 or later under written binding contracts that were in effect on November 2, 2017 will remain excluded from the $1.0 million limitation unless such contracts are subsequently materially modified. Due to the lack of guidance for the new executive compensation provisions, we made a reasonable estimate related to stock-based compensation in accordance with ASU 2018-05 and recorded a provisional valuation allowance at December 31, 2017, which resulted in a $5.5 million provision for income taxes for the year ended December 31, 2017. In the fourth quarter of 2018, as a result of additional analysis and regulatory guidance related to the 2017 Tax Act, we reversed the provisional valuation allowance related to stock-based compensation, which resulted in a $5.5 million reversal of provision for income taxes for the year ended December 31, 2018. As of December 31, 2018 and December 31, 2017, the valuation allowance was $0.0 million and $5.5 million, respectively.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Valuation of Loans receivable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2017 Tax Act revised the rules associated with the timing of the recognition of income for federal income tax purposes. The 2017 Tax Act requires an accrual method taxpayer to recognize income no later than the taxable year in which such income is recognized as revenue in the financial statements, if the taxpayer is subject to the all events test—a requirement that all the events have occurred that fix the right to receive income, and that the amount can be determined with reasonable accuracy. The Senate Finance Committee intended that the new financial statement conformity requirement not be construed as preventing the use of special methods of accounting provided elsewhere in the Internal Revenue Code. As we were not able to determine a reasonable estimate based on current guidance, we continued to apply ASC Topic 740, Income Taxes, in accordance with ASU 2018-05, for the year ended December 31, 2017, based on the provisions of the tax laws that were in effect immediately prior to the 2017 Tax Act being enacted. In the fourth quarter of 2018, as a result of additional analysis and regulatory guidance related to the 2017 Tax Act, we determined that the enactment of the 2017 Tax Act did not impact the tax treatment of our Loans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Income Tax Rate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16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23495</wp:posOffset>
            </wp:positionV>
            <wp:extent cx="3721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2173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2016</w:t>
            </w: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Effect of the 2017 Tax Act</w:t>
            </w:r>
          </w:p>
        </w:tc>
        <w:tc>
          <w:tcPr>
            <w:tcW w:w="66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Excess tax benefits from stock-based compensation plans</w:t>
            </w:r>
          </w:p>
        </w:tc>
        <w:tc>
          <w:tcPr>
            <w:tcW w:w="66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7"/>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64"/>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5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U.S. federal statutory income tax rate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enactment of the 2017 Tax Act in December 2017 lowered our federal statutory income tax rate from 35.0% in 2017 and 2016 to 21.0% in 2018.</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Effect of the 2017 Tax Act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the lower federal statutory income tax rate was not effective until 2018, the 2017 Tax Act resulted in a one-time reversal of $99.8 million of provision for income taxes in 2017 as we were required to revalue deferred taxes and uncertain tax positions at the lower federal statutory income tax rate. In 2018, we reversed the provisional valuation allowance related to stock-based compensation that we had established in 2017 upon enactment of the 2017 Tax Act, which resulted in a $5.5 million reversal of provision for income taxes in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State income taxes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increase in our state income tax rate from 2017 to 2018 was primarily the result of the write-off of a deferred state net operating loss tax asset, an increase in the percentage of income reserved for uncertain tax positions and higher effective income tax rates in certain state tax jurisdictions.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Excess tax benefits from stock-based compensation plans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adoption of ASU 2016-09 on January 1, 2017 changed where we recognize excess tax benefits and deficiencies from stock-based compensation plans in our consolidated financial statements on a prospective basis. We receive a tax deduction upon the vesting of restricted stock and the conversion of restricted stock units to common stock based on the fair value of the shares. The amount that this tax deduction differs from the grant-date fair value that was recognized as stock-based compensation expense is referred to as an excess tax benefit or deficiency. For 2018 and 2017, excess tax benefits were recognized in provision for income taxes, thus reducing our effective income tax rate. For 2016, excess tax benefits were recognized in paid-in capital in our consolidated balance sheets, which had no impact on our effective income tax rate.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changes in gross unrecognized tax benefits: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1"/>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Additions for tax positions of the current year</w:t>
            </w: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8.2</w:t>
            </w:r>
          </w:p>
        </w:tc>
      </w:tr>
      <w:tr>
        <w:trPr>
          <w:trHeight w:val="27"/>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as a result of a lapse of the statute of limitations</w:t>
            </w:r>
          </w:p>
        </w:tc>
        <w:tc>
          <w:tcPr>
            <w:tcW w:w="12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w:t>
            </w: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38.7</w:t>
            </w: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27.7</w:t>
            </w:r>
          </w:p>
        </w:tc>
      </w:tr>
      <w:tr>
        <w:trPr>
          <w:trHeight w:val="20"/>
        </w:trPr>
        <w:tc>
          <w:tcPr>
            <w:tcW w:w="57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total amount of gross unrecognized tax benefit that, if recognized, would favorably affect our effective income tax rate in future periods, was $38.7 million as of December 31, 2018. Accrued interest related to uncertain tax positions was $7.5 million and $6.1 million as of December 31, 2018 and 2017, respectively.</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subject to income tax in federal and state jurisdictions. We are generally no longer subject to tax examinations on federal returns filed for years prior to 2015 and state returns filed for years prior to 2011.</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NET INCOME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net income per share has been computed by dividing net income by the basic number of weighted average shares outstanding. Diluted net income per share has been computed by dividing net income by the diluted number of weighted average shares outstanding using the treasury stock method. The share effect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42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760" w:type="dxa"/>
            <w:vAlign w:val="bottom"/>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202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673"/>
              <w:spacing w:after="0"/>
              <w:rPr>
                <w:sz w:val="20"/>
                <w:szCs w:val="20"/>
                <w:color w:val="auto"/>
              </w:rPr>
            </w:pPr>
            <w:r>
              <w:rPr>
                <w:rFonts w:ascii="Arial" w:cs="Arial" w:eastAsia="Arial" w:hAnsi="Arial"/>
                <w:sz w:val="14"/>
                <w:szCs w:val="14"/>
                <w:b w:val="1"/>
                <w:bCs w:val="1"/>
                <w:color w:val="auto"/>
              </w:rPr>
              <w:t>2016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7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shares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19,144,785</w:t>
            </w:r>
          </w:p>
        </w:tc>
        <w:tc>
          <w:tcPr>
            <w:tcW w:w="2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19,245,188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20,065,423</w:t>
            </w:r>
          </w:p>
        </w:tc>
      </w:tr>
      <w:tr>
        <w:trPr>
          <w:trHeight w:val="284"/>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Vested restricted stock units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301,282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252,531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266,346</w:t>
            </w: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number of weighted average shares outstanding</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19,446,067</w:t>
            </w:r>
          </w:p>
        </w:tc>
        <w:tc>
          <w:tcPr>
            <w:tcW w:w="2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19,497,719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20,331,769</w:t>
            </w:r>
          </w:p>
        </w:tc>
      </w:tr>
      <w:tr>
        <w:trPr>
          <w:trHeight w:val="284"/>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Dilutive effect of restricted stock and restricted stock units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61,217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78,347</w:t>
            </w: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Dilutive number of weighted average shares outstanding</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19,532,312</w:t>
            </w:r>
          </w:p>
        </w:tc>
        <w:tc>
          <w:tcPr>
            <w:tcW w:w="20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19,558,936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20,410,116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years ended December 31, 2018 and 2016, there were no stock options, restricted stock or restricted stock units that would have been anti-dilutive. For the year ended December 31, 2017, there were 250 shares of restricted stock that were not included in the computation of diluted net income per share because their inclusion would have been anti-dilutive.</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37"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STOCK REPURCHASES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stock repurchases for the years ended December 31, 2018, 2017, and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6"/>
              </w:rPr>
              <w:t>2018</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2017</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2016</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8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Stock Repurchases</w:t>
            </w:r>
          </w:p>
        </w:tc>
        <w:tc>
          <w:tcPr>
            <w:tcW w:w="120" w:type="dxa"/>
            <w:vAlign w:val="bottom"/>
            <w:vMerge w:val="restart"/>
          </w:tcPr>
          <w:p>
            <w:pPr>
              <w:spacing w:after="0"/>
              <w:rPr>
                <w:sz w:val="13"/>
                <w:szCs w:val="13"/>
                <w:color w:val="auto"/>
              </w:rPr>
            </w:pPr>
          </w:p>
        </w:tc>
        <w:tc>
          <w:tcPr>
            <w:tcW w:w="1420" w:type="dxa"/>
            <w:vAlign w:val="bottom"/>
          </w:tcPr>
          <w:p>
            <w:pPr>
              <w:jc w:val="right"/>
              <w:ind w:right="17"/>
              <w:spacing w:after="0" w:line="153"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5"/>
        </w:trPr>
        <w:tc>
          <w:tcPr>
            <w:tcW w:w="1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Repurchased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 Market (1)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336,743</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588,580</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495,662</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84"/>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170,668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7"/>
        </w:trPr>
        <w:tc>
          <w:tcPr>
            <w:tcW w:w="1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342,928</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610,260</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666,330</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Represents repurchases under authorizations by the board of directors for the repurchase of shares by us from time to time in the open market or in privately negotiated transactions. On February 13, 2017, the board of directors authorized the repurchase of up to one million shares of our common stock in addition to the board’s prior authorizations. As of December 31, 2018, we had authorization to repurchase 439,465 shares of our common stock.</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Represents shares of common stock released to us by team members as payment of tax withholdings upon the vesting of restricted stock and restricted stock units.</w:t>
      </w:r>
    </w:p>
    <w:p>
      <w:pPr>
        <w:spacing w:after="0" w:line="151" w:lineRule="exact"/>
        <w:rPr>
          <w:rFonts w:ascii="Arial" w:cs="Arial" w:eastAsia="Arial" w:hAnsi="Arial"/>
          <w:sz w:val="14"/>
          <w:szCs w:val="14"/>
          <w:color w:val="auto"/>
        </w:rPr>
      </w:pPr>
    </w:p>
    <w:p>
      <w:pPr>
        <w:ind w:left="720" w:hanging="712"/>
        <w:spacing w:after="0"/>
        <w:tabs>
          <w:tab w:leader="none" w:pos="7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Pursuant to our Amended and Restated Incentive Compensation Plan (the “Incentive Plan”), we can grant stock-based awards in the form of restricted stock, restricted stock units and stock options to team members, officers, directors, and contractors at any time prior to March 26, 2022. On March 26, 2012, our board of directors approved an amendment to our Incentive Plan, increasing the number of shares authorized for issuance by 500,000 shares, to 2.0 million shares. The shares available for future grants under the Incentive Plan totaled 126,348 as of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grant performance-based and time-based shares of restricted stock to team members in accordance with our Incentive Plan. The grant-date fair value per share is estimated to equal the market price of our common stock on the date of grant. Based on the terms of individual restricted stock grant agreements, shares vest under one of the following methods:</w:t>
      </w:r>
    </w:p>
    <w:p>
      <w:pPr>
        <w:spacing w:after="0" w:line="181" w:lineRule="exact"/>
        <w:rPr>
          <w:sz w:val="20"/>
          <w:szCs w:val="20"/>
          <w:color w:val="auto"/>
        </w:rPr>
      </w:pPr>
    </w:p>
    <w:p>
      <w:pPr>
        <w:ind w:left="820" w:hanging="326"/>
        <w:spacing w:after="0" w:line="258"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 a period of 15 years, based on continuous employment and a combination of the cumulative improvement in our annual adjusted economic profit, a non-GAAP financial measure, and the attainment of annual adjusted economic profit targets.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 a period of three years, based on continuous employment.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non-vested restricted stock activity under the Incentive Plan for the year ended December 31, 2018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vMerge w:val="restart"/>
          </w:tcPr>
          <w:p>
            <w:pPr>
              <w:spacing w:after="0"/>
              <w:rPr>
                <w:sz w:val="14"/>
                <w:szCs w:val="14"/>
                <w:color w:val="auto"/>
              </w:rPr>
            </w:pPr>
          </w:p>
        </w:tc>
        <w:tc>
          <w:tcPr>
            <w:tcW w:w="18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Weighted Average Grant-</w:t>
            </w:r>
          </w:p>
        </w:tc>
        <w:tc>
          <w:tcPr>
            <w:tcW w:w="0" w:type="dxa"/>
            <w:vAlign w:val="bottom"/>
          </w:tcPr>
          <w:p>
            <w:pPr>
              <w:spacing w:after="0"/>
              <w:rPr>
                <w:sz w:val="1"/>
                <w:szCs w:val="1"/>
                <w:color w:val="auto"/>
              </w:rPr>
            </w:pPr>
          </w:p>
        </w:tc>
      </w:tr>
      <w:tr>
        <w:trPr>
          <w:trHeight w:val="205"/>
        </w:trPr>
        <w:tc>
          <w:tcPr>
            <w:tcW w:w="75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9"/>
              </w:rPr>
              <w:t>Date Fair Value Per Share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2017</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4,718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317.87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230.20</w:t>
            </w: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2018</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150,647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117.41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grant-date weighted average fair value of shares granted in 2018, 2017 and 2016 was $317.87, $200.79, and $196.96, respectively. The total fair value of shares vested was $4.8 million in 2018, $5.6 million in 2017 and $4.4 million in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grant performance-based restricted stock units to team members and directors in accordance with our Incentive Plan. The grant-date fair value per share is estimated to equal the market price of our common stock on the date of grant. Each restricted stock unit represents and has a value equal to one share of common stock. Based on the terms of individual restricted stock grant agreements, restricted stock unit vest under one of the following methods:</w:t>
      </w:r>
    </w:p>
    <w:p>
      <w:pPr>
        <w:spacing w:after="0" w:line="147" w:lineRule="exact"/>
        <w:rPr>
          <w:sz w:val="20"/>
          <w:szCs w:val="20"/>
          <w:color w:val="auto"/>
        </w:rPr>
      </w:pPr>
    </w:p>
    <w:p>
      <w:pPr>
        <w:ind w:left="820" w:hanging="326"/>
        <w:spacing w:after="0"/>
        <w:tabs>
          <w:tab w:leader="none" w:pos="8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Over a period of ten years, based on continuous employment and the cumulative improvement in our annual adjusted economic profit.</w:t>
      </w:r>
    </w:p>
    <w:p>
      <w:pPr>
        <w:spacing w:after="0" w:line="34" w:lineRule="exact"/>
        <w:rPr>
          <w:rFonts w:ascii="Arial" w:cs="Arial" w:eastAsia="Arial" w:hAnsi="Arial"/>
          <w:sz w:val="17"/>
          <w:szCs w:val="17"/>
          <w:color w:val="auto"/>
        </w:rPr>
      </w:pPr>
    </w:p>
    <w:p>
      <w:pPr>
        <w:ind w:left="820" w:hanging="326"/>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 a period of five years, based upon the compounded annual growth rate in our adjusted economic profit.</w:t>
      </w:r>
    </w:p>
    <w:p>
      <w:pPr>
        <w:spacing w:after="0" w:line="9"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 a period of one to four years, based on continuous employment and the compounded annual growth rate in our adjusted EPS, a non-GAAP financial measure.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restricted stock unit activity under the Incentive Plan for the year ended December 31, 2018,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Number of 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Weighted Average Grant-</w:t>
            </w:r>
          </w:p>
        </w:tc>
        <w:tc>
          <w:tcPr>
            <w:tcW w:w="120" w:type="dxa"/>
            <w:vAlign w:val="bottom"/>
          </w:tcPr>
          <w:p>
            <w:pPr>
              <w:spacing w:after="0"/>
              <w:rPr>
                <w:sz w:val="14"/>
                <w:szCs w:val="14"/>
                <w:color w:val="auto"/>
              </w:rPr>
            </w:pPr>
          </w:p>
        </w:tc>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Aggregate Intrinsic Value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9"/>
              </w:rPr>
              <w:t>Date Fair Value Per Share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 (in millions)</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522,827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4,235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363.11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Converted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206.45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 (1)</w:t>
            </w:r>
          </w:p>
        </w:tc>
        <w:tc>
          <w:tcPr>
            <w:tcW w:w="1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516,773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Vested as of December 31, 2018</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308,509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114.92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No RSUs outstanding at December 31, 2018 were convertible to shares of common stock.</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intrinsic value of RSUs is measured by applying the closing stock price as of December 31, 2018 to the applicable number of units.</w:t>
      </w:r>
    </w:p>
    <w:p>
      <w:pPr>
        <w:spacing w:after="0" w:line="21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grant-date weighted average fair value of RSUs granted in 2018, 2017 and 2016 was $363.11, $206.45, and $181.04, respectively. The total intrinsic value of RSUs converted to common stock during 2018, 2017 and 2016 was $0.5 million, $6.9 million, and $78.7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consists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3"/>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3600" w:type="dxa"/>
            <w:vAlign w:val="bottom"/>
            <w:tcBorders>
              <w:bottom w:val="single" w:sz="8" w:color="CCEEFF"/>
            </w:tcBorders>
          </w:tcPr>
          <w:p>
            <w:pPr>
              <w:spacing w:after="0"/>
              <w:rPr>
                <w:sz w:val="22"/>
                <w:szCs w:val="22"/>
                <w:color w:val="auto"/>
              </w:rPr>
            </w:pPr>
          </w:p>
        </w:tc>
        <w:tc>
          <w:tcPr>
            <w:tcW w:w="2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2016</w:t>
            </w: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3340" w:type="dxa"/>
            <w:vAlign w:val="bottom"/>
            <w:tcBorders>
              <w:bottom w:val="single" w:sz="8" w:color="CCEEFF"/>
            </w:tcBorders>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r>
      <w:tr>
        <w:trPr>
          <w:trHeight w:val="284"/>
        </w:trPr>
        <w:tc>
          <w:tcPr>
            <w:tcW w:w="3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stock units</w:t>
            </w:r>
          </w:p>
        </w:tc>
        <w:tc>
          <w:tcPr>
            <w:tcW w:w="2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w:t>
            </w:r>
          </w:p>
        </w:tc>
      </w:tr>
      <w:tr>
        <w:trPr>
          <w:trHeight w:val="257"/>
        </w:trPr>
        <w:tc>
          <w:tcPr>
            <w:tcW w:w="3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600" w:type="dxa"/>
            <w:vAlign w:val="bottom"/>
          </w:tcPr>
          <w:p>
            <w:pPr>
              <w:spacing w:after="0"/>
              <w:rPr>
                <w:sz w:val="24"/>
                <w:szCs w:val="24"/>
                <w:color w:val="auto"/>
              </w:rPr>
            </w:pPr>
          </w:p>
        </w:tc>
        <w:tc>
          <w:tcPr>
            <w:tcW w:w="3340" w:type="dxa"/>
            <w:vAlign w:val="bottom"/>
            <w:gridSpan w:val="2"/>
          </w:tcPr>
          <w:p>
            <w:pPr>
              <w:jc w:val="right"/>
              <w:ind w:right="1068"/>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While the stock-based awards are often expected to vest in equal, annual installments over the corresponding requisite service periods of the grants, the related stock-based compensation expense is not recognized on a straight-line basis over the same periods. Each installment is accounted for as a separate award and as a result, the fair value of each installment is recognized as stock-based compensation expense on a straight-line basis over the related expected vesting period. Assuming performance targets are achieved in the periods currently estimated, we expect to recognize the remaining expense for stock-based awards outstanding as of December 31, 2018 over a weighted average period of 1.8 years,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74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For the Years Ended December 31,</w:t>
            </w:r>
          </w:p>
        </w:tc>
        <w:tc>
          <w:tcPr>
            <w:tcW w:w="34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Restricted</w:t>
            </w:r>
          </w:p>
        </w:tc>
        <w:tc>
          <w:tcPr>
            <w:tcW w:w="260" w:type="dxa"/>
            <w:vAlign w:val="bottom"/>
          </w:tcPr>
          <w:p>
            <w:pPr>
              <w:spacing w:after="0"/>
              <w:rPr>
                <w:sz w:val="14"/>
                <w:szCs w:val="14"/>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Restricted Stock</w:t>
            </w:r>
          </w:p>
        </w:tc>
        <w:tc>
          <w:tcPr>
            <w:tcW w:w="140" w:type="dxa"/>
            <w:vAlign w:val="bottom"/>
          </w:tcPr>
          <w:p>
            <w:pPr>
              <w:spacing w:after="0"/>
              <w:rPr>
                <w:sz w:val="14"/>
                <w:szCs w:val="14"/>
                <w:color w:val="auto"/>
              </w:rPr>
            </w:pPr>
          </w:p>
        </w:tc>
        <w:tc>
          <w:tcPr>
            <w:tcW w:w="16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Total Projected Expense</w:t>
            </w:r>
          </w:p>
        </w:tc>
        <w:tc>
          <w:tcPr>
            <w:tcW w:w="0" w:type="dxa"/>
            <w:vAlign w:val="bottom"/>
          </w:tcPr>
          <w:p>
            <w:pPr>
              <w:spacing w:after="0"/>
              <w:rPr>
                <w:sz w:val="1"/>
                <w:szCs w:val="1"/>
                <w:color w:val="auto"/>
              </w:rPr>
            </w:pPr>
          </w:p>
        </w:tc>
      </w:tr>
      <w:tr>
        <w:trPr>
          <w:trHeight w:val="205"/>
        </w:trPr>
        <w:tc>
          <w:tcPr>
            <w:tcW w:w="57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 Units</w:t>
            </w:r>
          </w:p>
        </w:tc>
        <w:tc>
          <w:tcPr>
            <w:tcW w:w="2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84"/>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574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80" w:firstLine="8"/>
        <w:spacing w:after="0" w:line="503" w:lineRule="auto"/>
        <w:tabs>
          <w:tab w:leader="none" w:pos="405"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OTHER INFORMATION Business Segment Overview</w:t>
      </w:r>
    </w:p>
    <w:p>
      <w:pPr>
        <w:spacing w:after="0" w:line="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identify operating segments as components of our business for which separate financial information is regularly evaluated by the chief operating decision-maker (“CODM”) in making decisions regarding resource allocation and assessing performance. We periodically review and redefine our segment reporting as internal management reporting practices evolve and the components of our business change. Currently, the CODM reviews consolidated financial statements and metrics to allocate resources and assess performance. Thus, we have determined that we operate in one reportable operating segment. The consolidated financial statements reflect the financial results of our one reportable operating segment.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years ended December 31, 2018, 2017 and 2016, all of our revenues were derived from the United States. As of December 31, 2018 and 2017, all of our long-lived assets were located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product consists of financing programs that enable Dealers to sell vehicles to consumers, regardless of their credit history. We also provide Dealers the ability to offer or purchase ancillary products on vehicles financed by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any Dealers that provided 10% or more of our revenue during 2018, 2017, or 2016. Additionally, no single Dealer’s Loans receivable balance accounted for more than 10% of total Loans receivable as of December 31, 2018 or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3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7560" w:firstLine="8"/>
        <w:spacing w:after="0" w:line="503" w:lineRule="auto"/>
        <w:tabs>
          <w:tab w:leader="none" w:pos="405"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 and Other Legal Matters</w:t>
      </w:r>
    </w:p>
    <w:p>
      <w:pPr>
        <w:spacing w:after="0" w:line="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Current actions to which we are a party include the following matters.</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April 10, 2018, we were informed by the New York Department of Financial Services, Financial Frauds &amp; Consumer Protection Division (“DFS”) that it believes that the Company may have violated the law relating to fair lending; may have misrepresented to consumers information related to GPS Starter Interrupt Devices; and may have provided inaccurate information in the course of a DFS supervisory examination. We are cooperating with the inquiry, including through the exchange of certain written correspondence. We cannot predict the eventual scope, duration or outcome at this time. As a result, we are unable to estimate the reasonably possible loss or range of reasonably possible loss arising from this inquiry.</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14, 2017, we received a subpoena from the Attorney General of the State of Mississippi, relating to the origination and collection of non-prime auto loans in the state of Mississippi. In connection with this inquiry, we were informed by representatives of the Attorney General's office that it believes that the Company may have engaged in unfair and deceptive acts or practices relating to the origination and collection of auto loans in violation of the Mississippi Consumer Protection Act.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14, 2017, we were informed that the Bureau of Consumer Financial Protection’s Office of Fair Lending and Equal Opportunity is investigating whether the Company may have violated the Equal Credit Opportunity Act and Regulation B. We are cooperating with the inquiry and cannot predict the eventual scope, duration or outcome at this time. As a result, we are unable to estimate the reasonably possible loss or range of reasonably possible loss arising from this inquiry.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7, 2016, we received a civil investigative demand from the Federal Trade Commission seeking information on the Company’s policies, practices and procedures in allowing car dealers to use GPS Starter Interrupters on consumer vehicles.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18, 2016, we received a subpoena from the Attorney General of the State of Maryland, relating to the Company’s repossession and sale policies and procedures in the state of Maryland.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19, 2016, we received a First Amended Complaint filed by Westlake Services d/b/a Westlake Financial Service and Nowcom Corporation, alleging that the Company has attempted to monopolize the indirect financing profit sharing program market in violation of Section 2 of the Sherman Act and seeking, among other things, injunctive relief and unspecified money damages, which, if awarded, would likely be trebled pursuant to the Sherman Act. The case was filed in the United States District Court, Central District of California, Western Division. On April 6, 2016, the Court dismissed the claims brought by Nowcom Corporation. On January 5, 2018, the Court entered judgment in favor of the Company, dismissing the case with prejudice on the merits and ordering that the Company be awarded its costs of suit from Westlake Services, LLC. On February 2, 2018, Westlake Services, LLC filed a Notice of Appeal with the Court. On July 13, 2018, Westlake Services, LLC filed its appellate brief with the United States Court of Appeals for the Ninth Circuit. On September 14, 2018, we filed our response to Westlake Services, LLC’s appellate brief. On October 19, 2018, Westlake Services, LLC filed its reply brief. We cannot predict the duration or outcome of this lawsuit at this time. As a result, we are unable to estimate the reasonably possible loss or range of reasonably possible loss arising from this lawsuit. The Company intends to vigorously defend itself in this matter.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7"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September 18, 2015, we received a subpoena from the Attorney General of the State of New York, Civil Rights Bureau relating to the Company’s origination and collection of Consumer Loans in the state of New York.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investigation demand from the Office of the Attorney General seeking updated information on its original civil investigation demand, additional information related to the Company's origination and collection of Consumer Loans, and information regarding securitization activities. In connection with this inquiry, we were informed by representatives of the Office of the Attorney General that it believes that the Company may have engaged in unfair and deceptive acts or practices related to the origination and collection of auto loans, which may have caused some of the Company’s representations and warranties contained in securitization documents to be inaccurate. The investigation relating to the origination, collection and securitization of non-prime auto loans and securities transactions by the Office of the Attorney General remains ongoing.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adverse ultimate disposition in any action to which we are a party or otherwise subject could have a material adverse impact on our financial position, liquidity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lease office space and office equipment. We expect that in the normal course of business, leases will be renewed or replaced by other leases. Total rental expense on all operating leases was $2.2 million for 2018, and $1.5 million for 2017 and 2016. Contingent rentals under the operating leases were insignificant. Our total minimum future lease commitments under operating leases as of December 31, 2018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94"/>
              <w:spacing w:after="0"/>
              <w:rPr>
                <w:sz w:val="20"/>
                <w:szCs w:val="20"/>
                <w:color w:val="auto"/>
              </w:rPr>
            </w:pPr>
            <w:r>
              <w:rPr>
                <w:rFonts w:ascii="Arial" w:cs="Arial" w:eastAsia="Arial" w:hAnsi="Arial"/>
                <w:sz w:val="14"/>
                <w:szCs w:val="14"/>
                <w:b w:val="1"/>
                <w:bCs w:val="1"/>
                <w:color w:val="auto"/>
              </w:rPr>
              <w:t>Minimum Future</w:t>
            </w: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vMerge w:val="continue"/>
          </w:tcPr>
          <w:p>
            <w:pPr>
              <w:spacing w:after="0"/>
              <w:rPr>
                <w:sz w:val="17"/>
                <w:szCs w:val="17"/>
                <w:color w:val="auto"/>
              </w:rPr>
            </w:pPr>
          </w:p>
        </w:tc>
        <w:tc>
          <w:tcPr>
            <w:tcW w:w="6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Lease Commitments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2020</w:t>
            </w:r>
          </w:p>
        </w:tc>
        <w:tc>
          <w:tcPr>
            <w:tcW w:w="6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2022</w:t>
            </w:r>
          </w:p>
        </w:tc>
        <w:tc>
          <w:tcPr>
            <w:tcW w:w="6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200" w:type="dxa"/>
            <w:vAlign w:val="bottom"/>
          </w:tcPr>
          <w:p>
            <w:pPr>
              <w:ind w:left="380"/>
              <w:spacing w:after="0"/>
              <w:rPr>
                <w:sz w:val="20"/>
                <w:szCs w:val="20"/>
                <w:color w:val="auto"/>
              </w:rPr>
            </w:pPr>
            <w:r>
              <w:rPr>
                <w:rFonts w:ascii="Arial" w:cs="Arial" w:eastAsia="Arial" w:hAnsi="Arial"/>
                <w:sz w:val="18"/>
                <w:szCs w:val="18"/>
                <w:color w:val="auto"/>
              </w:rPr>
              <w:t>Total</w:t>
            </w:r>
          </w:p>
        </w:tc>
        <w:tc>
          <w:tcPr>
            <w:tcW w:w="6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280" w:type="dxa"/>
            <w:vAlign w:val="bottom"/>
            <w:vMerge w:val="restart"/>
          </w:tcPr>
          <w:p>
            <w:pPr>
              <w:jc w:val="right"/>
              <w:ind w:right="359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QUARTERLY FINANCIAL DATA (unaudited)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quarterly financial data for the years ended December 31, 2018 and 2017 has been prepared in accordance with GAAP: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2018</w:t>
            </w: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50"/>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Quarters Ended</w:t>
            </w: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50"/>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68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342.8</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201.0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Net income per share (1):</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7.82</w:t>
            </w:r>
          </w:p>
        </w:tc>
      </w:tr>
      <w:tr>
        <w:trPr>
          <w:trHeight w:val="20"/>
        </w:trPr>
        <w:tc>
          <w:tcPr>
            <w:tcW w:w="37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1"/>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7.79</w:t>
            </w:r>
          </w:p>
        </w:tc>
      </w:tr>
      <w:tr>
        <w:trPr>
          <w:trHeight w:val="20"/>
        </w:trPr>
        <w:tc>
          <w:tcPr>
            <w:tcW w:w="37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7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2017</w:t>
            </w: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50"/>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Quarters Ended</w:t>
            </w: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68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287.3</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122.4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177.1</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Net income per share (1):</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9.13</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1"/>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5.09</w:t>
            </w:r>
          </w:p>
        </w:tc>
        <w:tc>
          <w:tcPr>
            <w:tcW w:w="6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9.10</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hanging="330"/>
        <w:spacing w:after="0" w:line="273" w:lineRule="auto"/>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Basic and diluted net income per share are computed independently for each of the quarters presented. Therefore, the sum of quarterly basic and diluted per share information may not equal annual basic and diluted net income per share.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37" w:right="239" w:bottom="1440" w:gutter="0" w:footer="0" w:header="0"/>
        </w:sectPr>
      </w:pPr>
    </w:p>
    <w:bookmarkStart w:id="92" w:name="page93"/>
    <w:bookmarkEnd w:id="92"/>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32"/>
        <w:spacing w:after="0" w:line="254" w:lineRule="auto"/>
        <w:tabs>
          <w:tab w:leader="none" w:pos="596"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Our management, with the participation of our Chief Executive Officer and Chief Financial Officer, has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92" w:lineRule="exact"/>
        <w:rPr>
          <w:rFonts w:ascii="Arial" w:cs="Arial" w:eastAsia="Arial" w:hAnsi="Arial"/>
          <w:sz w:val="18"/>
          <w:szCs w:val="18"/>
          <w:color w:val="auto"/>
        </w:rPr>
      </w:pPr>
    </w:p>
    <w:p>
      <w:pPr>
        <w:jc w:val="both"/>
        <w:ind w:right="20" w:firstLine="332"/>
        <w:spacing w:after="0" w:line="264" w:lineRule="auto"/>
        <w:tabs>
          <w:tab w:leader="none" w:pos="579"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Rules 13a-15(f) and 15d-15(f) under the Exchange Act) during the quarter ended December 31, 2018 that have materially affected, or are reasonably likely to materially affect, our internal control over financial reporting.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87" w:lineRule="exact"/>
        <w:rPr>
          <w:sz w:val="20"/>
          <w:szCs w:val="20"/>
          <w:color w:val="auto"/>
        </w:rPr>
      </w:pPr>
    </w:p>
    <w:p>
      <w:pPr>
        <w:ind w:left="1160" w:hanging="328"/>
        <w:spacing w:after="0"/>
        <w:tabs>
          <w:tab w:leader="none" w:pos="11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46" w:lineRule="exact"/>
        <w:rPr>
          <w:rFonts w:ascii="Arial" w:cs="Arial" w:eastAsia="Arial" w:hAnsi="Arial"/>
          <w:sz w:val="16"/>
          <w:szCs w:val="16"/>
          <w:color w:val="auto"/>
        </w:rPr>
      </w:pPr>
    </w:p>
    <w:p>
      <w:pPr>
        <w:jc w:val="both"/>
        <w:ind w:left="1160" w:hanging="328"/>
        <w:spacing w:after="0" w:line="250"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160" w:hanging="328"/>
        <w:spacing w:after="0" w:line="261"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8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18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We assessed the effectiveness of our internal control over financial reporting as of December 31, 2018. In making this assessment, we used the criteria set forth in the 2013 Internal Control-Integrated Framework issued by the Committee of Sponsoring Organizations of the Treadway Commission (COSO). Based on our assessment, we believe that as of December 31, 2018, our internal control over financial reporting is effective based on those criteria.</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independent registered public accounting firm, Grant Thornton LLP, audited our internal control over financial reporting as of December 31, 2018 and their report dated February 8, 2019 expressed an unqualified opinion on our internal control over financial reporting and is included in this Item 9A.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the internal control over financial reporting of Credit Acceptance Corporation (a Michigan corporation) and subsidiaries (the “Company”) as of December 31, 2018,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2018, and our report dated February 8, 2019 expressed an unqualified opinion on those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We are a public accounting firm registered with the PCAOB and are required to be independent with respect to the Company in accordance with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4" w:right="239" w:bottom="1440" w:gutter="0" w:footer="0" w:header="0"/>
        </w:sectPr>
      </w:pPr>
    </w:p>
    <w:bookmarkStart w:id="94" w:name="page95"/>
    <w:bookmarkEnd w:id="94"/>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is contained under the captions “Election of Directors” (excluding the “Report of the Audit Committee”) and “Section 16 (a) Beneficial Ownership Reporting Compliance” in our Proxy Statement and is incorporated herein by reference.</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is contained under the caption “Compensation of Executive Officers and Directors” (excluding the “Report of the Executive Compensation Committee”) in our Proxy Statement and is incorporated herein by reference.</w:t>
      </w:r>
    </w:p>
    <w:p>
      <w:pPr>
        <w:spacing w:after="0" w:line="166"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is contained under the caption “Common Stock Ownership of Certain Beneficial Owners and Management” in our Proxy Statement and is incorporated herein by reference.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Amended and Restated Incentive Compensation Plan (the “Incentive Plan”), which was approved by shareholders on May 17, 2012, provides for the granting of restricted stock, restricted stock units and stock options to team members, officers, and directors. As of December 31, 2018, there were no options issued or outstanding under the Incentive Plan.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(1) the number of shares of common stock to be issued upon the exercise of outstanding options or restricted stock units,</w:t>
      </w:r>
    </w:p>
    <w:p>
      <w:pPr>
        <w:spacing w:after="0" w:line="46" w:lineRule="exact"/>
        <w:rPr>
          <w:sz w:val="20"/>
          <w:szCs w:val="20"/>
          <w:color w:val="auto"/>
        </w:rPr>
      </w:pPr>
    </w:p>
    <w:p>
      <w:pPr>
        <w:ind w:firstLine="8"/>
        <w:spacing w:after="0" w:line="261" w:lineRule="auto"/>
        <w:tabs>
          <w:tab w:leader="none" w:pos="27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if applicable, and (3) the number of shares remaining available for future issuance, as of December 31, 2018: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shares to be issued upon</w:t>
            </w: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 exercise price of</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49"/>
        </w:trPr>
        <w:tc>
          <w:tcPr>
            <w:tcW w:w="3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 Category</w:t>
            </w:r>
          </w:p>
        </w:tc>
        <w:tc>
          <w:tcPr>
            <w:tcW w:w="120" w:type="dxa"/>
            <w:vAlign w:val="bottom"/>
            <w:vMerge w:val="restart"/>
          </w:tcPr>
          <w:p>
            <w:pPr>
              <w:spacing w:after="0"/>
              <w:rPr>
                <w:sz w:val="12"/>
                <w:szCs w:val="12"/>
                <w:color w:val="auto"/>
              </w:rPr>
            </w:pPr>
          </w:p>
        </w:tc>
        <w:tc>
          <w:tcPr>
            <w:tcW w:w="2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exercise of outstanding options,</w:t>
            </w:r>
          </w:p>
        </w:tc>
        <w:tc>
          <w:tcPr>
            <w:tcW w:w="2480" w:type="dxa"/>
            <w:vAlign w:val="bottom"/>
            <w:gridSpan w:val="2"/>
            <w:vMerge w:val="continue"/>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 equity compensation</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w:t>
            </w:r>
          </w:p>
        </w:tc>
        <w:tc>
          <w:tcPr>
            <w:tcW w:w="120" w:type="dxa"/>
            <w:vAlign w:val="bottom"/>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outstanding options</w:t>
            </w:r>
          </w:p>
        </w:tc>
        <w:tc>
          <w:tcPr>
            <w:tcW w:w="100" w:type="dxa"/>
            <w:vAlign w:val="bottom"/>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(a)</w:t>
            </w:r>
          </w:p>
        </w:tc>
        <w:tc>
          <w:tcPr>
            <w:tcW w:w="0" w:type="dxa"/>
            <w:vAlign w:val="bottom"/>
          </w:tcPr>
          <w:p>
            <w:pPr>
              <w:spacing w:after="0"/>
              <w:rPr>
                <w:sz w:val="1"/>
                <w:szCs w:val="1"/>
                <w:color w:val="auto"/>
              </w:rPr>
            </w:pPr>
          </w:p>
        </w:tc>
      </w:tr>
      <w:tr>
        <w:trPr>
          <w:trHeight w:val="243"/>
        </w:trPr>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Equity compensation plan approved by shareholders:</w:t>
            </w: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Incentive Plan</w:t>
            </w:r>
          </w:p>
        </w:tc>
        <w:tc>
          <w:tcPr>
            <w:tcW w:w="24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516,773</w:t>
            </w:r>
          </w:p>
        </w:tc>
        <w:tc>
          <w:tcPr>
            <w:tcW w:w="1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126,348</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additional information regarding our equity compensation plans, see Note 15 to the consolidated financial statements contained in Item 8 of this Form 10-K, which is incorporated herein by reference.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is contained under the caption “Certain Relationships and Transactions” and “Election of Directors – Meetings and Committees of the Board of Directors” in our Proxy Statement and is incorporated herein by reference.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is contained under the caption “Independent Accountants” in our Proxy Statement and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4"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ectPr>
          <w:pgSz w:w="11900" w:h="16838" w:orient="portrait"/>
          <w:cols w:equalWidth="0" w:num="1">
            <w:col w:w="11400"/>
          </w:cols>
          <w:pgMar w:left="240" w:top="364" w:right="25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the Company and the Report of Independent Registered Public Accounting Firm are</w:t>
      </w:r>
    </w:p>
    <w:p>
      <w:pPr>
        <w:spacing w:after="0" w:line="46" w:lineRule="exact"/>
        <w:rPr>
          <w:sz w:val="20"/>
          <w:szCs w:val="20"/>
          <w:color w:val="auto"/>
        </w:rPr>
      </w:pPr>
    </w:p>
    <w:p>
      <w:pPr>
        <w:sectPr>
          <w:pgSz w:w="11900" w:h="16838" w:orient="portrait"/>
          <w:cols w:equalWidth="0" w:num="2">
            <w:col w:w="580" w:space="720"/>
            <w:col w:w="10100"/>
          </w:cols>
          <w:pgMar w:left="240" w:top="364" w:right="25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contained in Item 8 — Financial Statements and Supplementary Data of this Form 10-K, which is incorporated herein by reference.</w:t>
      </w:r>
    </w:p>
    <w:p>
      <w:pPr>
        <w:spacing w:after="0" w:line="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Financial Statements: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Balance Sheets as of December 31, 2018 and 2017</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Income for the years ended December 31, 2018, 2017 and 2016</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Comprehensive Income for the years ended December 31, 2018, 2017 and 2016</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Shareholders' Equity for the years ended December 31, 2018, 2017 and 2016</w:t>
      </w:r>
    </w:p>
    <w:p>
      <w:pPr>
        <w:spacing w:after="0" w:line="63" w:lineRule="exact"/>
        <w:rPr>
          <w:sz w:val="20"/>
          <w:szCs w:val="20"/>
          <w:color w:val="auto"/>
        </w:rPr>
      </w:pPr>
    </w:p>
    <w:p>
      <w:pPr>
        <w:ind w:left="1300" w:right="2980"/>
        <w:spacing w:after="0" w:line="340" w:lineRule="auto"/>
        <w:rPr>
          <w:sz w:val="20"/>
          <w:szCs w:val="20"/>
          <w:color w:val="auto"/>
        </w:rPr>
      </w:pPr>
      <w:r>
        <w:rPr>
          <w:rFonts w:ascii="Arial" w:cs="Arial" w:eastAsia="Arial" w:hAnsi="Arial"/>
          <w:sz w:val="18"/>
          <w:szCs w:val="18"/>
          <w:color w:val="auto"/>
        </w:rPr>
        <w:t>— Consolidated Statements of Cash Flows for the years ended December 31, 2018, 2017 and 2016 Notes to Consolidated Financial Statements</w:t>
      </w:r>
    </w:p>
    <w:p>
      <w:pPr>
        <w:spacing w:after="0" w:line="170" w:lineRule="exact"/>
        <w:rPr>
          <w:sz w:val="20"/>
          <w:szCs w:val="20"/>
          <w:color w:val="auto"/>
        </w:rPr>
      </w:pPr>
    </w:p>
    <w:p>
      <w:pPr>
        <w:ind w:left="1300" w:right="20" w:hanging="1265"/>
        <w:spacing w:after="0" w:line="277"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not applicable or are not required or the information required to be set forth therein is included in the Consolidated Financial Statements or Notes thereto.</w:t>
      </w:r>
    </w:p>
    <w:p>
      <w:pPr>
        <w:spacing w:after="0" w:line="8" w:lineRule="exact"/>
        <w:rPr>
          <w:rFonts w:ascii="Arial" w:cs="Arial" w:eastAsia="Arial" w:hAnsi="Arial"/>
          <w:sz w:val="18"/>
          <w:szCs w:val="18"/>
          <w:color w:val="auto"/>
        </w:rPr>
      </w:pPr>
    </w:p>
    <w:p>
      <w:pPr>
        <w:ind w:left="1300" w:hanging="1265"/>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exhibits filed in response to Item 601 of Regulation S-K are listed in the Exhibit Index below.</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364" w:right="25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documents are filed as part of this report. Those exhibits previously filed and incorporated herein by reference are identified below. Exhibits not required for this report have been omitted. Unless otherwise noted, the Company’s commission file number for all exhibits incorporated by reference herein is 000-20202.</w:t>
      </w:r>
    </w:p>
    <w:p>
      <w:pPr>
        <w:sectPr>
          <w:pgSz w:w="11900" w:h="16838" w:orient="portrait"/>
          <w:cols w:equalWidth="0" w:num="1">
            <w:col w:w="11420"/>
          </w:cols>
          <w:pgMar w:left="240" w:top="364" w:right="239" w:bottom="1440" w:gutter="0" w:footer="0" w:header="0"/>
        </w:sect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 No.</w:t>
      </w:r>
    </w:p>
    <w:p>
      <w:pPr>
        <w:spacing w:after="0" w:line="198" w:lineRule="exact"/>
        <w:rPr>
          <w:sz w:val="20"/>
          <w:szCs w:val="20"/>
          <w:color w:val="auto"/>
        </w:rPr>
      </w:pPr>
    </w:p>
    <w:p>
      <w:pPr>
        <w:ind w:left="52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3.1</w:t>
        </w:r>
      </w:hyperlink>
    </w:p>
    <w:p>
      <w:pPr>
        <w:spacing w:after="0" w:line="279" w:lineRule="exact"/>
        <w:rPr>
          <w:sz w:val="20"/>
          <w:szCs w:val="20"/>
          <w:color w:val="auto"/>
        </w:rPr>
      </w:pPr>
    </w:p>
    <w:p>
      <w:pPr>
        <w:ind w:left="52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3.2</w:t>
        </w:r>
      </w:hyperlink>
    </w:p>
    <w:p>
      <w:pPr>
        <w:spacing w:after="0" w:line="387" w:lineRule="exact"/>
        <w:rPr>
          <w:sz w:val="20"/>
          <w:szCs w:val="20"/>
          <w:color w:val="auto"/>
        </w:rPr>
      </w:pPr>
    </w:p>
    <w:p>
      <w:pPr>
        <w:ind w:left="52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4.1</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4.2</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4.5</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4.6</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4.7</w:t>
        </w:r>
      </w:hyperlink>
    </w:p>
    <w:p>
      <w:pPr>
        <w:spacing w:after="0" w:line="387" w:lineRule="exact"/>
        <w:rPr>
          <w:sz w:val="20"/>
          <w:szCs w:val="20"/>
          <w:color w:val="auto"/>
        </w:rPr>
      </w:pPr>
    </w:p>
    <w:p>
      <w:pPr>
        <w:ind w:left="520"/>
        <w:spacing w:after="0"/>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4.8</w:t>
        </w:r>
      </w:hyperlink>
    </w:p>
    <w:p>
      <w:pPr>
        <w:spacing w:after="0" w:line="387" w:lineRule="exact"/>
        <w:rPr>
          <w:sz w:val="20"/>
          <w:szCs w:val="20"/>
          <w:color w:val="auto"/>
        </w:rPr>
      </w:pPr>
    </w:p>
    <w:p>
      <w:pPr>
        <w:ind w:left="520"/>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4.9</w:t>
        </w:r>
      </w:hyperlink>
    </w:p>
    <w:p>
      <w:pPr>
        <w:spacing w:after="0" w:line="200" w:lineRule="exact"/>
        <w:rPr>
          <w:sz w:val="20"/>
          <w:szCs w:val="20"/>
          <w:color w:val="auto"/>
        </w:rPr>
      </w:pPr>
    </w:p>
    <w:p>
      <w:pPr>
        <w:spacing w:after="0" w:line="295" w:lineRule="exact"/>
        <w:rPr>
          <w:sz w:val="20"/>
          <w:szCs w:val="20"/>
          <w:color w:val="auto"/>
        </w:rPr>
      </w:pPr>
    </w:p>
    <w:p>
      <w:pPr>
        <w:ind w:left="480"/>
        <w:spacing w:after="0"/>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4.10</w:t>
        </w:r>
      </w:hyperlink>
    </w:p>
    <w:p>
      <w:pPr>
        <w:spacing w:after="0" w:line="200" w:lineRule="exact"/>
        <w:rPr>
          <w:sz w:val="20"/>
          <w:szCs w:val="20"/>
          <w:color w:val="auto"/>
        </w:rPr>
      </w:pPr>
    </w:p>
    <w:p>
      <w:pPr>
        <w:spacing w:after="0" w:line="295" w:lineRule="exact"/>
        <w:rPr>
          <w:sz w:val="20"/>
          <w:szCs w:val="20"/>
          <w:color w:val="auto"/>
        </w:rPr>
      </w:pPr>
    </w:p>
    <w:p>
      <w:pPr>
        <w:ind w:left="480"/>
        <w:spacing w:after="0"/>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4.11</w:t>
        </w:r>
      </w:hyperlink>
    </w:p>
    <w:p>
      <w:pPr>
        <w:spacing w:after="0" w:line="387" w:lineRule="exact"/>
        <w:rPr>
          <w:sz w:val="20"/>
          <w:szCs w:val="20"/>
          <w:color w:val="auto"/>
        </w:rPr>
      </w:pPr>
    </w:p>
    <w:p>
      <w:pPr>
        <w:ind w:left="48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4.12</w:t>
        </w:r>
      </w:hyperlink>
    </w:p>
    <w:p>
      <w:pPr>
        <w:spacing w:after="0" w:line="387" w:lineRule="exact"/>
        <w:rPr>
          <w:sz w:val="20"/>
          <w:szCs w:val="20"/>
          <w:color w:val="auto"/>
        </w:rPr>
      </w:pPr>
    </w:p>
    <w:p>
      <w:pPr>
        <w:ind w:left="480"/>
        <w:spacing w:after="0"/>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4.13</w:t>
        </w:r>
      </w:hyperlink>
    </w:p>
    <w:p>
      <w:pPr>
        <w:spacing w:after="0" w:line="200" w:lineRule="exact"/>
        <w:rPr>
          <w:sz w:val="20"/>
          <w:szCs w:val="20"/>
          <w:color w:val="auto"/>
        </w:rPr>
      </w:pPr>
    </w:p>
    <w:p>
      <w:pPr>
        <w:spacing w:after="0" w:line="295" w:lineRule="exact"/>
        <w:rPr>
          <w:sz w:val="20"/>
          <w:szCs w:val="20"/>
          <w:color w:val="auto"/>
        </w:rPr>
      </w:pPr>
    </w:p>
    <w:p>
      <w:pPr>
        <w:ind w:left="480"/>
        <w:spacing w:after="0"/>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4.14</w:t>
        </w:r>
      </w:hyperlink>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34290</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Articles of Incorporation, as amended July 1, 1997 (incorporated by reference to Exhibit 3(a)(1) to the Company's Quarterly Report on Form 10-Q for the quarterly period ended June 30, 1997).</w:t>
      </w:r>
    </w:p>
    <w:p>
      <w:pPr>
        <w:spacing w:after="0" w:line="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Amended and Restated Bylaws of the Company, as amended February 24, 2005 (incorporated by reference to Exhibit 3(b) to the Company’s Annual Report on Form 10-K for the fiscal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Fifth Amended and Restated Credit Agreement, dated as of June 17, 2011, among the Company, the Banks signatory thereto and Comerica Bank, as agent for the Banks (incorporated by reference to Exhibit 4(f)(146) to the Company’s Current Report on Form 8-K filed June 22, 2011).</w:t>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Loan and Security Agreement, dated as of August 19, 2011 among the Company, CAC Warehouse Funding LLC IV, BMO Capital Markets Corp., Bank of Montreal and Wells Fargo Bank, National Association (incorporated by reference to Exhibit 4(f)(148) to the Company's Current Report on Form 8-K filed August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August 19, 2011, among the Company, CAC Warehouse Funding LLC IV, Wells Fargo Bank, National Association, Bank of Montreal and BMO Capital Markets Corp. (incorporated by reference to Exhibit 4(f)(149) to the Company's Current Report on Form 8-K filed August 24, 2011).</w:t>
      </w:r>
    </w:p>
    <w:p>
      <w:pPr>
        <w:spacing w:after="0" w:line="1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Amended and Restated Intercreditor Agreement, dated as of February 1, 2010, among Credit Acceptance Corporation, the other Grantors party thereto, representatives of the Secured Parties thereunder and Comerica Bank, as administrative agent under the Original Credit Agreement (as defined therein) and as collateral agent (incorporated by reference to Exhibit 4(g)(6) to the Company’s Current Report on Form 8-K filed February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7620</wp:posOffset>
            </wp:positionV>
            <wp:extent cx="724662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First Amendment to the Fifth Amended and Restated Credit Agreement, dated as of June 15, 2012, among the Company, the Banks signatory thereto and Comerica Bank, as agent for the Banks (incorporated by reference to Exhibit 4.72 to the Company’s Current Report on Form 8-K filed June 15, 2012).</w:t>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Amended and Restated Backup Servicing Agreement dated as of December 27, 2012, among the Company, CAC Warehouse Funding Corporation II, Wells Fargo Securities, LLC, and Wells Fargo Bank, National Association (incorporated by reference to Exhibit 4.82 to the Company’s Current Report on Form 8-K filed January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40"/>
        <w:spacing w:after="0" w:line="264" w:lineRule="auto"/>
        <w:rPr>
          <w:sz w:val="20"/>
          <w:szCs w:val="20"/>
          <w:color w:val="auto"/>
        </w:rPr>
      </w:pPr>
      <w:r>
        <w:rPr>
          <w:rFonts w:ascii="Arial" w:cs="Arial" w:eastAsia="Arial" w:hAnsi="Arial"/>
          <w:sz w:val="18"/>
          <w:szCs w:val="18"/>
          <w:color w:val="auto"/>
        </w:rPr>
        <w:t>First Amendment to Loan and Security Agreement dated as of April 5, 2013, among the Company, CAC Warehouse Funding LLC IV, Bank of Montreal, BMO Capital Markets Corp., and Wells Fargo Bank, National Association (incorporated by reference to Exhibit 4.84 to the Company’s Current Report on Form 8-K filed April 5, 2013).</w:t>
      </w:r>
    </w:p>
    <w:p>
      <w:pPr>
        <w:spacing w:after="0" w:line="19" w:lineRule="exact"/>
        <w:rPr>
          <w:sz w:val="20"/>
          <w:szCs w:val="20"/>
          <w:color w:val="auto"/>
        </w:rPr>
      </w:pPr>
    </w:p>
    <w:p>
      <w:pPr>
        <w:jc w:val="both"/>
        <w:ind w:right="40"/>
        <w:spacing w:after="0" w:line="298" w:lineRule="auto"/>
        <w:rPr>
          <w:sz w:val="20"/>
          <w:szCs w:val="20"/>
          <w:color w:val="auto"/>
        </w:rPr>
      </w:pPr>
      <w:r>
        <w:rPr>
          <w:rFonts w:ascii="Arial" w:cs="Arial" w:eastAsia="Arial" w:hAnsi="Arial"/>
          <w:sz w:val="17"/>
          <w:szCs w:val="17"/>
          <w:color w:val="auto"/>
        </w:rPr>
        <w:t>Amended and Restated Sale and Contribution Agreement dated as of April 5, 2013, between the Company and CAC Warehouse Funding LLC IV (incorporated by reference to Exhibit 4.85 to the Company’s Current Report on Form 8-K filed April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40"/>
        <w:spacing w:after="0" w:line="264" w:lineRule="auto"/>
        <w:rPr>
          <w:sz w:val="20"/>
          <w:szCs w:val="20"/>
          <w:color w:val="auto"/>
        </w:rPr>
      </w:pPr>
      <w:r>
        <w:rPr>
          <w:rFonts w:ascii="Arial" w:cs="Arial" w:eastAsia="Arial" w:hAnsi="Arial"/>
          <w:sz w:val="18"/>
          <w:szCs w:val="18"/>
          <w:color w:val="auto"/>
        </w:rPr>
        <w:t>Second Amendment to the Fifth Amended and Restated Credit Agreement, dated as of June 20, 2013, among the Company, the Banks signatory thereto and Comerica Bank, as agent for the Banks (incorporated by reference to Exhibit 4.92 to the Company’s Current Report on Form 8-K filed June 24, 2013).</w:t>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Third Amendment to the Fifth Amended and Restated Credit Agreement, dated as of December 9, 2013, among the Company and Comerica Bank, as agent for the Banks (incorporated by reference to Exhibit 4.103 to the Company's Annual Report on Form 10-K for the fiscal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Fourth Amendment to the Fifth Amended and Restated Credit Agreement, dated as of January 15, 2014, among the Company, the banks signatory thereto and Comerica Bank, as agent for the Banks (incorporated by reference to Exhibit 4.117 to the Company's Annual Report on Form 10-K for the fiscal year ended December 31, 2013).</w:t>
      </w:r>
    </w:p>
    <w:p>
      <w:pPr>
        <w:spacing w:after="0" w:line="19" w:lineRule="exact"/>
        <w:rPr>
          <w:sz w:val="20"/>
          <w:szCs w:val="20"/>
          <w:color w:val="auto"/>
        </w:rPr>
      </w:pPr>
    </w:p>
    <w:p>
      <w:pPr>
        <w:jc w:val="both"/>
        <w:ind w:right="40"/>
        <w:spacing w:after="0" w:line="298" w:lineRule="auto"/>
        <w:rPr>
          <w:sz w:val="20"/>
          <w:szCs w:val="20"/>
          <w:color w:val="auto"/>
        </w:rPr>
      </w:pPr>
      <w:r>
        <w:rPr>
          <w:rFonts w:ascii="Arial" w:cs="Arial" w:eastAsia="Arial" w:hAnsi="Arial"/>
          <w:sz w:val="17"/>
          <w:szCs w:val="17"/>
          <w:color w:val="auto"/>
        </w:rPr>
        <w:t>Indenture, dated as of January 22, 2014, among the Company, the Guarantors named therein and U.S. Bank National Association, as trustee (incorporated by reference to Exhibit 4.101 to the Company’s Current Report on Form 8-K filed January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40"/>
        <w:spacing w:after="0" w:line="286" w:lineRule="auto"/>
        <w:rPr>
          <w:sz w:val="20"/>
          <w:szCs w:val="20"/>
          <w:color w:val="auto"/>
        </w:rPr>
      </w:pPr>
      <w:r>
        <w:rPr>
          <w:rFonts w:ascii="Arial" w:cs="Arial" w:eastAsia="Arial" w:hAnsi="Arial"/>
          <w:sz w:val="17"/>
          <w:szCs w:val="17"/>
          <w:color w:val="auto"/>
        </w:rPr>
        <w:t>Second Amendment to Loan and Security Agreement, dated as of December 4, 2013, among the Company, CAC Warehouse Funding LLC IV, Bank of Montreal, BMO Capital Markets Corp., and Wells Fargo Bank, National Association (incorporated by reference to Exhibit 4.106 to the Company's Annual Report on Form 10-K for the fiscal year ended December 31, 2013).</w:t>
      </w:r>
    </w:p>
    <w:p>
      <w:pPr>
        <w:spacing w:after="0" w:line="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First Amendment to Amended and Restated Sale and Contribution Agreement, dated as of December 4, 2013, between the Company and CAC Warehouse Funding LLC IV (incorporated by reference to Exhibit 4.107 to the Company's Annual Report on Form 10-K for the fiscal year ended December 31, 2013).</w:t>
      </w:r>
    </w:p>
    <w:p>
      <w:pPr>
        <w:spacing w:after="0" w:line="200" w:lineRule="exact"/>
        <w:rPr>
          <w:sz w:val="20"/>
          <w:szCs w:val="20"/>
          <w:color w:val="auto"/>
        </w:rPr>
      </w:pPr>
    </w:p>
    <w:p>
      <w:pPr>
        <w:sectPr>
          <w:pgSz w:w="11900" w:h="16838" w:orient="portrait"/>
          <w:cols w:equalWidth="0" w:num="2">
            <w:col w:w="920" w:space="600"/>
            <w:col w:w="9900"/>
          </w:cols>
          <w:pgMar w:left="240" w:top="364"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64" w:right="239" w:bottom="1440" w:gutter="0" w:footer="0" w:header="0"/>
          <w:type w:val="continuous"/>
        </w:sectPr>
      </w:pPr>
    </w:p>
    <w:bookmarkStart w:id="97" w:name="page98"/>
    <w:bookmarkEnd w:id="97"/>
    <w:p>
      <w:pPr>
        <w:ind w:left="10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t>Sixth Amended and Restated Credit Agreement, dated as of June 23, 2014, among the Company, the Banks signatory thereto and</w:t>
      </w:r>
    </w:p>
    <w:p>
      <w:pPr>
        <w:spacing w:after="0" w:line="35"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48">
        <w:r>
          <w:rPr>
            <w:rFonts w:ascii="Arial" w:cs="Arial" w:eastAsia="Arial" w:hAnsi="Arial"/>
            <w:sz w:val="18"/>
            <w:szCs w:val="18"/>
            <w:u w:val="single" w:color="auto"/>
            <w:color w:val="0000FF"/>
          </w:rPr>
          <w:t>4.15</w:t>
        </w:r>
      </w:hyperlink>
      <w:r>
        <w:rPr>
          <w:rFonts w:ascii="Arial" w:cs="Arial" w:eastAsia="Arial" w:hAnsi="Arial"/>
          <w:sz w:val="18"/>
          <w:szCs w:val="18"/>
          <w:color w:val="0000FF"/>
        </w:rPr>
        <w:tab/>
        <w:t>Comerica Bank, as agent for the Banks (incorporated by reference to Exhibit 4.124 to the Company’s Current Report on Form 8-K filed June 25, 2014).</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Amendment No. 1 to Amended and Restated Backup Servicing Agreement, dated as of July 18, 2014, among the Company, CAC</w:t>
      </w:r>
    </w:p>
    <w:p>
      <w:pPr>
        <w:spacing w:after="0" w:line="35"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49">
        <w:r>
          <w:rPr>
            <w:rFonts w:ascii="Arial" w:cs="Arial" w:eastAsia="Arial" w:hAnsi="Arial"/>
            <w:sz w:val="18"/>
            <w:szCs w:val="18"/>
            <w:u w:val="single" w:color="auto"/>
            <w:color w:val="0000FF"/>
          </w:rPr>
          <w:t>4.16</w:t>
        </w:r>
      </w:hyperlink>
      <w:r>
        <w:rPr>
          <w:rFonts w:ascii="Arial" w:cs="Arial" w:eastAsia="Arial" w:hAnsi="Arial"/>
          <w:sz w:val="18"/>
          <w:szCs w:val="18"/>
          <w:color w:val="0000FF"/>
        </w:rPr>
        <w:tab/>
        <w:t>Warehouse Funding Corporation II, Wells Fargo Securities, LLC, and Wells Fargo Bank, National Association (incorporated by reference to Exhibit 4.126 to the Company’s Current Report on Form 8-K filed July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5715</wp:posOffset>
            </wp:positionV>
            <wp:extent cx="72466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Loan and Security Agreement, dated as of September 15, 2014, among the Company, CAC Warehouse Funding LLC V, Fifth Third</w:t>
      </w:r>
    </w:p>
    <w:p>
      <w:pPr>
        <w:spacing w:after="0" w:line="35" w:lineRule="exact"/>
        <w:rPr>
          <w:sz w:val="20"/>
          <w:szCs w:val="20"/>
          <w:color w:val="auto"/>
        </w:rPr>
      </w:pPr>
    </w:p>
    <w:p>
      <w:pPr>
        <w:spacing w:after="0"/>
        <w:tabs>
          <w:tab w:leader="none" w:pos="1020" w:val="left"/>
        </w:tabs>
        <w:rPr>
          <w:rFonts w:ascii="Arial" w:cs="Arial" w:eastAsia="Arial" w:hAnsi="Arial"/>
          <w:sz w:val="18"/>
          <w:szCs w:val="18"/>
          <w:color w:val="0000FF"/>
        </w:rPr>
      </w:pPr>
      <w:hyperlink r:id="rId51">
        <w:r>
          <w:rPr>
            <w:rFonts w:ascii="Arial" w:cs="Arial" w:eastAsia="Arial" w:hAnsi="Arial"/>
            <w:sz w:val="18"/>
            <w:szCs w:val="18"/>
            <w:u w:val="single" w:color="auto"/>
            <w:color w:val="0000FF"/>
          </w:rPr>
          <w:t>4.17</w:t>
        </w:r>
      </w:hyperlink>
      <w:r>
        <w:rPr>
          <w:rFonts w:ascii="Arial" w:cs="Arial" w:eastAsia="Arial" w:hAnsi="Arial"/>
          <w:sz w:val="18"/>
          <w:szCs w:val="18"/>
          <w:color w:val="0000FF"/>
        </w:rPr>
        <w:tab/>
      </w:r>
      <w:r>
        <w:rPr>
          <w:rFonts w:ascii="Arial" w:cs="Arial" w:eastAsia="Arial" w:hAnsi="Arial"/>
          <w:sz w:val="16"/>
          <w:szCs w:val="16"/>
          <w:color w:val="0000FF"/>
        </w:rPr>
        <w:t>Bank and Systems &amp; Services Technologies, Inc. (incorporated by reference to Exhibit 4.127 to the Company’s Current Report on Form</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8-K filed September 18, 2014).</w:t>
      </w:r>
    </w:p>
    <w:p>
      <w:pPr>
        <w:spacing w:after="0" w:line="4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Backup Servicing Agreement, dated as of September 15, 2014, among the Company, CAC Warehouse Funding LLC V, Fifth Third Bank</w:t>
      </w:r>
    </w:p>
    <w:p>
      <w:pPr>
        <w:spacing w:after="0" w:line="46"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52">
        <w:r>
          <w:rPr>
            <w:rFonts w:ascii="Arial" w:cs="Arial" w:eastAsia="Arial" w:hAnsi="Arial"/>
            <w:sz w:val="18"/>
            <w:szCs w:val="18"/>
            <w:u w:val="single" w:color="auto"/>
            <w:color w:val="0000FF"/>
          </w:rPr>
          <w:t>4.18</w:t>
        </w:r>
      </w:hyperlink>
      <w:r>
        <w:rPr>
          <w:rFonts w:ascii="Arial" w:cs="Arial" w:eastAsia="Arial" w:hAnsi="Arial"/>
          <w:sz w:val="18"/>
          <w:szCs w:val="18"/>
          <w:color w:val="0000FF"/>
        </w:rPr>
        <w:tab/>
        <w:t>and Systems &amp; Services Technologies, Inc. (incorporated by reference to Exhibit 4.128 to the Company’s Current Report on Form 8-K filed September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5715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0920"/>
          </w:cols>
          <w:pgMar w:left="720" w:top="530" w:right="259" w:bottom="1440" w:gutter="0" w:footer="0" w:header="0"/>
        </w:sectPr>
      </w:pPr>
    </w:p>
    <w:p>
      <w:pPr>
        <w:spacing w:after="0" w:line="130" w:lineRule="exact"/>
        <w:rPr>
          <w:sz w:val="20"/>
          <w:szCs w:val="20"/>
          <w:color w:val="auto"/>
        </w:rPr>
      </w:pPr>
    </w:p>
    <w:p>
      <w:pPr>
        <w:spacing w:after="0"/>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4.19</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4.20</w:t>
        </w:r>
      </w:hyperlink>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Contribution Agreement, dated as of September 15, 2014, between the Company and CAC Warehouse Funding LLC V (incorporated by reference to Exhibit 4.129 to the Company’s Current Report on Form 8-K filed September 18, 2014).</w:t>
      </w:r>
    </w:p>
    <w:p>
      <w:pPr>
        <w:spacing w:after="0" w:line="8"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Indenture dated as of March 30, 2015, among the Company, the Guarantors named therein and U.S. Bank National Association, as trustee (incorporated by reference to Exhibit 4.1 to the Company’s Current Report on Form 8-K filed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0" w:space="720"/>
            <w:col w:w="9880"/>
          </w:cols>
          <w:pgMar w:left="720" w:top="530" w:right="259" w:bottom="1440" w:gutter="0" w:footer="0" w:header="0"/>
          <w:type w:val="continuous"/>
        </w:sectPr>
      </w:pPr>
    </w:p>
    <w:p>
      <w:pPr>
        <w:ind w:left="1040"/>
        <w:spacing w:after="0"/>
        <w:rPr>
          <w:sz w:val="20"/>
          <w:szCs w:val="20"/>
          <w:color w:val="auto"/>
        </w:rPr>
      </w:pPr>
      <w:r>
        <w:rPr>
          <w:rFonts w:ascii="Arial" w:cs="Arial" w:eastAsia="Arial" w:hAnsi="Arial"/>
          <w:sz w:val="16"/>
          <w:szCs w:val="16"/>
          <w:color w:val="auto"/>
        </w:rPr>
        <w:t>Third Amendment to Loan and Security Agreement, dated as of May 13, 2015, among the Company, CAC Warehouse Funding LLC IV,</w:t>
      </w:r>
    </w:p>
    <w:p>
      <w:pPr>
        <w:spacing w:after="0" w:line="46"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57">
        <w:r>
          <w:rPr>
            <w:rFonts w:ascii="Arial" w:cs="Arial" w:eastAsia="Arial" w:hAnsi="Arial"/>
            <w:sz w:val="18"/>
            <w:szCs w:val="18"/>
            <w:u w:val="single" w:color="auto"/>
            <w:color w:val="0000FF"/>
          </w:rPr>
          <w:t>4.21</w:t>
        </w:r>
      </w:hyperlink>
      <w:r>
        <w:rPr>
          <w:rFonts w:ascii="Arial" w:cs="Arial" w:eastAsia="Arial" w:hAnsi="Arial"/>
          <w:sz w:val="18"/>
          <w:szCs w:val="18"/>
          <w:color w:val="0000FF"/>
        </w:rPr>
        <w:tab/>
        <w:t>Bank of Montreal, BMO Capital Markets Corp., and Wells Fargo Bank, National Association (incorporated by reference to Exhibit 4.71 to the Company's Current Report on Form 8-K filed May 15, 2015).</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First Amendment to Backup Servicing Agreement, dated as of May 13, 2015, among the Company, CAC Warehouse Funding LLC IV,</w:t>
      </w:r>
    </w:p>
    <w:p>
      <w:pPr>
        <w:spacing w:after="0" w:line="46"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58">
        <w:r>
          <w:rPr>
            <w:rFonts w:ascii="Arial" w:cs="Arial" w:eastAsia="Arial" w:hAnsi="Arial"/>
            <w:sz w:val="18"/>
            <w:szCs w:val="18"/>
            <w:u w:val="single" w:color="auto"/>
            <w:color w:val="0000FF"/>
          </w:rPr>
          <w:t>4.22</w:t>
        </w:r>
      </w:hyperlink>
      <w:r>
        <w:rPr>
          <w:rFonts w:ascii="Arial" w:cs="Arial" w:eastAsia="Arial" w:hAnsi="Arial"/>
          <w:sz w:val="18"/>
          <w:szCs w:val="18"/>
          <w:color w:val="0000FF"/>
        </w:rPr>
        <w:tab/>
        <w:t>Bank of Montreal, BMO Capital Markets Corp., and Wells Fargo Bank, National Association (incorporated by reference to Exhibit 4.72 to the Company's Current Report on Form 8-K filed May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5715</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First Amendment to the Sixth Amended and Restated Credit Agreement, dated as of June 11, 2015, among the Company, the Banks</w:t>
      </w:r>
    </w:p>
    <w:p>
      <w:pPr>
        <w:spacing w:after="0" w:line="46" w:lineRule="exact"/>
        <w:rPr>
          <w:sz w:val="20"/>
          <w:szCs w:val="20"/>
          <w:color w:val="auto"/>
        </w:rPr>
      </w:pPr>
    </w:p>
    <w:p>
      <w:pPr>
        <w:ind w:left="1040" w:hanging="1041"/>
        <w:spacing w:after="0" w:line="261" w:lineRule="auto"/>
        <w:tabs>
          <w:tab w:leader="none" w:pos="1020" w:val="left"/>
        </w:tabs>
        <w:rPr>
          <w:rFonts w:ascii="Arial" w:cs="Arial" w:eastAsia="Arial" w:hAnsi="Arial"/>
          <w:sz w:val="18"/>
          <w:szCs w:val="18"/>
          <w:color w:val="0000EE"/>
        </w:rPr>
      </w:pPr>
      <w:hyperlink w:anchor="page104">
        <w:r>
          <w:rPr>
            <w:rFonts w:ascii="Arial" w:cs="Arial" w:eastAsia="Arial" w:hAnsi="Arial"/>
            <w:sz w:val="18"/>
            <w:szCs w:val="18"/>
            <w:u w:val="single" w:color="auto"/>
            <w:color w:val="0000EE"/>
          </w:rPr>
          <w:t>4.23</w:t>
        </w:r>
      </w:hyperlink>
      <w:r>
        <w:rPr>
          <w:rFonts w:ascii="Arial" w:cs="Arial" w:eastAsia="Arial" w:hAnsi="Arial"/>
          <w:sz w:val="18"/>
          <w:szCs w:val="18"/>
          <w:color w:val="0000EE"/>
        </w:rPr>
        <w:tab/>
        <w:t>which are parties thereto from time to time, and Comerica Bank (incorporated by reference to Exhibit 4.74 to the Company’s Current Report on Form 8-K filed June 16, 2015).</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First Amendment to Loan and Security Agreement, dated as of June 11, 2015, among the Company, CAC Warehouse Funding LLC V,</w:t>
      </w:r>
    </w:p>
    <w:p>
      <w:pPr>
        <w:spacing w:after="0" w:line="46"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60">
        <w:r>
          <w:rPr>
            <w:rFonts w:ascii="Arial" w:cs="Arial" w:eastAsia="Arial" w:hAnsi="Arial"/>
            <w:sz w:val="18"/>
            <w:szCs w:val="18"/>
            <w:u w:val="single" w:color="auto"/>
            <w:color w:val="0000FF"/>
          </w:rPr>
          <w:t>4.24</w:t>
        </w:r>
      </w:hyperlink>
      <w:r>
        <w:rPr>
          <w:rFonts w:ascii="Arial" w:cs="Arial" w:eastAsia="Arial" w:hAnsi="Arial"/>
          <w:sz w:val="18"/>
          <w:szCs w:val="18"/>
          <w:color w:val="0000FF"/>
        </w:rPr>
        <w:tab/>
        <w:t>Fifth Third Bank, and Systems &amp; Services Technologies, Inc. (incorporated by reference to Exhibit 4.75 to the Company’s Current Report on Form 8-K filed June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5715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0920"/>
          </w:cols>
          <w:pgMar w:left="720" w:top="530" w:right="259" w:bottom="1440" w:gutter="0" w:footer="0" w:header="0"/>
          <w:type w:val="continuous"/>
        </w:sectPr>
      </w:pPr>
    </w:p>
    <w:p>
      <w:pPr>
        <w:spacing w:after="0" w:line="130" w:lineRule="exact"/>
        <w:rPr>
          <w:sz w:val="20"/>
          <w:szCs w:val="20"/>
          <w:color w:val="auto"/>
        </w:rPr>
      </w:pPr>
    </w:p>
    <w:p>
      <w:pPr>
        <w:spacing w:after="0"/>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4.25</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63">
        <w:r>
          <w:rPr>
            <w:rFonts w:ascii="Arial" w:cs="Arial" w:eastAsia="Arial" w:hAnsi="Arial"/>
            <w:sz w:val="16"/>
            <w:szCs w:val="16"/>
            <w:u w:val="single" w:color="auto"/>
            <w:color w:val="0000FF"/>
          </w:rPr>
          <w:t>4.26</w:t>
        </w:r>
      </w:hyperlink>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317" w:lineRule="auto"/>
        <w:rPr>
          <w:sz w:val="20"/>
          <w:szCs w:val="20"/>
          <w:color w:val="auto"/>
        </w:rPr>
      </w:pPr>
      <w:r>
        <w:rPr>
          <w:rFonts w:ascii="Arial" w:cs="Arial" w:eastAsia="Arial" w:hAnsi="Arial"/>
          <w:sz w:val="16"/>
          <w:szCs w:val="16"/>
          <w:color w:val="auto"/>
        </w:rPr>
        <w:t>Loan and Security Agreement dated as of September 30, 2015, among the Company, CAC Warehouse Funding LLC VI, and Flagstar Bank, FSB (incorporated by reference to Exhibit 4.82 to the Company’s Current Report on Form 8-K filed October 5, 2015).</w:t>
      </w:r>
    </w:p>
    <w:p>
      <w:pPr>
        <w:ind w:right="20"/>
        <w:spacing w:after="0" w:line="277" w:lineRule="auto"/>
        <w:rPr>
          <w:sz w:val="20"/>
          <w:szCs w:val="20"/>
          <w:color w:val="auto"/>
        </w:rPr>
      </w:pPr>
      <w:r>
        <w:rPr>
          <w:rFonts w:ascii="Arial" w:cs="Arial" w:eastAsia="Arial" w:hAnsi="Arial"/>
          <w:sz w:val="18"/>
          <w:szCs w:val="18"/>
          <w:color w:val="auto"/>
        </w:rPr>
        <w:t>Contribution Agreement, dated as of September 30, 2015, between the Company and CAC Warehouse Funding LLC VI (incorporated by reference to Exhibit 4.83 to the Company’s Current Report on Form 8-K filed October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320" w:space="720"/>
            <w:col w:w="9880"/>
          </w:cols>
          <w:pgMar w:left="720" w:top="530" w:right="259" w:bottom="1440" w:gutter="0" w:footer="0" w:header="0"/>
          <w:type w:val="continuous"/>
        </w:sectPr>
      </w:pPr>
    </w:p>
    <w:p>
      <w:pPr>
        <w:ind w:left="1040"/>
        <w:spacing w:after="0"/>
        <w:rPr>
          <w:sz w:val="20"/>
          <w:szCs w:val="20"/>
          <w:color w:val="auto"/>
        </w:rPr>
      </w:pPr>
      <w:r>
        <w:rPr>
          <w:rFonts w:ascii="Arial" w:cs="Arial" w:eastAsia="Arial" w:hAnsi="Arial"/>
          <w:sz w:val="17"/>
          <w:szCs w:val="17"/>
          <w:color w:val="auto"/>
        </w:rPr>
        <w:t>Loan and Security Agreement dated as of February 26, 2016, among the Company, Credit Acceptance Funding LLC 2016-1, Wells</w:t>
      </w:r>
    </w:p>
    <w:p>
      <w:pPr>
        <w:spacing w:after="0" w:line="35"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65">
        <w:r>
          <w:rPr>
            <w:rFonts w:ascii="Arial" w:cs="Arial" w:eastAsia="Arial" w:hAnsi="Arial"/>
            <w:sz w:val="18"/>
            <w:szCs w:val="18"/>
            <w:u w:val="single" w:color="auto"/>
            <w:color w:val="0000FF"/>
          </w:rPr>
          <w:t>4.27</w:t>
        </w:r>
      </w:hyperlink>
      <w:r>
        <w:rPr>
          <w:rFonts w:ascii="Arial" w:cs="Arial" w:eastAsia="Arial" w:hAnsi="Arial"/>
          <w:sz w:val="18"/>
          <w:szCs w:val="18"/>
          <w:color w:val="0000FF"/>
        </w:rPr>
        <w:tab/>
        <w:t>Fargo Bank, National Association and Bank of Montreal (incorporated by reference to Exhibit 4.66 to the Company’s Current Report on Form 8-K filed March 3, 2016).</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Backup Servicing Agreement, dated as of February 26, 2016, among the Company, Credit Acceptance Funding LLC 2016-1, and Wells</w:t>
      </w:r>
    </w:p>
    <w:p>
      <w:pPr>
        <w:spacing w:after="0" w:line="46" w:lineRule="exact"/>
        <w:rPr>
          <w:sz w:val="20"/>
          <w:szCs w:val="20"/>
          <w:color w:val="auto"/>
        </w:rPr>
      </w:pPr>
    </w:p>
    <w:p>
      <w:pPr>
        <w:spacing w:after="0"/>
        <w:tabs>
          <w:tab w:leader="none" w:pos="1020" w:val="left"/>
        </w:tabs>
        <w:rPr>
          <w:rFonts w:ascii="Arial" w:cs="Arial" w:eastAsia="Arial" w:hAnsi="Arial"/>
          <w:sz w:val="18"/>
          <w:szCs w:val="18"/>
          <w:color w:val="0000FF"/>
        </w:rPr>
      </w:pPr>
      <w:hyperlink r:id="rId66">
        <w:r>
          <w:rPr>
            <w:rFonts w:ascii="Arial" w:cs="Arial" w:eastAsia="Arial" w:hAnsi="Arial"/>
            <w:sz w:val="18"/>
            <w:szCs w:val="18"/>
            <w:u w:val="single" w:color="auto"/>
            <w:color w:val="0000FF"/>
          </w:rPr>
          <w:t>4.28</w:t>
        </w:r>
      </w:hyperlink>
      <w:r>
        <w:rPr>
          <w:rFonts w:ascii="Arial" w:cs="Arial" w:eastAsia="Arial" w:hAnsi="Arial"/>
          <w:sz w:val="18"/>
          <w:szCs w:val="18"/>
          <w:color w:val="0000FF"/>
        </w:rPr>
        <w:tab/>
      </w:r>
      <w:r>
        <w:rPr>
          <w:rFonts w:ascii="Arial" w:cs="Arial" w:eastAsia="Arial" w:hAnsi="Arial"/>
          <w:sz w:val="16"/>
          <w:szCs w:val="16"/>
          <w:color w:val="0000FF"/>
        </w:rPr>
        <w:t>Fargo Bank, National Association (incorporated by reference to Exhibit 4.67 to the Company’s Current Report on Form 8-K filed March</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22860</wp:posOffset>
            </wp:positionV>
            <wp:extent cx="724662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0920"/>
          </w:cols>
          <w:pgMar w:left="720" w:top="530" w:right="259" w:bottom="1440" w:gutter="0" w:footer="0" w:header="0"/>
          <w:type w:val="continuous"/>
        </w:sectPr>
      </w:pPr>
    </w:p>
    <w:p>
      <w:pPr>
        <w:spacing w:after="0" w:line="157" w:lineRule="exact"/>
        <w:rPr>
          <w:sz w:val="20"/>
          <w:szCs w:val="20"/>
          <w:color w:val="auto"/>
        </w:rPr>
      </w:pPr>
    </w:p>
    <w:p>
      <w:pPr>
        <w:spacing w:after="0"/>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4.29</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4.30</w:t>
        </w:r>
      </w:hyperlink>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Sale and Contribution Agreement, dated as of February 26, 2016, between the Company and Credit Acceptance Funding LLC 2016-1 (incorporated by reference to Exhibit 4.68 to the Company’s Current Report on Form 8-K filed March 3, 2016).</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Indenture dated as of May 12, 2016, between Credit Acceptance Auto Loan Trust 2016-2 and Wells Fargo Bank, National Association (incorporated by reference to Exhibit 4.70 to the Company’s Current Report on Form 8-K filed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320" w:space="720"/>
            <w:col w:w="9880"/>
          </w:cols>
          <w:pgMar w:left="720" w:top="530" w:right="259" w:bottom="1440" w:gutter="0" w:footer="0" w:header="0"/>
          <w:type w:val="continuous"/>
        </w:sectPr>
      </w:pPr>
    </w:p>
    <w:p>
      <w:pPr>
        <w:ind w:left="1040"/>
        <w:spacing w:after="0"/>
        <w:rPr>
          <w:sz w:val="20"/>
          <w:szCs w:val="20"/>
          <w:color w:val="auto"/>
        </w:rPr>
      </w:pPr>
      <w:r>
        <w:rPr>
          <w:rFonts w:ascii="Arial" w:cs="Arial" w:eastAsia="Arial" w:hAnsi="Arial"/>
          <w:sz w:val="17"/>
          <w:szCs w:val="17"/>
          <w:color w:val="auto"/>
        </w:rPr>
        <w:t>Sale and Servicing Agreement, dated as of May 12, 2016, among the Company, Credit Acceptance Auto Loan Trust 2016-2, Credit</w:t>
      </w:r>
    </w:p>
    <w:p>
      <w:pPr>
        <w:spacing w:after="0" w:line="35"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71">
        <w:r>
          <w:rPr>
            <w:rFonts w:ascii="Arial" w:cs="Arial" w:eastAsia="Arial" w:hAnsi="Arial"/>
            <w:sz w:val="18"/>
            <w:szCs w:val="18"/>
            <w:u w:val="single" w:color="auto"/>
            <w:color w:val="0000FF"/>
          </w:rPr>
          <w:t>4.31</w:t>
        </w:r>
      </w:hyperlink>
      <w:r>
        <w:rPr>
          <w:rFonts w:ascii="Arial" w:cs="Arial" w:eastAsia="Arial" w:hAnsi="Arial"/>
          <w:sz w:val="18"/>
          <w:szCs w:val="18"/>
          <w:color w:val="0000FF"/>
        </w:rPr>
        <w:tab/>
        <w:t>Acceptance Funding LLC 2016-2, and Wells Fargo Bank, National Association (incorporated by reference to Exhibit 4.71 to the Company’s Current Report on Form 8-K filed May 16, 2016).</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Backup Servicing Agreement, dated as of May 12, 2016, among the Company, Credit Acceptance Funding LLC 2016-2, Credit</w:t>
      </w:r>
    </w:p>
    <w:p>
      <w:pPr>
        <w:spacing w:after="0" w:line="35"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72">
        <w:r>
          <w:rPr>
            <w:rFonts w:ascii="Arial" w:cs="Arial" w:eastAsia="Arial" w:hAnsi="Arial"/>
            <w:sz w:val="18"/>
            <w:szCs w:val="18"/>
            <w:u w:val="single" w:color="auto"/>
            <w:color w:val="0000FF"/>
          </w:rPr>
          <w:t>4.32</w:t>
        </w:r>
      </w:hyperlink>
      <w:r>
        <w:rPr>
          <w:rFonts w:ascii="Arial" w:cs="Arial" w:eastAsia="Arial" w:hAnsi="Arial"/>
          <w:sz w:val="18"/>
          <w:szCs w:val="18"/>
          <w:color w:val="0000FF"/>
        </w:rPr>
        <w:tab/>
        <w:t>Acceptance Auto Loan Trust 2016-2, and Wells Fargo Bank, National Association (incorporated by reference to Exhibit 4.72 to the Company’s Current Report on Form 8-K filed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5715</wp:posOffset>
            </wp:positionV>
            <wp:extent cx="72466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Amended and Restated Trust Agreement dated as of May 12, 2016 between Credit Acceptance Funding LLC 2016-2, each of the</w:t>
      </w:r>
    </w:p>
    <w:p>
      <w:pPr>
        <w:spacing w:after="0" w:line="35" w:lineRule="exact"/>
        <w:rPr>
          <w:sz w:val="20"/>
          <w:szCs w:val="20"/>
          <w:color w:val="auto"/>
        </w:rPr>
      </w:pPr>
    </w:p>
    <w:p>
      <w:pPr>
        <w:ind w:left="1040" w:right="20" w:hanging="1041"/>
        <w:spacing w:after="0" w:line="261" w:lineRule="auto"/>
        <w:tabs>
          <w:tab w:leader="none" w:pos="1020" w:val="left"/>
        </w:tabs>
        <w:rPr>
          <w:rFonts w:ascii="Arial" w:cs="Arial" w:eastAsia="Arial" w:hAnsi="Arial"/>
          <w:sz w:val="18"/>
          <w:szCs w:val="18"/>
          <w:color w:val="0000FF"/>
        </w:rPr>
      </w:pPr>
      <w:hyperlink r:id="rId74">
        <w:r>
          <w:rPr>
            <w:rFonts w:ascii="Arial" w:cs="Arial" w:eastAsia="Arial" w:hAnsi="Arial"/>
            <w:sz w:val="18"/>
            <w:szCs w:val="18"/>
            <w:u w:val="single" w:color="auto"/>
            <w:color w:val="0000FF"/>
          </w:rPr>
          <w:t>4.33</w:t>
        </w:r>
      </w:hyperlink>
      <w:r>
        <w:rPr>
          <w:rFonts w:ascii="Arial" w:cs="Arial" w:eastAsia="Arial" w:hAnsi="Arial"/>
          <w:sz w:val="18"/>
          <w:szCs w:val="18"/>
          <w:color w:val="0000FF"/>
        </w:rPr>
        <w:tab/>
        <w:t>members of the Board of Trustees of the Trust and U.S. Bank Trust National Association (incorporated by reference to Exhibit 4.73 to the Company’s Current Report on Form 8-K filed May 16, 2016).</w:t>
      </w:r>
    </w:p>
    <w:p>
      <w:pPr>
        <w:spacing w:after="0" w:line="23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20"/>
          </w:cols>
          <w:pgMar w:left="720" w:top="530" w:right="259" w:bottom="1440" w:gutter="0" w:footer="0" w:header="0"/>
          <w:type w:val="continuous"/>
        </w:sectPr>
      </w:pPr>
    </w:p>
    <w:bookmarkStart w:id="98" w:name="page99"/>
    <w:bookmarkEnd w:id="98"/>
    <w:p>
      <w:pPr>
        <w:spacing w:after="0" w:line="108" w:lineRule="exact"/>
        <w:rPr>
          <w:sz w:val="20"/>
          <w:szCs w:val="20"/>
          <w:color w:val="auto"/>
        </w:rPr>
      </w:pPr>
    </w:p>
    <w:p>
      <w:pPr>
        <w:spacing w:after="0"/>
        <w:rPr>
          <w:rFonts w:ascii="Arial" w:cs="Arial" w:eastAsia="Arial" w:hAnsi="Arial"/>
          <w:sz w:val="16"/>
          <w:szCs w:val="16"/>
          <w:u w:val="single" w:color="auto"/>
          <w:color w:val="0000FF"/>
        </w:rPr>
      </w:pPr>
      <w:hyperlink r:id="rId75">
        <w:r>
          <w:rPr>
            <w:rFonts w:ascii="Arial" w:cs="Arial" w:eastAsia="Arial" w:hAnsi="Arial"/>
            <w:sz w:val="16"/>
            <w:szCs w:val="16"/>
            <w:u w:val="single" w:color="auto"/>
            <w:color w:val="0000FF"/>
          </w:rPr>
          <w:t>4.34</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76">
        <w:r>
          <w:rPr>
            <w:rFonts w:ascii="Arial" w:cs="Arial" w:eastAsia="Arial" w:hAnsi="Arial"/>
            <w:sz w:val="16"/>
            <w:szCs w:val="16"/>
            <w:u w:val="single" w:color="auto"/>
            <w:color w:val="0000FF"/>
          </w:rPr>
          <w:t>4.35</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77">
        <w:r>
          <w:rPr>
            <w:rFonts w:ascii="Arial" w:cs="Arial" w:eastAsia="Arial" w:hAnsi="Arial"/>
            <w:sz w:val="16"/>
            <w:szCs w:val="16"/>
            <w:u w:val="single" w:color="auto"/>
            <w:color w:val="0000FF"/>
          </w:rPr>
          <w:t>4.36</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4.37</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4.38</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4.39</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4.40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4.41</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4.42</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84">
        <w:r>
          <w:rPr>
            <w:rFonts w:ascii="Arial" w:cs="Arial" w:eastAsia="Arial" w:hAnsi="Arial"/>
            <w:sz w:val="16"/>
            <w:szCs w:val="16"/>
            <w:u w:val="single" w:color="auto"/>
            <w:color w:val="0000FF"/>
          </w:rPr>
          <w:t>4.43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4.44</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4.45</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4.46</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4.47</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4.48</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4.49</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4.50</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4.51</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93">
        <w:r>
          <w:rPr>
            <w:rFonts w:ascii="Arial" w:cs="Arial" w:eastAsia="Arial" w:hAnsi="Arial"/>
            <w:sz w:val="16"/>
            <w:szCs w:val="16"/>
            <w:u w:val="single" w:color="auto"/>
            <w:color w:val="0000FF"/>
          </w:rPr>
          <w:t>4.52</w:t>
        </w:r>
      </w:hyperlink>
    </w:p>
    <w:p>
      <w:pPr>
        <w:spacing w:after="0" w:line="20" w:lineRule="exact"/>
        <w:rPr>
          <w:sz w:val="20"/>
          <w:szCs w:val="20"/>
          <w:color w:val="auto"/>
        </w:rPr>
      </w:pPr>
      <w:r>
        <w:rPr>
          <w:sz w:val="20"/>
          <w:szCs w:val="20"/>
          <w:color w:val="auto"/>
        </w:rPr>
        <w:br w:type="column"/>
      </w: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May 12, 2016, between the Company and Credit Acceptance Funding LLC 2016-2 (incorporated by reference to Exhibit 4.74 to the Company’s Current Report on Form 8-K filed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Second Amendment to the Sixth Amended and Restated Credit Agreement, dated as of June 15, 2016, among the Company, the Banks signatory thereto and Comerica Bank, as agent for the Banks (incorporated by reference to Exhibit 4.76 to the Company’s Current Report on Form 8-K filed June 20, 2016).</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Sixth Amended and Restated Loan and Security Agreement dated as of June 23, 2016, among the Company, CAC Warehouse Funding Corporation II and Wells Fargo Bank, National Association (incorporated by reference to Exhibit 4.77 to the Company’s Current Report on Form 8-K filed June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spacing w:after="0" w:line="317" w:lineRule="auto"/>
        <w:rPr>
          <w:sz w:val="20"/>
          <w:szCs w:val="20"/>
          <w:color w:val="auto"/>
        </w:rPr>
      </w:pPr>
      <w:r>
        <w:rPr>
          <w:rFonts w:ascii="Arial" w:cs="Arial" w:eastAsia="Arial" w:hAnsi="Arial"/>
          <w:sz w:val="16"/>
          <w:szCs w:val="16"/>
          <w:color w:val="auto"/>
        </w:rPr>
        <w:t>Fourth Amended and Restated Sale and Contribution Agreement, dated as of June 23, 2016, between the Company and CAC Warehouse Funding Corporation II (incorporated by reference to Exhibit 4.78 to the Company’s Current Report on Form 8-K filed June 28, 2016).</w:t>
      </w:r>
    </w:p>
    <w:p>
      <w:pPr>
        <w:jc w:val="both"/>
        <w:spacing w:after="0" w:line="264" w:lineRule="auto"/>
        <w:rPr>
          <w:sz w:val="20"/>
          <w:szCs w:val="20"/>
          <w:color w:val="auto"/>
        </w:rPr>
      </w:pPr>
      <w:r>
        <w:rPr>
          <w:rFonts w:ascii="Arial" w:cs="Arial" w:eastAsia="Arial" w:hAnsi="Arial"/>
          <w:sz w:val="18"/>
          <w:szCs w:val="18"/>
          <w:color w:val="auto"/>
        </w:rPr>
        <w:t>Second Amendment to Loan and Security Agreement, dated as of August 18, 2016, among the Company, CAC Warehouse Funding LLC V, Fifth Third Bank and Systems &amp; Services Technologies, Inc. (incorporated by reference to Exhibit 4.79 to the Company’s Current Report on Form 8-K filed August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First Amendment to Contribution Agreement, dated as of August 18, 2016, between the Company and CAC Warehouse Funding LLC V (incorporated by reference to Exhibit 4.80 to the Company’s Current Report on Form 8-K filed August 23, 2016).</w:t>
      </w:r>
    </w:p>
    <w:p>
      <w:pPr>
        <w:spacing w:after="0" w:line="1"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Indenture dated as of October 27, 2016, between Credit Acceptance Auto Loan Trust 2016-3 and Wells Fargo Bank, National Association (incorporated by reference to Exhibit 4.81 to the Company’s Current Report on Form 8-K filed 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October 27, 2016, among the Company, Credit Acceptance Auto Loan Trust 2016-3, Credit Acceptance Funding LLC 2016-3, and Wells Fargo Bank, National Association (incorporated by reference to Exhibit 4.82 to the Company’s Current Report on Form 8-K filed October 31, 2016).</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Backup Servicing Agreement, dated as of October 27, 2016, among the Company, Credit Acceptance Funding LLC 2016-3, Credit Acceptance Auto Loan Trust 2016-3, and Wells Fargo Bank, National Association (incorporated by reference to Exhibit 4.83 to the Company’s Current Report on Form 8-K filed 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October 27, 2016, among Credit Acceptance Funding LLC 2016-3, each of the members of the Board of Trustees of the Trust and U.S. Bank Trust National Association (incorporated by reference to Exhibit 4.84 to the Company’s Current Report on Form 8-K filed October 31, 2016).</w:t>
      </w:r>
    </w:p>
    <w:p>
      <w:pPr>
        <w:spacing w:after="0" w:line="19"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Sale and Contribution Agreement, dated as of October 27, 2016, between the Company and Credit Acceptance Funding LLC 2016-3 (incorporated by reference to Exhibit 4.85 to the Company’s Current Report on Form 8-K filed 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Indenture dated as of February 23, 2017, between Credit Acceptance Auto Loan Trust 2017-1 and Wells Fargo Bank, National Association (incorporated by reference to Exhibit 4.73 to the Company’s Current Report on Form 8-K filed March 1, 2017).</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February 23, 2017, among the Company, Credit Acceptance Auto Loan Trust 2017-1, Credit Acceptance Funding LLC 2017-1, and Wells Fargo Bank, National Association (incorporated by reference to Exhibit 4.74 to the Company’s Current Report on Form 8-K filed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February 23, 2017, among the Company, Credit Acceptance Funding LLC 2017-1, Credit Acceptance Auto Loan Trust 2017-1, and Wells Fargo Bank, National Association (incorporated by reference to Exhibit 4.75 to the Company’s Current Report on Form 8-K filed March 1, 2017).</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February 23, 2017, among Credit Acceptance Funding LLC 2017-1, each of the members of the Board of Trustees of the Trust and U.S. Bank Trust National Association (incorporated by reference to Exhibit 4.76 to the Company’s Current Report on Form 8-K filed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February 23, 2017, between the Company and Credit Acceptance Funding LLC 2017-1(incorporated by reference to Exhibit 4.77 to the Company’s Current Report on Form 8-K filed March 1, 2017).</w:t>
      </w:r>
    </w:p>
    <w:p>
      <w:pPr>
        <w:spacing w:after="0" w:line="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Fourth Amendment to Loan and Security Agreement, dated as of April 28, 2017, among the Company, CAC Warehouse Funding LLC IV, Bank of Montreal, BMO Capital Markets Corp., and Wells Fargo Bank, National Association (incorporated by reference to Exhibit 4.79 to the Company’s Current Report on Form 8-K filed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Third Amendment to Sixth Amended and Restated Credit Agreement and Extension Agreement, dated as of June 28, 2017, among the Company, the Banks signatory thereto and Comerica Bank, as agent for the Banks (incorporated by reference to Exhibit 4.80 to the Company’s Current Report on Form 8-K filed June 30, 2017).</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Indenture dated as of June 29, 2017, between Credit Acceptance Auto Loan Trust 2017-2 and Wells Fargo Bank, National Association (incorporated by reference to Exhibit 4.81 to the Company’s Current Report on Form 8-K filed July 5, 2017).</w:t>
      </w:r>
    </w:p>
    <w:p>
      <w:pPr>
        <w:spacing w:after="0" w:line="22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99</w:t>
      </w:r>
    </w:p>
    <w:p>
      <w:pPr>
        <w:sectPr>
          <w:pgSz w:w="11900" w:h="16838" w:orient="portrait"/>
          <w:cols w:equalWidth="0" w:num="2">
            <w:col w:w="320" w:space="720"/>
            <w:col w:w="9880"/>
          </w:cols>
          <w:pgMar w:left="720" w:top="530" w:right="259" w:bottom="1440" w:gutter="0" w:footer="0" w:header="0"/>
        </w:sectPr>
      </w:pPr>
    </w:p>
    <w:bookmarkStart w:id="99" w:name="page100"/>
    <w:bookmarkEnd w:id="99"/>
    <w:p>
      <w:pPr>
        <w:spacing w:after="0" w:line="216" w:lineRule="exact"/>
        <w:rPr>
          <w:sz w:val="20"/>
          <w:szCs w:val="20"/>
          <w:color w:val="auto"/>
        </w:rPr>
      </w:pPr>
    </w:p>
    <w:p>
      <w:pPr>
        <w:spacing w:after="0"/>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4.53</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4.54</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4.55</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4.56</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4.57</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4.58</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4.59</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4.60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4.61</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4.62</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4.63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4.64</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4.65</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4.66</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4.67</w:t>
        </w:r>
      </w:hyperlink>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June 29, 2017, among the Company, Credit Acceptance Auto Loan Trust 2017-2, Credit Acceptance Funding LLC 2017-2, and Wells Fargo Bank, National Association (incorporated by reference to Exhibit 4.82 to the Company’s Current Report on Form 8-K filed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-441325</wp:posOffset>
            </wp:positionV>
            <wp:extent cx="7246620"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June 29, 2017, among the Company, Credit Acceptance Funding LLC 2017-2, Credit Acceptance Auto Loan Trust 2017-2, and Wells Fargo Bank, National Association (incorporated by reference to Exhibit 4.83 to the Company’s Current Report on Form 8-K filed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Amended and Restated Trust Agreement, dated as of June 29, 2017, among Credit Acceptance Funding LLC 2017-1, each of the members of the Board of Trustees of the Trust and U.S. Bank Trust National Association (incorporated by reference to Exhibit 4.84 to the Company’s Current Report on Form 8-K filed July 5, 2017).</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June 29, 2017, between the Company and Credit Acceptance Funding LLC 2017-2 (incorporated by reference to Exhibit 4.85 to the Company’s Current Report on Form 8-K filed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317" w:lineRule="auto"/>
        <w:rPr>
          <w:sz w:val="20"/>
          <w:szCs w:val="20"/>
          <w:color w:val="auto"/>
        </w:rPr>
      </w:pPr>
      <w:r>
        <w:rPr>
          <w:rFonts w:ascii="Arial" w:cs="Arial" w:eastAsia="Arial" w:hAnsi="Arial"/>
          <w:sz w:val="16"/>
          <w:szCs w:val="16"/>
          <w:color w:val="auto"/>
        </w:rPr>
        <w:t>First Amendment to Loan and Security Agreement, dated as of July 18, 2017, among the Company, CAC Warehouse Funding LLC VI and Flagstar Bank, fsb (incorporated by reference to Exhibit 4.87 to the Company’s Current Report on Form 8-K filed July 21, 2017).</w:t>
      </w:r>
    </w:p>
    <w:p>
      <w:pPr>
        <w:jc w:val="both"/>
        <w:spacing w:after="0" w:line="259" w:lineRule="auto"/>
        <w:rPr>
          <w:sz w:val="20"/>
          <w:szCs w:val="20"/>
          <w:color w:val="auto"/>
        </w:rPr>
      </w:pPr>
      <w:r>
        <w:rPr>
          <w:rFonts w:ascii="Arial" w:cs="Arial" w:eastAsia="Arial" w:hAnsi="Arial"/>
          <w:sz w:val="18"/>
          <w:szCs w:val="18"/>
          <w:color w:val="auto"/>
        </w:rPr>
        <w:t>New Bank Addendum, dated October 19, 2017 to the Sixth Amended and Restated Credit Acceptance Corporation Credit Agreement dated as of October 19, 2017, among the Company, each of the financial institutions parties thereto and Comerica Bank, as agent (incorporated by reference to Exhibit 4.94 to the Company’s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7620</wp:posOffset>
            </wp:positionV>
            <wp:extent cx="7246620"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Assignment Agreement, dated October 19, 2017, among the Company, the Banks signatory thereto and Comerica Bank, as agent, under the Sixth Amended and Restated Credit Acceptance Corporation Credit Agreement dated as of June 23, 2014 (incorporated by reference to Exhibit 4.95 to the Company’s Quarterly Report on Form 10-Q for the quarterly period ended September 30, 2017).</w:t>
      </w:r>
    </w:p>
    <w:p>
      <w:pPr>
        <w:spacing w:after="0" w:line="3"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Indenture dated as of October 26, 2017, between Credit Acceptance Auto Loan Trust 2017-3 and Wells Fargo Bank, National Association (incorporated by reference to Exhibit 4.88 to the Company’s Current Report on Form 8-K filed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October 26, 2017, among the Company, Credit Acceptance Auto Loan Trust 2017-3, Credit Acceptance Funding LLC 2017-3, and Wells Fargo Bank, National Association (incorporated by reference to Exhibit 4.89 to the Company’s Current Report on Form 8-K filed October 27, 2017).</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Backup Servicing Agreement, dated as of October 26, 2017, among the Company, Credit Acceptance Funding LLC 2017-3, Credit Acceptance Auto Loan Trust 2017-3, and Wells Fargo Bank, National Association (incorporated by reference to Exhibit 4.90 to the Company’s Current Report on Form 8-K filed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October 26, 2017, among Credit Acceptance Funding LLC 2017-3, each of the members of the Board of Trustees of the Trust and U.S. Bank Trust National Association (incorporated by reference to Exhibit 4.91 to the Company’s Current Report on Form 8-K filed October 27, 2017).</w:t>
      </w:r>
    </w:p>
    <w:p>
      <w:pPr>
        <w:spacing w:after="0" w:line="19"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Sale and Contribution Agreement, dated as of October 26, 2017, between the Company and Credit Acceptance Funding LLC 2017-3 (incorporated by reference to Exhibit 4.92 to the Company’s Current Report on Form 8-K filed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Loan and Security Agreement, dated as of December 1, 2017, among the Company, CAC Warehouse Funding LLC VII, Credit Suisse AG, New York Branch and Wells Fargo Bank, National Association (incorporated by reference to Exhibit 4.96 to the Company’s Current Report on Form 8-K filed December 7, 2017).</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Contribution Agreement, dated as of December 1, 2017, between the Company and CAC Warehouse Funding LLC VII (incorporated by reference to Exhibit 4.97 to the Company’s Current Report on Form 8-K filed December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December 1, 2017, among the Company, CAC Warehouse Funding LLC VII, Credit Suisse AG, New York Branch and Wells Fargo Bank, National Association (incorporated by reference to Exhibit 4.98 to the Company’s Current Report on Form 8-K filed December 7, 2017).</w:t>
      </w:r>
    </w:p>
    <w:p>
      <w:pPr>
        <w:spacing w:after="0" w:line="19" w:lineRule="exact"/>
        <w:rPr>
          <w:sz w:val="20"/>
          <w:szCs w:val="20"/>
          <w:color w:val="auto"/>
        </w:rPr>
      </w:pPr>
    </w:p>
    <w:p>
      <w:pPr>
        <w:sectPr>
          <w:pgSz w:w="11900" w:h="16838" w:orient="portrait"/>
          <w:cols w:equalWidth="0" w:num="2">
            <w:col w:w="320" w:space="720"/>
            <w:col w:w="9880"/>
          </w:cols>
          <w:pgMar w:left="720" w:top="530" w:right="259" w:bottom="1440" w:gutter="0" w:footer="0" w:header="0"/>
        </w:sectPr>
      </w:pPr>
    </w:p>
    <w:p>
      <w:pPr>
        <w:jc w:val="both"/>
        <w:ind w:left="1040"/>
        <w:spacing w:after="0" w:line="286" w:lineRule="auto"/>
        <w:rPr>
          <w:sz w:val="20"/>
          <w:szCs w:val="20"/>
          <w:color w:val="auto"/>
        </w:rPr>
      </w:pPr>
      <w:r>
        <w:rPr>
          <w:rFonts w:ascii="Arial" w:cs="Arial" w:eastAsia="Arial" w:hAnsi="Arial"/>
          <w:sz w:val="16"/>
          <w:szCs w:val="16"/>
          <w:color w:val="auto"/>
        </w:rPr>
        <w:t>Amended and Restated Intercreditor Agreement, dated December 1, 2017, among the Company, CAC Warehouse Funding Corporation II, CAC Warehouse Funding LLC IV, CAC Warehouse Funding LLC V, CAC Warehouse Funding LLC VI, CAC Warehouse Funding LLC VII, Credit Acceptance Funding LLC 2017-3, Credit Acceptance Funding LLC 2017-2, Credit Acceptance Funding LLC 2017-1, Credit Acceptance Funding LLC 2016-3, Credit Acceptance Funding LLC 2016-2, Credit Acceptance Funding LLC 2016-1, Credit</w:t>
      </w:r>
    </w:p>
    <w:p>
      <w:pPr>
        <w:spacing w:after="0" w:line="2" w:lineRule="exact"/>
        <w:rPr>
          <w:sz w:val="20"/>
          <w:szCs w:val="20"/>
          <w:color w:val="auto"/>
        </w:rPr>
      </w:pPr>
    </w:p>
    <w:p>
      <w:pPr>
        <w:jc w:val="both"/>
        <w:ind w:left="1040" w:hanging="1041"/>
        <w:spacing w:after="0" w:line="252" w:lineRule="auto"/>
        <w:tabs>
          <w:tab w:leader="none" w:pos="1020" w:val="left"/>
        </w:tabs>
        <w:rPr>
          <w:sz w:val="20"/>
          <w:szCs w:val="20"/>
          <w:color w:val="auto"/>
        </w:rPr>
      </w:pPr>
      <w:r>
        <w:rPr>
          <w:rFonts w:ascii="Arial" w:cs="Arial" w:eastAsia="Arial" w:hAnsi="Arial"/>
          <w:sz w:val="36"/>
          <w:szCs w:val="36"/>
          <w:u w:val="single" w:color="auto"/>
          <w:color w:val="0000FF"/>
          <w:vertAlign w:val="subscript"/>
        </w:rPr>
        <w:t>4.68</w:t>
      </w:r>
      <w:r>
        <w:rPr>
          <w:sz w:val="20"/>
          <w:szCs w:val="20"/>
          <w:color w:val="auto"/>
        </w:rPr>
        <w:tab/>
      </w:r>
      <w:r>
        <w:rPr>
          <w:rFonts w:ascii="Arial" w:cs="Arial" w:eastAsia="Arial" w:hAnsi="Arial"/>
          <w:sz w:val="18"/>
          <w:szCs w:val="18"/>
          <w:color w:val="auto"/>
        </w:rPr>
        <w:t>Acceptance Funding LLC 2015-2, Credit Acceptance Funding LLC 2015-1, Credit Acceptance Auto Loan Trust 2017-3, Credit Acceptance Auto Loan Trust 2017-2, Credit Acceptance Auto Loan Trust 2017-1, Credit Acceptance Auto Loan Trust 2016-3, Credit Acceptance Auto Loan Trust 2016-2, Credit Acceptance Auto Loan Trust 2015-2, Credit Acceptance Auto Loan Trust 2015-1, Wells Fargo Bank, National Association, as agent, Fifth Third Bank, as agent, Bank of Montreal, as agent, Flagstar Bank, FSB, as agent and Comerica Bank, as agent (incorporated by reference to Exhibit 4.99 to the Company’s Current Report on Form 8-K filed December 7, 2017).</w:t>
      </w: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20"/>
          </w:cols>
          <w:pgMar w:left="720" w:top="530" w:right="259" w:bottom="1440" w:gutter="0" w:footer="0" w:header="0"/>
          <w:type w:val="continuous"/>
        </w:sectPr>
      </w:pPr>
    </w:p>
    <w:bookmarkStart w:id="100" w:name="page101"/>
    <w:bookmarkEnd w:id="100"/>
    <w:p>
      <w:pPr>
        <w:spacing w:after="0" w:line="216" w:lineRule="exact"/>
        <w:rPr>
          <w:sz w:val="20"/>
          <w:szCs w:val="20"/>
          <w:color w:val="auto"/>
        </w:rPr>
      </w:pPr>
    </w:p>
    <w:p>
      <w:pPr>
        <w:spacing w:after="0"/>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4.69</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4.70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4.71</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4.72</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4.73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4.74</w:t>
        </w:r>
      </w:hyperlink>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Amendment No. 1 to Sixth Amended and Restated Loan and Security Agreement, dated as of December 20, 2017, among the Company, CAC Warehouse Funding Corporation II and Wells Fargo Bank, National Association (incorporated by reference to Exhibit 4.100 to the Company’s Current Report on Form 8-K filed December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-441325</wp:posOffset>
            </wp:positionV>
            <wp:extent cx="7246620" cy="445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Indenture dated as of February 22, 2018, between Credit Acceptance Auto Loan Trust 2018-1 and Wells Fargo Bank, National Association (incorporated by reference to Exhibit 4.80 to the Company’s Current Report on Form 8-K filed February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Sale and Servicing Agreement, dated as of February 22, 2018, among the Company, Credit Acceptance Auto Loan Trust 2018-1, Credit Acceptance Funding LLC 2018-1 and Wells Fargo Bank, National Association (incorporated by reference to Exhibit 4.81 to the Company’s Current Report on Form 8-K filed February 27, 2018).</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February 22, 2018, among the Company, Credit Acceptance Funding LLC 2018-1, Credit Acceptance Auto Loan Trust 2018-1 and Wells Fargo Bank, National Association (incorporated by reference to Exhibit 4.82 to the Company’s Current Report on Form 8-K filed February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February 22, 2018, among Credit Acceptance Funding LLC 2018-1, each of the members of the Board of Trustees of the Trust and U.S. Bank Trust National Association (incorporated by reference to Exhibit 4.83 to the Company’s Current Report on Form 8-K filed February 27, 2018).</w:t>
      </w:r>
    </w:p>
    <w:p>
      <w:pPr>
        <w:spacing w:after="0" w:line="19"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Sale and Contribution Agreement, dated as of February 22, 2018, between the Company and Credit Acceptance Funding LLC 2018-1(incorporated by reference to Exhibit 4.84 to the Company’s Current Report on Form 8-K filed February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1406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4">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0" w:space="720"/>
            <w:col w:w="9880"/>
          </w:cols>
          <w:pgMar w:left="720" w:top="530" w:right="259" w:bottom="1440" w:gutter="0" w:footer="0" w:header="0"/>
        </w:sectPr>
      </w:pPr>
    </w:p>
    <w:p>
      <w:pPr>
        <w:jc w:val="both"/>
        <w:ind w:left="1040"/>
        <w:spacing w:after="0" w:line="286" w:lineRule="auto"/>
        <w:rPr>
          <w:sz w:val="20"/>
          <w:szCs w:val="20"/>
          <w:color w:val="auto"/>
        </w:rPr>
      </w:pPr>
      <w:r>
        <w:rPr>
          <w:rFonts w:ascii="Arial" w:cs="Arial" w:eastAsia="Arial" w:hAnsi="Arial"/>
          <w:sz w:val="16"/>
          <w:szCs w:val="16"/>
          <w:color w:val="auto"/>
        </w:rPr>
        <w:t>Amended and Restated Intercreditor Agreement, dated February 22, 2018, among the Company, CAC Warehouse Funding Corporation II, CAC Warehouse Funding LLC IV, CAC Warehouse Funding LLC V, CAC Warehouse Funding LLC VI, CAC Warehouse Funding LLC VII, Credit Acceptance Funding LLC 2018-1, Credit Acceptance Funding LLC 2017-3, Credit Acceptance Funding LLC 2017-2, Credit Acceptance Funding LLC 2017-1, Credit Acceptance Funding LLC 2016-3, Credit Acceptance Funding LLC 2016-2, Credit</w:t>
      </w:r>
    </w:p>
    <w:p>
      <w:pPr>
        <w:spacing w:after="0" w:line="2" w:lineRule="exact"/>
        <w:rPr>
          <w:sz w:val="20"/>
          <w:szCs w:val="20"/>
          <w:color w:val="auto"/>
        </w:rPr>
      </w:pPr>
    </w:p>
    <w:p>
      <w:pPr>
        <w:jc w:val="both"/>
        <w:ind w:left="1040" w:right="20" w:hanging="1041"/>
        <w:spacing w:after="0" w:line="270" w:lineRule="auto"/>
        <w:tabs>
          <w:tab w:leader="none" w:pos="1020" w:val="left"/>
        </w:tabs>
        <w:rPr>
          <w:sz w:val="20"/>
          <w:szCs w:val="20"/>
          <w:color w:val="auto"/>
        </w:rPr>
      </w:pPr>
      <w:r>
        <w:rPr>
          <w:rFonts w:ascii="Arial" w:cs="Arial" w:eastAsia="Arial" w:hAnsi="Arial"/>
          <w:sz w:val="36"/>
          <w:szCs w:val="36"/>
          <w:u w:val="single" w:color="auto"/>
          <w:color w:val="0000FF"/>
          <w:vertAlign w:val="subscript"/>
        </w:rPr>
        <w:t>4.75</w:t>
      </w:r>
      <w:r>
        <w:rPr>
          <w:sz w:val="20"/>
          <w:szCs w:val="20"/>
          <w:color w:val="auto"/>
        </w:rPr>
        <w:tab/>
      </w:r>
      <w:r>
        <w:rPr>
          <w:rFonts w:ascii="Arial" w:cs="Arial" w:eastAsia="Arial" w:hAnsi="Arial"/>
          <w:sz w:val="17"/>
          <w:szCs w:val="17"/>
          <w:color w:val="auto"/>
        </w:rPr>
        <w:t>Acceptance Funding LLC 2016-1, Credit Acceptance Funding LLC 2015-2, Credit Acceptance Funding LLC 2015-1, Credit Acceptance Auto Loan Trust 2018-1, Credit Acceptance Auto Loan Trust 2017-3, Credit Acceptance Auto Loan Trust 2017-2, Credit Acceptance Auto Loan Trust 2017-1, Credit Acceptance Auto Loan Trust 2016-3, Credit Acceptance Auto Loan Trust 2016-2, Credit Acceptance Auto Loan Trust 2015-2, Credit Acceptance Auto Loan Trust 2015-1, Wells Fargo Bank, National Association, as agent, Fifth Third Bank, as agent, Bank of Montreal, as agent, Flagstar Bank, FSB, as agent and Comerica Bank, as agent (incorporated by reference to Exhibit 4.85 to the Company’s Current Report on Form 8-K filed February 27, 2018).</w:t>
      </w:r>
    </w:p>
    <w:p>
      <w:pPr>
        <w:sectPr>
          <w:pgSz w:w="11900" w:h="16838" w:orient="portrait"/>
          <w:cols w:equalWidth="0" w:num="1">
            <w:col w:w="10920"/>
          </w:cols>
          <w:pgMar w:left="720" w:top="530" w:right="259" w:bottom="1440" w:gutter="0" w:footer="0" w:header="0"/>
          <w:type w:val="continuous"/>
        </w:sectPr>
      </w:pPr>
    </w:p>
    <w:p>
      <w:pPr>
        <w:spacing w:after="0" w:line="233" w:lineRule="exact"/>
        <w:rPr>
          <w:sz w:val="20"/>
          <w:szCs w:val="20"/>
          <w:color w:val="auto"/>
        </w:rPr>
      </w:pPr>
    </w:p>
    <w:p>
      <w:pPr>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4.76</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4.77</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4.78</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4.79</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4.80</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4.81</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41">
        <w:r>
          <w:rPr>
            <w:rFonts w:ascii="Arial" w:cs="Arial" w:eastAsia="Arial" w:hAnsi="Arial"/>
            <w:sz w:val="16"/>
            <w:szCs w:val="16"/>
            <w:u w:val="single" w:color="auto"/>
            <w:color w:val="0000FF"/>
          </w:rPr>
          <w:t>4.82</w:t>
        </w:r>
      </w:hyperlink>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Amended and Restated Loan and Security Agreement dated as of May 10, 2018 among the Company, CAC Warehouse Funding LLC IV, the lenders from time to time party thereto, Bank of Montreal, BMO Capital Markets Corp., and Wells Fargo Bank, National Association (incorporated by reference to Exhibit 4.86 to the Company’s Current Report on Form 8-K filed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-5080</wp:posOffset>
            </wp:positionV>
            <wp:extent cx="7246620"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Second Amendment to Backup Servicing Agreement, dated as of May 10, 2018, among the Company, CAC Warehouse Funding LLC IV, Bank of Montreal, BMO Capital Markets Corp., and Wells Fargo Bank, National Association (incorporated by reference to Exhibit 4.87 to the Company’s Current Report on Form 8-K filed May 15, 2018).</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Indenture dated as of May 24, 2018, between Credit Acceptance Auto Loan Trust 2018-2 and Wells Fargo Bank, National Association (incorporated by reference to Exhibit 4.88 to the Company’s Current Report on Form 8-K filed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Sale and Servicing Agreement, dated as of May 24, 2018, among the Company, Credit Acceptance Auto Loan Trust 2018-2, Credit Acceptance Funding LLC 2018-2 and Wells Fargo Bank, National Association (incorporated by reference to Exhibit 4.89 to the Company’s Current Report on Form 8-K filed May 30, 2018).</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May 24, 2018, among the Company, Credit Acceptance Funding LLC 2018-2, Credit Acceptance Auto Loan Trust 2018-2 and Wells Fargo Bank, National Association (incorporated by reference to Exhibit 4.90 to the Company’s Current Report on Form 8-K filed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Amended and Restated Trust Agreement, dated as of May 24, 2018, among Credit Acceptance Funding LLC 2018-2, each of the members of the Board of Trustees of the Trust and U.S. Bank Trust National Association (incorporated by reference to Exhibit 4.91 to the Company’s Current Report on Form 8-K filed May 30, 2018).</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May 24, 2018, between the Company and Credit Acceptance Funding LLC 2018-2 (incorporated by reference to Exhibit 4.92 to the Company’s Current Report on Form 8-K filed May 30, 2018).</w:t>
      </w:r>
    </w:p>
    <w:p>
      <w:pPr>
        <w:spacing w:after="0" w:line="200" w:lineRule="exact"/>
        <w:rPr>
          <w:sz w:val="20"/>
          <w:szCs w:val="20"/>
          <w:color w:val="auto"/>
        </w:rPr>
      </w:pPr>
    </w:p>
    <w:p>
      <w:pPr>
        <w:sectPr>
          <w:pgSz w:w="11900" w:h="16838" w:orient="portrait"/>
          <w:cols w:equalWidth="0" w:num="2">
            <w:col w:w="320" w:space="720"/>
            <w:col w:w="9880"/>
          </w:cols>
          <w:pgMar w:left="720" w:top="530" w:right="259" w:bottom="1440" w:gutter="0" w:footer="0" w:header="0"/>
          <w:type w:val="continuous"/>
        </w:sectPr>
      </w:pPr>
    </w:p>
    <w:p>
      <w:pPr>
        <w:spacing w:after="0" w:line="24"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920"/>
          </w:cols>
          <w:pgMar w:left="720" w:top="530" w:right="25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Amended and Restated Intercreditor Agreement, dated May 24, 2018, among the Company, CAC Warehouse Funding Corporation II,</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CAC Warehouse Funding LLC IV, CAC Warehouse Funding LLC V, CAC Warehouse Funding LLC VI, CAC Warehouse Funding LLC</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VII, Credit Acceptance Funding LLC 2018-2, Credit Acceptance Funding LLC 2018-1, Credit Acceptance Funding LLC 2017-3, Credit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Acceptance Funding LLC 2017-2, Credit Acceptance Funding LLC 2017-1, Credit Acceptance Funding LLC 2016-3, Credit Acceptance</w:t>
            </w:r>
          </w:p>
        </w:tc>
        <w:tc>
          <w:tcPr>
            <w:tcW w:w="0" w:type="dxa"/>
            <w:vAlign w:val="bottom"/>
          </w:tcPr>
          <w:p>
            <w:pPr>
              <w:spacing w:after="0"/>
              <w:rPr>
                <w:sz w:val="1"/>
                <w:szCs w:val="1"/>
                <w:color w:val="auto"/>
              </w:rPr>
            </w:pPr>
          </w:p>
        </w:tc>
      </w:tr>
      <w:tr>
        <w:trPr>
          <w:trHeight w:val="216"/>
        </w:trPr>
        <w:tc>
          <w:tcPr>
            <w:tcW w:w="1160" w:type="dxa"/>
            <w:vAlign w:val="bottom"/>
            <w:gridSpan w:val="3"/>
            <w:vMerge w:val="restart"/>
            <w:shd w:val="clear" w:color="auto" w:fill="CCEEFF"/>
          </w:tcPr>
          <w:p>
            <w:pPr>
              <w:jc w:val="right"/>
              <w:ind w:right="360"/>
              <w:spacing w:after="0"/>
              <w:rPr>
                <w:rFonts w:ascii="Arial" w:cs="Arial" w:eastAsia="Arial" w:hAnsi="Arial"/>
                <w:sz w:val="18"/>
                <w:szCs w:val="18"/>
                <w:color w:val="0000FF"/>
              </w:rPr>
            </w:pPr>
            <w:hyperlink r:id="rId145">
              <w:r>
                <w:rPr>
                  <w:rFonts w:ascii="Arial" w:cs="Arial" w:eastAsia="Arial" w:hAnsi="Arial"/>
                  <w:sz w:val="18"/>
                  <w:szCs w:val="18"/>
                  <w:color w:val="0000FF"/>
                </w:rPr>
                <w:t>4.</w:t>
              </w:r>
              <w:r>
                <w:rPr>
                  <w:rFonts w:ascii="Arial" w:cs="Arial" w:eastAsia="Arial" w:hAnsi="Arial"/>
                  <w:sz w:val="18"/>
                  <w:szCs w:val="18"/>
                  <w:u w:val="single" w:color="auto"/>
                  <w:color w:val="0000FF"/>
                </w:rPr>
                <w:t>83</w:t>
              </w:r>
            </w:hyperlink>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Funding LLC 2016-2, Credit Acceptance Funding LLC 2016-1, Credit Acceptance Funding LLC 2015-2, Credit Acceptance Auto Loan</w:t>
            </w:r>
          </w:p>
        </w:tc>
        <w:tc>
          <w:tcPr>
            <w:tcW w:w="0" w:type="dxa"/>
            <w:vAlign w:val="bottom"/>
          </w:tcPr>
          <w:p>
            <w:pPr>
              <w:spacing w:after="0"/>
              <w:rPr>
                <w:sz w:val="1"/>
                <w:szCs w:val="1"/>
                <w:color w:val="auto"/>
              </w:rPr>
            </w:pPr>
          </w:p>
        </w:tc>
      </w:tr>
      <w:tr>
        <w:trPr>
          <w:trHeight w:val="82"/>
        </w:trPr>
        <w:tc>
          <w:tcPr>
            <w:tcW w:w="1160" w:type="dxa"/>
            <w:vAlign w:val="bottom"/>
            <w:gridSpan w:val="3"/>
            <w:vMerge w:val="continue"/>
            <w:shd w:val="clear" w:color="auto" w:fill="CCEEFF"/>
          </w:tcPr>
          <w:p>
            <w:pPr>
              <w:spacing w:after="0"/>
              <w:rPr>
                <w:sz w:val="7"/>
                <w:szCs w:val="7"/>
                <w:color w:val="auto"/>
              </w:rPr>
            </w:pPr>
          </w:p>
        </w:tc>
        <w:tc>
          <w:tcPr>
            <w:tcW w:w="102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w w:val="94"/>
              </w:rPr>
              <w:t>Trust 2018-2, Credit Acceptance Auto Loan Trust 2018-1, Credit Acceptance Auto Loan Trust 2017-3, Credit Acceptance Auto Loan</w:t>
            </w:r>
          </w:p>
        </w:tc>
        <w:tc>
          <w:tcPr>
            <w:tcW w:w="0" w:type="dxa"/>
            <w:vAlign w:val="bottom"/>
          </w:tcPr>
          <w:p>
            <w:pPr>
              <w:spacing w:after="0"/>
              <w:rPr>
                <w:sz w:val="1"/>
                <w:szCs w:val="1"/>
                <w:color w:val="auto"/>
              </w:rPr>
            </w:pPr>
          </w:p>
        </w:tc>
      </w:tr>
      <w:tr>
        <w:trPr>
          <w:trHeight w:val="114"/>
        </w:trPr>
        <w:tc>
          <w:tcPr>
            <w:tcW w:w="4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0000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1026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Trust 2017-2, Credit Acceptance Auto Loan Trust 2017-1, Credit Acceptance Auto Loan Trust 2016-3, Credit Acceptance Auto Loan</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Trust 2016-2, Credit Acceptance Auto Loan Trust 2015-2, Wells Fargo Bank, National Association, as agent, Fifth Third Bank, as agent,</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Bank of Montreal, as agent, Flagstar Bank, FSB, as agent, and Comerica Bank, as agent (incorporated by reference to Exhibit 4.93 to the</w:t>
            </w:r>
          </w:p>
        </w:tc>
        <w:tc>
          <w:tcPr>
            <w:tcW w:w="0" w:type="dxa"/>
            <w:vAlign w:val="bottom"/>
          </w:tcPr>
          <w:p>
            <w:pPr>
              <w:spacing w:after="0"/>
              <w:rPr>
                <w:sz w:val="1"/>
                <w:szCs w:val="1"/>
                <w:color w:val="auto"/>
              </w:rPr>
            </w:pPr>
          </w:p>
        </w:tc>
      </w:tr>
      <w:tr>
        <w:trPr>
          <w:trHeight w:val="237"/>
        </w:trPr>
        <w:tc>
          <w:tcPr>
            <w:tcW w:w="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Company’s Current Report on Form 8-K filed May 30, 2018).</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1"/>
              </w:rPr>
              <w:t>Fourth Amendment to Sixth Amended and Restated Credit Agreement dated as of June 27, 2018 among the Company, the Banks which</w:t>
            </w:r>
          </w:p>
        </w:tc>
        <w:tc>
          <w:tcPr>
            <w:tcW w:w="0" w:type="dxa"/>
            <w:vAlign w:val="bottom"/>
          </w:tcPr>
          <w:p>
            <w:pPr>
              <w:spacing w:after="0"/>
              <w:rPr>
                <w:sz w:val="1"/>
                <w:szCs w:val="1"/>
                <w:color w:val="auto"/>
              </w:rPr>
            </w:pPr>
          </w:p>
        </w:tc>
      </w:tr>
      <w:tr>
        <w:trPr>
          <w:trHeight w:val="190"/>
        </w:trPr>
        <w:tc>
          <w:tcPr>
            <w:tcW w:w="1160" w:type="dxa"/>
            <w:vAlign w:val="bottom"/>
            <w:gridSpan w:val="3"/>
          </w:tcPr>
          <w:p>
            <w:pPr>
              <w:jc w:val="right"/>
              <w:ind w:right="360"/>
              <w:spacing w:after="0" w:line="190" w:lineRule="exact"/>
              <w:rPr>
                <w:rFonts w:ascii="Arial" w:cs="Arial" w:eastAsia="Arial" w:hAnsi="Arial"/>
                <w:sz w:val="18"/>
                <w:szCs w:val="18"/>
                <w:color w:val="0000FF"/>
              </w:rPr>
            </w:pPr>
            <w:hyperlink r:id="rId146">
              <w:r>
                <w:rPr>
                  <w:rFonts w:ascii="Arial" w:cs="Arial" w:eastAsia="Arial" w:hAnsi="Arial"/>
                  <w:sz w:val="18"/>
                  <w:szCs w:val="18"/>
                  <w:color w:val="0000FF"/>
                </w:rPr>
                <w:t>4.</w:t>
              </w:r>
              <w:r>
                <w:rPr>
                  <w:rFonts w:ascii="Arial" w:cs="Arial" w:eastAsia="Arial" w:hAnsi="Arial"/>
                  <w:sz w:val="18"/>
                  <w:szCs w:val="18"/>
                  <w:u w:val="single" w:color="auto"/>
                  <w:color w:val="0000FF"/>
                </w:rPr>
                <w:t>84</w:t>
              </w:r>
            </w:hyperlink>
          </w:p>
        </w:tc>
        <w:tc>
          <w:tcPr>
            <w:tcW w:w="10260" w:type="dxa"/>
            <w:vAlign w:val="bottom"/>
          </w:tcPr>
          <w:p>
            <w:pPr>
              <w:ind w:left="360"/>
              <w:spacing w:after="0" w:line="190" w:lineRule="exact"/>
              <w:rPr>
                <w:sz w:val="20"/>
                <w:szCs w:val="20"/>
                <w:color w:val="auto"/>
              </w:rPr>
            </w:pPr>
            <w:r>
              <w:rPr>
                <w:rFonts w:ascii="Arial" w:cs="Arial" w:eastAsia="Arial" w:hAnsi="Arial"/>
                <w:sz w:val="18"/>
                <w:szCs w:val="18"/>
                <w:color w:val="auto"/>
                <w:w w:val="93"/>
              </w:rPr>
              <w:t>are parties thereto from time to time, and Comerica Bank as Administrative Agent and Collateral Agent for the Banks (incorporated by</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rPr>
              <w:t>reference to Exhibit 4.94 to the Company’s Current Report on Form 8-K filed June 28, 2018).</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Third Amendment to Loan and Security Agreement, dated as of August 15, 2018, among the Company, CAC Warehouse Funding LLC</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147">
              <w:r>
                <w:rPr>
                  <w:rFonts w:ascii="Arial" w:cs="Arial" w:eastAsia="Arial" w:hAnsi="Arial"/>
                  <w:sz w:val="18"/>
                  <w:szCs w:val="18"/>
                  <w:color w:val="0000FF"/>
                </w:rPr>
                <w:t>4.</w:t>
              </w:r>
              <w:r>
                <w:rPr>
                  <w:rFonts w:ascii="Arial" w:cs="Arial" w:eastAsia="Arial" w:hAnsi="Arial"/>
                  <w:sz w:val="18"/>
                  <w:szCs w:val="18"/>
                  <w:u w:val="single" w:color="auto"/>
                  <w:color w:val="0000FF"/>
                </w:rPr>
                <w:t>85</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4"/>
              </w:rPr>
              <w:t>V, Fifth Third Bank and Systems &amp; Services Technologies, Inc. (incorporated by reference to Exhibit 4.95 to the Company’s Current</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Report on Form 8-K filed August 17, 2018).</w:t>
            </w:r>
          </w:p>
        </w:tc>
        <w:tc>
          <w:tcPr>
            <w:tcW w:w="0" w:type="dxa"/>
            <w:vAlign w:val="bottom"/>
          </w:tcPr>
          <w:p>
            <w:pPr>
              <w:spacing w:after="0"/>
              <w:rPr>
                <w:sz w:val="1"/>
                <w:szCs w:val="1"/>
                <w:color w:val="auto"/>
              </w:rPr>
            </w:pPr>
          </w:p>
        </w:tc>
      </w:tr>
      <w:tr>
        <w:trPr>
          <w:trHeight w:val="229"/>
        </w:trPr>
        <w:tc>
          <w:tcPr>
            <w:tcW w:w="1160" w:type="dxa"/>
            <w:vAlign w:val="bottom"/>
            <w:gridSpan w:val="3"/>
            <w:vMerge w:val="restart"/>
          </w:tcPr>
          <w:p>
            <w:pPr>
              <w:jc w:val="right"/>
              <w:ind w:right="360"/>
              <w:spacing w:after="0"/>
              <w:rPr>
                <w:rFonts w:ascii="Arial" w:cs="Arial" w:eastAsia="Arial" w:hAnsi="Arial"/>
                <w:sz w:val="18"/>
                <w:szCs w:val="18"/>
                <w:color w:val="0000FF"/>
              </w:rPr>
            </w:pPr>
            <w:hyperlink r:id="rId148">
              <w:r>
                <w:rPr>
                  <w:rFonts w:ascii="Arial" w:cs="Arial" w:eastAsia="Arial" w:hAnsi="Arial"/>
                  <w:sz w:val="18"/>
                  <w:szCs w:val="18"/>
                  <w:color w:val="0000FF"/>
                </w:rPr>
                <w:t>4.</w:t>
              </w:r>
              <w:r>
                <w:rPr>
                  <w:rFonts w:ascii="Arial" w:cs="Arial" w:eastAsia="Arial" w:hAnsi="Arial"/>
                  <w:sz w:val="18"/>
                  <w:szCs w:val="18"/>
                  <w:u w:val="single" w:color="auto"/>
                  <w:color w:val="0000FF"/>
                </w:rPr>
                <w:t>86</w:t>
              </w:r>
            </w:hyperlink>
          </w:p>
        </w:tc>
        <w:tc>
          <w:tcPr>
            <w:tcW w:w="10260" w:type="dxa"/>
            <w:vAlign w:val="bottom"/>
          </w:tcPr>
          <w:p>
            <w:pPr>
              <w:ind w:left="360"/>
              <w:spacing w:after="0"/>
              <w:rPr>
                <w:sz w:val="20"/>
                <w:szCs w:val="20"/>
                <w:color w:val="auto"/>
              </w:rPr>
            </w:pPr>
            <w:r>
              <w:rPr>
                <w:rFonts w:ascii="Arial" w:cs="Arial" w:eastAsia="Arial" w:hAnsi="Arial"/>
                <w:sz w:val="18"/>
                <w:szCs w:val="18"/>
                <w:color w:val="auto"/>
                <w:w w:val="91"/>
              </w:rPr>
              <w:t>Indenture dated as of August 23, 2018, between Credit Acceptance Auto Loan Trust 2018-3 and Wells Fargo Bank, National Association</w:t>
            </w:r>
          </w:p>
        </w:tc>
        <w:tc>
          <w:tcPr>
            <w:tcW w:w="0" w:type="dxa"/>
            <w:vAlign w:val="bottom"/>
          </w:tcPr>
          <w:p>
            <w:pPr>
              <w:spacing w:after="0"/>
              <w:rPr>
                <w:sz w:val="1"/>
                <w:szCs w:val="1"/>
                <w:color w:val="auto"/>
              </w:rPr>
            </w:pPr>
          </w:p>
        </w:tc>
      </w:tr>
      <w:tr>
        <w:trPr>
          <w:trHeight w:val="82"/>
        </w:trPr>
        <w:tc>
          <w:tcPr>
            <w:tcW w:w="1160" w:type="dxa"/>
            <w:vAlign w:val="bottom"/>
            <w:gridSpan w:val="3"/>
            <w:vMerge w:val="continue"/>
          </w:tcPr>
          <w:p>
            <w:pPr>
              <w:spacing w:after="0"/>
              <w:rPr>
                <w:sz w:val="7"/>
                <w:szCs w:val="7"/>
                <w:color w:val="auto"/>
              </w:rPr>
            </w:pPr>
          </w:p>
        </w:tc>
        <w:tc>
          <w:tcPr>
            <w:tcW w:w="10260" w:type="dxa"/>
            <w:vAlign w:val="bottom"/>
            <w:vMerge w:val="restart"/>
          </w:tcPr>
          <w:p>
            <w:pPr>
              <w:ind w:left="360"/>
              <w:spacing w:after="0"/>
              <w:rPr>
                <w:sz w:val="20"/>
                <w:szCs w:val="20"/>
                <w:color w:val="auto"/>
              </w:rPr>
            </w:pPr>
            <w:r>
              <w:rPr>
                <w:rFonts w:ascii="Arial" w:cs="Arial" w:eastAsia="Arial" w:hAnsi="Arial"/>
                <w:sz w:val="18"/>
                <w:szCs w:val="18"/>
                <w:color w:val="auto"/>
              </w:rPr>
              <w:t>(incorporated by reference to Exhibit 4.96 to the Company’s Current Report on Form 8-K filed August 29, 2018).</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Sale and Servicing Agreement, dated as of August 23, 2018, among the Company, Credit Acceptance Auto Loan Trust 2018-3, Credit</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149">
              <w:r>
                <w:rPr>
                  <w:rFonts w:ascii="Arial" w:cs="Arial" w:eastAsia="Arial" w:hAnsi="Arial"/>
                  <w:sz w:val="18"/>
                  <w:szCs w:val="18"/>
                  <w:color w:val="0000FF"/>
                </w:rPr>
                <w:t>4.</w:t>
              </w:r>
              <w:r>
                <w:rPr>
                  <w:rFonts w:ascii="Arial" w:cs="Arial" w:eastAsia="Arial" w:hAnsi="Arial"/>
                  <w:sz w:val="18"/>
                  <w:szCs w:val="18"/>
                  <w:u w:val="single" w:color="auto"/>
                  <w:color w:val="0000FF"/>
                </w:rPr>
                <w:t>87</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8"/>
              </w:rPr>
              <w:t>Acceptance Funding LLC 2018-3 and Wells Fargo Bank, National Association (incorporated by reference to Exhibit 4.97 to the</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Company’s Current Report on Form 8-K filed August 29, 2018).</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6"/>
              </w:rPr>
              <w:t>Backup Servicing Agreement, dated as of August 23, 2018, among the Company, Credit Acceptance Funding LLC 2018-3, Credit</w:t>
            </w:r>
          </w:p>
        </w:tc>
        <w:tc>
          <w:tcPr>
            <w:tcW w:w="0" w:type="dxa"/>
            <w:vAlign w:val="bottom"/>
          </w:tcPr>
          <w:p>
            <w:pPr>
              <w:spacing w:after="0"/>
              <w:rPr>
                <w:sz w:val="1"/>
                <w:szCs w:val="1"/>
                <w:color w:val="auto"/>
              </w:rPr>
            </w:pPr>
          </w:p>
        </w:tc>
      </w:tr>
      <w:tr>
        <w:trPr>
          <w:trHeight w:val="190"/>
        </w:trPr>
        <w:tc>
          <w:tcPr>
            <w:tcW w:w="1160" w:type="dxa"/>
            <w:vAlign w:val="bottom"/>
            <w:gridSpan w:val="3"/>
          </w:tcPr>
          <w:p>
            <w:pPr>
              <w:jc w:val="right"/>
              <w:ind w:right="360"/>
              <w:spacing w:after="0" w:line="190" w:lineRule="exact"/>
              <w:rPr>
                <w:rFonts w:ascii="Arial" w:cs="Arial" w:eastAsia="Arial" w:hAnsi="Arial"/>
                <w:sz w:val="18"/>
                <w:szCs w:val="18"/>
                <w:color w:val="0000FF"/>
              </w:rPr>
            </w:pPr>
            <w:hyperlink r:id="rId150">
              <w:r>
                <w:rPr>
                  <w:rFonts w:ascii="Arial" w:cs="Arial" w:eastAsia="Arial" w:hAnsi="Arial"/>
                  <w:sz w:val="18"/>
                  <w:szCs w:val="18"/>
                  <w:color w:val="0000FF"/>
                </w:rPr>
                <w:t>4.</w:t>
              </w:r>
              <w:r>
                <w:rPr>
                  <w:rFonts w:ascii="Arial" w:cs="Arial" w:eastAsia="Arial" w:hAnsi="Arial"/>
                  <w:sz w:val="18"/>
                  <w:szCs w:val="18"/>
                  <w:u w:val="single" w:color="auto"/>
                  <w:color w:val="0000FF"/>
                </w:rPr>
                <w:t>88</w:t>
              </w:r>
            </w:hyperlink>
          </w:p>
        </w:tc>
        <w:tc>
          <w:tcPr>
            <w:tcW w:w="10260" w:type="dxa"/>
            <w:vAlign w:val="bottom"/>
          </w:tcPr>
          <w:p>
            <w:pPr>
              <w:ind w:left="360"/>
              <w:spacing w:after="0" w:line="190" w:lineRule="exact"/>
              <w:rPr>
                <w:sz w:val="20"/>
                <w:szCs w:val="20"/>
                <w:color w:val="auto"/>
              </w:rPr>
            </w:pPr>
            <w:r>
              <w:rPr>
                <w:rFonts w:ascii="Arial" w:cs="Arial" w:eastAsia="Arial" w:hAnsi="Arial"/>
                <w:sz w:val="18"/>
                <w:szCs w:val="18"/>
                <w:color w:val="auto"/>
                <w:w w:val="96"/>
              </w:rPr>
              <w:t>Acceptance Auto Loan Trust 2018-3 and Wells Fargo Bank, National Association (incorporated by reference to Exhibit 4.98 to the</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August 29, 2018).</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Amended and Restated Trust Agreement, dated as of August 23, 2018, among Credit Acceptance Funding LLC 2018-3, each of the</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151">
              <w:r>
                <w:rPr>
                  <w:rFonts w:ascii="Arial" w:cs="Arial" w:eastAsia="Arial" w:hAnsi="Arial"/>
                  <w:sz w:val="18"/>
                  <w:szCs w:val="18"/>
                  <w:color w:val="0000FF"/>
                </w:rPr>
                <w:t>4.</w:t>
              </w:r>
              <w:r>
                <w:rPr>
                  <w:rFonts w:ascii="Arial" w:cs="Arial" w:eastAsia="Arial" w:hAnsi="Arial"/>
                  <w:sz w:val="18"/>
                  <w:szCs w:val="18"/>
                  <w:u w:val="single" w:color="auto"/>
                  <w:color w:val="0000FF"/>
                </w:rPr>
                <w:t>89</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3"/>
              </w:rPr>
              <w:t>members of the Board of Trustees of the Trust and U.S. Bank Trust National Association (incorporated by reference to Exhibit 4.99 to</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 Company’s Current Report on Form 8-K filed August 29, 2018).</w:t>
            </w:r>
          </w:p>
        </w:tc>
        <w:tc>
          <w:tcPr>
            <w:tcW w:w="0" w:type="dxa"/>
            <w:vAlign w:val="bottom"/>
          </w:tcPr>
          <w:p>
            <w:pPr>
              <w:spacing w:after="0"/>
              <w:rPr>
                <w:sz w:val="1"/>
                <w:szCs w:val="1"/>
                <w:color w:val="auto"/>
              </w:rPr>
            </w:pPr>
          </w:p>
        </w:tc>
      </w:tr>
      <w:tr>
        <w:trPr>
          <w:trHeight w:val="229"/>
        </w:trPr>
        <w:tc>
          <w:tcPr>
            <w:tcW w:w="1160" w:type="dxa"/>
            <w:vAlign w:val="bottom"/>
            <w:gridSpan w:val="3"/>
            <w:vMerge w:val="restart"/>
          </w:tcPr>
          <w:p>
            <w:pPr>
              <w:jc w:val="right"/>
              <w:ind w:right="360"/>
              <w:spacing w:after="0"/>
              <w:rPr>
                <w:rFonts w:ascii="Arial" w:cs="Arial" w:eastAsia="Arial" w:hAnsi="Arial"/>
                <w:sz w:val="18"/>
                <w:szCs w:val="18"/>
                <w:color w:val="0000FF"/>
              </w:rPr>
            </w:pPr>
            <w:hyperlink r:id="rId152">
              <w:r>
                <w:rPr>
                  <w:rFonts w:ascii="Arial" w:cs="Arial" w:eastAsia="Arial" w:hAnsi="Arial"/>
                  <w:sz w:val="18"/>
                  <w:szCs w:val="18"/>
                  <w:color w:val="0000FF"/>
                </w:rPr>
                <w:t>4.</w:t>
              </w:r>
              <w:r>
                <w:rPr>
                  <w:rFonts w:ascii="Arial" w:cs="Arial" w:eastAsia="Arial" w:hAnsi="Arial"/>
                  <w:sz w:val="18"/>
                  <w:szCs w:val="18"/>
                  <w:u w:val="single" w:color="auto"/>
                  <w:color w:val="0000FF"/>
                </w:rPr>
                <w:t>90</w:t>
              </w:r>
            </w:hyperlink>
          </w:p>
        </w:tc>
        <w:tc>
          <w:tcPr>
            <w:tcW w:w="10260" w:type="dxa"/>
            <w:vAlign w:val="bottom"/>
          </w:tcPr>
          <w:p>
            <w:pPr>
              <w:ind w:left="360"/>
              <w:spacing w:after="0"/>
              <w:rPr>
                <w:sz w:val="20"/>
                <w:szCs w:val="20"/>
                <w:color w:val="auto"/>
              </w:rPr>
            </w:pPr>
            <w:r>
              <w:rPr>
                <w:rFonts w:ascii="Arial" w:cs="Arial" w:eastAsia="Arial" w:hAnsi="Arial"/>
                <w:sz w:val="18"/>
                <w:szCs w:val="18"/>
                <w:color w:val="auto"/>
                <w:w w:val="94"/>
              </w:rPr>
              <w:t>Sale and Contribution Agreement, dated as of August 23, 2018, between the Company and Credit Acceptance Funding LLC 2018-3</w:t>
            </w:r>
          </w:p>
        </w:tc>
        <w:tc>
          <w:tcPr>
            <w:tcW w:w="0" w:type="dxa"/>
            <w:vAlign w:val="bottom"/>
          </w:tcPr>
          <w:p>
            <w:pPr>
              <w:spacing w:after="0"/>
              <w:rPr>
                <w:sz w:val="1"/>
                <w:szCs w:val="1"/>
                <w:color w:val="auto"/>
              </w:rPr>
            </w:pPr>
          </w:p>
        </w:tc>
      </w:tr>
      <w:tr>
        <w:trPr>
          <w:trHeight w:val="82"/>
        </w:trPr>
        <w:tc>
          <w:tcPr>
            <w:tcW w:w="1160" w:type="dxa"/>
            <w:vAlign w:val="bottom"/>
            <w:gridSpan w:val="3"/>
            <w:vMerge w:val="continue"/>
          </w:tcPr>
          <w:p>
            <w:pPr>
              <w:spacing w:after="0"/>
              <w:rPr>
                <w:sz w:val="7"/>
                <w:szCs w:val="7"/>
                <w:color w:val="auto"/>
              </w:rPr>
            </w:pPr>
          </w:p>
        </w:tc>
        <w:tc>
          <w:tcPr>
            <w:tcW w:w="10260" w:type="dxa"/>
            <w:vAlign w:val="bottom"/>
            <w:vMerge w:val="restart"/>
          </w:tcPr>
          <w:p>
            <w:pPr>
              <w:ind w:left="360"/>
              <w:spacing w:after="0"/>
              <w:rPr>
                <w:sz w:val="20"/>
                <w:szCs w:val="20"/>
                <w:color w:val="auto"/>
              </w:rPr>
            </w:pPr>
            <w:r>
              <w:rPr>
                <w:rFonts w:ascii="Arial" w:cs="Arial" w:eastAsia="Arial" w:hAnsi="Arial"/>
                <w:sz w:val="18"/>
                <w:szCs w:val="18"/>
                <w:color w:val="auto"/>
              </w:rPr>
              <w:t>(incorporated by reference to Exhibit 4.100 to the Company’s Current Report on Form 8-K filed August 29, 2018).</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1"/>
              </w:rPr>
              <w:t>Amended and Restated Intercreditor Agreement, dated August 23, 2018, among the Company, CAC Warehouse Funding Corporation II,</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2"/>
              </w:rPr>
              <w:t>CAC Warehouse Funding LLC IV, CAC Warehouse Funding LLC V, CAC Warehouse Funding LLC VI, CAC Warehouse Funding LLC</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3"/>
              </w:rPr>
              <w:t>VII, Credit Acceptance Funding LLC 2018-3, Credit Acceptance Funding LLC 2018-2, Credit Acceptance Funding LLC 2018-1, Credit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2"/>
              </w:rPr>
              <w:t>Acceptance Funding LLC 2017-3, Credit Acceptance Funding LLC 2017-2, Credit Acceptance Funding LLC 2017-1, Credit Acceptance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4"/>
              </w:rPr>
              <w:t>Funding LLC 2016-3, Credit Acceptance Funding LLC 2016-2, Credit Acceptance Funding LLC 2016-1, Credit Acceptance Funding</w:t>
            </w:r>
          </w:p>
        </w:tc>
        <w:tc>
          <w:tcPr>
            <w:tcW w:w="0" w:type="dxa"/>
            <w:vAlign w:val="bottom"/>
          </w:tcPr>
          <w:p>
            <w:pPr>
              <w:spacing w:after="0"/>
              <w:rPr>
                <w:sz w:val="1"/>
                <w:szCs w:val="1"/>
                <w:color w:val="auto"/>
              </w:rPr>
            </w:pPr>
          </w:p>
        </w:tc>
      </w:tr>
      <w:tr>
        <w:trPr>
          <w:trHeight w:val="190"/>
        </w:trPr>
        <w:tc>
          <w:tcPr>
            <w:tcW w:w="1160" w:type="dxa"/>
            <w:vAlign w:val="bottom"/>
            <w:gridSpan w:val="3"/>
          </w:tcPr>
          <w:p>
            <w:pPr>
              <w:jc w:val="right"/>
              <w:ind w:right="360"/>
              <w:spacing w:after="0" w:line="190" w:lineRule="exact"/>
              <w:rPr>
                <w:rFonts w:ascii="Arial" w:cs="Arial" w:eastAsia="Arial" w:hAnsi="Arial"/>
                <w:sz w:val="18"/>
                <w:szCs w:val="18"/>
                <w:color w:val="0000FF"/>
              </w:rPr>
            </w:pPr>
            <w:hyperlink r:id="rId153">
              <w:r>
                <w:rPr>
                  <w:rFonts w:ascii="Arial" w:cs="Arial" w:eastAsia="Arial" w:hAnsi="Arial"/>
                  <w:sz w:val="18"/>
                  <w:szCs w:val="18"/>
                  <w:color w:val="0000FF"/>
                </w:rPr>
                <w:t>4.</w:t>
              </w:r>
              <w:r>
                <w:rPr>
                  <w:rFonts w:ascii="Arial" w:cs="Arial" w:eastAsia="Arial" w:hAnsi="Arial"/>
                  <w:sz w:val="18"/>
                  <w:szCs w:val="18"/>
                  <w:u w:val="single" w:color="auto"/>
                  <w:color w:val="0000FF"/>
                </w:rPr>
                <w:t>91</w:t>
              </w:r>
            </w:hyperlink>
          </w:p>
        </w:tc>
        <w:tc>
          <w:tcPr>
            <w:tcW w:w="10260" w:type="dxa"/>
            <w:vAlign w:val="bottom"/>
          </w:tcPr>
          <w:p>
            <w:pPr>
              <w:ind w:left="360"/>
              <w:spacing w:after="0" w:line="190" w:lineRule="exact"/>
              <w:rPr>
                <w:sz w:val="20"/>
                <w:szCs w:val="20"/>
                <w:color w:val="auto"/>
              </w:rPr>
            </w:pPr>
            <w:r>
              <w:rPr>
                <w:rFonts w:ascii="Arial" w:cs="Arial" w:eastAsia="Arial" w:hAnsi="Arial"/>
                <w:sz w:val="18"/>
                <w:szCs w:val="18"/>
                <w:color w:val="auto"/>
                <w:w w:val="94"/>
              </w:rPr>
              <w:t>LLC 2015-2, Credit Acceptance Auto Loan Trust 2018-3, Credit Acceptance Auto Loan Trust 2018-2, Credit Acceptance Auto Loan</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4"/>
              </w:rPr>
              <w:t>Trust 2018-1, Credit Acceptance Auto Loan Trust 2017-3, Credit Acceptance Auto Loan Trust 2017-2, Credit Acceptance Auto Loan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4"/>
              </w:rPr>
              <w:t>Trust 2017-1, Credit Acceptance Auto Loan Trust 2016-3, Credit Acceptance Auto Loan Trust 2016-2, Credit Acceptance Auto Loan</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2"/>
              </w:rPr>
              <w:t>Trust 2015-2, Wells Fargo Bank, National Association, as agent and as indenture trustee, Fifth Third Bank, as agent, Bank of Montreal,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1543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4">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1520" w:right="40"/>
        <w:spacing w:after="0" w:line="261" w:lineRule="auto"/>
        <w:rPr>
          <w:sz w:val="20"/>
          <w:szCs w:val="20"/>
          <w:color w:val="auto"/>
        </w:rPr>
      </w:pPr>
      <w:r>
        <w:rPr>
          <w:rFonts w:ascii="Arial" w:cs="Arial" w:eastAsia="Arial" w:hAnsi="Arial"/>
          <w:sz w:val="18"/>
          <w:szCs w:val="18"/>
          <w:color w:val="auto"/>
        </w:rPr>
        <w:t>as agent, Flagstar Bank, FSB, as agent and Comerica Bank, as agent (incorporated by reference to Exhibit 4.101 to the Company’s Current Report on Form 8-K filed August 29, 2018).</w:t>
      </w:r>
    </w:p>
    <w:p>
      <w:pPr>
        <w:spacing w:after="0" w:line="22"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0220" w:type="dxa"/>
            <w:vAlign w:val="bottom"/>
          </w:tcPr>
          <w:p>
            <w:pPr>
              <w:ind w:left="360"/>
              <w:spacing w:after="0"/>
              <w:rPr>
                <w:sz w:val="20"/>
                <w:szCs w:val="20"/>
                <w:color w:val="auto"/>
              </w:rPr>
            </w:pPr>
            <w:r>
              <w:rPr>
                <w:rFonts w:ascii="Arial" w:cs="Arial" w:eastAsia="Arial" w:hAnsi="Arial"/>
                <w:sz w:val="18"/>
                <w:szCs w:val="18"/>
                <w:color w:val="auto"/>
                <w:w w:val="93"/>
              </w:rPr>
              <w:t>First Amendment to Loan and Security Agreement, dated as of December 17, 2018, among the Company, CAC Warehouse Funding</w:t>
            </w:r>
          </w:p>
        </w:tc>
        <w:tc>
          <w:tcPr>
            <w:tcW w:w="0" w:type="dxa"/>
            <w:vAlign w:val="bottom"/>
          </w:tcPr>
          <w:p>
            <w:pPr>
              <w:spacing w:after="0"/>
              <w:rPr>
                <w:sz w:val="1"/>
                <w:szCs w:val="1"/>
                <w:color w:val="auto"/>
              </w:rPr>
            </w:pPr>
          </w:p>
        </w:tc>
      </w:tr>
      <w:tr>
        <w:trPr>
          <w:trHeight w:val="216"/>
        </w:trPr>
        <w:tc>
          <w:tcPr>
            <w:tcW w:w="680" w:type="dxa"/>
            <w:vAlign w:val="bottom"/>
            <w:vMerge w:val="restart"/>
          </w:tcPr>
          <w:p>
            <w:pPr>
              <w:jc w:val="right"/>
              <w:ind w:right="270"/>
              <w:spacing w:after="0"/>
              <w:rPr>
                <w:rFonts w:ascii="Arial" w:cs="Arial" w:eastAsia="Arial" w:hAnsi="Arial"/>
                <w:sz w:val="18"/>
                <w:szCs w:val="18"/>
                <w:u w:val="single" w:color="auto"/>
                <w:color w:val="0000FF"/>
                <w:w w:val="85"/>
              </w:rPr>
            </w:pPr>
            <w:hyperlink r:id="rId155">
              <w:r>
                <w:rPr>
                  <w:rFonts w:ascii="Arial" w:cs="Arial" w:eastAsia="Arial" w:hAnsi="Arial"/>
                  <w:sz w:val="18"/>
                  <w:szCs w:val="18"/>
                  <w:u w:val="single" w:color="auto"/>
                  <w:color w:val="0000FF"/>
                  <w:w w:val="85"/>
                </w:rPr>
                <w:t>4.92</w:t>
              </w:r>
            </w:hyperlink>
          </w:p>
        </w:tc>
        <w:tc>
          <w:tcPr>
            <w:tcW w:w="10220" w:type="dxa"/>
            <w:vAlign w:val="bottom"/>
          </w:tcPr>
          <w:p>
            <w:pPr>
              <w:ind w:left="360"/>
              <w:spacing w:after="0"/>
              <w:rPr>
                <w:sz w:val="20"/>
                <w:szCs w:val="20"/>
                <w:color w:val="auto"/>
              </w:rPr>
            </w:pPr>
            <w:r>
              <w:rPr>
                <w:rFonts w:ascii="Arial" w:cs="Arial" w:eastAsia="Arial" w:hAnsi="Arial"/>
                <w:sz w:val="18"/>
                <w:szCs w:val="18"/>
                <w:color w:val="auto"/>
                <w:w w:val="92"/>
              </w:rPr>
              <w:t>LLC VII, the lenders and managing agents from time to time party thereto, Credit Suisse AG, New York Branch and Wells Fargo Bank,</w:t>
            </w: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10220" w:type="dxa"/>
            <w:vAlign w:val="bottom"/>
            <w:vMerge w:val="restart"/>
          </w:tcPr>
          <w:p>
            <w:pPr>
              <w:ind w:left="360"/>
              <w:spacing w:after="0"/>
              <w:rPr>
                <w:sz w:val="20"/>
                <w:szCs w:val="20"/>
                <w:color w:val="auto"/>
              </w:rPr>
            </w:pPr>
            <w:r>
              <w:rPr>
                <w:rFonts w:ascii="Arial" w:cs="Arial" w:eastAsia="Arial" w:hAnsi="Arial"/>
                <w:sz w:val="18"/>
                <w:szCs w:val="18"/>
                <w:color w:val="auto"/>
                <w:w w:val="94"/>
              </w:rPr>
              <w:t>National Association (incorporated by reference to Exhibit 4.102 to the Company’s Current Report on Form 8-K filed December 19,</w:t>
            </w:r>
          </w:p>
        </w:tc>
        <w:tc>
          <w:tcPr>
            <w:tcW w:w="0" w:type="dxa"/>
            <w:vAlign w:val="bottom"/>
          </w:tcPr>
          <w:p>
            <w:pPr>
              <w:spacing w:after="0"/>
              <w:rPr>
                <w:sz w:val="1"/>
                <w:szCs w:val="1"/>
                <w:color w:val="auto"/>
              </w:rPr>
            </w:pPr>
          </w:p>
        </w:tc>
      </w:tr>
      <w:tr>
        <w:trPr>
          <w:trHeight w:val="94"/>
        </w:trPr>
        <w:tc>
          <w:tcPr>
            <w:tcW w:w="680" w:type="dxa"/>
            <w:vAlign w:val="bottom"/>
          </w:tcPr>
          <w:p>
            <w:pPr>
              <w:spacing w:after="0"/>
              <w:rPr>
                <w:sz w:val="8"/>
                <w:szCs w:val="8"/>
                <w:color w:val="auto"/>
              </w:rPr>
            </w:pPr>
          </w:p>
        </w:tc>
        <w:tc>
          <w:tcPr>
            <w:tcW w:w="10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220" w:type="dxa"/>
            <w:vAlign w:val="bottom"/>
          </w:tcPr>
          <w:p>
            <w:pPr>
              <w:ind w:left="3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18" w:right="239" w:bottom="1440" w:gutter="0" w:footer="0" w:header="0"/>
        </w:sectPr>
      </w:pPr>
    </w:p>
    <w:p>
      <w:pPr>
        <w:spacing w:after="0" w:line="148" w:lineRule="exact"/>
        <w:rPr>
          <w:sz w:val="20"/>
          <w:szCs w:val="20"/>
          <w:color w:val="auto"/>
        </w:rPr>
      </w:pPr>
    </w:p>
    <w:p>
      <w:pPr>
        <w:ind w:left="480"/>
        <w:spacing w:after="0"/>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10.1</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10.2</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10.3</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10.4</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Form of Restricted Stock Grant Agreement (incorporated by reference to Exhibit 10(q)(4) to the Company’s Current Report on Form 8-K filed February 28, 2007).*</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Credit Acceptance Corporation Amended and Restated Incentive Compensation Plan, as amended, April 6, 2009 (incorporated by reference to Annex A to the Company’s Definitive Proxy Statement on Schedule 14A filed April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Form of Restricted Stock Unit Award Agreement (incorporated by reference to Exhibit 10(q)(11) to the Company’s Quarterly Report on Form 10-Q for the quarterly period ended September 30, 2009).*</w:t>
      </w:r>
    </w:p>
    <w:p>
      <w:pPr>
        <w:spacing w:after="0" w:line="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Form of Board of Directors Restricted Stock Unit Award Agreement (incorporated by reference to Exhibit 10(q)(12) to the Company’s Quarterly Report on Form 10-Q for the quarterly period ended September 30, 2009).*</w:t>
      </w:r>
    </w:p>
    <w:p>
      <w:pPr>
        <w:spacing w:after="0" w:line="200" w:lineRule="exact"/>
        <w:rPr>
          <w:sz w:val="20"/>
          <w:szCs w:val="20"/>
          <w:color w:val="auto"/>
        </w:rPr>
      </w:pPr>
    </w:p>
    <w:p>
      <w:pPr>
        <w:sectPr>
          <w:pgSz w:w="11900" w:h="16838" w:orient="portrait"/>
          <w:cols w:equalWidth="0" w:num="2">
            <w:col w:w="800" w:space="720"/>
            <w:col w:w="9900"/>
          </w:cols>
          <w:pgMar w:left="240" w:top="518"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518" w:right="2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29"/>
        </w:trPr>
        <w:tc>
          <w:tcPr>
            <w:tcW w:w="840" w:type="dxa"/>
            <w:vAlign w:val="bottom"/>
            <w:tcBorders>
              <w:right w:val="single" w:sz="8" w:color="CCEEFF"/>
            </w:tcBorders>
            <w:gridSpan w:val="2"/>
            <w:vMerge w:val="restart"/>
            <w:shd w:val="clear" w:color="auto" w:fill="CCEEFF"/>
          </w:tcPr>
          <w:p>
            <w:pPr>
              <w:jc w:val="center"/>
              <w:ind w:left="350"/>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1"/>
              </w:rPr>
              <w:t>Restricted Stock Unit Award Agreement, dated March 26, 2012, between the Company and Brett A. Roberts (incorporated by reference</w:t>
            </w:r>
          </w:p>
        </w:tc>
        <w:tc>
          <w:tcPr>
            <w:tcW w:w="0" w:type="dxa"/>
            <w:vAlign w:val="bottom"/>
          </w:tcPr>
          <w:p>
            <w:pPr>
              <w:spacing w:after="0"/>
              <w:rPr>
                <w:sz w:val="1"/>
                <w:szCs w:val="1"/>
                <w:color w:val="auto"/>
              </w:rPr>
            </w:pPr>
          </w:p>
        </w:tc>
      </w:tr>
      <w:tr>
        <w:trPr>
          <w:trHeight w:val="82"/>
        </w:trPr>
        <w:tc>
          <w:tcPr>
            <w:tcW w:w="840" w:type="dxa"/>
            <w:vAlign w:val="bottom"/>
            <w:tcBorders>
              <w:right w:val="single" w:sz="8" w:color="CCEEFF"/>
            </w:tcBorders>
            <w:gridSpan w:val="2"/>
            <w:vMerge w:val="continue"/>
            <w:shd w:val="clear" w:color="auto" w:fill="CCEEFF"/>
          </w:tcPr>
          <w:p>
            <w:pPr>
              <w:spacing w:after="0"/>
              <w:rPr>
                <w:sz w:val="7"/>
                <w:szCs w:val="7"/>
                <w:color w:val="auto"/>
              </w:rPr>
            </w:pPr>
          </w:p>
        </w:tc>
        <w:tc>
          <w:tcPr>
            <w:tcW w:w="105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to Exhibit 10.16 to the Company’s Quarterly Report on Form 10-Q for the quarterly period ended March 31, 2012).*</w:t>
            </w:r>
          </w:p>
        </w:tc>
        <w:tc>
          <w:tcPr>
            <w:tcW w:w="0" w:type="dxa"/>
            <w:vAlign w:val="bottom"/>
          </w:tcPr>
          <w:p>
            <w:pPr>
              <w:spacing w:after="0"/>
              <w:rPr>
                <w:sz w:val="1"/>
                <w:szCs w:val="1"/>
                <w:color w:val="auto"/>
              </w:rPr>
            </w:pPr>
          </w:p>
        </w:tc>
      </w:tr>
      <w:tr>
        <w:trPr>
          <w:trHeight w:val="136"/>
        </w:trPr>
        <w:tc>
          <w:tcPr>
            <w:tcW w:w="4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1"/>
                <w:szCs w:val="11"/>
                <w:color w:val="auto"/>
              </w:rPr>
            </w:pPr>
          </w:p>
        </w:tc>
        <w:tc>
          <w:tcPr>
            <w:tcW w:w="105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0" w:type="dxa"/>
            <w:vAlign w:val="bottom"/>
            <w:gridSpan w:val="2"/>
            <w:vMerge w:val="restart"/>
          </w:tcPr>
          <w:p>
            <w:pPr>
              <w:jc w:val="center"/>
              <w:ind w:left="350"/>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10580" w:type="dxa"/>
            <w:vAlign w:val="bottom"/>
          </w:tcPr>
          <w:p>
            <w:pPr>
              <w:ind w:left="680"/>
              <w:spacing w:after="0"/>
              <w:rPr>
                <w:sz w:val="20"/>
                <w:szCs w:val="20"/>
                <w:color w:val="auto"/>
              </w:rPr>
            </w:pPr>
            <w:r>
              <w:rPr>
                <w:rFonts w:ascii="Arial" w:cs="Arial" w:eastAsia="Arial" w:hAnsi="Arial"/>
                <w:sz w:val="18"/>
                <w:szCs w:val="18"/>
                <w:color w:val="auto"/>
                <w:w w:val="93"/>
              </w:rPr>
              <w:t>Restricted Stock Award Agreement, dated March 26, 2012, between the Company and Brett A. Roberts (incorporated by reference to</w:t>
            </w:r>
          </w:p>
        </w:tc>
        <w:tc>
          <w:tcPr>
            <w:tcW w:w="0" w:type="dxa"/>
            <w:vAlign w:val="bottom"/>
          </w:tcPr>
          <w:p>
            <w:pPr>
              <w:spacing w:after="0"/>
              <w:rPr>
                <w:sz w:val="1"/>
                <w:szCs w:val="1"/>
                <w:color w:val="auto"/>
              </w:rPr>
            </w:pPr>
          </w:p>
        </w:tc>
      </w:tr>
      <w:tr>
        <w:trPr>
          <w:trHeight w:val="82"/>
        </w:trPr>
        <w:tc>
          <w:tcPr>
            <w:tcW w:w="840" w:type="dxa"/>
            <w:vAlign w:val="bottom"/>
            <w:gridSpan w:val="2"/>
            <w:vMerge w:val="continue"/>
          </w:tcPr>
          <w:p>
            <w:pPr>
              <w:spacing w:after="0"/>
              <w:rPr>
                <w:sz w:val="7"/>
                <w:szCs w:val="7"/>
                <w:color w:val="auto"/>
              </w:rPr>
            </w:pPr>
          </w:p>
        </w:tc>
        <w:tc>
          <w:tcPr>
            <w:tcW w:w="10580" w:type="dxa"/>
            <w:vAlign w:val="bottom"/>
            <w:vMerge w:val="restart"/>
          </w:tcPr>
          <w:p>
            <w:pPr>
              <w:ind w:left="680"/>
              <w:spacing w:after="0"/>
              <w:rPr>
                <w:sz w:val="20"/>
                <w:szCs w:val="20"/>
                <w:color w:val="auto"/>
              </w:rPr>
            </w:pPr>
            <w:r>
              <w:rPr>
                <w:rFonts w:ascii="Arial" w:cs="Arial" w:eastAsia="Arial" w:hAnsi="Arial"/>
                <w:sz w:val="18"/>
                <w:szCs w:val="18"/>
                <w:color w:val="auto"/>
              </w:rPr>
              <w:t>Exhibit 10.17 to the Company’s Quarterly Report on Form 10-Q for the quarterly period ended March 31, 2012).*</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0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tcBorders>
              <w:right w:val="single" w:sz="8" w:color="CCEEFF"/>
            </w:tcBorders>
            <w:gridSpan w:val="2"/>
            <w:vMerge w:val="restart"/>
            <w:shd w:val="clear" w:color="auto" w:fill="CCEEFF"/>
          </w:tcPr>
          <w:p>
            <w:pPr>
              <w:jc w:val="center"/>
              <w:ind w:left="350"/>
              <w:spacing w:after="0"/>
              <w:rPr>
                <w:rFonts w:ascii="Arial" w:cs="Arial" w:eastAsia="Arial" w:hAnsi="Arial"/>
                <w:sz w:val="18"/>
                <w:szCs w:val="18"/>
                <w:color w:val="0000FF"/>
                <w:w w:val="91"/>
              </w:rPr>
            </w:pPr>
            <w:hyperlink r:id="rId16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Credit Acceptance Corporation Amended and Restated Incentive Compensation Plan, as amended, March 26, 2012 (incorporated by</w:t>
            </w:r>
          </w:p>
        </w:tc>
        <w:tc>
          <w:tcPr>
            <w:tcW w:w="0" w:type="dxa"/>
            <w:vAlign w:val="bottom"/>
          </w:tcPr>
          <w:p>
            <w:pPr>
              <w:spacing w:after="0"/>
              <w:rPr>
                <w:sz w:val="1"/>
                <w:szCs w:val="1"/>
                <w:color w:val="auto"/>
              </w:rPr>
            </w:pPr>
          </w:p>
        </w:tc>
      </w:tr>
      <w:tr>
        <w:trPr>
          <w:trHeight w:val="82"/>
        </w:trPr>
        <w:tc>
          <w:tcPr>
            <w:tcW w:w="840" w:type="dxa"/>
            <w:vAlign w:val="bottom"/>
            <w:tcBorders>
              <w:right w:val="single" w:sz="8" w:color="CCEEFF"/>
            </w:tcBorders>
            <w:gridSpan w:val="2"/>
            <w:vMerge w:val="continue"/>
            <w:shd w:val="clear" w:color="auto" w:fill="CCEEFF"/>
          </w:tcPr>
          <w:p>
            <w:pPr>
              <w:spacing w:after="0"/>
              <w:rPr>
                <w:sz w:val="7"/>
                <w:szCs w:val="7"/>
                <w:color w:val="auto"/>
              </w:rPr>
            </w:pPr>
          </w:p>
        </w:tc>
        <w:tc>
          <w:tcPr>
            <w:tcW w:w="105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reference to Annex A to the Company’s Definitive Proxy Statement on Schedule 14A filed April 5, 2012).*</w:t>
            </w:r>
          </w:p>
        </w:tc>
        <w:tc>
          <w:tcPr>
            <w:tcW w:w="0" w:type="dxa"/>
            <w:vAlign w:val="bottom"/>
          </w:tcPr>
          <w:p>
            <w:pPr>
              <w:spacing w:after="0"/>
              <w:rPr>
                <w:sz w:val="1"/>
                <w:szCs w:val="1"/>
                <w:color w:val="auto"/>
              </w:rPr>
            </w:pPr>
          </w:p>
        </w:tc>
      </w:tr>
      <w:tr>
        <w:trPr>
          <w:trHeight w:val="136"/>
        </w:trPr>
        <w:tc>
          <w:tcPr>
            <w:tcW w:w="4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1"/>
                <w:szCs w:val="11"/>
                <w:color w:val="auto"/>
              </w:rPr>
            </w:pPr>
          </w:p>
        </w:tc>
        <w:tc>
          <w:tcPr>
            <w:tcW w:w="105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0" w:type="dxa"/>
            <w:vAlign w:val="bottom"/>
            <w:gridSpan w:val="2"/>
            <w:vMerge w:val="restart"/>
          </w:tcPr>
          <w:p>
            <w:pPr>
              <w:jc w:val="center"/>
              <w:ind w:left="350"/>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10580" w:type="dxa"/>
            <w:vAlign w:val="bottom"/>
          </w:tcPr>
          <w:p>
            <w:pPr>
              <w:ind w:left="680"/>
              <w:spacing w:after="0"/>
              <w:rPr>
                <w:sz w:val="20"/>
                <w:szCs w:val="20"/>
                <w:color w:val="auto"/>
              </w:rPr>
            </w:pPr>
            <w:r>
              <w:rPr>
                <w:rFonts w:ascii="Arial" w:cs="Arial" w:eastAsia="Arial" w:hAnsi="Arial"/>
                <w:sz w:val="18"/>
                <w:szCs w:val="18"/>
                <w:color w:val="auto"/>
                <w:w w:val="92"/>
              </w:rPr>
              <w:t>Form of Restricted Stock Unit Award Agreement (incorporated by reference to Exhibit 10.19 to the Company's Annual Report on Form</w:t>
            </w:r>
          </w:p>
        </w:tc>
        <w:tc>
          <w:tcPr>
            <w:tcW w:w="0" w:type="dxa"/>
            <w:vAlign w:val="bottom"/>
          </w:tcPr>
          <w:p>
            <w:pPr>
              <w:spacing w:after="0"/>
              <w:rPr>
                <w:sz w:val="1"/>
                <w:szCs w:val="1"/>
                <w:color w:val="auto"/>
              </w:rPr>
            </w:pPr>
          </w:p>
        </w:tc>
      </w:tr>
      <w:tr>
        <w:trPr>
          <w:trHeight w:val="82"/>
        </w:trPr>
        <w:tc>
          <w:tcPr>
            <w:tcW w:w="840" w:type="dxa"/>
            <w:vAlign w:val="bottom"/>
            <w:gridSpan w:val="2"/>
            <w:vMerge w:val="continue"/>
          </w:tcPr>
          <w:p>
            <w:pPr>
              <w:spacing w:after="0"/>
              <w:rPr>
                <w:sz w:val="7"/>
                <w:szCs w:val="7"/>
                <w:color w:val="auto"/>
              </w:rPr>
            </w:pPr>
          </w:p>
        </w:tc>
        <w:tc>
          <w:tcPr>
            <w:tcW w:w="10580" w:type="dxa"/>
            <w:vAlign w:val="bottom"/>
            <w:vMerge w:val="restart"/>
          </w:tcPr>
          <w:p>
            <w:pPr>
              <w:ind w:left="680"/>
              <w:spacing w:after="0"/>
              <w:rPr>
                <w:sz w:val="20"/>
                <w:szCs w:val="20"/>
                <w:color w:val="auto"/>
              </w:rPr>
            </w:pPr>
            <w:r>
              <w:rPr>
                <w:rFonts w:ascii="Arial" w:cs="Arial" w:eastAsia="Arial" w:hAnsi="Arial"/>
                <w:sz w:val="18"/>
                <w:szCs w:val="18"/>
                <w:color w:val="auto"/>
              </w:rPr>
              <w:t>10-K for the fiscal year ended December 31, 2013).*</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0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tcBorders>
              <w:right w:val="single" w:sz="8" w:color="CCEEFF"/>
            </w:tcBorders>
            <w:gridSpan w:val="2"/>
            <w:vMerge w:val="restart"/>
            <w:shd w:val="clear" w:color="auto" w:fill="CCEEFF"/>
          </w:tcPr>
          <w:p>
            <w:pPr>
              <w:jc w:val="center"/>
              <w:ind w:left="350"/>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7"/>
              </w:rPr>
              <w:t>Shareholder Agreement, dated as of January 3, 2017, between the Company and Donald A. Foss (incorporated by reference to</w:t>
            </w:r>
          </w:p>
        </w:tc>
        <w:tc>
          <w:tcPr>
            <w:tcW w:w="0" w:type="dxa"/>
            <w:vAlign w:val="bottom"/>
          </w:tcPr>
          <w:p>
            <w:pPr>
              <w:spacing w:after="0"/>
              <w:rPr>
                <w:sz w:val="1"/>
                <w:szCs w:val="1"/>
                <w:color w:val="auto"/>
              </w:rPr>
            </w:pPr>
          </w:p>
        </w:tc>
      </w:tr>
      <w:tr>
        <w:trPr>
          <w:trHeight w:val="82"/>
        </w:trPr>
        <w:tc>
          <w:tcPr>
            <w:tcW w:w="840" w:type="dxa"/>
            <w:vAlign w:val="bottom"/>
            <w:tcBorders>
              <w:right w:val="single" w:sz="8" w:color="CCEEFF"/>
            </w:tcBorders>
            <w:gridSpan w:val="2"/>
            <w:vMerge w:val="continue"/>
            <w:shd w:val="clear" w:color="auto" w:fill="CCEEFF"/>
          </w:tcPr>
          <w:p>
            <w:pPr>
              <w:spacing w:after="0"/>
              <w:rPr>
                <w:sz w:val="7"/>
                <w:szCs w:val="7"/>
                <w:color w:val="auto"/>
              </w:rPr>
            </w:pPr>
          </w:p>
        </w:tc>
        <w:tc>
          <w:tcPr>
            <w:tcW w:w="105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Exhibit 10.18 to the Company’s Current Report on Form 8-K filed January 4, 2017).*</w:t>
            </w:r>
          </w:p>
        </w:tc>
        <w:tc>
          <w:tcPr>
            <w:tcW w:w="0" w:type="dxa"/>
            <w:vAlign w:val="bottom"/>
          </w:tcPr>
          <w:p>
            <w:pPr>
              <w:spacing w:after="0"/>
              <w:rPr>
                <w:sz w:val="1"/>
                <w:szCs w:val="1"/>
                <w:color w:val="auto"/>
              </w:rPr>
            </w:pPr>
          </w:p>
        </w:tc>
      </w:tr>
      <w:tr>
        <w:trPr>
          <w:trHeight w:val="136"/>
        </w:trPr>
        <w:tc>
          <w:tcPr>
            <w:tcW w:w="4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1"/>
                <w:szCs w:val="11"/>
                <w:color w:val="auto"/>
              </w:rPr>
            </w:pPr>
          </w:p>
        </w:tc>
        <w:tc>
          <w:tcPr>
            <w:tcW w:w="105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0" w:type="dxa"/>
            <w:vAlign w:val="bottom"/>
            <w:gridSpan w:val="2"/>
            <w:vMerge w:val="restart"/>
          </w:tcPr>
          <w:p>
            <w:pPr>
              <w:jc w:val="center"/>
              <w:ind w:left="350"/>
              <w:spacing w:after="0"/>
              <w:rPr>
                <w:rFonts w:ascii="Arial" w:cs="Arial" w:eastAsia="Arial" w:hAnsi="Arial"/>
                <w:sz w:val="18"/>
                <w:szCs w:val="18"/>
                <w:color w:val="0000FF"/>
                <w:w w:val="88"/>
              </w:rPr>
            </w:pPr>
            <w:hyperlink r:id="rId16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10580" w:type="dxa"/>
            <w:vAlign w:val="bottom"/>
          </w:tcPr>
          <w:p>
            <w:pPr>
              <w:ind w:left="680"/>
              <w:spacing w:after="0"/>
              <w:rPr>
                <w:sz w:val="20"/>
                <w:szCs w:val="20"/>
                <w:color w:val="auto"/>
              </w:rPr>
            </w:pPr>
            <w:r>
              <w:rPr>
                <w:rFonts w:ascii="Arial" w:cs="Arial" w:eastAsia="Arial" w:hAnsi="Arial"/>
                <w:sz w:val="18"/>
                <w:szCs w:val="18"/>
                <w:color w:val="auto"/>
                <w:w w:val="95"/>
              </w:rPr>
              <w:t>Form of Restricted Stock Unit Award Agreement (incorporated by reference to Exhibit 10.19 to the Company’s Quarterly Report on</w:t>
            </w:r>
          </w:p>
        </w:tc>
        <w:tc>
          <w:tcPr>
            <w:tcW w:w="0" w:type="dxa"/>
            <w:vAlign w:val="bottom"/>
          </w:tcPr>
          <w:p>
            <w:pPr>
              <w:spacing w:after="0"/>
              <w:rPr>
                <w:sz w:val="1"/>
                <w:szCs w:val="1"/>
                <w:color w:val="auto"/>
              </w:rPr>
            </w:pPr>
          </w:p>
        </w:tc>
      </w:tr>
      <w:tr>
        <w:trPr>
          <w:trHeight w:val="82"/>
        </w:trPr>
        <w:tc>
          <w:tcPr>
            <w:tcW w:w="840" w:type="dxa"/>
            <w:vAlign w:val="bottom"/>
            <w:gridSpan w:val="2"/>
            <w:vMerge w:val="continue"/>
          </w:tcPr>
          <w:p>
            <w:pPr>
              <w:spacing w:after="0"/>
              <w:rPr>
                <w:sz w:val="7"/>
                <w:szCs w:val="7"/>
                <w:color w:val="auto"/>
              </w:rPr>
            </w:pPr>
          </w:p>
        </w:tc>
        <w:tc>
          <w:tcPr>
            <w:tcW w:w="10580" w:type="dxa"/>
            <w:vAlign w:val="bottom"/>
            <w:vMerge w:val="restart"/>
          </w:tcPr>
          <w:p>
            <w:pPr>
              <w:ind w:left="680"/>
              <w:spacing w:after="0"/>
              <w:rPr>
                <w:sz w:val="20"/>
                <w:szCs w:val="20"/>
                <w:color w:val="auto"/>
              </w:rPr>
            </w:pPr>
            <w:r>
              <w:rPr>
                <w:rFonts w:ascii="Arial" w:cs="Arial" w:eastAsia="Arial" w:hAnsi="Arial"/>
                <w:sz w:val="18"/>
                <w:szCs w:val="18"/>
                <w:color w:val="auto"/>
              </w:rPr>
              <w:t>Form 10-Q for the quarterly period ended March 31, 2017).*</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0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tcBorders>
              <w:right w:val="single" w:sz="8" w:color="CCEEFF"/>
            </w:tcBorders>
            <w:gridSpan w:val="2"/>
            <w:vMerge w:val="restart"/>
            <w:shd w:val="clear" w:color="auto" w:fill="CCEEFF"/>
          </w:tcPr>
          <w:p>
            <w:pPr>
              <w:jc w:val="center"/>
              <w:ind w:left="350"/>
              <w:spacing w:after="0"/>
              <w:rPr>
                <w:rFonts w:ascii="Arial" w:cs="Arial" w:eastAsia="Arial" w:hAnsi="Arial"/>
                <w:sz w:val="18"/>
                <w:szCs w:val="18"/>
                <w:color w:val="0000FF"/>
                <w:w w:val="88"/>
              </w:rPr>
            </w:pPr>
            <w:hyperlink r:id="rId16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6"/>
              </w:rPr>
              <w:t>Amendment to Shareholder Agreement dated September 15, 2017, between the Company and Donald A. Foss (incorporated by</w:t>
            </w:r>
          </w:p>
        </w:tc>
        <w:tc>
          <w:tcPr>
            <w:tcW w:w="0" w:type="dxa"/>
            <w:vAlign w:val="bottom"/>
          </w:tcPr>
          <w:p>
            <w:pPr>
              <w:spacing w:after="0"/>
              <w:rPr>
                <w:sz w:val="1"/>
                <w:szCs w:val="1"/>
                <w:color w:val="auto"/>
              </w:rPr>
            </w:pPr>
          </w:p>
        </w:tc>
      </w:tr>
      <w:tr>
        <w:trPr>
          <w:trHeight w:val="82"/>
        </w:trPr>
        <w:tc>
          <w:tcPr>
            <w:tcW w:w="840" w:type="dxa"/>
            <w:vAlign w:val="bottom"/>
            <w:tcBorders>
              <w:right w:val="single" w:sz="8" w:color="CCEEFF"/>
            </w:tcBorders>
            <w:gridSpan w:val="2"/>
            <w:vMerge w:val="continue"/>
            <w:shd w:val="clear" w:color="auto" w:fill="CCEEFF"/>
          </w:tcPr>
          <w:p>
            <w:pPr>
              <w:spacing w:after="0"/>
              <w:rPr>
                <w:sz w:val="7"/>
                <w:szCs w:val="7"/>
                <w:color w:val="auto"/>
              </w:rPr>
            </w:pPr>
          </w:p>
        </w:tc>
        <w:tc>
          <w:tcPr>
            <w:tcW w:w="105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w w:val="95"/>
              </w:rPr>
              <w:t>reference to Exhibit 10.19 to the Company’s Quarterly Report on Form 10-Q for the quarterly period ended September 30, 2017).*</w:t>
            </w:r>
          </w:p>
        </w:tc>
        <w:tc>
          <w:tcPr>
            <w:tcW w:w="0" w:type="dxa"/>
            <w:vAlign w:val="bottom"/>
          </w:tcPr>
          <w:p>
            <w:pPr>
              <w:spacing w:after="0"/>
              <w:rPr>
                <w:sz w:val="1"/>
                <w:szCs w:val="1"/>
                <w:color w:val="auto"/>
              </w:rPr>
            </w:pPr>
          </w:p>
        </w:tc>
      </w:tr>
      <w:tr>
        <w:trPr>
          <w:trHeight w:val="136"/>
        </w:trPr>
        <w:tc>
          <w:tcPr>
            <w:tcW w:w="4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1"/>
                <w:szCs w:val="11"/>
                <w:color w:val="auto"/>
              </w:rPr>
            </w:pPr>
          </w:p>
        </w:tc>
        <w:tc>
          <w:tcPr>
            <w:tcW w:w="105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40" w:type="dxa"/>
            <w:vAlign w:val="bottom"/>
            <w:gridSpan w:val="2"/>
          </w:tcPr>
          <w:p>
            <w:pPr>
              <w:jc w:val="center"/>
              <w:ind w:left="350"/>
              <w:spacing w:after="0" w:line="202"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10580" w:type="dxa"/>
            <w:vAlign w:val="bottom"/>
          </w:tcPr>
          <w:p>
            <w:pPr>
              <w:ind w:left="680"/>
              <w:spacing w:after="0" w:line="202" w:lineRule="exact"/>
              <w:rPr>
                <w:sz w:val="20"/>
                <w:szCs w:val="20"/>
                <w:color w:val="auto"/>
              </w:rPr>
            </w:pPr>
            <w:r>
              <w:rPr>
                <w:rFonts w:ascii="Arial" w:cs="Arial" w:eastAsia="Arial" w:hAnsi="Arial"/>
                <w:sz w:val="18"/>
                <w:szCs w:val="18"/>
                <w:color w:val="auto"/>
              </w:rPr>
              <w:t>Amendment to Shareholder Agreement dated November 29, 2017, between the Company and Donald A. Foss.*</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1520" w:hanging="974"/>
        <w:spacing w:after="0"/>
        <w:tabs>
          <w:tab w:leader="none" w:pos="1520" w:val="left"/>
        </w:tabs>
        <w:numPr>
          <w:ilvl w:val="0"/>
          <w:numId w:val="89"/>
        </w:numPr>
        <w:rPr>
          <w:rFonts w:ascii="Arial" w:cs="Arial" w:eastAsia="Arial" w:hAnsi="Arial"/>
          <w:sz w:val="18"/>
          <w:szCs w:val="18"/>
          <w:u w:val="single" w:color="auto"/>
          <w:color w:val="0000FF"/>
        </w:rPr>
      </w:pPr>
      <w:r>
        <w:rPr>
          <w:rFonts w:ascii="Arial" w:cs="Arial" w:eastAsia="Arial" w:hAnsi="Arial"/>
          <w:sz w:val="18"/>
          <w:szCs w:val="18"/>
          <w:color w:val="auto"/>
        </w:rPr>
        <w:t>Schedule of Credit Acceptance Corporation Subsidiaries.</w:t>
      </w:r>
    </w:p>
    <w:p>
      <w:pPr>
        <w:spacing w:after="0" w:line="63" w:lineRule="exact"/>
        <w:rPr>
          <w:sz w:val="20"/>
          <w:szCs w:val="20"/>
          <w:color w:val="auto"/>
        </w:rPr>
      </w:pPr>
    </w:p>
    <w:p>
      <w:pPr>
        <w:ind w:left="1520" w:hanging="974"/>
        <w:spacing w:after="0"/>
        <w:tabs>
          <w:tab w:leader="none" w:pos="1520" w:val="left"/>
        </w:tabs>
        <w:numPr>
          <w:ilvl w:val="0"/>
          <w:numId w:val="90"/>
        </w:numPr>
        <w:rPr>
          <w:rFonts w:ascii="Arial" w:cs="Arial" w:eastAsia="Arial" w:hAnsi="Arial"/>
          <w:sz w:val="18"/>
          <w:szCs w:val="18"/>
          <w:u w:val="single" w:color="auto"/>
          <w:color w:val="0000FF"/>
        </w:rPr>
      </w:pPr>
      <w:r>
        <w:rPr>
          <w:rFonts w:ascii="Arial" w:cs="Arial" w:eastAsia="Arial" w:hAnsi="Arial"/>
          <w:sz w:val="18"/>
          <w:szCs w:val="18"/>
          <w:color w:val="auto"/>
        </w:rPr>
        <w:t>Consent of Grant Thornton LLP.</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3"/>
            <w:shd w:val="clear" w:color="auto" w:fill="CCEEFF"/>
          </w:tcPr>
          <w:p>
            <w:pPr>
              <w:jc w:val="cente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w:t>
            </w:r>
          </w:p>
        </w:tc>
        <w:tc>
          <w:tcPr>
            <w:tcW w:w="0" w:type="dxa"/>
            <w:vAlign w:val="bottom"/>
          </w:tcPr>
          <w:p>
            <w:pPr>
              <w:spacing w:after="0"/>
              <w:rPr>
                <w:sz w:val="1"/>
                <w:szCs w:val="1"/>
                <w:color w:val="auto"/>
              </w:rPr>
            </w:pPr>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gridSpan w:val="3"/>
          </w:tcPr>
          <w:p>
            <w:pPr>
              <w:jc w:val="center"/>
              <w:spacing w:after="0" w:line="202" w:lineRule="exact"/>
              <w:rPr>
                <w:rFonts w:ascii="Arial" w:cs="Arial" w:eastAsia="Arial" w:hAnsi="Arial"/>
                <w:sz w:val="18"/>
                <w:szCs w:val="18"/>
                <w:color w:val="0000FF"/>
                <w:w w:val="91"/>
              </w:rPr>
            </w:pPr>
            <w:hyperlink w:anchor="page10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160" w:type="dxa"/>
            <w:vAlign w:val="bottom"/>
          </w:tcPr>
          <w:p>
            <w:pPr>
              <w:ind w:left="260"/>
              <w:spacing w:after="0" w:line="202" w:lineRule="exact"/>
              <w:rPr>
                <w:sz w:val="20"/>
                <w:szCs w:val="20"/>
                <w:color w:val="auto"/>
              </w:rPr>
            </w:pPr>
            <w:r>
              <w:rPr>
                <w:rFonts w:ascii="Arial" w:cs="Arial" w:eastAsia="Arial" w:hAnsi="Arial"/>
                <w:sz w:val="18"/>
                <w:szCs w:val="18"/>
                <w:color w:val="auto"/>
              </w:rPr>
              <w:t>Certification of Chief Financial Officer pursuant to Rule 13a-14(a) of the Securities Exchange Act.</w:t>
            </w:r>
          </w:p>
        </w:tc>
        <w:tc>
          <w:tcPr>
            <w:tcW w:w="0" w:type="dxa"/>
            <w:vAlign w:val="bottom"/>
          </w:tcPr>
          <w:p>
            <w:pPr>
              <w:spacing w:after="0"/>
              <w:rPr>
                <w:sz w:val="1"/>
                <w:szCs w:val="1"/>
                <w:color w:val="auto"/>
              </w:rPr>
            </w:pPr>
          </w:p>
        </w:tc>
      </w:tr>
      <w:tr>
        <w:trPr>
          <w:trHeight w:val="48"/>
        </w:trPr>
        <w:tc>
          <w:tcPr>
            <w:tcW w:w="4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260" w:type="dxa"/>
            <w:vAlign w:val="bottom"/>
            <w:gridSpan w:val="3"/>
            <w:vMerge w:val="restart"/>
            <w:shd w:val="clear" w:color="auto" w:fill="CCEEFF"/>
          </w:tcPr>
          <w:p>
            <w:pPr>
              <w:jc w:val="cente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1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82"/>
        </w:trPr>
        <w:tc>
          <w:tcPr>
            <w:tcW w:w="1260" w:type="dxa"/>
            <w:vAlign w:val="bottom"/>
            <w:gridSpan w:val="3"/>
            <w:vMerge w:val="continue"/>
            <w:shd w:val="clear" w:color="auto" w:fill="CCEEFF"/>
          </w:tcPr>
          <w:p>
            <w:pPr>
              <w:spacing w:after="0"/>
              <w:rPr>
                <w:sz w:val="7"/>
                <w:szCs w:val="7"/>
                <w:color w:val="auto"/>
              </w:rPr>
            </w:pPr>
          </w:p>
        </w:tc>
        <w:tc>
          <w:tcPr>
            <w:tcW w:w="1016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36"/>
        </w:trPr>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0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260" w:type="dxa"/>
            <w:vAlign w:val="bottom"/>
            <w:gridSpan w:val="3"/>
            <w:vMerge w:val="restart"/>
          </w:tcPr>
          <w:p>
            <w:pPr>
              <w:jc w:val="cente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160" w:type="dxa"/>
            <w:vAlign w:val="bottom"/>
          </w:tcPr>
          <w:p>
            <w:pPr>
              <w:ind w:left="26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82"/>
        </w:trPr>
        <w:tc>
          <w:tcPr>
            <w:tcW w:w="1260" w:type="dxa"/>
            <w:vAlign w:val="bottom"/>
            <w:gridSpan w:val="3"/>
            <w:vMerge w:val="continue"/>
          </w:tcPr>
          <w:p>
            <w:pPr>
              <w:spacing w:after="0"/>
              <w:rPr>
                <w:sz w:val="7"/>
                <w:szCs w:val="7"/>
                <w:color w:val="auto"/>
              </w:rPr>
            </w:pPr>
          </w:p>
        </w:tc>
        <w:tc>
          <w:tcPr>
            <w:tcW w:w="10160" w:type="dxa"/>
            <w:vAlign w:val="bottom"/>
            <w:vMerge w:val="restart"/>
          </w:tcPr>
          <w:p>
            <w:pPr>
              <w:ind w:left="2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60" w:type="dxa"/>
            <w:vAlign w:val="bottom"/>
          </w:tcPr>
          <w:p>
            <w:pPr>
              <w:spacing w:after="0"/>
              <w:rPr>
                <w:sz w:val="11"/>
                <w:szCs w:val="11"/>
                <w:color w:val="auto"/>
              </w:rPr>
            </w:pPr>
          </w:p>
        </w:tc>
        <w:tc>
          <w:tcPr>
            <w:tcW w:w="10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101(INS)</w:t>
            </w:r>
          </w:p>
        </w:tc>
        <w:tc>
          <w:tcPr>
            <w:tcW w:w="10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43"/>
        </w:trPr>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2"/>
              </w:rPr>
              <w:t>101(SCH)</w:t>
            </w:r>
          </w:p>
        </w:tc>
        <w:tc>
          <w:tcPr>
            <w:tcW w:w="1016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8"/>
              </w:rPr>
              <w:t>101(CAL)</w:t>
            </w:r>
          </w:p>
        </w:tc>
        <w:tc>
          <w:tcPr>
            <w:tcW w:w="10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2"/>
              </w:rPr>
              <w:t>101(DEF)</w:t>
            </w:r>
          </w:p>
        </w:tc>
        <w:tc>
          <w:tcPr>
            <w:tcW w:w="101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101(LAB)</w:t>
            </w:r>
          </w:p>
        </w:tc>
        <w:tc>
          <w:tcPr>
            <w:tcW w:w="10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43"/>
        </w:trPr>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1"/>
              </w:rPr>
              <w:t>101(PRE)</w:t>
            </w:r>
          </w:p>
        </w:tc>
        <w:tc>
          <w:tcPr>
            <w:tcW w:w="101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377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1">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ind w:left="1300" w:hanging="709"/>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instruments, notes or extracts from agreements defining the rights of holders of long-term debt of the Company or its subsidiaries have not been filed because (i) in each case the total amount of long-term debt permitted thereunder does not exceed 10% of the Company's consolidated assets and (ii) the Company hereby agrees that it will furnish such instruments, notes and extracts to the Securities and Exchange Commission upon its request.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Amendments and modifications to other exhibits previously filed have been omitted when in the opinion of the registrant such exhibits as amended or modified are no longer material or, in certain instances, are no longer required to be filed as exhibits.</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18"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CREDIT ACCEPTANCE CORPORATION</w:t>
      </w:r>
    </w:p>
    <w:p>
      <w:pPr>
        <w:spacing w:after="0" w:line="33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40"/>
              <w:spacing w:after="0"/>
              <w:rPr>
                <w:sz w:val="20"/>
                <w:szCs w:val="20"/>
                <w:color w:val="auto"/>
              </w:rPr>
            </w:pPr>
            <w:r>
              <w:rPr>
                <w:rFonts w:ascii="Arial" w:cs="Arial" w:eastAsia="Arial" w:hAnsi="Arial"/>
                <w:sz w:val="18"/>
                <w:szCs w:val="18"/>
                <w:color w:val="auto"/>
              </w:rPr>
              <w:t>/s/ BRETT A. ROBERTS</w:t>
            </w:r>
          </w:p>
        </w:tc>
      </w:tr>
      <w:tr>
        <w:trPr>
          <w:trHeight w:val="34"/>
        </w:trPr>
        <w:tc>
          <w:tcPr>
            <w:tcW w:w="76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43"/>
        </w:trPr>
        <w:tc>
          <w:tcPr>
            <w:tcW w:w="760" w:type="dxa"/>
            <w:vAlign w:val="bottom"/>
          </w:tcPr>
          <w:p>
            <w:pPr>
              <w:spacing w:after="0"/>
              <w:rPr>
                <w:sz w:val="21"/>
                <w:szCs w:val="21"/>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Brett A. Roberts</w:t>
            </w:r>
          </w:p>
        </w:tc>
      </w:tr>
      <w:tr>
        <w:trPr>
          <w:trHeight w:val="270"/>
        </w:trPr>
        <w:tc>
          <w:tcPr>
            <w:tcW w:w="760" w:type="dxa"/>
            <w:vAlign w:val="bottom"/>
          </w:tcPr>
          <w:p>
            <w:pPr>
              <w:spacing w:after="0"/>
              <w:rPr>
                <w:sz w:val="23"/>
                <w:szCs w:val="23"/>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70"/>
        </w:trPr>
        <w:tc>
          <w:tcPr>
            <w:tcW w:w="760" w:type="dxa"/>
            <w:vAlign w:val="bottom"/>
          </w:tcPr>
          <w:p>
            <w:pPr>
              <w:spacing w:after="0"/>
              <w:rPr>
                <w:sz w:val="23"/>
                <w:szCs w:val="23"/>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40"/>
              <w:spacing w:after="0"/>
              <w:rPr>
                <w:sz w:val="20"/>
                <w:szCs w:val="20"/>
                <w:color w:val="auto"/>
              </w:rPr>
            </w:pPr>
            <w:r>
              <w:rPr>
                <w:rFonts w:ascii="Arial" w:cs="Arial" w:eastAsia="Arial" w:hAnsi="Arial"/>
                <w:sz w:val="18"/>
                <w:szCs w:val="18"/>
                <w:color w:val="auto"/>
              </w:rPr>
              <w:t>February 8, 2019</w:t>
            </w:r>
          </w:p>
        </w:tc>
      </w:tr>
    </w:tbl>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February 8, 2019 on behalf of the registrant and in the capacities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1460"/>
              <w:spacing w:after="0"/>
              <w:rPr>
                <w:sz w:val="20"/>
                <w:szCs w:val="20"/>
                <w:color w:val="auto"/>
              </w:rPr>
            </w:pPr>
            <w:r>
              <w:rPr>
                <w:rFonts w:ascii="Arial" w:cs="Arial" w:eastAsia="Arial" w:hAnsi="Arial"/>
                <w:sz w:val="18"/>
                <w:szCs w:val="18"/>
                <w:b w:val="1"/>
                <w:bCs w:val="1"/>
                <w:color w:val="auto"/>
              </w:rPr>
              <w:t>Signature</w:t>
            </w:r>
          </w:p>
        </w:tc>
        <w:tc>
          <w:tcPr>
            <w:tcW w:w="5320" w:type="dxa"/>
            <w:vAlign w:val="bottom"/>
          </w:tcPr>
          <w:p>
            <w:pPr>
              <w:ind w:left="410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BRETT A. ROBERTS</w:t>
            </w:r>
          </w:p>
        </w:tc>
        <w:tc>
          <w:tcPr>
            <w:tcW w:w="5320" w:type="dxa"/>
            <w:vAlign w:val="bottom"/>
          </w:tcPr>
          <w:p>
            <w:pPr>
              <w:ind w:left="84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vMerge w:val="restart"/>
          </w:tcPr>
          <w:p>
            <w:pPr>
              <w:ind w:left="8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Brett A. Roberts</w:t>
            </w:r>
          </w:p>
        </w:tc>
        <w:tc>
          <w:tcPr>
            <w:tcW w:w="5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KENNETH S. BOOTH</w:t>
            </w:r>
          </w:p>
        </w:tc>
        <w:tc>
          <w:tcPr>
            <w:tcW w:w="5320" w:type="dxa"/>
            <w:vAlign w:val="bottom"/>
          </w:tcPr>
          <w:p>
            <w:pPr>
              <w:ind w:left="8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vMerge w:val="restart"/>
          </w:tcPr>
          <w:p>
            <w:pPr>
              <w:ind w:left="84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Kenneth S. Booth</w:t>
            </w:r>
          </w:p>
        </w:tc>
        <w:tc>
          <w:tcPr>
            <w:tcW w:w="5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THOMAS N. TRYFOROS</w:t>
            </w:r>
          </w:p>
        </w:tc>
        <w:tc>
          <w:tcPr>
            <w:tcW w:w="5320" w:type="dxa"/>
            <w:vAlign w:val="bottom"/>
          </w:tcPr>
          <w:p>
            <w:pPr>
              <w:ind w:left="840"/>
              <w:spacing w:after="0"/>
              <w:rPr>
                <w:sz w:val="20"/>
                <w:szCs w:val="20"/>
                <w:color w:val="auto"/>
              </w:rPr>
            </w:pPr>
            <w:r>
              <w:rPr>
                <w:rFonts w:ascii="Arial" w:cs="Arial" w:eastAsia="Arial" w:hAnsi="Arial"/>
                <w:sz w:val="18"/>
                <w:szCs w:val="18"/>
                <w:color w:val="auto"/>
              </w:rPr>
              <w:t>Lead 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Thomas N. Tryforos</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660" w:type="dxa"/>
            <w:vAlign w:val="bottom"/>
          </w:tcPr>
          <w:p>
            <w:pPr>
              <w:ind w:left="40"/>
              <w:spacing w:after="0"/>
              <w:rPr>
                <w:sz w:val="20"/>
                <w:szCs w:val="20"/>
                <w:color w:val="auto"/>
              </w:rPr>
            </w:pPr>
            <w:r>
              <w:rPr>
                <w:rFonts w:ascii="Arial" w:cs="Arial" w:eastAsia="Arial" w:hAnsi="Arial"/>
                <w:sz w:val="18"/>
                <w:szCs w:val="18"/>
                <w:color w:val="auto"/>
              </w:rPr>
              <w:t>/s/ GLENDA J. FLANAGAN</w:t>
            </w:r>
          </w:p>
        </w:tc>
        <w:tc>
          <w:tcPr>
            <w:tcW w:w="5320" w:type="dxa"/>
            <w:vAlign w:val="bottom"/>
          </w:tcPr>
          <w:p>
            <w:pPr>
              <w:ind w:left="8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Glenda J. Flanagan</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SCOTT J. VASSALLUZZO</w:t>
            </w:r>
          </w:p>
        </w:tc>
        <w:tc>
          <w:tcPr>
            <w:tcW w:w="5320" w:type="dxa"/>
            <w:vAlign w:val="bottom"/>
          </w:tcPr>
          <w:p>
            <w:pPr>
              <w:ind w:left="8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Scott J. Vassalluzzo</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364" w:right="25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21</w:t>
      </w:r>
    </w:p>
    <w:p>
      <w:pPr>
        <w:spacing w:after="0" w:line="229"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CREDIT ACCEPTANCE CORPORATION SCHEDULE OF CREDIT ACCEPTANCE CORPORATION SUBSIDIARIES AS OF December 31, 2018</w:t>
      </w:r>
    </w:p>
    <w:p>
      <w:pPr>
        <w:spacing w:after="0" w:line="20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is a list of subsidiaries as of the date of this filing of Credit Acceptance Corporation, other than subsidiaries which, considered in the aggregate as a single subsidiary, would not constitute a significant subsidiary, as defined by the Securities and Exchange Commission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50800</wp:posOffset>
            </wp:positionV>
            <wp:extent cx="674941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2">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9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Buyers Vehicle Protection Plan, Inc</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CAC International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3">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CAC of Canada Company</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CAC Reinsurance,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4">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CAC Scotland</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CAC Warehouse Funding Corporation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5">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CAC Warehouse Funding LLC IV</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CAC Warehouse Funding LLC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6">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CAC Warehouse Funding LLC VI</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CAC Warehouse Funding LLC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7">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Auto Loan Trust 2016-2</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Auto Loan Trust 2016-3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78">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Auto Loan Trust 2017-1</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Auto Loan Trust 2017-2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79">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Auto Loan Trust 2017-3</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Auto Loan Trust 2018-1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0">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Auto Loan Trust 2018-2</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Auto Loan Trust 2018-3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1">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Auto Loan Trust 2019-1</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Corporation of South Dakota,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2">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2015-1</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83">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2016-1</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84">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2016-3</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5">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2017-2</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86">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2018-1</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87">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2018-3</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Funding LLC 2019-1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8">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Chapter 4 Properties, LLC</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Credit Acceptance Wholesale Buyers Club,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674941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9">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Vehicle Remarketing Services, Inc.</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VSC Re Company</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issued our reports dated February 8, 2019, with respect to the consolidated financial statements and internal control over financial reporting included in the Annual Report of Credit Acceptance Corporation and subsidiaries on Form 10-K for the year ended December 31, 2018. We consent to the incorporation by reference of said reports in the Registration Statements of Credit Acceptance Corporation and subsidiaries on Forms S-3 (File No. 333-18301 and File No. 333-187778) and on Forms S-8 (File No. 333-67348, File No. 333-91734, File No. 333-111831, File No. 333-120756 and File No. 333-187105).</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Southfield, Michigan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8, 2019</w:t>
      </w:r>
    </w:p>
    <w:p>
      <w:pPr>
        <w:sectPr>
          <w:pgSz w:w="11900" w:h="16838" w:orient="portrait"/>
          <w:cols w:equalWidth="0" w:num="1">
            <w:col w:w="11420"/>
          </w:cols>
          <w:pgMar w:left="240" w:top="36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Brett A. Roberts, certify that:</w:t>
      </w:r>
    </w:p>
    <w:p>
      <w:pPr>
        <w:spacing w:after="0" w:line="225" w:lineRule="exact"/>
        <w:rPr>
          <w:sz w:val="20"/>
          <w:szCs w:val="20"/>
          <w:color w:val="auto"/>
        </w:rPr>
      </w:pPr>
    </w:p>
    <w:p>
      <w:pPr>
        <w:ind w:left="520" w:hanging="188"/>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Credit Acceptance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6"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9"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332"/>
        <w:spacing w:after="0" w:line="308" w:lineRule="auto"/>
        <w:tabs>
          <w:tab w:leader="none" w:pos="511"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903"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911"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0">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S. Booth, certify that:</w:t>
      </w:r>
    </w:p>
    <w:p>
      <w:pPr>
        <w:spacing w:after="0" w:line="225" w:lineRule="exact"/>
        <w:rPr>
          <w:sz w:val="20"/>
          <w:szCs w:val="20"/>
          <w:color w:val="auto"/>
        </w:rPr>
      </w:pPr>
    </w:p>
    <w:p>
      <w:pPr>
        <w:ind w:left="520" w:hanging="188"/>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Credit Acceptance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6" w:val="left"/>
        </w:tabs>
        <w:numPr>
          <w:ilvl w:val="1"/>
          <w:numId w:val="9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332"/>
        <w:spacing w:after="0" w:line="308" w:lineRule="auto"/>
        <w:tabs>
          <w:tab w:leader="none" w:pos="51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903"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911"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1">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Annual Report on Form 10-K of Credit Acceptance Corporation (the "Company") for the period ending December 31, 2018 as filed with the Securities and Exchange Commission on the date hereof (the "Report"), I, Brett A. Roberts, as Chief Executive Officer of the Company, hereby certify, pursuant to 18 U.S.C. §1350, as adopted pursuant to §906 of the Sarbanes-Oxley Act of 2002, that, to the best of my knowledge:</w:t>
      </w:r>
    </w:p>
    <w:p>
      <w:pPr>
        <w:spacing w:after="0" w:line="147"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2">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Annual Report on Form 10-K of Credit Acceptance Corporation (the "Company") for the period ending December 31, 2018 as filed with the Securities and Exchange Commission on the date hereof (the "Report"), I, Kenneth S. Booth, as Chief Financial Officer of the Company, hereby certify, pursuant to 18 U.S.C. §1350, as adopted pursuant to §906 of the Sarbanes-Oxley Act of 2002, that, to the best of my knowledge:</w:t>
      </w:r>
    </w:p>
    <w:p>
      <w:pPr>
        <w:spacing w:after="0" w:line="147"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93">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o"/>
      <w:numFmt w:val="bullet"/>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lvl w:ilvl="1">
      <w:lvlJc w:val="left"/>
      <w:lvlText w:val="•"/>
      <w:numFmt w:val="bullet"/>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1)"/>
      <w:numFmt w:val="decimal"/>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
      <w:numFmt w:val="bullet"/>
      <w:start w:val="1"/>
    </w:lvl>
    <w:lvl w:ilvl="1">
      <w:lvlJc w:val="left"/>
      <w:lvlText w:val="•"/>
      <w:numFmt w:val="bullet"/>
      <w:start w:val="1"/>
    </w:lvl>
  </w:abstractNum>
  <w:abstractNum w:abstractNumId="31">
    <w:nsid w:val="579BE4F1"/>
    <w:multiLevelType w:val="hybridMultilevel"/>
    <w:lvl w:ilvl="0">
      <w:lvlJc w:val="left"/>
      <w:lvlText w:val="•"/>
      <w:numFmt w:val="bullet"/>
      <w:start w:val="1"/>
    </w:lvl>
    <w:lvl w:ilvl="1">
      <w:lvlJc w:val="left"/>
      <w:lvlText w:val="•"/>
      <w:numFmt w:val="bullet"/>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2"/>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endash "/>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1."/>
      <w:numFmt w:val="decimal"/>
      <w:start w:val="3"/>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decimal"/>
      <w:start w:val="4"/>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1"/>
    </w:lvl>
    <w:lvl w:ilvl="1">
      <w:lvlJc w:val="left"/>
      <w:lvlText w:val="(%2)"/>
      <w:numFmt w:val="decimal"/>
      <w:start w:val="1"/>
    </w:lvl>
  </w:abstractNum>
  <w:abstractNum w:abstractNumId="65">
    <w:nsid w:val="4962813B"/>
    <w:multiLevelType w:val="hybridMultilevel"/>
    <w:lvl w:ilvl="0">
      <w:lvlJc w:val="left"/>
      <w:lvlText w:val="%1."/>
      <w:numFmt w:val="decimal"/>
      <w:start w:val="6"/>
    </w:lvl>
    <w:lvl w:ilvl="1">
      <w:lvlJc w:val="left"/>
      <w:lvlText w:val="%2"/>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8"/>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decimal"/>
      <w:start w:val="1"/>
    </w:lvl>
    <w:lvl w:ilvl="1">
      <w:lvlJc w:val="left"/>
      <w:lvlText w:val="(%2)"/>
      <w:numFmt w:val="decimal"/>
      <w:start w:val="1"/>
    </w:lvl>
  </w:abstractNum>
  <w:abstractNum w:abstractNumId="76">
    <w:nsid w:val="94211F2"/>
    <w:multiLevelType w:val="hybridMultilevel"/>
    <w:lvl w:ilvl="0">
      <w:lvlJc w:val="left"/>
      <w:lvlText w:val="%1."/>
      <w:numFmt w:val="decimal"/>
      <w:start w:val="15"/>
    </w:lvl>
    <w:lvl w:ilvl="1">
      <w:lvlJc w:val="left"/>
      <w:lvlText w:val="%2"/>
      <w:numFmt w:val="decimal"/>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16"/>
    </w:lvl>
  </w:abstractNum>
  <w:abstractNum w:abstractNumId="81">
    <w:nsid w:val="14E17E33"/>
    <w:multiLevelType w:val="hybridMultilevel"/>
    <w:lvl w:ilvl="0">
      <w:lvlJc w:val="left"/>
      <w:lvlText w:val="%1."/>
      <w:numFmt w:val="decimal"/>
      <w:start w:val="17"/>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lowerLetter"/>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decimal"/>
      <w:start w:val="2"/>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decimal"/>
      <w:start w:val="2"/>
    </w:lvl>
  </w:abstractNum>
  <w:abstractNum w:abstractNumId="88">
    <w:nsid w:val="39EE015C"/>
    <w:multiLevelType w:val="hybridMultilevel"/>
    <w:lvl w:ilvl="0">
      <w:lvlJc w:val="left"/>
      <w:lvlText w:val="%1"/>
      <w:numFmt w:val="decimal"/>
      <w:start w:val="21"/>
    </w:lvl>
  </w:abstractNum>
  <w:abstractNum w:abstractNumId="89">
    <w:nsid w:val="57FC4FBB"/>
    <w:multiLevelType w:val="hybridMultilevel"/>
    <w:lvl w:ilvl="0">
      <w:lvlJc w:val="left"/>
      <w:lvlText w:val="%1"/>
      <w:numFmt w:val="decimal"/>
      <w:start w:val="23"/>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50" Type="http://schemas.openxmlformats.org/officeDocument/2006/relationships/image" Target="media/image25.png"/><Relationship Id="rId53" Type="http://schemas.openxmlformats.org/officeDocument/2006/relationships/image" Target="media/image26.png"/><Relationship Id="rId56" Type="http://schemas.openxmlformats.org/officeDocument/2006/relationships/image" Target="media/image27.png"/><Relationship Id="rId59" Type="http://schemas.openxmlformats.org/officeDocument/2006/relationships/image" Target="media/image28.png"/><Relationship Id="rId61" Type="http://schemas.openxmlformats.org/officeDocument/2006/relationships/image" Target="media/image29.png"/><Relationship Id="rId64" Type="http://schemas.openxmlformats.org/officeDocument/2006/relationships/image" Target="media/image30.png"/><Relationship Id="rId67" Type="http://schemas.openxmlformats.org/officeDocument/2006/relationships/image" Target="media/image31.png"/><Relationship Id="rId70" Type="http://schemas.openxmlformats.org/officeDocument/2006/relationships/image" Target="media/image32.png"/><Relationship Id="rId73" Type="http://schemas.openxmlformats.org/officeDocument/2006/relationships/image" Target="media/image33.png"/><Relationship Id="rId94" Type="http://schemas.openxmlformats.org/officeDocument/2006/relationships/image" Target="media/image34.png"/><Relationship Id="rId95" Type="http://schemas.openxmlformats.org/officeDocument/2006/relationships/image" Target="media/image35.png"/><Relationship Id="rId96" Type="http://schemas.openxmlformats.org/officeDocument/2006/relationships/image" Target="media/image36.png"/><Relationship Id="rId97" Type="http://schemas.openxmlformats.org/officeDocument/2006/relationships/image" Target="media/image37.png"/><Relationship Id="rId98" Type="http://schemas.openxmlformats.org/officeDocument/2006/relationships/image" Target="media/image38.png"/><Relationship Id="rId99" Type="http://schemas.openxmlformats.org/officeDocument/2006/relationships/image" Target="media/image39.png"/><Relationship Id="rId100" Type="http://schemas.openxmlformats.org/officeDocument/2006/relationships/image" Target="media/image40.png"/><Relationship Id="rId101" Type="http://schemas.openxmlformats.org/officeDocument/2006/relationships/image" Target="media/image41.png"/><Relationship Id="rId102" Type="http://schemas.openxmlformats.org/officeDocument/2006/relationships/image" Target="media/image42.png"/><Relationship Id="rId117" Type="http://schemas.openxmlformats.org/officeDocument/2006/relationships/image" Target="media/image43.png"/><Relationship Id="rId118" Type="http://schemas.openxmlformats.org/officeDocument/2006/relationships/image" Target="media/image44.png"/><Relationship Id="rId119" Type="http://schemas.openxmlformats.org/officeDocument/2006/relationships/image" Target="media/image45.png"/><Relationship Id="rId120" Type="http://schemas.openxmlformats.org/officeDocument/2006/relationships/image" Target="media/image46.png"/><Relationship Id="rId121" Type="http://schemas.openxmlformats.org/officeDocument/2006/relationships/image" Target="media/image47.png"/><Relationship Id="rId122" Type="http://schemas.openxmlformats.org/officeDocument/2006/relationships/image" Target="media/image48.png"/><Relationship Id="rId123" Type="http://schemas.openxmlformats.org/officeDocument/2006/relationships/image" Target="media/image49.png"/><Relationship Id="rId124" Type="http://schemas.openxmlformats.org/officeDocument/2006/relationships/image" Target="media/image50.png"/><Relationship Id="rId131" Type="http://schemas.openxmlformats.org/officeDocument/2006/relationships/image" Target="media/image51.png"/><Relationship Id="rId132" Type="http://schemas.openxmlformats.org/officeDocument/2006/relationships/image" Target="media/image52.png"/><Relationship Id="rId133" Type="http://schemas.openxmlformats.org/officeDocument/2006/relationships/image" Target="media/image53.png"/><Relationship Id="rId134" Type="http://schemas.openxmlformats.org/officeDocument/2006/relationships/image" Target="media/image54.png"/><Relationship Id="rId142" Type="http://schemas.openxmlformats.org/officeDocument/2006/relationships/image" Target="media/image55.png"/><Relationship Id="rId143" Type="http://schemas.openxmlformats.org/officeDocument/2006/relationships/image" Target="media/image56.png"/><Relationship Id="rId144" Type="http://schemas.openxmlformats.org/officeDocument/2006/relationships/image" Target="media/image57.png"/><Relationship Id="rId154" Type="http://schemas.openxmlformats.org/officeDocument/2006/relationships/image" Target="media/image58.png"/><Relationship Id="rId156" Type="http://schemas.openxmlformats.org/officeDocument/2006/relationships/image" Target="media/image59.png"/><Relationship Id="rId161" Type="http://schemas.openxmlformats.org/officeDocument/2006/relationships/image" Target="media/image60.png"/><Relationship Id="rId170" Type="http://schemas.openxmlformats.org/officeDocument/2006/relationships/image" Target="media/image61.png"/><Relationship Id="rId171" Type="http://schemas.openxmlformats.org/officeDocument/2006/relationships/image" Target="media/image62.png"/><Relationship Id="rId172" Type="http://schemas.openxmlformats.org/officeDocument/2006/relationships/image" Target="media/image63.png"/><Relationship Id="rId173" Type="http://schemas.openxmlformats.org/officeDocument/2006/relationships/image" Target="media/image64.png"/><Relationship Id="rId174" Type="http://schemas.openxmlformats.org/officeDocument/2006/relationships/image" Target="media/image65.png"/><Relationship Id="rId175" Type="http://schemas.openxmlformats.org/officeDocument/2006/relationships/image" Target="media/image66.png"/><Relationship Id="rId176" Type="http://schemas.openxmlformats.org/officeDocument/2006/relationships/image" Target="media/image67.png"/><Relationship Id="rId177" Type="http://schemas.openxmlformats.org/officeDocument/2006/relationships/image" Target="media/image68.png"/><Relationship Id="rId178" Type="http://schemas.openxmlformats.org/officeDocument/2006/relationships/image" Target="media/image69.png"/><Relationship Id="rId179" Type="http://schemas.openxmlformats.org/officeDocument/2006/relationships/image" Target="media/image70.png"/><Relationship Id="rId180" Type="http://schemas.openxmlformats.org/officeDocument/2006/relationships/image" Target="media/image71.png"/><Relationship Id="rId181" Type="http://schemas.openxmlformats.org/officeDocument/2006/relationships/image" Target="media/image72.png"/><Relationship Id="rId182" Type="http://schemas.openxmlformats.org/officeDocument/2006/relationships/image" Target="media/image73.png"/><Relationship Id="rId183" Type="http://schemas.openxmlformats.org/officeDocument/2006/relationships/image" Target="media/image74.png"/><Relationship Id="rId184" Type="http://schemas.openxmlformats.org/officeDocument/2006/relationships/image" Target="media/image75.png"/><Relationship Id="rId185" Type="http://schemas.openxmlformats.org/officeDocument/2006/relationships/image" Target="media/image76.png"/><Relationship Id="rId186" Type="http://schemas.openxmlformats.org/officeDocument/2006/relationships/image" Target="media/image77.png"/><Relationship Id="rId187" Type="http://schemas.openxmlformats.org/officeDocument/2006/relationships/image" Target="media/image78.png"/><Relationship Id="rId188" Type="http://schemas.openxmlformats.org/officeDocument/2006/relationships/image" Target="media/image79.png"/><Relationship Id="rId189" Type="http://schemas.openxmlformats.org/officeDocument/2006/relationships/image" Target="media/image80.png"/><Relationship Id="rId190" Type="http://schemas.openxmlformats.org/officeDocument/2006/relationships/image" Target="media/image81.png"/><Relationship Id="rId191" Type="http://schemas.openxmlformats.org/officeDocument/2006/relationships/image" Target="media/image82.png"/><Relationship Id="rId192" Type="http://schemas.openxmlformats.org/officeDocument/2006/relationships/image" Target="media/image83.png"/><Relationship Id="rId193" Type="http://schemas.openxmlformats.org/officeDocument/2006/relationships/image" Target="media/image84.png"/><Relationship Id="rId23" Type="http://schemas.openxmlformats.org/officeDocument/2006/relationships/hyperlink" Target="http://www.sec.gov/Archives/edgar/data/885550/0000950124-97-004326.txt" TargetMode="External"/><Relationship Id="rId24" Type="http://schemas.openxmlformats.org/officeDocument/2006/relationships/hyperlink" Target="http://www.sec.gov/Archives/edgar/data/885550/000095012406000325/k01897exv3wxby.txt" TargetMode="External"/><Relationship Id="rId25" Type="http://schemas.openxmlformats.org/officeDocument/2006/relationships/hyperlink" Target="http://www.sec.gov/Archives/edgar/data/885550/000088555011000038/cacc_061711loc.htm" TargetMode="External"/><Relationship Id="rId26" Type="http://schemas.openxmlformats.org/officeDocument/2006/relationships/hyperlink" Target="http://www.sec.gov/Archives/edgar/data/885550/000088555011000046/cacc_081911lsa.htm" TargetMode="External"/><Relationship Id="rId27" Type="http://schemas.openxmlformats.org/officeDocument/2006/relationships/hyperlink" Target="http://www.sec.gov/Archives/edgar/data/885550/000088555011000046/cacc_081911bsa.htm" TargetMode="External"/><Relationship Id="rId28" Type="http://schemas.openxmlformats.org/officeDocument/2006/relationships/hyperlink" Target="http://www.sec.gov/Archives/edgar/data/885550/000095012310009043/k48819exv4wgw6.htm" TargetMode="External"/><Relationship Id="rId29" Type="http://schemas.openxmlformats.org/officeDocument/2006/relationships/hyperlink" Target="http://www.sec.gov/Archives/edgar/data/885550/000088555012000048/cacc_8k061512loc.htm" TargetMode="External"/><Relationship Id="rId30" Type="http://schemas.openxmlformats.org/officeDocument/2006/relationships/hyperlink" Target="http://www.sec.gov/Archives/edgar/data/885550/000088555013000002/cacc_8k122712bsa.htm" TargetMode="External"/><Relationship Id="rId31" Type="http://schemas.openxmlformats.org/officeDocument/2006/relationships/hyperlink" Target="http://www.sec.gov/Archives/edgar/data/885550/000088555013000036/cacc_8k040513lsa.htm" TargetMode="External"/><Relationship Id="rId32" Type="http://schemas.openxmlformats.org/officeDocument/2006/relationships/hyperlink" Target="http://www.sec.gov/Archives/edgar/data/885550/000088555013000036/cacc_8k040513sca.htm" TargetMode="External"/><Relationship Id="rId33" Type="http://schemas.openxmlformats.org/officeDocument/2006/relationships/hyperlink" Target="http://www.sec.gov/Archives/edgar/data/885550/000088555013000051/cacc_8k062013loc.htm" TargetMode="External"/><Relationship Id="rId34" Type="http://schemas.openxmlformats.org/officeDocument/2006/relationships/hyperlink" Target="http://www.sec.gov/Archives/edgar/data/885550/000088555014000015/cacc_ex4-103.htm" TargetMode="External"/><Relationship Id="rId35" Type="http://schemas.openxmlformats.org/officeDocument/2006/relationships/hyperlink" Target="http://www.sec.gov/Archives/edgar/data/885550/000088555014000015/cacc_ex4-117.htm" TargetMode="External"/><Relationship Id="rId36" Type="http://schemas.openxmlformats.org/officeDocument/2006/relationships/hyperlink" Target="http://www.sec.gov/Archives/edgar/data/885550/000088555014000005/cacc_012214ex41.htm" TargetMode="External"/><Relationship Id="rId37" Type="http://schemas.openxmlformats.org/officeDocument/2006/relationships/hyperlink" Target="http://www.sec.gov/Archives/edgar/data/885550/000088555014000015/cacc_ex4-106.htm" TargetMode="External"/><Relationship Id="rId38" Type="http://schemas.openxmlformats.org/officeDocument/2006/relationships/hyperlink" Target="http://www.sec.gov/Archives/edgar/data/885550/000088555014000015/cacc_ex4-107.htm" TargetMode="External"/><Relationship Id="rId48" Type="http://schemas.openxmlformats.org/officeDocument/2006/relationships/hyperlink" Target="http://www.sec.gov/Archives/edgar/data/885550/000088555014000045/cacc_8k062314loc.htm" TargetMode="External"/><Relationship Id="rId49" Type="http://schemas.openxmlformats.org/officeDocument/2006/relationships/hyperlink" Target="http://www.sec.gov/Archives/edgar/data/885550/000088555014000047/amendmentno1toarbackupserv.htm" TargetMode="External"/><Relationship Id="rId51" Type="http://schemas.openxmlformats.org/officeDocument/2006/relationships/hyperlink" Target="http://www.sec.gov/Archives/edgar/data/885550/000088555014000057/cacc_8k20140915lsa.htm" TargetMode="External"/><Relationship Id="rId52" Type="http://schemas.openxmlformats.org/officeDocument/2006/relationships/hyperlink" Target="http://www.sec.gov/Archives/edgar/data/885550/000088555014000057/cacc_8k20140915bsa.htm" TargetMode="External"/><Relationship Id="rId54" Type="http://schemas.openxmlformats.org/officeDocument/2006/relationships/hyperlink" Target="http://www.sec.gov/Archives/edgar/data/885550/000088555014000057/cacc_8k20140915ca.htm" TargetMode="External"/><Relationship Id="rId55" Type="http://schemas.openxmlformats.org/officeDocument/2006/relationships/hyperlink" Target="http://www.sec.gov/Archives/edgar/data/885550/000119312515114322/d898991dex41.htm" TargetMode="External"/><Relationship Id="rId57" Type="http://schemas.openxmlformats.org/officeDocument/2006/relationships/hyperlink" Target="http://www.sec.gov/Archives/edgar/data/885550/000088555015000042/cacc_8k20150513lsa.htm" TargetMode="External"/><Relationship Id="rId58" Type="http://schemas.openxmlformats.org/officeDocument/2006/relationships/hyperlink" Target="http://www.sec.gov/Archives/edgar/data/885550/000088555015000042/cacc_8k20150513bsa.htm" TargetMode="External"/><Relationship Id="rId60" Type="http://schemas.openxmlformats.org/officeDocument/2006/relationships/hyperlink" Target="http://www.sec.gov/Archives/edgar/data/885550/000088555015000050/cacc_8k20150611lsa.htm" TargetMode="External"/><Relationship Id="rId62" Type="http://schemas.openxmlformats.org/officeDocument/2006/relationships/hyperlink" Target="http://www.sec.gov/Archives/edgar/data/885550/000088555015000062/cacc_8k20150930lsa.htm" TargetMode="External"/><Relationship Id="rId63" Type="http://schemas.openxmlformats.org/officeDocument/2006/relationships/hyperlink" Target="http://www.sec.gov/Archives/edgar/data/885550/000088555015000062/cacc_8k20150930ca.htm" TargetMode="External"/><Relationship Id="rId65" Type="http://schemas.openxmlformats.org/officeDocument/2006/relationships/hyperlink" Target="http://www.sec.gov/Archives/edgar/data/885550/000088555016000091/cacc_8k20160226lsa.htm" TargetMode="External"/><Relationship Id="rId66" Type="http://schemas.openxmlformats.org/officeDocument/2006/relationships/hyperlink" Target="http://www.sec.gov/Archives/edgar/data/885550/000088555016000091/cacc_8k20160226bsa.htm" TargetMode="External"/><Relationship Id="rId68" Type="http://schemas.openxmlformats.org/officeDocument/2006/relationships/hyperlink" Target="http://www.sec.gov/Archives/edgar/data/885550/000088555016000091/cacc_8k20160226sca.htm" TargetMode="External"/><Relationship Id="rId69" Type="http://schemas.openxmlformats.org/officeDocument/2006/relationships/hyperlink" Target="http://www.sec.gov/Archives/edgar/data/885550/000088555016000116/cacc_8k20160512ia.htm" TargetMode="External"/><Relationship Id="rId71" Type="http://schemas.openxmlformats.org/officeDocument/2006/relationships/hyperlink" Target="http://www.sec.gov/Archives/edgar/data/885550/000088555016000116/cacc_8k20160512ssa.htm" TargetMode="External"/><Relationship Id="rId72" Type="http://schemas.openxmlformats.org/officeDocument/2006/relationships/hyperlink" Target="http://www.sec.gov/Archives/edgar/data/885550/000088555016000116/cacc_8k20160512bsa.htm" TargetMode="External"/><Relationship Id="rId74" Type="http://schemas.openxmlformats.org/officeDocument/2006/relationships/hyperlink" Target="http://www.sec.gov/Archives/edgar/data/885550/000088555016000116/cacc_8k20160512arta.htm" TargetMode="External"/><Relationship Id="rId75" Type="http://schemas.openxmlformats.org/officeDocument/2006/relationships/hyperlink" Target="http://www.sec.gov/Archives/edgar/data/885550/000088555016000116/cacc_8k20160512sca.htm" TargetMode="External"/><Relationship Id="rId76" Type="http://schemas.openxmlformats.org/officeDocument/2006/relationships/hyperlink" Target="http://www.sec.gov/Archives/edgar/data/885550/000088555016000125/cacc_8k20160615sasarca.htm" TargetMode="External"/><Relationship Id="rId77" Type="http://schemas.openxmlformats.org/officeDocument/2006/relationships/hyperlink" Target="http://www.sec.gov/Archives/edgar/data/885550/000088555016000128/cacc_8k20160623lsa.htm" TargetMode="External"/><Relationship Id="rId78" Type="http://schemas.openxmlformats.org/officeDocument/2006/relationships/hyperlink" Target="http://www.sec.gov/Archives/edgar/data/885550/000088555016000128/cacc_8k20160623sca.htm" TargetMode="External"/><Relationship Id="rId79" Type="http://schemas.openxmlformats.org/officeDocument/2006/relationships/hyperlink" Target="http://www.sec.gov/Archives/edgar/data/885550/000088555016000136/cacc_8k20160818lsa1.htm" TargetMode="External"/><Relationship Id="rId80" Type="http://schemas.openxmlformats.org/officeDocument/2006/relationships/hyperlink" Target="http://www.sec.gov/Archives/edgar/data/885550/000088555016000136/cacc_8k20160818ca.htm" TargetMode="External"/><Relationship Id="rId81" Type="http://schemas.openxmlformats.org/officeDocument/2006/relationships/hyperlink" Target="http://www.sec.gov/Archives/edgar/data/885550/000088555016000141/cacc_8k20161027ia.htm" TargetMode="External"/><Relationship Id="rId82" Type="http://schemas.openxmlformats.org/officeDocument/2006/relationships/hyperlink" Target="http://www.sec.gov/Archives/edgar/data/885550/000088555016000141/cacc_8k20161027ssa.htm" TargetMode="External"/><Relationship Id="rId83" Type="http://schemas.openxmlformats.org/officeDocument/2006/relationships/hyperlink" Target="http://www.sec.gov/Archives/edgar/data/885550/000088555016000141/cacc_8k20161027bsa.htm" TargetMode="External"/><Relationship Id="rId84" Type="http://schemas.openxmlformats.org/officeDocument/2006/relationships/hyperlink" Target="http://www.sec.gov/Archives/edgar/data/885550/000088555016000141/cacc_8k20161027arta.htm" TargetMode="External"/><Relationship Id="rId85" Type="http://schemas.openxmlformats.org/officeDocument/2006/relationships/hyperlink" Target="http://www.sec.gov/Archives/edgar/data/885550/000088555016000141/cacc_8k20161027sca.htm" TargetMode="External"/><Relationship Id="rId86" Type="http://schemas.openxmlformats.org/officeDocument/2006/relationships/hyperlink" Target="http://www.sec.gov/Archives/edgar/data/885550/000088555017000019/cacc_8k20170223ia.htm" TargetMode="External"/><Relationship Id="rId87" Type="http://schemas.openxmlformats.org/officeDocument/2006/relationships/hyperlink" Target="http://www.sec.gov/Archives/edgar/data/885550/000088555017000019/cacc_8k20170223ssa.htm" TargetMode="External"/><Relationship Id="rId88" Type="http://schemas.openxmlformats.org/officeDocument/2006/relationships/hyperlink" Target="http://www.sec.gov/Archives/edgar/data/885550/000088555017000019/cacc_8k20170223bsa.htm" TargetMode="External"/><Relationship Id="rId89" Type="http://schemas.openxmlformats.org/officeDocument/2006/relationships/hyperlink" Target="http://www.sec.gov/Archives/edgar/data/885550/000088555017000019/cacc_8k20170223arta.htm" TargetMode="External"/><Relationship Id="rId90" Type="http://schemas.openxmlformats.org/officeDocument/2006/relationships/hyperlink" Target="http://www.sec.gov/Archives/edgar/data/885550/000088555017000019/cacc_8k20170223sca.htm" TargetMode="External"/><Relationship Id="rId91" Type="http://schemas.openxmlformats.org/officeDocument/2006/relationships/hyperlink" Target="http://www.sec.gov/Archives/edgar/data/885550/000088555017000037/cacc_8k20170428lsa.htm" TargetMode="External"/><Relationship Id="rId92" Type="http://schemas.openxmlformats.org/officeDocument/2006/relationships/hyperlink" Target="http://www.sec.gov/Archives/edgar/data/885550/000088555017000046/cacc_8k20170628arca.htm" TargetMode="External"/><Relationship Id="rId93" Type="http://schemas.openxmlformats.org/officeDocument/2006/relationships/hyperlink" Target="http://www.sec.gov/Archives/edgar/data/885550/000088555017000048/cacc_8k20170629ia.htm" TargetMode="External"/><Relationship Id="rId103" Type="http://schemas.openxmlformats.org/officeDocument/2006/relationships/hyperlink" Target="http://www.sec.gov/Archives/edgar/data/885550/000088555017000048/cacc_8k20170629ssa.htm" TargetMode="External"/><Relationship Id="rId104" Type="http://schemas.openxmlformats.org/officeDocument/2006/relationships/hyperlink" Target="http://www.sec.gov/Archives/edgar/data/885550/000088555017000048/cacc_8k20170629bsa.htm" TargetMode="External"/><Relationship Id="rId105" Type="http://schemas.openxmlformats.org/officeDocument/2006/relationships/hyperlink" Target="http://www.sec.gov/Archives/edgar/data/885550/000088555017000048/cacc_8k20170629arta.htm" TargetMode="External"/><Relationship Id="rId106" Type="http://schemas.openxmlformats.org/officeDocument/2006/relationships/hyperlink" Target="http://www.sec.gov/Archives/edgar/data/885550/000088555017000048/cacc_8k20170629sca.htm" TargetMode="External"/><Relationship Id="rId107" Type="http://schemas.openxmlformats.org/officeDocument/2006/relationships/hyperlink" Target="http://www.sec.gov/Archives/edgar/data/885550/000088555017000051/cacc_8k20170718lsa.htm" TargetMode="External"/><Relationship Id="rId108" Type="http://schemas.openxmlformats.org/officeDocument/2006/relationships/hyperlink" Target="http://www.sec.gov/Archives/edgar/data/885550/000088555017000069/cacc-20170930xex494.htm" TargetMode="External"/><Relationship Id="rId109" Type="http://schemas.openxmlformats.org/officeDocument/2006/relationships/hyperlink" Target="http://www.sec.gov/Archives/edgar/data/885550/000088555017000069/cacc-20170930xex495.htm" TargetMode="External"/><Relationship Id="rId110" Type="http://schemas.openxmlformats.org/officeDocument/2006/relationships/hyperlink" Target="http://www.sec.gov/Archives/edgar/data/885550/000088555017000064/cacc_8k20171026ssa.htm" TargetMode="External"/><Relationship Id="rId111" Type="http://schemas.openxmlformats.org/officeDocument/2006/relationships/hyperlink" Target="http://www.sec.gov/Archives/edgar/data/885550/000088555017000064/cacc_8k20171026bsa.htm" TargetMode="External"/><Relationship Id="rId112" Type="http://schemas.openxmlformats.org/officeDocument/2006/relationships/hyperlink" Target="http://www.sec.gov/Archives/edgar/data/885550/000088555017000064/cacc_8k20171026arta.htm" TargetMode="External"/><Relationship Id="rId113" Type="http://schemas.openxmlformats.org/officeDocument/2006/relationships/hyperlink" Target="http://www.sec.gov/Archives/edgar/data/885550/000088555017000064/cacc_8k20171026sca.htm" TargetMode="External"/><Relationship Id="rId114" Type="http://schemas.openxmlformats.org/officeDocument/2006/relationships/hyperlink" Target="http://www.sec.gov/Archives/edgar/data/885550/000088555017000071/cacc_8k20171201lsa.htm" TargetMode="External"/><Relationship Id="rId115" Type="http://schemas.openxmlformats.org/officeDocument/2006/relationships/hyperlink" Target="http://www.sec.gov/Archives/edgar/data/885550/000088555017000071/cacc_8k20171201ca.htm" TargetMode="External"/><Relationship Id="rId116" Type="http://schemas.openxmlformats.org/officeDocument/2006/relationships/hyperlink" Target="http://www.sec.gov/Archives/edgar/data/885550/000088555017000071/cacc_8k20171201bsa.htm" TargetMode="External"/><Relationship Id="rId125" Type="http://schemas.openxmlformats.org/officeDocument/2006/relationships/hyperlink" Target="http://www.sec.gov/Archives/edgar/data/885550/000088555017000073/cacc_8k20171220lsa.htm" TargetMode="External"/><Relationship Id="rId126" Type="http://schemas.openxmlformats.org/officeDocument/2006/relationships/hyperlink" Target="http://www.sec.gov/Archives/edgar/data/885550/000088555018000017/cacc_8k20180222ia.htm" TargetMode="External"/><Relationship Id="rId127" Type="http://schemas.openxmlformats.org/officeDocument/2006/relationships/hyperlink" Target="http://www.sec.gov/Archives/edgar/data/885550/000088555018000017/cacc_8k2018022ssa.htm" TargetMode="External"/><Relationship Id="rId128" Type="http://schemas.openxmlformats.org/officeDocument/2006/relationships/hyperlink" Target="http://www.sec.gov/Archives/edgar/data/885550/000088555018000017/cacc_8k20180222bsa.htm" TargetMode="External"/><Relationship Id="rId129" Type="http://schemas.openxmlformats.org/officeDocument/2006/relationships/hyperlink" Target="http://www.sec.gov/Archives/edgar/data/885550/000088555018000017/cacc_8k20180222arta.htm" TargetMode="External"/><Relationship Id="rId130" Type="http://schemas.openxmlformats.org/officeDocument/2006/relationships/hyperlink" Target="http://www.sec.gov/Archives/edgar/data/885550/000088555018000017/cacc_8k20180222sca.htm" TargetMode="External"/><Relationship Id="rId135" Type="http://schemas.openxmlformats.org/officeDocument/2006/relationships/hyperlink" Target="http://www.sec.gov/Archives/edgar/data/885550/000088555018000038/cacc_8k20180510lsa.htm" TargetMode="External"/><Relationship Id="rId136" Type="http://schemas.openxmlformats.org/officeDocument/2006/relationships/hyperlink" Target="http://www.sec.gov/Archives/edgar/data/885550/000088555018000038/cacc_8k20180510bsa.htm" TargetMode="External"/><Relationship Id="rId137" Type="http://schemas.openxmlformats.org/officeDocument/2006/relationships/hyperlink" Target="http://www.sec.gov/Archives/edgar/data/885550/000088555018000040/cacc_8k20180524ia.htm" TargetMode="External"/><Relationship Id="rId138" Type="http://schemas.openxmlformats.org/officeDocument/2006/relationships/hyperlink" Target="http://www.sec.gov/Archives/edgar/data/885550/000088555018000040/cacc_8k20180524ssa.htm" TargetMode="External"/><Relationship Id="rId139" Type="http://schemas.openxmlformats.org/officeDocument/2006/relationships/hyperlink" Target="http://www.sec.gov/Archives/edgar/data/885550/000088555018000040/cacc_8k20180524bsa.htm" TargetMode="External"/><Relationship Id="rId140" Type="http://schemas.openxmlformats.org/officeDocument/2006/relationships/hyperlink" Target="http://www.sec.gov/Archives/edgar/data/885550/000088555018000040/cacc_8k20180524arta.htm" TargetMode="External"/><Relationship Id="rId141" Type="http://schemas.openxmlformats.org/officeDocument/2006/relationships/hyperlink" Target="http://www.sec.gov/Archives/edgar/data/885550/000088555018000040/cacc_8k20180524sca.htm" TargetMode="External"/><Relationship Id="rId145" Type="http://schemas.openxmlformats.org/officeDocument/2006/relationships/hyperlink" Target="http://www.sec.gov/Archives/edgar/data/885550/000088555018000040/cacc_8k20180524aria.htm" TargetMode="External"/><Relationship Id="rId146" Type="http://schemas.openxmlformats.org/officeDocument/2006/relationships/hyperlink" Target="http://www.sec.gov/Archives/edgar/data/885550/000088555018000047/cacc_8k20180627arca.htm" TargetMode="External"/><Relationship Id="rId147" Type="http://schemas.openxmlformats.org/officeDocument/2006/relationships/hyperlink" Target="http://www.sec.gov/Archives/edgar/data/885550/000088555018000056/cacfifththird-thirdamendme.htm" TargetMode="External"/><Relationship Id="rId148" Type="http://schemas.openxmlformats.org/officeDocument/2006/relationships/hyperlink" Target="http://www.sec.gov/Archives/edgar/data/885550/000088555018000058/cacc_8k20180823ia.htm" TargetMode="External"/><Relationship Id="rId149" Type="http://schemas.openxmlformats.org/officeDocument/2006/relationships/hyperlink" Target="http://www.sec.gov/Archives/edgar/data/885550/000088555018000058/cacc_8k20180823ssa.htm" TargetMode="External"/><Relationship Id="rId150" Type="http://schemas.openxmlformats.org/officeDocument/2006/relationships/hyperlink" Target="http://www.sec.gov/Archives/edgar/data/885550/000088555018000058/cacc_8k20180823bsa.htm" TargetMode="External"/><Relationship Id="rId151" Type="http://schemas.openxmlformats.org/officeDocument/2006/relationships/hyperlink" Target="http://www.sec.gov/Archives/edgar/data/885550/000088555018000058/cacc_8k20180823arta.htm" TargetMode="External"/><Relationship Id="rId152" Type="http://schemas.openxmlformats.org/officeDocument/2006/relationships/hyperlink" Target="http://www.sec.gov/Archives/edgar/data/885550/000088555018000058/cacc_8k20180823sca.htm" TargetMode="External"/><Relationship Id="rId153" Type="http://schemas.openxmlformats.org/officeDocument/2006/relationships/hyperlink" Target="http://www.sec.gov/Archives/edgar/data/885550/000088555018000058/cacc_8k20180823aria.htm" TargetMode="External"/><Relationship Id="rId155" Type="http://schemas.openxmlformats.org/officeDocument/2006/relationships/hyperlink" Target="http://www.sec.gov/Archives/edgar/data/885550/000088555018000067/cacc_8k20181217lsa.htm" TargetMode="External"/><Relationship Id="rId157" Type="http://schemas.openxmlformats.org/officeDocument/2006/relationships/hyperlink" Target="http://www.sec.gov/Archives/edgar/data/885550/000095012407001196/k12821exv10wxqyx4y.txt" TargetMode="External"/><Relationship Id="rId158" Type="http://schemas.openxmlformats.org/officeDocument/2006/relationships/hyperlink" Target="http://www.sec.gov/Archives/edgar/data/885550/000095012309006377/k47674ddef14a.htm" TargetMode="External"/><Relationship Id="rId159" Type="http://schemas.openxmlformats.org/officeDocument/2006/relationships/hyperlink" Target="http://www.sec.gov/Archives/edgar/data/885550/000095012309054843/k48458exv10wxqyx11y.htm" TargetMode="External"/><Relationship Id="rId160" Type="http://schemas.openxmlformats.org/officeDocument/2006/relationships/hyperlink" Target="http://www.sec.gov/Archives/edgar/data/885550/000095012309054843/k48458exv10wxqyx12y.htm" TargetMode="External"/><Relationship Id="rId162" Type="http://schemas.openxmlformats.org/officeDocument/2006/relationships/hyperlink" Target="http://www.sec.gov/Archives/edgar/data/885550/000088555012000035/cacc_ex1016.htm" TargetMode="External"/><Relationship Id="rId163" Type="http://schemas.openxmlformats.org/officeDocument/2006/relationships/hyperlink" Target="http://www.sec.gov/Archives/edgar/data/885550/000088555012000035/cacc_ex1017.htm" TargetMode="External"/><Relationship Id="rId164" Type="http://schemas.openxmlformats.org/officeDocument/2006/relationships/hyperlink" Target="http://www.sec.gov/Archives/edgar/data/885550/000088555012000028/cacc_proxy040512.htm" TargetMode="External"/><Relationship Id="rId165" Type="http://schemas.openxmlformats.org/officeDocument/2006/relationships/hyperlink" Target="http://www.sec.gov/Archives/edgar/data/885550/000088555014000015/cacc_ex10-19.htm" TargetMode="External"/><Relationship Id="rId166" Type="http://schemas.openxmlformats.org/officeDocument/2006/relationships/hyperlink" Target="http://www.sec.gov/Archives/edgar/data/885550/000088555017000003/cacc_8k20170103sa.htm" TargetMode="External"/><Relationship Id="rId167" Type="http://schemas.openxmlformats.org/officeDocument/2006/relationships/hyperlink" Target="http://www.sec.gov/Archives/edgar/data/885550/000088555017000035/cacc-20170331xex1019rsutem.htm" TargetMode="External"/><Relationship Id="rId168" Type="http://schemas.openxmlformats.org/officeDocument/2006/relationships/hyperlink" Target="http://www.sec.gov/Archives/edgar/data/885550/000088555017000069/cacc-20170930xex1019.htm" TargetMode="External"/><Relationship Id="rId169" Type="http://schemas.openxmlformats.org/officeDocument/2006/relationships/hyperlink" Target="http://www.sec.gov/Archives/edgar/data/885550/000088555018000014/cacc-20171231x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2019-12-28T16:48:16Z</dcterms:created>
  <dcterms:modified xsi:type="dcterms:W3CDTF">2019-12-28T16:48:16Z</dcterms:modified>
</cp:coreProperties>
</file>