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ABS-15G</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ASSET-BACKED SECURITIZER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PURSUANT TO SECTION 15G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5"/>
          <w:szCs w:val="25"/>
          <w:b w:val="1"/>
          <w:bCs w:val="1"/>
          <w:color w:val="auto"/>
        </w:rPr>
        <w:t>Credit Acceptance Corporation</w:t>
      </w:r>
      <w:r>
        <w:rPr>
          <w:rFonts w:ascii="Times New Roman" w:cs="Times New Roman" w:eastAsia="Times New Roman" w:hAnsi="Times New Roman"/>
          <w:sz w:val="32"/>
          <w:szCs w:val="32"/>
          <w:b w:val="1"/>
          <w:bCs w:val="1"/>
          <w:color w:val="auto"/>
          <w:vertAlign w:val="superscript"/>
        </w:rPr>
        <w:t>1</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filing obligation to which this form is intended to satisfy:</w:t>
      </w:r>
    </w:p>
    <w:p>
      <w:pPr>
        <w:spacing w:after="0" w:line="252" w:lineRule="exact"/>
        <w:rPr>
          <w:sz w:val="24"/>
          <w:szCs w:val="24"/>
          <w:color w:val="auto"/>
        </w:rPr>
      </w:pPr>
    </w:p>
    <w:p>
      <w:pPr>
        <w:ind w:left="580" w:right="4660" w:hanging="410"/>
        <w:spacing w:after="0" w:line="282" w:lineRule="auto"/>
        <w:tabs>
          <w:tab w:leader="none" w:pos="5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15Ga-1 under the Exchange Act (17 CFR 240.15Ga-1) for the reporting period January 1, 2025 to December 31, 2025</w:t>
      </w:r>
    </w:p>
    <w:p>
      <w:pPr>
        <w:spacing w:after="0" w:line="243"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13, 2026</w:t>
      </w:r>
    </w:p>
    <w:p>
      <w:pPr>
        <w:spacing w:after="0" w:line="17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Commission File Number of securitizer: 025-00480</w:t>
      </w:r>
    </w:p>
    <w:p>
      <w:pPr>
        <w:spacing w:after="0" w:line="15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Central Index Key Number of securitizer: 0000885550</w:t>
      </w:r>
    </w:p>
    <w:p>
      <w:pPr>
        <w:spacing w:after="0" w:line="14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Jay D. Martin, Chief Financial Officer, (248) 353-2700 (ext. 4526)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810895</wp:posOffset>
            </wp:positionH>
            <wp:positionV relativeFrom="paragraph">
              <wp:posOffset>17145</wp:posOffset>
            </wp:positionV>
            <wp:extent cx="5511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11800" cy="8890"/>
                    </a:xfrm>
                    <a:prstGeom prst="rect">
                      <a:avLst/>
                    </a:prstGeom>
                    <a:noFill/>
                  </pic:spPr>
                </pic:pic>
              </a:graphicData>
            </a:graphic>
          </wp:anchor>
        </w:drawing>
      </w:r>
    </w:p>
    <w:p>
      <w:pPr>
        <w:spacing w:after="0" w:line="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ind w:left="3940"/>
        <w:spacing w:after="0"/>
        <w:rPr>
          <w:sz w:val="20"/>
          <w:szCs w:val="20"/>
          <w:color w:val="auto"/>
        </w:rPr>
      </w:pPr>
      <w:r>
        <w:rPr>
          <w:rFonts w:ascii="Times New Roman" w:cs="Times New Roman" w:eastAsia="Times New Roman" w:hAnsi="Times New Roman"/>
          <w:sz w:val="18"/>
          <w:szCs w:val="18"/>
          <w:color w:val="auto"/>
        </w:rPr>
        <w:t>person to contact in connection with this filing</w:t>
      </w:r>
    </w:p>
    <w:p>
      <w:pPr>
        <w:spacing w:after="0" w:line="272"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securitizer has no activity to report for the initial period pursuant to Rule 15Ga-1(c)(1) </w:t>
      </w:r>
      <w:r>
        <w:rPr>
          <w:rFonts w:ascii="MS PGothic" w:cs="MS PGothic" w:eastAsia="MS PGothic" w:hAnsi="MS PGothic"/>
          <w:sz w:val="18"/>
          <w:szCs w:val="18"/>
          <w:color w:val="auto"/>
        </w:rPr>
        <w:t>☐</w:t>
      </w:r>
    </w:p>
    <w:p>
      <w:pPr>
        <w:spacing w:after="0" w:line="252"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securitizer has no activity to report for the quarterly period pursuant to Rule 15Ga-1(c)(2)(i) </w:t>
      </w:r>
      <w:r>
        <w:rPr>
          <w:rFonts w:ascii="MS PGothic" w:cs="MS PGothic" w:eastAsia="MS PGothic" w:hAnsi="MS PGothic"/>
          <w:sz w:val="18"/>
          <w:szCs w:val="18"/>
          <w:color w:val="auto"/>
        </w:rPr>
        <w:t>☐</w:t>
      </w:r>
    </w:p>
    <w:p>
      <w:pPr>
        <w:spacing w:after="0" w:line="279"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securitizer has no activity to report for the annual period pursuant to Rule 15Ga-1(c)(2)(ii) </w:t>
      </w:r>
      <w:r>
        <w:rPr>
          <w:rFonts w:ascii="MS PGothic" w:cs="MS PGothic" w:eastAsia="MS PGothic" w:hAnsi="MS PGothic"/>
          <w:sz w:val="18"/>
          <w:szCs w:val="18"/>
          <w:color w:val="auto"/>
        </w:rPr>
        <w:t>☑</w:t>
      </w:r>
    </w:p>
    <w:p>
      <w:pPr>
        <w:spacing w:after="0" w:line="374" w:lineRule="exact"/>
        <w:rPr>
          <w:sz w:val="24"/>
          <w:szCs w:val="24"/>
          <w:color w:val="auto"/>
        </w:rPr>
      </w:pPr>
    </w:p>
    <w:p>
      <w:pPr>
        <w:ind w:left="820" w:right="6560" w:hanging="812"/>
        <w:spacing w:after="0" w:line="501" w:lineRule="auto"/>
        <w:tabs>
          <w:tab w:leader="none" w:pos="34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15Ga-2 under the Exchange Act (17 CFR 240.15Ga-2) Central Index Key Number of depositor: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-210820</wp:posOffset>
            </wp:positionV>
            <wp:extent cx="3137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753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45720</wp:posOffset>
            </wp:positionV>
            <wp:extent cx="4157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38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(Exact name of issuing entity as specified in its charter)</w:t>
      </w:r>
    </w:p>
    <w:p>
      <w:pPr>
        <w:spacing w:after="0" w:line="21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Commission File Number of issuing entity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-59055</wp:posOffset>
            </wp:positionV>
            <wp:extent cx="270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7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Central Index Key Number of underwriter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-50800</wp:posOffset>
            </wp:positionV>
            <wp:extent cx="272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240030</wp:posOffset>
            </wp:positionV>
            <wp:extent cx="5469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69255" cy="8890"/>
                    </a:xfrm>
                    <a:prstGeom prst="rect">
                      <a:avLst/>
                    </a:prstGeom>
                    <a:noFill/>
                  </pic:spPr>
                </pic:pic>
              </a:graphicData>
            </a:graphic>
          </wp:anchor>
        </w:drawing>
      </w:r>
    </w:p>
    <w:p>
      <w:pPr>
        <w:spacing w:after="0" w:line="36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person to contact in connection with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47" w:lineRule="exact"/>
        <w:rPr>
          <w:sz w:val="24"/>
          <w:szCs w:val="24"/>
          <w:color w:val="auto"/>
        </w:rPr>
      </w:pPr>
    </w:p>
    <w:p>
      <w:pPr>
        <w:ind w:firstLine="8"/>
        <w:spacing w:after="0" w:line="229"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Credit Acceptance Corporation, as securitizer, is filing this Form ABS-15G in respect of all asset-backed securities sponsored by it and outstanding during the reporting period in the auto loan asset class.</w:t>
      </w:r>
    </w:p>
    <w:p>
      <w:pPr>
        <w:sectPr>
          <w:pgSz w:w="11900" w:h="16838" w:orient="portrait"/>
          <w:cols w:equalWidth="0" w:num="1">
            <w:col w:w="11240"/>
          </w:cols>
          <w:pgMar w:left="320" w:top="1440" w:right="339" w:bottom="1440" w:gutter="0" w:footer="0" w:header="0"/>
        </w:sectPr>
      </w:pPr>
    </w:p>
    <w:bookmarkStart w:id="1" w:name="page2"/>
    <w:bookmarkEnd w:id="1"/>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Periodic Filing of Rule 15Ga-1 Representations and Warranties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securitizer has no activity to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provided all the information required by Rule 15Ga-1 and this Form ABS-15G that can be acquired without unreasonable effort or expense by, among other things, (i) identifying asset-backed securities transactions within the scope of Rule 15Ga-1 for which we are a securitizer (“Covered Transactions”), (ii) reviewing our records for demands for repurchase or replacement of pool assets in Covered Transactions for breaches of representations or warranties concerning those pool assets (“Reportable Information”), (iii) identifying the parties in Covered Transactions that have a contractual obligation to enforce any repurchase obligations of the party or parties making those representations or warranties based on our records (“Demand Entities”), and (iv) requesting from Demand Entities (or confirming that Demand Entities are required to deliver) all Reportable Information within their respective possession.</w:t>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reporting entity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(Securitizer)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Jay D. Martin</w:t>
            </w:r>
          </w:p>
        </w:tc>
        <w:tc>
          <w:tcPr>
            <w:tcW w:w="0" w:type="dxa"/>
            <w:vAlign w:val="bottom"/>
          </w:tcPr>
          <w:p>
            <w:pPr>
              <w:spacing w:after="0"/>
              <w:rPr>
                <w:sz w:val="1"/>
                <w:szCs w:val="1"/>
                <w:color w:val="auto"/>
              </w:rPr>
            </w:pPr>
          </w:p>
        </w:tc>
      </w:tr>
      <w:tr>
        <w:trPr>
          <w:trHeight w:val="40"/>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60" w:type="dxa"/>
            <w:vAlign w:val="bottom"/>
            <w:vMerge w:val="continue"/>
          </w:tcPr>
          <w:p>
            <w:pPr>
              <w:spacing w:after="0"/>
              <w:rPr>
                <w:sz w:val="19"/>
                <w:szCs w:val="19"/>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Jay D. Martin</w:t>
            </w:r>
          </w:p>
        </w:tc>
        <w:tc>
          <w:tcPr>
            <w:tcW w:w="0" w:type="dxa"/>
            <w:vAlign w:val="bottom"/>
          </w:tcPr>
          <w:p>
            <w:pPr>
              <w:spacing w:after="0"/>
              <w:rPr>
                <w:sz w:val="1"/>
                <w:szCs w:val="1"/>
                <w:color w:val="auto"/>
              </w:rPr>
            </w:pPr>
          </w:p>
        </w:tc>
      </w:tr>
      <w:tr>
        <w:trPr>
          <w:trHeight w:val="26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2026-02-13T15:42:08Z</dcterms:created>
  <dcterms:modified xsi:type="dcterms:W3CDTF">2026-02-13T15:42:08Z</dcterms:modified>
</cp:coreProperties>
</file>