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30, 2019</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jc w:val="center"/>
              <w:ind w:left="317"/>
              <w:spacing w:after="0"/>
              <w:rPr>
                <w:sz w:val="20"/>
                <w:szCs w:val="20"/>
                <w:color w:val="auto"/>
              </w:rPr>
            </w:pPr>
            <w:r>
              <w:rPr>
                <w:rFonts w:ascii="Arial" w:cs="Arial" w:eastAsia="Arial" w:hAnsi="Arial"/>
                <w:sz w:val="18"/>
                <w:szCs w:val="18"/>
                <w:color w:val="auto"/>
                <w:w w:val="94"/>
              </w:rPr>
              <w:t>Michigan</w:t>
            </w:r>
          </w:p>
        </w:tc>
        <w:tc>
          <w:tcPr>
            <w:tcW w:w="3380" w:type="dxa"/>
            <w:vAlign w:val="bottom"/>
            <w:gridSpan w:val="3"/>
          </w:tcPr>
          <w:p>
            <w:pPr>
              <w:jc w:val="right"/>
              <w:ind w:right="688"/>
              <w:spacing w:after="0"/>
              <w:rPr>
                <w:sz w:val="20"/>
                <w:szCs w:val="20"/>
                <w:color w:val="auto"/>
              </w:rPr>
            </w:pPr>
            <w:r>
              <w:rPr>
                <w:rFonts w:ascii="Arial" w:cs="Arial" w:eastAsia="Arial" w:hAnsi="Arial"/>
                <w:sz w:val="18"/>
                <w:szCs w:val="18"/>
                <w:color w:val="auto"/>
              </w:rPr>
              <w:t>000-20202</w:t>
            </w:r>
          </w:p>
        </w:tc>
        <w:tc>
          <w:tcPr>
            <w:tcW w:w="540" w:type="dxa"/>
            <w:vAlign w:val="bottom"/>
          </w:tcPr>
          <w:p>
            <w:pPr>
              <w:spacing w:after="0"/>
              <w:rPr>
                <w:sz w:val="20"/>
                <w:szCs w:val="20"/>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27"/>
        </w:trPr>
        <w:tc>
          <w:tcPr>
            <w:tcW w:w="3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jc w:val="center"/>
              <w:ind w:left="317"/>
              <w:spacing w:after="0"/>
              <w:rPr>
                <w:sz w:val="20"/>
                <w:szCs w:val="20"/>
                <w:color w:val="auto"/>
              </w:rPr>
            </w:pPr>
            <w:r>
              <w:rPr>
                <w:rFonts w:ascii="Arial" w:cs="Arial" w:eastAsia="Arial" w:hAnsi="Arial"/>
                <w:sz w:val="14"/>
                <w:szCs w:val="14"/>
                <w:color w:val="auto"/>
                <w:w w:val="95"/>
              </w:rPr>
              <w:t>(State or other jurisdiction of incorporation)</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4"/>
                <w:szCs w:val="14"/>
                <w:color w:val="auto"/>
                <w:w w:val="96"/>
              </w:rPr>
              <w:t>(Commission File Number)</w:t>
            </w:r>
          </w:p>
        </w:tc>
        <w:tc>
          <w:tcPr>
            <w:tcW w:w="12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606"/>
        </w:trPr>
        <w:tc>
          <w:tcPr>
            <w:tcW w:w="3160" w:type="dxa"/>
            <w:vAlign w:val="bottom"/>
          </w:tcPr>
          <w:p>
            <w:pPr>
              <w:jc w:val="center"/>
              <w:ind w:left="397"/>
              <w:spacing w:after="0"/>
              <w:rPr>
                <w:sz w:val="20"/>
                <w:szCs w:val="20"/>
                <w:color w:val="auto"/>
              </w:rPr>
            </w:pPr>
            <w:r>
              <w:rPr>
                <w:rFonts w:ascii="Arial" w:cs="Arial" w:eastAsia="Arial" w:hAnsi="Arial"/>
                <w:sz w:val="18"/>
                <w:szCs w:val="18"/>
                <w:color w:val="auto"/>
                <w:w w:val="91"/>
              </w:rPr>
              <w:t>25505 West Twelve Mile Road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70"/>
        </w:trPr>
        <w:tc>
          <w:tcPr>
            <w:tcW w:w="3160" w:type="dxa"/>
            <w:vAlign w:val="bottom"/>
          </w:tcPr>
          <w:p>
            <w:pPr>
              <w:jc w:val="center"/>
              <w:ind w:left="317"/>
              <w:spacing w:after="0"/>
              <w:rPr>
                <w:sz w:val="20"/>
                <w:szCs w:val="20"/>
                <w:color w:val="auto"/>
              </w:rPr>
            </w:pPr>
            <w:r>
              <w:rPr>
                <w:rFonts w:ascii="Arial" w:cs="Arial" w:eastAsia="Arial" w:hAnsi="Arial"/>
                <w:sz w:val="18"/>
                <w:szCs w:val="18"/>
                <w:color w:val="auto"/>
                <w:w w:val="93"/>
              </w:rPr>
              <w:t>Southfield, Michigan</w:t>
            </w: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7"/>
        </w:trPr>
        <w:tc>
          <w:tcPr>
            <w:tcW w:w="3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84"/>
        </w:trPr>
        <w:tc>
          <w:tcPr>
            <w:tcW w:w="3160" w:type="dxa"/>
            <w:vAlign w:val="bottom"/>
          </w:tcPr>
          <w:p>
            <w:pPr>
              <w:jc w:val="center"/>
              <w:ind w:left="397"/>
              <w:spacing w:after="0"/>
              <w:rPr>
                <w:sz w:val="20"/>
                <w:szCs w:val="20"/>
                <w:color w:val="auto"/>
              </w:rPr>
            </w:pPr>
            <w:r>
              <w:rPr>
                <w:rFonts w:ascii="Arial" w:cs="Arial" w:eastAsia="Arial" w:hAnsi="Arial"/>
                <w:sz w:val="14"/>
                <w:szCs w:val="14"/>
                <w:color w:val="auto"/>
                <w:w w:val="95"/>
              </w:rPr>
              <w:t>(Address of principal executive offices)</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660"/>
        </w:trPr>
        <w:tc>
          <w:tcPr>
            <w:tcW w:w="3160" w:type="dxa"/>
            <w:vAlign w:val="bottom"/>
          </w:tcPr>
          <w:p>
            <w:pPr>
              <w:spacing w:after="0"/>
              <w:rPr>
                <w:sz w:val="24"/>
                <w:szCs w:val="24"/>
                <w:color w:val="auto"/>
              </w:rPr>
            </w:pPr>
          </w:p>
        </w:tc>
        <w:tc>
          <w:tcPr>
            <w:tcW w:w="3920" w:type="dxa"/>
            <w:vAlign w:val="bottom"/>
            <w:gridSpan w:val="4"/>
          </w:tcPr>
          <w:p>
            <w:pPr>
              <w:ind w:left="10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841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106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30, 2019, Credit Acceptance Corporation (the “Company”) issued a press release announcing its financial results for the three months and year ended December 31, 2018 and details for the related January 30, 2019 webcast. The press release is attached as Exhibit 99.1 to this Form 8-K and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are updated disclosures with respect to matters that were last reported in our Quarterly Report on Form 10-Q for the quarter ended September 30, 2018.</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14, 2017, we received a subpoena from the Attorney General of the State of Mississippi, relating to the origination and collection of non-prime auto loans in the state of Mississippi. In connection with this inquiry, we have been informed by representatives of the Attorney General's office that it believes that the Company may have engaged in unfair and deceptive acts or practices relating to the origination and collection of auto loans in violation of the Mississippi Consumer Protection Act.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4, 2014, we received a civil investigative demand from the Office of the Attorney General of the Commonwealth of Massachusetts relating to the origination and collection of non-prime auto loans in Massachusetts. On November 20, 2017 we received a second civil investigation demand from the Office of the Attorney General seeking updated information on its original civil investigation demand, additional information related to the Company's origination and collection of Consumer Loans, and information regarding securitization activities. In connection with this inquiry, we were informed by representatives of the Office of the Attorney General that it believes that the Company may have engaged in unfair and deceptive acts or practices related to the origination and collection of auto loans, which may have caused some of the Company’s representations and warranties contained in securitization documents to be inaccurate. The investigation relating to the origination, collection and securitization of non-prime auto loans and securities transactions by the Office of the Attorney General remains ongoing. We are cooperating with the inquiry and cannot predict the eventual scope, duration or outcome at this time. As a result, we are unable to estimate the reasonably possible loss or range of reasonably possible loss arising from this investigation.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27"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 No.</w:t>
            </w:r>
          </w:p>
        </w:tc>
        <w:tc>
          <w:tcPr>
            <w:tcW w:w="91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right"/>
              <w:spacing w:after="0" w:line="202"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91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Press Release dated January 30, 2019.</w:t>
            </w:r>
          </w:p>
        </w:tc>
      </w:tr>
    </w:tbl>
    <w:p>
      <w:pPr>
        <w:sectPr>
          <w:pgSz w:w="11900" w:h="16838" w:orient="portrait"/>
          <w:cols w:equalWidth="0" w:num="1">
            <w:col w:w="11420"/>
          </w:cols>
          <w:pgMar w:left="240" w:top="52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CREDIT ACCEPTANCE CORPORATION</w:t>
      </w:r>
    </w:p>
    <w:p>
      <w:pPr>
        <w:spacing w:after="0" w:line="360" w:lineRule="exact"/>
        <w:rPr>
          <w:sz w:val="20"/>
          <w:szCs w:val="20"/>
          <w:color w:val="auto"/>
        </w:rPr>
      </w:pPr>
    </w:p>
    <w:p>
      <w:pPr>
        <w:ind w:left="40"/>
        <w:spacing w:after="0"/>
        <w:tabs>
          <w:tab w:leader="none" w:pos="5620" w:val="left"/>
          <w:tab w:leader="none" w:pos="6080" w:val="left"/>
        </w:tabs>
        <w:rPr>
          <w:sz w:val="20"/>
          <w:szCs w:val="20"/>
          <w:color w:val="auto"/>
        </w:rPr>
      </w:pPr>
      <w:r>
        <w:rPr>
          <w:rFonts w:ascii="Arial" w:cs="Arial" w:eastAsia="Arial" w:hAnsi="Arial"/>
          <w:sz w:val="18"/>
          <w:szCs w:val="18"/>
          <w:color w:val="auto"/>
        </w:rPr>
        <w:t>Date: January 30,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02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January 30, 2019</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2018 EARNINGS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Southfield, Michigan – January 30, 2019 – Credit Acceptance Corporation (Nasdaq: CACC) </w:t>
      </w:r>
      <w:r>
        <w:rPr>
          <w:rFonts w:ascii="Arial" w:cs="Arial" w:eastAsia="Arial" w:hAnsi="Arial"/>
          <w:sz w:val="18"/>
          <w:szCs w:val="18"/>
          <w:color w:val="auto"/>
        </w:rPr>
        <w:t>(referred to as the “Company”, “Credit Acceptance”, “we”,</w:t>
      </w:r>
      <w:r>
        <w:rPr>
          <w:rFonts w:ascii="Arial" w:cs="Arial" w:eastAsia="Arial" w:hAnsi="Arial"/>
          <w:sz w:val="18"/>
          <w:szCs w:val="18"/>
          <w:b w:val="1"/>
          <w:bCs w:val="1"/>
          <w:color w:val="auto"/>
        </w:rPr>
        <w:t xml:space="preserve"> </w:t>
      </w:r>
      <w:r>
        <w:rPr>
          <w:rFonts w:ascii="Arial" w:cs="Arial" w:eastAsia="Arial" w:hAnsi="Arial"/>
          <w:sz w:val="18"/>
          <w:szCs w:val="18"/>
          <w:color w:val="auto"/>
        </w:rPr>
        <w:t>“our”, or “us”) today announced consolidated net income of $151.9 million, or $7.79 per diluted share, for the three months ended December 31, 2018 compared to consolidated net income of $177.1 million, or $9.10 per diluted share, for the same period in 2017. For the year ended December 31, 2018, consolidated net income was $574.0 million, or $29.39 per diluted share, compared to consolidated net income of $470.2 million, or $24.04 per diluted share, for the same period in 2017.</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net income, a non-GAAP financial measure, for the three months ended December 31, 2018 was $153.0 million, or $7.85 per diluted share, compared to $100.5 million, or $5.16 per diluted share, for the same period in 2017. For the year ended December 31, 2018, adjusted net income was $554.5 million, or $28.39 per diluted share, compared to adjusted net income of $399.8 million, or $20.44 per diluted share, for the same period in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Details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will host a webcast on January 30, 2019 at 5:00 p.m. Eastern Time to answer questions related to our fourth quarter and full year results. The webcast can be accessed live by visiting the “Investor Relations” section of our website at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 xml:space="preserve"> or by dialing 877-303-2904. Additionally, a replay and transcript of the webcast will be archived in the “Investor Relations” section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Consumer Loan Metrics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 a non-GAAP financial measure that considers our return on capital, our cost of capital and the amount of capital invested.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December 31, 2018 with the forecasts as of September 30, 2018, December 31, 2017 and at the time of assignment, segmented by year of assignment: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Forecasted Collection Percentage as of (1)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5"/>
          </w:tcPr>
          <w:p>
            <w:pPr>
              <w:jc w:val="center"/>
              <w:ind w:left="933"/>
              <w:spacing w:after="0"/>
              <w:rPr>
                <w:sz w:val="20"/>
                <w:szCs w:val="20"/>
                <w:color w:val="auto"/>
              </w:rPr>
            </w:pPr>
            <w:r>
              <w:rPr>
                <w:rFonts w:ascii="Arial" w:cs="Arial" w:eastAsia="Arial" w:hAnsi="Arial"/>
                <w:sz w:val="14"/>
                <w:szCs w:val="14"/>
                <w:b w:val="1"/>
                <w:bCs w:val="1"/>
                <w:color w:val="auto"/>
                <w:w w:val="94"/>
              </w:rPr>
              <w:t>Current Forecast Variance from</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Consumer Loan</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13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Initial</w:t>
            </w: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2018</w:t>
            </w:r>
          </w:p>
        </w:tc>
        <w:tc>
          <w:tcPr>
            <w:tcW w:w="17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1"/>
              </w:rPr>
              <w:t>December 31, 2017</w:t>
            </w:r>
          </w:p>
        </w:tc>
        <w:tc>
          <w:tcPr>
            <w:tcW w:w="9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92"/>
        </w:trPr>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Assignment Year</w:t>
            </w:r>
          </w:p>
        </w:tc>
        <w:tc>
          <w:tcPr>
            <w:tcW w:w="13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Forecast</w:t>
            </w:r>
          </w:p>
        </w:tc>
        <w:tc>
          <w:tcPr>
            <w:tcW w:w="1420" w:type="dxa"/>
            <w:vAlign w:val="bottom"/>
            <w:gridSpan w:val="2"/>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50"/>
        </w:trPr>
        <w:tc>
          <w:tcPr>
            <w:tcW w:w="1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16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1680" w:type="dxa"/>
            <w:vAlign w:val="bottom"/>
          </w:tcPr>
          <w:p>
            <w:pPr>
              <w:jc w:val="right"/>
              <w:ind w:right="333"/>
              <w:spacing w:after="0"/>
              <w:rPr>
                <w:sz w:val="20"/>
                <w:szCs w:val="20"/>
                <w:color w:val="auto"/>
              </w:rPr>
            </w:pPr>
            <w:r>
              <w:rPr>
                <w:rFonts w:ascii="Arial" w:cs="Arial" w:eastAsia="Arial" w:hAnsi="Arial"/>
                <w:sz w:val="18"/>
                <w:szCs w:val="18"/>
                <w:color w:val="auto"/>
              </w:rPr>
              <w:t>2018 (2)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500" w:hanging="330"/>
        <w:spacing w:after="0" w:line="247" w:lineRule="auto"/>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500" w:hanging="330"/>
        <w:spacing w:after="0" w:line="255" w:lineRule="auto"/>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forecasted collection rate for 2018 Consumer Loans as of December 31, 2018 includes both Consumer Loans that were in our portfolio as of September 30, 2018 and Consumer Loans assigned during the most recent quarter. The following table provides forecasted collection rates for each of these segments: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40" w:type="dxa"/>
            <w:vAlign w:val="bottom"/>
            <w:tcBorders>
              <w:bottom w:val="single" w:sz="8" w:color="auto"/>
            </w:tcBorders>
            <w:gridSpan w:val="5"/>
          </w:tcPr>
          <w:p>
            <w:pPr>
              <w:jc w:val="right"/>
              <w:ind w:right="896"/>
              <w:spacing w:after="0"/>
              <w:rPr>
                <w:sz w:val="20"/>
                <w:szCs w:val="20"/>
                <w:color w:val="auto"/>
              </w:rPr>
            </w:pPr>
            <w:r>
              <w:rPr>
                <w:rFonts w:ascii="Arial" w:cs="Arial" w:eastAsia="Arial" w:hAnsi="Arial"/>
                <w:sz w:val="14"/>
                <w:szCs w:val="14"/>
                <w:b w:val="1"/>
                <w:bCs w:val="1"/>
                <w:color w:val="auto"/>
              </w:rPr>
              <w:t>Forecasted Collection Percentage as of</w:t>
            </w:r>
          </w:p>
        </w:tc>
        <w:tc>
          <w:tcPr>
            <w:tcW w:w="1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Current Forecast Variance from</w:t>
            </w:r>
          </w:p>
        </w:tc>
      </w:tr>
      <w:tr>
        <w:trPr>
          <w:trHeight w:val="26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 Consumer Loan Assignment Period</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30, 2018</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Initial Forecast</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Initial Forecast</w:t>
            </w: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2018 through September 30, 2018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October 1, 2018 through December 31, 2018</w:t>
            </w:r>
          </w:p>
        </w:tc>
        <w:tc>
          <w:tcPr>
            <w:tcW w:w="13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3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Consumer Loans assigned in 2009 through 2013, 2017 and 2018 have yielded forecasted collection results materially better than our initial estimates, while Consumer Loans assigned in 2015 and 2016 have yielded forecasted collection results materially worse than our initial estimates. For Consumer Loans assigned in 2014, actual results have been close to our initial estimates. For the three months ended December 31, 2018, forecasted collection rates improved for Consumer Loans assigned in 2018 and were generally consistent with expectations at the start of the period for all other assignment years presented. For the year ended December 31, 2018, forecasted collection rates improved for Consumer Loans assigned in 2018, declined for Consumer Loans assigned in 2016 and were generally consistent with expectations at the start of the period for all other assignment years presented.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The changes in forecasted collection rates for the three months and year ended December 31, 2018 and 2017 impacted forecasted net cash flows (forecasted collections less forecasted dealer holdback payments)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(In millions)</w:t>
            </w:r>
          </w:p>
        </w:tc>
        <w:tc>
          <w:tcPr>
            <w:tcW w:w="272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 Ended December</w:t>
            </w:r>
          </w:p>
        </w:tc>
        <w:tc>
          <w:tcPr>
            <w:tcW w:w="180" w:type="dxa"/>
            <w:vAlign w:val="bottom"/>
          </w:tcPr>
          <w:p>
            <w:pPr>
              <w:spacing w:after="0"/>
              <w:rPr>
                <w:sz w:val="14"/>
                <w:szCs w:val="14"/>
                <w:color w:val="auto"/>
              </w:rPr>
            </w:pPr>
          </w:p>
        </w:tc>
        <w:tc>
          <w:tcPr>
            <w:tcW w:w="2440" w:type="dxa"/>
            <w:vAlign w:val="bottom"/>
            <w:gridSpan w:val="4"/>
            <w:vMerge w:val="restart"/>
          </w:tcPr>
          <w:p>
            <w:pPr>
              <w:jc w:val="right"/>
              <w:ind w:right="134"/>
              <w:spacing w:after="0"/>
              <w:rPr>
                <w:sz w:val="20"/>
                <w:szCs w:val="20"/>
                <w:color w:val="auto"/>
              </w:rPr>
            </w:pPr>
            <w:r>
              <w:rPr>
                <w:rFonts w:ascii="Arial" w:cs="Arial" w:eastAsia="Arial" w:hAnsi="Arial"/>
                <w:sz w:val="14"/>
                <w:szCs w:val="14"/>
                <w:b w:val="1"/>
                <w:bCs w:val="1"/>
                <w:color w:val="auto"/>
                <w:w w:val="95"/>
              </w:rPr>
              <w:t>For the Years Ended December 31,</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1"/>
              </w:rPr>
              <w:t>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Dealer loans</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Purchased loans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10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Consumer Loan Assignment Year</w:t>
            </w:r>
          </w:p>
        </w:tc>
        <w:tc>
          <w:tcPr>
            <w:tcW w:w="180" w:type="dxa"/>
            <w:vAlign w:val="bottom"/>
          </w:tcPr>
          <w:p>
            <w:pPr>
              <w:spacing w:after="0"/>
              <w:rPr>
                <w:sz w:val="13"/>
                <w:szCs w:val="13"/>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Consumer Loan (1)</w:t>
            </w:r>
          </w:p>
        </w:tc>
        <w:tc>
          <w:tcPr>
            <w:tcW w:w="28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Advance (2)</w:t>
            </w:r>
          </w:p>
        </w:tc>
        <w:tc>
          <w:tcPr>
            <w:tcW w:w="160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rPr>
              <w:t>Initial Loan Term (in</w:t>
            </w:r>
          </w:p>
        </w:tc>
        <w:tc>
          <w:tcPr>
            <w:tcW w:w="0" w:type="dxa"/>
            <w:vAlign w:val="bottom"/>
          </w:tcPr>
          <w:p>
            <w:pPr>
              <w:spacing w:after="0"/>
              <w:rPr>
                <w:sz w:val="1"/>
                <w:szCs w:val="1"/>
                <w:color w:val="auto"/>
              </w:rPr>
            </w:pPr>
          </w:p>
        </w:tc>
      </w:tr>
      <w:tr>
        <w:trPr>
          <w:trHeight w:val="192"/>
        </w:trPr>
        <w:tc>
          <w:tcPr>
            <w:tcW w:w="6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0" w:type="dxa"/>
            <w:vAlign w:val="bottom"/>
          </w:tcPr>
          <w:p>
            <w:pPr>
              <w:jc w:val="right"/>
              <w:ind w:right="453"/>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6280" w:type="dxa"/>
            <w:vAlign w:val="bottom"/>
            <w:tcBorders>
              <w:top w:val="single" w:sz="8" w:color="auto"/>
              <w:bottom w:val="single" w:sz="8" w:color="CCEEFF"/>
            </w:tcBorders>
            <w:shd w:val="clear" w:color="auto" w:fill="CCEEFF"/>
          </w:tcPr>
          <w:p>
            <w:pPr>
              <w:ind w:left="2960"/>
              <w:spacing w:after="0"/>
              <w:rPr>
                <w:sz w:val="20"/>
                <w:szCs w:val="20"/>
                <w:color w:val="auto"/>
              </w:rPr>
            </w:pPr>
            <w:r>
              <w:rPr>
                <w:rFonts w:ascii="Arial" w:cs="Arial" w:eastAsia="Arial" w:hAnsi="Arial"/>
                <w:sz w:val="18"/>
                <w:szCs w:val="18"/>
                <w:color w:val="auto"/>
              </w:rPr>
              <w:t>2009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280" w:type="dxa"/>
            <w:vAlign w:val="bottom"/>
          </w:tcPr>
          <w:p>
            <w:pPr>
              <w:ind w:left="296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14,480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6,473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98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280" w:type="dxa"/>
            <w:vAlign w:val="bottom"/>
          </w:tcPr>
          <w:p>
            <w:pPr>
              <w:ind w:left="296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96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280" w:type="dxa"/>
            <w:vAlign w:val="bottom"/>
          </w:tcPr>
          <w:p>
            <w:pPr>
              <w:ind w:left="29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96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280" w:type="dxa"/>
            <w:vAlign w:val="bottom"/>
          </w:tcPr>
          <w:p>
            <w:pPr>
              <w:ind w:left="296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96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6280" w:type="dxa"/>
            <w:vAlign w:val="bottom"/>
          </w:tcPr>
          <w:p>
            <w:pPr>
              <w:ind w:left="2960"/>
              <w:spacing w:after="0"/>
              <w:rPr>
                <w:sz w:val="20"/>
                <w:szCs w:val="20"/>
                <w:color w:val="auto"/>
              </w:rPr>
            </w:pPr>
            <w:r>
              <w:rPr>
                <w:rFonts w:ascii="Arial" w:cs="Arial" w:eastAsia="Arial" w:hAnsi="Arial"/>
                <w:sz w:val="18"/>
                <w:szCs w:val="18"/>
                <w:color w:val="auto"/>
              </w:rPr>
              <w:t>2018 (3)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22,158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63" w:lineRule="exact"/>
        <w:rPr>
          <w:rFonts w:ascii="Arial" w:cs="Arial" w:eastAsia="Arial" w:hAnsi="Arial"/>
          <w:sz w:val="14"/>
          <w:szCs w:val="14"/>
          <w:color w:val="auto"/>
        </w:rPr>
      </w:pPr>
    </w:p>
    <w:p>
      <w:pPr>
        <w:ind w:left="500" w:right="20" w:hanging="330"/>
        <w:spacing w:after="0" w:line="27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19" w:lineRule="exact"/>
        <w:rPr>
          <w:rFonts w:ascii="Arial" w:cs="Arial" w:eastAsia="Arial" w:hAnsi="Arial"/>
          <w:sz w:val="14"/>
          <w:szCs w:val="14"/>
          <w:color w:val="auto"/>
        </w:rPr>
      </w:pPr>
    </w:p>
    <w:p>
      <w:pPr>
        <w:ind w:left="500" w:hanging="330"/>
        <w:spacing w:after="0" w:line="273"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averages for 2018 Consumer Loans include both Consumer Loans that were in our portfolio as of September 30, 2018 and Consumer Loans assigned during the most recent quarter. The following table provides averages for each of these segments: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Average</w:t>
            </w: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2018 Consumer Loan Assignment Period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Consumer Loan</w:t>
            </w:r>
          </w:p>
        </w:tc>
        <w:tc>
          <w:tcPr>
            <w:tcW w:w="100" w:type="dxa"/>
            <w:vAlign w:val="bottom"/>
            <w:vMerge w:val="restart"/>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Advance</w:t>
            </w:r>
          </w:p>
        </w:tc>
        <w:tc>
          <w:tcPr>
            <w:tcW w:w="120" w:type="dxa"/>
            <w:vAlign w:val="bottom"/>
            <w:vMerge w:val="restart"/>
          </w:tcPr>
          <w:p>
            <w:pPr>
              <w:spacing w:after="0"/>
              <w:rPr>
                <w:sz w:val="13"/>
                <w:szCs w:val="13"/>
                <w:color w:val="auto"/>
              </w:rPr>
            </w:pPr>
          </w:p>
        </w:tc>
        <w:tc>
          <w:tcPr>
            <w:tcW w:w="178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Initial Loan Term (in</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 through September 30, 2018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9,580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October 1, 2018 through December 31, 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9,830</w:t>
            </w:r>
          </w:p>
        </w:tc>
        <w:tc>
          <w:tcPr>
            <w:tcW w:w="12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presents forecasted Consumer Loan collection rates, advance rates, the spread (the forecasted collection rate less the advance rate), and the percentage of the forecasted collections that had been realized as of December 31, 2018. All amounts, unless otherwise noted, are presented as a percentage of the initial balance of the Consumer Loan (principal + interest). The table includes both dealer loans and purchased loans.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As of December 31, 2018</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Consumer Loan Assignment Year</w:t>
            </w:r>
          </w:p>
        </w:tc>
        <w:tc>
          <w:tcPr>
            <w:tcW w:w="1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Forecasted</w:t>
            </w:r>
          </w:p>
        </w:tc>
        <w:tc>
          <w:tcPr>
            <w:tcW w:w="17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Advance % (1)</w:t>
            </w:r>
          </w:p>
        </w:tc>
        <w:tc>
          <w:tcPr>
            <w:tcW w:w="17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Spread %</w:t>
            </w:r>
          </w:p>
        </w:tc>
        <w:tc>
          <w:tcPr>
            <w:tcW w:w="164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192"/>
        </w:trPr>
        <w:tc>
          <w:tcPr>
            <w:tcW w:w="454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Collection %</w:t>
            </w:r>
          </w:p>
        </w:tc>
        <w:tc>
          <w:tcPr>
            <w:tcW w:w="17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40" w:type="dxa"/>
            <w:vAlign w:val="bottom"/>
          </w:tcPr>
          <w:p>
            <w:pPr>
              <w:jc w:val="right"/>
              <w:ind w:right="37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50"/>
        </w:trPr>
        <w:tc>
          <w:tcPr>
            <w:tcW w:w="4440" w:type="dxa"/>
            <w:vAlign w:val="bottom"/>
            <w:tcBorders>
              <w:top w:val="single" w:sz="8" w:color="auto"/>
              <w:bottom w:val="single" w:sz="8" w:color="CCEEFF"/>
            </w:tcBorders>
            <w:shd w:val="clear" w:color="auto" w:fill="CCEEFF"/>
          </w:tcPr>
          <w:p>
            <w:pPr>
              <w:ind w:left="2040"/>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4440" w:type="dxa"/>
            <w:vAlign w:val="bottom"/>
          </w:tcPr>
          <w:p>
            <w:pPr>
              <w:ind w:left="204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43"/>
        </w:trPr>
        <w:tc>
          <w:tcPr>
            <w:tcW w:w="4440" w:type="dxa"/>
            <w:vAlign w:val="bottom"/>
          </w:tcPr>
          <w:p>
            <w:pPr>
              <w:ind w:left="204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4440" w:type="dxa"/>
            <w:vAlign w:val="bottom"/>
          </w:tcPr>
          <w:p>
            <w:pPr>
              <w:ind w:left="204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43"/>
        </w:trPr>
        <w:tc>
          <w:tcPr>
            <w:tcW w:w="4440" w:type="dxa"/>
            <w:vAlign w:val="bottom"/>
          </w:tcPr>
          <w:p>
            <w:pPr>
              <w:ind w:left="204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440" w:type="dxa"/>
            <w:vAlign w:val="bottom"/>
          </w:tcPr>
          <w:p>
            <w:pPr>
              <w:ind w:left="2020"/>
              <w:spacing w:after="0"/>
              <w:rPr>
                <w:sz w:val="20"/>
                <w:szCs w:val="20"/>
                <w:color w:val="auto"/>
              </w:rPr>
            </w:pPr>
            <w:r>
              <w:rPr>
                <w:rFonts w:ascii="Arial" w:cs="Arial" w:eastAsia="Arial" w:hAnsi="Arial"/>
                <w:sz w:val="18"/>
                <w:szCs w:val="18"/>
                <w:color w:val="auto"/>
              </w:rPr>
              <w:t>2018 (3)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right="20" w:hanging="330"/>
        <w:spacing w:after="0" w:line="312"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97" w:lineRule="exact"/>
        <w:rPr>
          <w:rFonts w:ascii="Arial" w:cs="Arial" w:eastAsia="Arial" w:hAnsi="Arial"/>
          <w:sz w:val="13"/>
          <w:szCs w:val="13"/>
          <w:color w:val="auto"/>
        </w:rPr>
      </w:pPr>
    </w:p>
    <w:p>
      <w:pPr>
        <w:ind w:left="500" w:hanging="330"/>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spacing w:after="0" w:line="163" w:lineRule="exact"/>
        <w:rPr>
          <w:rFonts w:ascii="Arial" w:cs="Arial" w:eastAsia="Arial" w:hAnsi="Arial"/>
          <w:sz w:val="14"/>
          <w:szCs w:val="14"/>
          <w:color w:val="auto"/>
        </w:rPr>
      </w:pPr>
    </w:p>
    <w:p>
      <w:pPr>
        <w:ind w:left="500" w:hanging="33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forecasted collection rate, advance rate and spread for 2018 Consumer Loans as of December 31, 2018 include both Consumer Loans that were in our portfolio as of September 30,</w:t>
      </w:r>
    </w:p>
    <w:p>
      <w:pPr>
        <w:spacing w:after="0" w:line="24"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3"/>
          <w:szCs w:val="13"/>
          <w:color w:val="auto"/>
        </w:rPr>
        <w:t>2018 and Consumer Loans assigned during the most recent quarter. The following table provides forecasted collection rates, advance rates and spreads for each of these segments: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120" w:type="dxa"/>
            <w:vAlign w:val="bottom"/>
            <w:tcBorders>
              <w:bottom w:val="single" w:sz="8" w:color="auto"/>
            </w:tcBorders>
          </w:tcPr>
          <w:p>
            <w:pPr>
              <w:spacing w:after="0"/>
              <w:rPr>
                <w:sz w:val="16"/>
                <w:szCs w:val="16"/>
                <w:color w:val="auto"/>
              </w:rPr>
            </w:pPr>
          </w:p>
        </w:tc>
      </w:tr>
      <w:tr>
        <w:trPr>
          <w:trHeight w:val="179"/>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Forecasted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9"/>
        </w:trPr>
        <w:tc>
          <w:tcPr>
            <w:tcW w:w="7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 Consumer Loan Assignment Period</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Collection %</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Advance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Spread %</w:t>
            </w: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2018 through September 30,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October 1, 2018 through December 31, 2018</w:t>
            </w: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3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2014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spread between the forecasted collection rate and the advance rate has ranged from 20.4% to 35.7%, on an annual basis, over the last 10 years. The spread was at the high end of this range in 2009 and 2010, when the competitive environment was unusually favorable, and much lower during other years (2015 through 2018) when competition was more intense. The decrease in the spread from 2017 to 2018 was the result of a change in the mix of Consumer Loan assignments received during 2018, including an increase in purchased loans as a percentage of total unit volume.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the spread from the first nine months of 2018 to the fourth quarter of 2018 was primarily the result of the performance of Consumer Loans assigned to us during the first nine months of 2018, which has exceeded our initial estimates by a greater margin than those assigned to us during the fourth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7" w:name="page8"/>
    <w:bookmarkEnd w:id="7"/>
    <w:p>
      <w:pPr>
        <w:ind w:right="20"/>
        <w:spacing w:after="0" w:line="277" w:lineRule="auto"/>
        <w:rPr>
          <w:sz w:val="20"/>
          <w:szCs w:val="20"/>
          <w:color w:val="auto"/>
        </w:rPr>
      </w:pPr>
      <w:r>
        <w:rPr>
          <w:rFonts w:ascii="Arial" w:cs="Arial" w:eastAsia="Arial" w:hAnsi="Arial"/>
          <w:sz w:val="18"/>
          <w:szCs w:val="18"/>
          <w:color w:val="auto"/>
        </w:rPr>
        <w:t>The following table compares our forecast of Consumer Loan collection rates as of December 31, 2018 with the forecasts at the time of assignment, for dealer loans and purchased loans separately:</w:t>
      </w:r>
    </w:p>
    <w:p>
      <w:pPr>
        <w:sectPr>
          <w:pgSz w:w="11900" w:h="16838" w:orient="portrait"/>
          <w:cols w:equalWidth="0" w:num="1">
            <w:col w:w="11420"/>
          </w:cols>
          <w:pgMar w:left="240" w:top="530" w:right="239" w:bottom="1440" w:gutter="0" w:footer="0" w:header="0"/>
        </w:sectPr>
      </w:pPr>
    </w:p>
    <w:p>
      <w:pPr>
        <w:spacing w:after="0" w:line="392"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23495</wp:posOffset>
            </wp:positionV>
            <wp:extent cx="2804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03" w:lineRule="exact"/>
        <w:rPr>
          <w:sz w:val="20"/>
          <w:szCs w:val="20"/>
          <w:color w:val="auto"/>
        </w:rPr>
      </w:pPr>
    </w:p>
    <w:p>
      <w:pPr>
        <w:ind w:left="266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38100</wp:posOffset>
            </wp:positionV>
            <wp:extent cx="1835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ind w:right="1680"/>
        <w:spacing w:after="0"/>
        <w:rPr>
          <w:sz w:val="20"/>
          <w:szCs w:val="20"/>
          <w:color w:val="auto"/>
        </w:rPr>
      </w:pPr>
      <w:r>
        <w:rPr>
          <w:rFonts w:ascii="Arial" w:cs="Arial" w:eastAsia="Arial" w:hAnsi="Arial"/>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23495</wp:posOffset>
            </wp:positionV>
            <wp:extent cx="278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03" w:lineRule="exact"/>
        <w:rPr>
          <w:sz w:val="20"/>
          <w:szCs w:val="20"/>
          <w:color w:val="auto"/>
        </w:rPr>
      </w:pPr>
    </w:p>
    <w:p>
      <w:pPr>
        <w:jc w:val="right"/>
        <w:ind w:right="16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38100</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6460" w:space="720"/>
            <w:col w:w="4240"/>
          </w:cols>
          <w:pgMar w:left="240" w:top="530" w:right="2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2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Consumer Loan Assignment Year</w:t>
            </w: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5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2"/>
        </w:trPr>
        <w:tc>
          <w:tcPr>
            <w:tcW w:w="2440" w:type="dxa"/>
            <w:vAlign w:val="bottom"/>
            <w:gridSpan w:val="2"/>
            <w:vMerge w:val="continue"/>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52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23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3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3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3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3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December 31, 2018 for dealer loans and purchased loans separately. All amounts are presented as a percentage of the initial balance of the Consumer Loan (principal + interest).</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Dealer Loans</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Purchased Loans</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Consumer Loan Assignment Year</w:t>
            </w:r>
          </w:p>
        </w:tc>
        <w:tc>
          <w:tcPr>
            <w:tcW w:w="15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8"/>
              </w:rPr>
              <w:t>Forecasted Collection</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Advance % (1)(2)</w:t>
            </w: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Spread %</w:t>
            </w:r>
          </w:p>
        </w:tc>
        <w:tc>
          <w:tcPr>
            <w:tcW w:w="152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2"/>
              </w:rPr>
              <w:t>Forecasted Collection</w:t>
            </w: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Advance % (1)(2)</w:t>
            </w:r>
          </w:p>
        </w:tc>
        <w:tc>
          <w:tcPr>
            <w:tcW w:w="13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92"/>
        </w:trPr>
        <w:tc>
          <w:tcPr>
            <w:tcW w:w="248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33"/>
              <w:spacing w:after="0"/>
              <w:rPr>
                <w:sz w:val="20"/>
                <w:szCs w:val="20"/>
                <w:color w:val="auto"/>
              </w:rPr>
            </w:pPr>
            <w:r>
              <w:rPr>
                <w:rFonts w:ascii="Arial" w:cs="Arial" w:eastAsia="Arial" w:hAnsi="Arial"/>
                <w:sz w:val="14"/>
                <w:szCs w:val="14"/>
                <w:b w:val="1"/>
                <w:bCs w:val="1"/>
                <w:color w:val="auto"/>
              </w:rPr>
              <w:t>% (1)</w:t>
            </w: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23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3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23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23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23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63" w:lineRule="exact"/>
        <w:rPr>
          <w:rFonts w:ascii="Arial" w:cs="Arial" w:eastAsia="Arial" w:hAnsi="Arial"/>
          <w:sz w:val="14"/>
          <w:szCs w:val="14"/>
          <w:color w:val="auto"/>
        </w:rPr>
      </w:pPr>
    </w:p>
    <w:p>
      <w:pPr>
        <w:ind w:left="500" w:right="20" w:hanging="330"/>
        <w:spacing w:after="0" w:line="312" w:lineRule="auto"/>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spread on dealer loans decreased from 22.7% in 2017 to 22.0% in 2018 primarily as a result of a change in the mix of Consumer Loan assignments.</w:t>
      </w:r>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spread on purchased loans decreased from 21.2% in 2017 to 20.4% in 2018 primarily as a result of a change in the mix of Consumer Loan assignments and the performance of the 2017 Consumer Loans, which has exceeded our initial estimates by a greater margin than those assigned to us in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eight quarters as compared to the same period in the previous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tcBorders>
              <w:bottom w:val="single" w:sz="8" w:color="auto"/>
            </w:tcBorders>
            <w:gridSpan w:val="3"/>
          </w:tcPr>
          <w:p>
            <w:pPr>
              <w:jc w:val="right"/>
              <w:ind w:right="952"/>
              <w:spacing w:after="0"/>
              <w:rPr>
                <w:sz w:val="20"/>
                <w:szCs w:val="20"/>
                <w:color w:val="auto"/>
              </w:rPr>
            </w:pPr>
            <w:r>
              <w:rPr>
                <w:rFonts w:ascii="Arial" w:cs="Arial" w:eastAsia="Arial" w:hAnsi="Arial"/>
                <w:sz w:val="14"/>
                <w:szCs w:val="14"/>
                <w:b w:val="1"/>
                <w:bCs w:val="1"/>
                <w:color w:val="auto"/>
              </w:rPr>
              <w:t>Year over Year Percent Change</w:t>
            </w:r>
          </w:p>
        </w:tc>
      </w:tr>
      <w:tr>
        <w:trPr>
          <w:trHeight w:val="264"/>
        </w:trPr>
        <w:tc>
          <w:tcPr>
            <w:tcW w:w="71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Unit Volume</w:t>
            </w:r>
          </w:p>
        </w:tc>
        <w:tc>
          <w:tcPr>
            <w:tcW w:w="2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Dollar Volume (1)</w:t>
            </w: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1900" w:type="dxa"/>
            <w:vAlign w:val="bottom"/>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7"/>
        </w:trPr>
        <w:tc>
          <w:tcPr>
            <w:tcW w:w="7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1900" w:type="dxa"/>
            <w:vAlign w:val="bottom"/>
          </w:tcPr>
          <w:p>
            <w:pPr>
              <w:jc w:val="right"/>
              <w:spacing w:after="0"/>
              <w:rPr>
                <w:sz w:val="20"/>
                <w:szCs w:val="20"/>
                <w:color w:val="auto"/>
              </w:rPr>
            </w:pPr>
            <w:r>
              <w:rPr>
                <w:rFonts w:ascii="Arial" w:cs="Arial" w:eastAsia="Arial" w:hAnsi="Arial"/>
                <w:sz w:val="18"/>
                <w:szCs w:val="18"/>
                <w:color w:val="auto"/>
              </w:rPr>
              <w:t>10.8 %</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26.2 %</w:t>
            </w:r>
          </w:p>
        </w:tc>
      </w:tr>
      <w:tr>
        <w:trPr>
          <w:trHeight w:val="27"/>
        </w:trPr>
        <w:tc>
          <w:tcPr>
            <w:tcW w:w="7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1900" w:type="dxa"/>
            <w:vAlign w:val="bottom"/>
          </w:tcPr>
          <w:p>
            <w:pPr>
              <w:jc w:val="right"/>
              <w:spacing w:after="0"/>
              <w:rPr>
                <w:sz w:val="20"/>
                <w:szCs w:val="20"/>
                <w:color w:val="auto"/>
              </w:rPr>
            </w:pPr>
            <w:r>
              <w:rPr>
                <w:rFonts w:ascii="Arial" w:cs="Arial" w:eastAsia="Arial" w:hAnsi="Arial"/>
                <w:sz w:val="18"/>
                <w:szCs w:val="18"/>
                <w:color w:val="auto"/>
              </w:rPr>
              <w:t>19.8 %</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34.7 %</w:t>
            </w:r>
          </w:p>
        </w:tc>
      </w:tr>
      <w:tr>
        <w:trPr>
          <w:trHeight w:val="27"/>
        </w:trPr>
        <w:tc>
          <w:tcPr>
            <w:tcW w:w="7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43"/>
        </w:trPr>
        <w:tc>
          <w:tcPr>
            <w:tcW w:w="738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1900" w:type="dxa"/>
            <w:vAlign w:val="bottom"/>
          </w:tcPr>
          <w:p>
            <w:pPr>
              <w:jc w:val="right"/>
              <w:spacing w:after="0"/>
              <w:rPr>
                <w:sz w:val="20"/>
                <w:szCs w:val="20"/>
                <w:color w:val="auto"/>
              </w:rPr>
            </w:pPr>
            <w:r>
              <w:rPr>
                <w:rFonts w:ascii="Arial" w:cs="Arial" w:eastAsia="Arial" w:hAnsi="Arial"/>
                <w:sz w:val="18"/>
                <w:szCs w:val="18"/>
                <w:color w:val="auto"/>
              </w:rPr>
              <w:t>5.9 %</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12.4 %</w:t>
            </w:r>
          </w:p>
        </w:tc>
      </w:tr>
    </w:tbl>
    <w:p>
      <w:pPr>
        <w:spacing w:after="0" w:line="224" w:lineRule="exact"/>
        <w:rPr>
          <w:sz w:val="20"/>
          <w:szCs w:val="20"/>
          <w:color w:val="auto"/>
        </w:rPr>
      </w:pPr>
    </w:p>
    <w:p>
      <w:pPr>
        <w:ind w:left="500" w:right="20" w:hanging="330"/>
        <w:spacing w:after="0" w:line="27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 and dollar volumes grew 5.9% and 12.4%, respectively, during the fourth quarter of 2018 as the number of active dealers grew 12.1% while average unit volume per active dealer declined 6.1%. Dollar volume grew faster than unit volume during the fourth quarter of 2018 due to an increase in the average advance paid per unit. This increase was the result of an increase in the average size of the Consumer Loans assigned primarily due to increases in the average vehicle selling price and average initial loan term and an increase in purchased loans as a percentage of total unit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2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4"/>
                <w:szCs w:val="14"/>
                <w:b w:val="1"/>
                <w:bCs w:val="1"/>
                <w:color w:val="auto"/>
              </w:rPr>
              <w:t>For the Three Months Ended December 31,</w:t>
            </w:r>
          </w:p>
        </w:tc>
        <w:tc>
          <w:tcPr>
            <w:tcW w:w="120" w:type="dxa"/>
            <w:vAlign w:val="bottom"/>
          </w:tcPr>
          <w:p>
            <w:pPr>
              <w:spacing w:after="0"/>
              <w:rPr>
                <w:sz w:val="16"/>
                <w:szCs w:val="16"/>
                <w:color w:val="auto"/>
              </w:rPr>
            </w:pPr>
          </w:p>
        </w:tc>
        <w:tc>
          <w:tcPr>
            <w:tcW w:w="4020" w:type="dxa"/>
            <w:vAlign w:val="bottom"/>
            <w:tcBorders>
              <w:bottom w:val="single" w:sz="8" w:color="auto"/>
            </w:tcBorders>
            <w:gridSpan w:val="5"/>
          </w:tcPr>
          <w:p>
            <w:pPr>
              <w:jc w:val="right"/>
              <w:ind w:right="839"/>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6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Consumer Loan unit volume</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82,353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328,507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3260" w:type="dxa"/>
            <w:vAlign w:val="bottom"/>
            <w:gridSpan w:val="7"/>
          </w:tcPr>
          <w:p>
            <w:pPr>
              <w:ind w:left="40"/>
              <w:spacing w:after="0"/>
              <w:rPr>
                <w:sz w:val="20"/>
                <w:szCs w:val="20"/>
                <w:color w:val="auto"/>
              </w:rPr>
            </w:pPr>
            <w:r>
              <w:rPr>
                <w:rFonts w:ascii="Arial" w:cs="Arial" w:eastAsia="Arial" w:hAnsi="Arial"/>
                <w:sz w:val="18"/>
                <w:szCs w:val="18"/>
                <w:color w:val="auto"/>
              </w:rPr>
              <w:t>Active dealers (1)</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7,885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11,551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326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active dealer</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32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6"/>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active both periods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62,048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64,380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323,514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296,869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3260" w:type="dxa"/>
            <w:vAlign w:val="bottom"/>
            <w:gridSpan w:val="7"/>
          </w:tcPr>
          <w:p>
            <w:pPr>
              <w:ind w:left="40"/>
              <w:spacing w:after="0"/>
              <w:rPr>
                <w:sz w:val="20"/>
                <w:szCs w:val="20"/>
                <w:color w:val="auto"/>
              </w:rPr>
            </w:pPr>
            <w:r>
              <w:rPr>
                <w:rFonts w:ascii="Arial" w:cs="Arial" w:eastAsia="Arial" w:hAnsi="Arial"/>
                <w:sz w:val="18"/>
                <w:szCs w:val="18"/>
                <w:color w:val="auto"/>
              </w:rPr>
              <w:t>Dealers active both periods</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5,301</w:t>
            </w:r>
          </w:p>
        </w:tc>
        <w:tc>
          <w:tcPr>
            <w:tcW w:w="12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09"/>
        </w:trPr>
        <w:tc>
          <w:tcPr>
            <w:tcW w:w="32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Average volume per dealer active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36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both periods</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97"/>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32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8"/>
              </w:rPr>
              <w:t>Consumer loan unit volume from dealers</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90"/>
        </w:trPr>
        <w:tc>
          <w:tcPr>
            <w:tcW w:w="360" w:type="dxa"/>
            <w:vAlign w:val="bottom"/>
            <w:shd w:val="clear" w:color="auto" w:fill="CCEEFF"/>
          </w:tcPr>
          <w:p>
            <w:pPr>
              <w:spacing w:after="0"/>
              <w:rPr>
                <w:sz w:val="16"/>
                <w:szCs w:val="16"/>
                <w:color w:val="auto"/>
              </w:rPr>
            </w:pPr>
          </w:p>
        </w:tc>
        <w:tc>
          <w:tcPr>
            <w:tcW w:w="290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not active both periods</w:t>
            </w:r>
          </w:p>
        </w:tc>
        <w:tc>
          <w:tcPr>
            <w:tcW w:w="1240" w:type="dxa"/>
            <w:vAlign w:val="bottom"/>
            <w:shd w:val="clear" w:color="auto" w:fill="CCEEFF"/>
          </w:tcPr>
          <w:p>
            <w:pPr>
              <w:jc w:val="right"/>
              <w:ind w:right="33"/>
              <w:spacing w:after="0" w:line="190" w:lineRule="exact"/>
              <w:rPr>
                <w:sz w:val="20"/>
                <w:szCs w:val="20"/>
                <w:color w:val="auto"/>
              </w:rPr>
            </w:pPr>
            <w:r>
              <w:rPr>
                <w:rFonts w:ascii="Arial" w:cs="Arial" w:eastAsia="Arial" w:hAnsi="Arial"/>
                <w:sz w:val="18"/>
                <w:szCs w:val="18"/>
                <w:color w:val="auto"/>
              </w:rPr>
              <w:t>20,305</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13,412</w:t>
            </w:r>
          </w:p>
        </w:tc>
        <w:tc>
          <w:tcPr>
            <w:tcW w:w="14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51.4 %</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3"/>
              <w:spacing w:after="0" w:line="190" w:lineRule="exact"/>
              <w:rPr>
                <w:sz w:val="20"/>
                <w:szCs w:val="20"/>
                <w:color w:val="auto"/>
              </w:rPr>
            </w:pPr>
            <w:r>
              <w:rPr>
                <w:rFonts w:ascii="Arial" w:cs="Arial" w:eastAsia="Arial" w:hAnsi="Arial"/>
                <w:sz w:val="18"/>
                <w:szCs w:val="18"/>
                <w:color w:val="auto"/>
              </w:rPr>
              <w:t>49,815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31,638</w:t>
            </w:r>
          </w:p>
        </w:tc>
        <w:tc>
          <w:tcPr>
            <w:tcW w:w="144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57.5%</w:t>
            </w:r>
          </w:p>
        </w:tc>
      </w:tr>
      <w:tr>
        <w:trPr>
          <w:trHeight w:val="48"/>
        </w:trPr>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03"/>
        </w:trPr>
        <w:tc>
          <w:tcPr>
            <w:tcW w:w="326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Dealers not active both periods</w:t>
            </w:r>
          </w:p>
        </w:tc>
        <w:tc>
          <w:tcPr>
            <w:tcW w:w="12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3,537</w:t>
            </w:r>
          </w:p>
        </w:tc>
        <w:tc>
          <w:tcPr>
            <w:tcW w:w="100" w:type="dxa"/>
            <w:vAlign w:val="bottom"/>
          </w:tcPr>
          <w:p>
            <w:pPr>
              <w:spacing w:after="0"/>
              <w:rPr>
                <w:sz w:val="17"/>
                <w:szCs w:val="17"/>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2,584</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36.9 %</w:t>
            </w:r>
          </w:p>
        </w:tc>
        <w:tc>
          <w:tcPr>
            <w:tcW w:w="120" w:type="dxa"/>
            <w:vAlign w:val="bottom"/>
          </w:tcPr>
          <w:p>
            <w:pPr>
              <w:spacing w:after="0"/>
              <w:rPr>
                <w:sz w:val="17"/>
                <w:szCs w:val="17"/>
                <w:color w:val="auto"/>
              </w:rPr>
            </w:pPr>
          </w:p>
        </w:tc>
        <w:tc>
          <w:tcPr>
            <w:tcW w:w="12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4,250</w:t>
            </w:r>
          </w:p>
        </w:tc>
        <w:tc>
          <w:tcPr>
            <w:tcW w:w="10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3,273</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w:t>
            </w:r>
          </w:p>
        </w:tc>
      </w:tr>
      <w:tr>
        <w:trPr>
          <w:trHeight w:val="48"/>
        </w:trPr>
        <w:tc>
          <w:tcPr>
            <w:tcW w:w="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top w:val="single" w:sz="8" w:color="auto"/>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183"/>
        </w:trPr>
        <w:tc>
          <w:tcPr>
            <w:tcW w:w="3260" w:type="dxa"/>
            <w:vAlign w:val="bottom"/>
            <w:gridSpan w:val="7"/>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Average volume per dealer not active both</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7"/>
        </w:trPr>
        <w:tc>
          <w:tcPr>
            <w:tcW w:w="36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periods</w:t>
            </w:r>
          </w:p>
        </w:tc>
        <w:tc>
          <w:tcPr>
            <w:tcW w:w="2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Active dealers are dealers who have received funding for at least one Consumer Loan during the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410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For the Three Months Ended December 31,</w:t>
            </w:r>
          </w:p>
        </w:tc>
        <w:tc>
          <w:tcPr>
            <w:tcW w:w="100" w:type="dxa"/>
            <w:vAlign w:val="bottom"/>
          </w:tcPr>
          <w:p>
            <w:pPr>
              <w:spacing w:after="0"/>
              <w:rPr>
                <w:sz w:val="16"/>
                <w:szCs w:val="16"/>
                <w:color w:val="auto"/>
              </w:rPr>
            </w:pPr>
          </w:p>
        </w:tc>
        <w:tc>
          <w:tcPr>
            <w:tcW w:w="316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3080" w:type="dxa"/>
            <w:vAlign w:val="bottom"/>
          </w:tcPr>
          <w:p>
            <w:pPr>
              <w:spacing w:after="0"/>
              <w:rPr>
                <w:sz w:val="22"/>
                <w:szCs w:val="22"/>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w w:val="94"/>
              </w:rPr>
              <w:t>% Change</w:t>
            </w:r>
          </w:p>
        </w:tc>
      </w:tr>
      <w:tr>
        <w:trPr>
          <w:trHeight w:val="215"/>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Consumer Loan unit volume from new</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7"/>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active dealers</w:t>
            </w:r>
          </w:p>
        </w:tc>
        <w:tc>
          <w:tcPr>
            <w:tcW w:w="1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3,947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47,898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46,985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New active dealers (1)</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1300" w:type="dxa"/>
            <w:vAlign w:val="bottom"/>
          </w:tcPr>
          <w:p>
            <w:pPr>
              <w:jc w:val="right"/>
              <w:ind w:right="154"/>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21"/>
                <w:szCs w:val="21"/>
                <w:color w:val="auto"/>
              </w:rPr>
            </w:pPr>
          </w:p>
        </w:tc>
        <w:tc>
          <w:tcPr>
            <w:tcW w:w="1320" w:type="dxa"/>
            <w:vAlign w:val="bottom"/>
          </w:tcPr>
          <w:p>
            <w:pPr>
              <w:jc w:val="right"/>
              <w:ind w:right="156"/>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3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Average volume per new active dealer</w:t>
            </w:r>
          </w:p>
        </w:tc>
        <w:tc>
          <w:tcPr>
            <w:tcW w:w="1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97"/>
        </w:trPr>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Attrition (2)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7"/>
        </w:trPr>
        <w:tc>
          <w:tcPr>
            <w:tcW w:w="30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dealer loan or purchased loan from us during the period.</w:t>
      </w:r>
    </w:p>
    <w:p>
      <w:pPr>
        <w:spacing w:after="0" w:line="163" w:lineRule="exact"/>
        <w:rPr>
          <w:rFonts w:ascii="Arial" w:cs="Arial" w:eastAsia="Arial" w:hAnsi="Arial"/>
          <w:sz w:val="14"/>
          <w:szCs w:val="14"/>
          <w:color w:val="auto"/>
        </w:rPr>
      </w:pPr>
    </w:p>
    <w:p>
      <w:pPr>
        <w:jc w:val="both"/>
        <w:ind w:left="500" w:hanging="330"/>
        <w:spacing w:after="0" w:line="257"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percentage of Consumer Loans assigned to us as dealer loans and purchased loans for each of the last eight quarters: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1192"/>
              <w:spacing w:after="0"/>
              <w:rPr>
                <w:sz w:val="20"/>
                <w:szCs w:val="20"/>
                <w:color w:val="auto"/>
              </w:rPr>
            </w:pPr>
            <w:r>
              <w:rPr>
                <w:rFonts w:ascii="Arial" w:cs="Arial" w:eastAsia="Arial" w:hAnsi="Arial"/>
                <w:sz w:val="14"/>
                <w:szCs w:val="14"/>
                <w:b w:val="1"/>
                <w:bCs w:val="1"/>
                <w:color w:val="auto"/>
              </w:rPr>
              <w:t>Unit Volume</w:t>
            </w:r>
          </w:p>
        </w:tc>
        <w:tc>
          <w:tcPr>
            <w:tcW w:w="120" w:type="dxa"/>
            <w:vAlign w:val="bottom"/>
          </w:tcPr>
          <w:p>
            <w:pPr>
              <w:spacing w:after="0"/>
              <w:rPr>
                <w:sz w:val="16"/>
                <w:szCs w:val="16"/>
                <w:color w:val="auto"/>
              </w:rPr>
            </w:pPr>
          </w:p>
        </w:tc>
        <w:tc>
          <w:tcPr>
            <w:tcW w:w="33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Dollar Volume (1)</w:t>
            </w:r>
          </w:p>
        </w:tc>
      </w:tr>
      <w:tr>
        <w:trPr>
          <w:trHeight w:val="264"/>
        </w:trPr>
        <w:tc>
          <w:tcPr>
            <w:tcW w:w="44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Dealer Loans</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Purchased Loans</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Dealer Loans</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Purchased Loans</w:t>
            </w: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3"/>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16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Arial" w:cs="Arial" w:eastAsia="Arial" w:hAnsi="Arial"/>
                <w:sz w:val="18"/>
                <w:szCs w:val="18"/>
                <w:color w:val="auto"/>
                <w:w w:val="93"/>
              </w:rPr>
              <w:t>67.9%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3"/>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December 31, 2017</w:t>
            </w:r>
          </w:p>
        </w:tc>
        <w:tc>
          <w:tcPr>
            <w:tcW w:w="16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Arial" w:cs="Arial" w:eastAsia="Arial" w:hAnsi="Arial"/>
                <w:sz w:val="18"/>
                <w:szCs w:val="18"/>
                <w:color w:val="auto"/>
                <w:w w:val="93"/>
              </w:rPr>
              <w:t>69.7%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3"/>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16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Arial" w:cs="Arial" w:eastAsia="Arial" w:hAnsi="Arial"/>
                <w:sz w:val="18"/>
                <w:szCs w:val="18"/>
                <w:color w:val="auto"/>
                <w:w w:val="93"/>
              </w:rPr>
              <w:t>66.8%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w w:val="93"/>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164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Arial" w:cs="Arial" w:eastAsia="Arial" w:hAnsi="Arial"/>
                <w:sz w:val="18"/>
                <w:szCs w:val="18"/>
                <w:color w:val="auto"/>
                <w:w w:val="93"/>
              </w:rPr>
              <w:t>67.4%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32.6%</w:t>
            </w:r>
          </w:p>
        </w:tc>
      </w:tr>
    </w:tbl>
    <w:p>
      <w:pPr>
        <w:spacing w:after="0" w:line="224" w:lineRule="exact"/>
        <w:rPr>
          <w:sz w:val="20"/>
          <w:szCs w:val="20"/>
          <w:color w:val="auto"/>
        </w:rPr>
      </w:pPr>
    </w:p>
    <w:p>
      <w:pPr>
        <w:ind w:left="500" w:right="20" w:hanging="330"/>
        <w:spacing w:after="0" w:line="273" w:lineRule="auto"/>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2018 and December 31, 2017, the net dealer loans receivable balance was 65.3% and 68.2%, respectively, of the total net loans receivable balance.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tcPr>
          <w:p>
            <w:pPr>
              <w:jc w:val="right"/>
              <w:ind w:right="588"/>
              <w:spacing w:after="0"/>
              <w:rPr>
                <w:sz w:val="20"/>
                <w:szCs w:val="20"/>
                <w:color w:val="auto"/>
              </w:rPr>
            </w:pPr>
            <w:r>
              <w:rPr>
                <w:rFonts w:ascii="Arial" w:cs="Arial" w:eastAsia="Arial" w:hAnsi="Arial"/>
                <w:sz w:val="14"/>
                <w:szCs w:val="14"/>
                <w:b w:val="1"/>
                <w:bCs w:val="1"/>
                <w:color w:val="auto"/>
              </w:rPr>
              <w:t>For the Three Months Ended December 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6"/>
          </w:tcPr>
          <w:p>
            <w:pPr>
              <w:jc w:val="right"/>
              <w:ind w:right="868"/>
              <w:spacing w:after="0"/>
              <w:rPr>
                <w:sz w:val="20"/>
                <w:szCs w:val="20"/>
                <w:color w:val="auto"/>
              </w:rPr>
            </w:pPr>
            <w:r>
              <w:rPr>
                <w:rFonts w:ascii="Arial" w:cs="Arial" w:eastAsia="Arial" w:hAnsi="Arial"/>
                <w:sz w:val="14"/>
                <w:szCs w:val="14"/>
                <w:b w:val="1"/>
                <w:bCs w:val="1"/>
                <w:color w:val="auto"/>
              </w:rPr>
              <w:t>For the Years Ended December 31,</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average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3,087.6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GAAP average shareholders' equity</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1,418.6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42.6 %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1,273.5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42.0 %</w:t>
            </w: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4,506.2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4,200.2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GAAP 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470.2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22.1 %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19,500,601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19,471,638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19,532,312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19,558,936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GAAP net income per diluted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22.3 %</w:t>
            </w:r>
          </w:p>
        </w:tc>
      </w:tr>
    </w:tbl>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decrease in GAAP net income for the three months ended December 31, 2018, as compared to the same period in 2017, was primarily the result of the following:</w:t>
      </w:r>
    </w:p>
    <w:p>
      <w:pPr>
        <w:spacing w:after="0" w:line="1" w:lineRule="exact"/>
        <w:rPr>
          <w:sz w:val="20"/>
          <w:szCs w:val="20"/>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provision for income taxes of $103.8 million primarily due to an increase in our effective tax rate related to the enactment of the Tax Cuts and Jobs Act ("2017 Tax Act") in December 2017. While the 2017 Tax Act lowered our federal statutory income tax rate from 35% in 2017 to 21% in 2018, we were required to revalue deferred taxes and uncertain tax positions in 2017 at the lower federal statutory income tax rate, which resulted in a one-time reversal of $99.8 million of provision for income taxes during the fourth quarter of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interest expense of 31.4% ($10.1 million) primarily due to an increase in the average outstanding debt principal balance primarily due to borrowings used to fund the growth in our loan portfolio and stock repurchases.</w:t>
      </w: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operating expenses of 13.6% ($9.0 million) primarily due to an increase in salaries and wages expense of 16.5% ($6.3 million) comprised of the following:</w:t>
      </w:r>
    </w:p>
    <w:p>
      <w:pPr>
        <w:ind w:left="660" w:hanging="328"/>
        <w:spacing w:after="0"/>
        <w:tabs>
          <w:tab w:leader="none" w:pos="6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 increase of $5.2 million in cash-based incentive compensation expense primarily due to an improvement in Company performance measures.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decrease of $4.5 million in stock-based compensation expense primarily due to 2017 stock awards.</w:t>
      </w:r>
    </w:p>
    <w:p>
      <w:pPr>
        <w:spacing w:after="0" w:line="9" w:lineRule="exact"/>
        <w:rPr>
          <w:rFonts w:ascii="Arial" w:cs="Arial" w:eastAsia="Arial" w:hAnsi="Arial"/>
          <w:sz w:val="18"/>
          <w:szCs w:val="18"/>
          <w:color w:val="auto"/>
        </w:rPr>
      </w:pPr>
    </w:p>
    <w:p>
      <w:pPr>
        <w:ind w:left="980" w:hanging="648"/>
        <w:spacing w:after="0" w:line="250" w:lineRule="auto"/>
        <w:tabs>
          <w:tab w:leader="none" w:pos="6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Excluding the changes in cash-based and stock-based incentive compensation expenses, salaries and wages expense increased $5.6 million, primarily related to our support function as a result of an increase in the number of team members.</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finance charges of 19.6% ($51.5 million) primarily due to growth in our loan portfolio.</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provision for credit losses of 71.1% ($43.6 million) primarily due to the revision of our net cash flow timing forecast during the fourth quarter of 2017, which increased provision for credit losses for the three months ended December 31, 2017 by $41.6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GAAP net income for the year ended December 31, 2018, as compared to the same period in 2017, was primarily the result of the following:</w:t>
      </w:r>
    </w:p>
    <w:p>
      <w:pPr>
        <w:spacing w:after="0" w:line="4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finance charges of 16.3% ($165.3 million) primarily due to growth in our loan portfolio.</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provision for credit losses of 56.0% ($72.4 million) primarily due to the revision of our net cash flow timing forecast during the fourth quarter of 2017, which increased provision for credit losses for the year ended December 31, 2017 by $41.6 million, and an improvement in Consumer Loan performance.</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provision for income taxes of 59.4% ($67.5 million) primarily due to an increase in our effective tax rate related to the enactment of the 2017 Tax Act in December 2017 as discussed above.</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operating expenses of 14.6% ($37.2 million) primarily due 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increase in salaries and wages expense of 19.8% ($27.7 million) comprised of the following:</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976"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 increase of $16.9 million in cash-based incentive compensation expense primarily due to an improvement in Company performance measures.</w:t>
      </w:r>
    </w:p>
    <w:p>
      <w:pPr>
        <w:ind w:left="980" w:hanging="324"/>
        <w:spacing w:after="0"/>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 decrease of $4.9 million in stock-based compensation expense primarily due to 2017 stock awards.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976" w:val="left"/>
        </w:tabs>
        <w:numPr>
          <w:ilvl w:val="2"/>
          <w:numId w:val="12"/>
        </w:numPr>
        <w:rPr>
          <w:rFonts w:ascii="Arial" w:cs="Arial" w:eastAsia="Arial" w:hAnsi="Arial"/>
          <w:sz w:val="18"/>
          <w:szCs w:val="18"/>
          <w:color w:val="auto"/>
        </w:rPr>
      </w:pPr>
      <w:r>
        <w:rPr>
          <w:rFonts w:ascii="Arial" w:cs="Arial" w:eastAsia="Arial" w:hAnsi="Arial"/>
          <w:sz w:val="18"/>
          <w:szCs w:val="18"/>
          <w:color w:val="auto"/>
        </w:rPr>
        <w:t>Excluding the changes in cash-based and stock-based incentive compensation expenses, salaries and wages expense increased $15.7 million, primarily related to our support function as a result of an increase in the number of team members.</w:t>
      </w:r>
    </w:p>
    <w:p>
      <w:pPr>
        <w:ind w:left="980" w:hanging="648"/>
        <w:spacing w:after="0" w:line="250" w:lineRule="auto"/>
        <w:tabs>
          <w:tab w:leader="none" w:pos="6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increase in sales and marketing expense of 15.9% ($9.3 million) primarily due to an increase in the size of our sales force and an increase in sales commissions related to growth in Consumer Loan assignment volume.</w:t>
      </w:r>
    </w:p>
    <w:p>
      <w:pPr>
        <w:ind w:left="3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interest expense of 30.3% ($36.4 million) primarily due to an increase in the average outstanding debt principal balance primarily due to borrowings used to fund the growth in our loan portfolio and stock repurchases.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6" w:right="2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Material adjustments are explained in the table footnotes and the subsequent “Floating Yield Adjustment” and “Senior Notes Adjustment” sections. Measures such as adjusted average capital, adjusted net income, adjusted net income per diluted share, adjusted interest expense (after-tax), adjusted net income plus interest expense (after-tax), adjusted return on capital, adjusted revenue, operating expenses, and economic profit are all non-GAAP financial measures. These non-GAAP financial measures should be viewed in addition to, and not as an alternative for, our reported results prepared in accordance with GAAP.</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months and year ended December 31, 2018, compared to the same periods in 2017, include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rPr>
              <w:t>For the Three Months Ended December 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91"/>
              </w:rPr>
              <w:t>For the Years Ended December 31,</w:t>
            </w:r>
          </w:p>
        </w:tc>
        <w:tc>
          <w:tcPr>
            <w:tcW w:w="980" w:type="dxa"/>
            <w:vAlign w:val="bottom"/>
            <w:tcBorders>
              <w:bottom w:val="single" w:sz="8" w:color="auto"/>
            </w:tcBorders>
          </w:tcPr>
          <w:p>
            <w:pPr>
              <w:spacing w:after="0"/>
              <w:rPr>
                <w:sz w:val="16"/>
                <w:szCs w:val="16"/>
                <w:color w:val="auto"/>
              </w:rPr>
            </w:pPr>
          </w:p>
        </w:tc>
      </w:tr>
      <w:tr>
        <w:trPr>
          <w:trHeight w:val="264"/>
        </w:trPr>
        <w:tc>
          <w:tcPr>
            <w:tcW w:w="308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20" w:type="dxa"/>
            <w:vAlign w:val="bottom"/>
          </w:tcPr>
          <w:p>
            <w:pPr>
              <w:spacing w:after="0"/>
              <w:rPr>
                <w:sz w:val="22"/>
                <w:szCs w:val="22"/>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32"/>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average capital</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5,797.3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4,575.8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5,420.9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554.5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38.7 %</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interest expense (after-tax)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58.2 %</w:t>
            </w:r>
          </w:p>
        </w:tc>
      </w:tr>
      <w:tr>
        <w:trPr>
          <w:trHeight w:val="229"/>
        </w:trPr>
        <w:tc>
          <w:tcPr>
            <w:tcW w:w="3080" w:type="dxa"/>
            <w:vAlign w:val="bottom"/>
          </w:tcPr>
          <w:p>
            <w:pPr>
              <w:ind w:left="40"/>
              <w:spacing w:after="0"/>
              <w:rPr>
                <w:sz w:val="20"/>
                <w:szCs w:val="20"/>
                <w:color w:val="auto"/>
              </w:rPr>
            </w:pPr>
            <w:r>
              <w:rPr>
                <w:rFonts w:ascii="Arial" w:cs="Arial" w:eastAsia="Arial" w:hAnsi="Arial"/>
                <w:sz w:val="18"/>
                <w:szCs w:val="18"/>
                <w:color w:val="auto"/>
              </w:rPr>
              <w:t>Adjusted net income plus interest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080" w:type="dxa"/>
            <w:vAlign w:val="bottom"/>
          </w:tcPr>
          <w:p>
            <w:pPr>
              <w:ind w:left="360"/>
              <w:spacing w:after="0"/>
              <w:rPr>
                <w:sz w:val="20"/>
                <w:szCs w:val="20"/>
                <w:color w:val="auto"/>
              </w:rPr>
            </w:pPr>
            <w:r>
              <w:rPr>
                <w:rFonts w:ascii="Arial" w:cs="Arial" w:eastAsia="Arial" w:hAnsi="Arial"/>
                <w:sz w:val="18"/>
                <w:szCs w:val="18"/>
                <w:color w:val="auto"/>
              </w:rPr>
              <w:t>expense (after-tax)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41.9 %</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return on capital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Cost of capital</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profit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r>
      <w:tr>
        <w:trPr>
          <w:trHeight w:val="229"/>
        </w:trPr>
        <w:tc>
          <w:tcPr>
            <w:tcW w:w="3080" w:type="dxa"/>
            <w:vAlign w:val="bottom"/>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08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19,500,601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w w:val="97"/>
              </w:rPr>
              <w:t>19,471,638</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w w:val="97"/>
              </w:rPr>
              <w:t>19,532,312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w w:val="97"/>
              </w:rPr>
              <w:t>19,558,936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Adjusted net income per diluted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r>
      <w:tr>
        <w:trPr>
          <w:trHeight w:val="27"/>
        </w:trPr>
        <w:tc>
          <w:tcPr>
            <w:tcW w:w="3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Economic profit increased 51.1% and 32.5% for the three months and year ended December 31, 2018, as compared to the same periods in 2017. Economic profit is a function of the return on capital in excess of the cost of capital and the amount of capital invested in the business. The following table summarizes the impact each of these components had on the changes in economic profit for the three months and year ended December 31, 2018, as compared to the same periods in 2017: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40" w:type="dxa"/>
            <w:vAlign w:val="bottom"/>
            <w:gridSpan w:val="6"/>
          </w:tcPr>
          <w:p>
            <w:pPr>
              <w:jc w:val="center"/>
              <w:ind w:left="758"/>
              <w:spacing w:after="0"/>
              <w:rPr>
                <w:sz w:val="20"/>
                <w:szCs w:val="20"/>
                <w:color w:val="auto"/>
              </w:rPr>
            </w:pPr>
            <w:r>
              <w:rPr>
                <w:rFonts w:ascii="Arial" w:cs="Arial" w:eastAsia="Arial" w:hAnsi="Arial"/>
                <w:sz w:val="14"/>
                <w:szCs w:val="14"/>
                <w:b w:val="1"/>
                <w:bCs w:val="1"/>
                <w:color w:val="auto"/>
                <w:w w:val="93"/>
              </w:rPr>
              <w:t>Year over Year Change in Economic Profit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778"/>
              <w:spacing w:after="0"/>
              <w:rPr>
                <w:sz w:val="20"/>
                <w:szCs w:val="20"/>
                <w:color w:val="auto"/>
              </w:rPr>
            </w:pPr>
            <w:r>
              <w:rPr>
                <w:rFonts w:ascii="Arial" w:cs="Arial" w:eastAsia="Arial" w:hAnsi="Arial"/>
                <w:sz w:val="14"/>
                <w:szCs w:val="14"/>
                <w:b w:val="1"/>
                <w:bCs w:val="1"/>
                <w:color w:val="auto"/>
                <w:w w:val="93"/>
              </w:rPr>
              <w:t>For the Three Months Ended December 31, 2018</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Impact of</w:t>
            </w:r>
          </w:p>
        </w:tc>
        <w:tc>
          <w:tcPr>
            <w:tcW w:w="17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Excluding Impact of 2017</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3"/>
              </w:rPr>
              <w:t>2017 Tax Act</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94"/>
              </w:rPr>
              <w:t>Tax Act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adjusted average capital</w:t>
            </w:r>
          </w:p>
        </w:tc>
        <w:tc>
          <w:tcPr>
            <w:tcW w:w="17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Increase (decrease) in adjusted return on capital</w:t>
            </w: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cost of capital</w:t>
            </w:r>
          </w:p>
        </w:tc>
        <w:tc>
          <w:tcPr>
            <w:tcW w:w="1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4580" w:type="dxa"/>
            <w:vAlign w:val="bottom"/>
          </w:tcPr>
          <w:p>
            <w:pPr>
              <w:ind w:left="360"/>
              <w:spacing w:after="0"/>
              <w:rPr>
                <w:sz w:val="20"/>
                <w:szCs w:val="20"/>
                <w:color w:val="auto"/>
              </w:rPr>
            </w:pPr>
            <w:r>
              <w:rPr>
                <w:rFonts w:ascii="Arial" w:cs="Arial" w:eastAsia="Arial" w:hAnsi="Arial"/>
                <w:sz w:val="18"/>
                <w:szCs w:val="18"/>
                <w:color w:val="auto"/>
              </w:rPr>
              <w:t>Increase in economic profit</w:t>
            </w:r>
          </w:p>
        </w:tc>
        <w:tc>
          <w:tcPr>
            <w:tcW w:w="14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gridSpan w:val="6"/>
          </w:tcPr>
          <w:p>
            <w:pPr>
              <w:jc w:val="center"/>
              <w:ind w:left="758"/>
              <w:spacing w:after="0"/>
              <w:rPr>
                <w:sz w:val="20"/>
                <w:szCs w:val="20"/>
                <w:color w:val="auto"/>
              </w:rPr>
            </w:pPr>
            <w:r>
              <w:rPr>
                <w:rFonts w:ascii="Arial" w:cs="Arial" w:eastAsia="Arial" w:hAnsi="Arial"/>
                <w:sz w:val="14"/>
                <w:szCs w:val="14"/>
                <w:b w:val="1"/>
                <w:bCs w:val="1"/>
                <w:color w:val="auto"/>
                <w:w w:val="93"/>
              </w:rPr>
              <w:t>Year over Year Change in Economic Profit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center"/>
              <w:ind w:left="758"/>
              <w:spacing w:after="0"/>
              <w:rPr>
                <w:sz w:val="20"/>
                <w:szCs w:val="20"/>
                <w:color w:val="auto"/>
              </w:rPr>
            </w:pPr>
            <w:r>
              <w:rPr>
                <w:rFonts w:ascii="Arial" w:cs="Arial" w:eastAsia="Arial" w:hAnsi="Arial"/>
                <w:sz w:val="14"/>
                <w:szCs w:val="14"/>
                <w:b w:val="1"/>
                <w:bCs w:val="1"/>
                <w:color w:val="auto"/>
                <w:w w:val="93"/>
              </w:rPr>
              <w:t>For the Year Ended December 31, 2018</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Impact of</w:t>
            </w:r>
          </w:p>
        </w:tc>
        <w:tc>
          <w:tcPr>
            <w:tcW w:w="17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Excluding Impact of 2017</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3"/>
              </w:rPr>
              <w:t>2017 Tax Act</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w w:val="94"/>
              </w:rPr>
              <w:t>Tax Act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adjusted average capital</w:t>
            </w:r>
          </w:p>
        </w:tc>
        <w:tc>
          <w:tcPr>
            <w:tcW w:w="17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Increase (decrease) in adjusted return on capital</w:t>
            </w: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cost of capital</w:t>
            </w:r>
          </w:p>
        </w:tc>
        <w:tc>
          <w:tcPr>
            <w:tcW w:w="1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4580" w:type="dxa"/>
            <w:vAlign w:val="bottom"/>
          </w:tcPr>
          <w:p>
            <w:pPr>
              <w:ind w:left="360"/>
              <w:spacing w:after="0"/>
              <w:rPr>
                <w:sz w:val="20"/>
                <w:szCs w:val="20"/>
                <w:color w:val="auto"/>
              </w:rPr>
            </w:pPr>
            <w:r>
              <w:rPr>
                <w:rFonts w:ascii="Arial" w:cs="Arial" w:eastAsia="Arial" w:hAnsi="Arial"/>
                <w:sz w:val="18"/>
                <w:szCs w:val="18"/>
                <w:color w:val="auto"/>
              </w:rPr>
              <w:t>Increase in economic profit</w:t>
            </w:r>
          </w:p>
        </w:tc>
        <w:tc>
          <w:tcPr>
            <w:tcW w:w="14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80" w:type="dxa"/>
            <w:vAlign w:val="bottom"/>
            <w:vMerge w:val="restart"/>
          </w:tcPr>
          <w:p>
            <w:pPr>
              <w:jc w:val="right"/>
              <w:ind w:right="21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12" w:name="page13"/>
    <w:bookmarkEnd w:id="12"/>
    <w:p>
      <w:pPr>
        <w:spacing w:after="0" w:line="258" w:lineRule="auto"/>
        <w:rPr>
          <w:sz w:val="20"/>
          <w:szCs w:val="20"/>
          <w:color w:val="auto"/>
        </w:rPr>
      </w:pPr>
      <w:r>
        <w:rPr>
          <w:rFonts w:ascii="Arial" w:cs="Arial" w:eastAsia="Arial" w:hAnsi="Arial"/>
          <w:sz w:val="18"/>
          <w:szCs w:val="18"/>
          <w:color w:val="auto"/>
        </w:rPr>
        <w:t>The increase in economic profit for the three months ended December 31, 2018, as compared to the same period in 2017, was primarily the result of the following:</w:t>
      </w:r>
    </w:p>
    <w:p>
      <w:pPr>
        <w:spacing w:after="0" w:line="1" w:lineRule="exact"/>
        <w:rPr>
          <w:sz w:val="20"/>
          <w:szCs w:val="20"/>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our estimated long-term effective income tax rate from 37% to 23% due to the enactment of the 2017 Tax Act in December 2017, which increased our adjusted return on capital by 240 basis points and increased our cost of capital by 80 basis points.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our adjusted average capital of 26.7% due to growth in our loan portfolio.</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economic profit for the year ended December 31, 2018, as compared to the same period in 2017, was primarily the result of the following:</w:t>
      </w:r>
    </w:p>
    <w:p>
      <w:pPr>
        <w:spacing w:after="0" w:line="46" w:lineRule="exact"/>
        <w:rPr>
          <w:sz w:val="20"/>
          <w:szCs w:val="20"/>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our estimated long-term effective income tax rate from 37% to 23% due to the enactment of the 2017 Tax Act in December 2017, which increased our adjusted return on capital by 230 basis points and increased our cost of capital by 80 basis points.</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our adjusted average capital of 26.8% due to growth in our loan portfolio.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decrease in our adjusted return on capital of 100 basis points (excluding the impact of the 2017 Tax Act) primarily as a result of the following:</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decline in the yield on our loan portfolio decreased the adjusted return on capital by 110 basis points primarily due to the revision of our net cash flow timing forecast during the fourth quarter of 2017.</w:t>
      </w:r>
    </w:p>
    <w:p>
      <w:pPr>
        <w:ind w:left="660" w:hanging="328"/>
        <w:spacing w:after="0" w:line="261"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Slower growth in operating expenses increased the adjusted return on capital by 40 basis points as operating expenses grew 14.6% while adjusted average capital grew 26.8%.</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shows adjusted revenue and operating expenses as a percentage of adjusted average capital, the adjusted return on capital, and the percentage change in adjusted average capital for each of the last eight quarters, compared to the same period in the prior year:</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290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 31, 2018</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 2018</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 30, 2018</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 2018</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2017</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 2017</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 30, 2017</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 2017</w:t>
            </w:r>
          </w:p>
        </w:tc>
      </w:tr>
      <w:tr>
        <w:trPr>
          <w:trHeight w:val="215"/>
        </w:trPr>
        <w:tc>
          <w:tcPr>
            <w:tcW w:w="2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Adjusted revenue as a percentage of</w:t>
            </w: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2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adjusted average capital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2900" w:type="dxa"/>
            <w:vAlign w:val="bottom"/>
          </w:tcPr>
          <w:p>
            <w:pPr>
              <w:ind w:left="40"/>
              <w:spacing w:after="0"/>
              <w:rPr>
                <w:sz w:val="20"/>
                <w:szCs w:val="20"/>
                <w:color w:val="auto"/>
              </w:rPr>
            </w:pPr>
            <w:r>
              <w:rPr>
                <w:rFonts w:ascii="Arial" w:cs="Arial" w:eastAsia="Arial" w:hAnsi="Arial"/>
                <w:sz w:val="18"/>
                <w:szCs w:val="18"/>
                <w:color w:val="auto"/>
                <w:w w:val="96"/>
              </w:rPr>
              <w:t>Operating expenses as a percentage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of adjusted average capital (1)</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return on capital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2900" w:type="dxa"/>
            <w:vAlign w:val="bottom"/>
          </w:tcPr>
          <w:p>
            <w:pPr>
              <w:ind w:left="40"/>
              <w:spacing w:after="0"/>
              <w:rPr>
                <w:sz w:val="20"/>
                <w:szCs w:val="20"/>
                <w:color w:val="auto"/>
              </w:rPr>
            </w:pPr>
            <w:r>
              <w:rPr>
                <w:rFonts w:ascii="Arial" w:cs="Arial" w:eastAsia="Arial" w:hAnsi="Arial"/>
                <w:sz w:val="18"/>
                <w:szCs w:val="18"/>
                <w:color w:val="auto"/>
              </w:rPr>
              <w:t>Percentage change in adjusted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900" w:type="dxa"/>
            <w:vAlign w:val="bottom"/>
          </w:tcPr>
          <w:p>
            <w:pPr>
              <w:ind w:left="360"/>
              <w:spacing w:after="0"/>
              <w:rPr>
                <w:sz w:val="20"/>
                <w:szCs w:val="20"/>
                <w:color w:val="auto"/>
              </w:rPr>
            </w:pPr>
            <w:r>
              <w:rPr>
                <w:rFonts w:ascii="Arial" w:cs="Arial" w:eastAsia="Arial" w:hAnsi="Arial"/>
                <w:sz w:val="18"/>
                <w:szCs w:val="18"/>
                <w:color w:val="auto"/>
                <w:w w:val="97"/>
              </w:rPr>
              <w:t>average capital compared to the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00" w:type="dxa"/>
            <w:vAlign w:val="bottom"/>
          </w:tcPr>
          <w:p>
            <w:pPr>
              <w:ind w:left="360"/>
              <w:spacing w:after="0"/>
              <w:rPr>
                <w:sz w:val="20"/>
                <w:szCs w:val="20"/>
                <w:color w:val="auto"/>
              </w:rPr>
            </w:pPr>
            <w:r>
              <w:rPr>
                <w:rFonts w:ascii="Arial" w:cs="Arial" w:eastAsia="Arial" w:hAnsi="Arial"/>
                <w:sz w:val="18"/>
                <w:szCs w:val="18"/>
                <w:color w:val="auto"/>
              </w:rPr>
              <w:t>same period in the prior year</w:t>
            </w: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r>
    </w:tbl>
    <w:p>
      <w:pPr>
        <w:spacing w:after="0" w:line="224"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increase in adjusted revenue as a percentage of adjusted average capital of 40 basis points </w:t>
      </w:r>
      <w:r>
        <w:rPr>
          <w:rFonts w:ascii="Arial" w:cs="Arial" w:eastAsia="Arial" w:hAnsi="Arial"/>
          <w:sz w:val="18"/>
          <w:szCs w:val="18"/>
          <w:color w:val="2C2C2C"/>
        </w:rPr>
        <w:t>for the three months ended December 31, 2018, as compared to</w:t>
      </w:r>
      <w:r>
        <w:rPr>
          <w:rFonts w:ascii="Arial" w:cs="Arial" w:eastAsia="Arial" w:hAnsi="Arial"/>
          <w:sz w:val="18"/>
          <w:szCs w:val="18"/>
          <w:color w:val="auto"/>
        </w:rPr>
        <w:t xml:space="preserve"> </w:t>
      </w:r>
      <w:r>
        <w:rPr>
          <w:rFonts w:ascii="Arial" w:cs="Arial" w:eastAsia="Arial" w:hAnsi="Arial"/>
          <w:sz w:val="18"/>
          <w:szCs w:val="18"/>
          <w:color w:val="2C2C2C"/>
        </w:rPr>
        <w:t xml:space="preserve">the three months ended September 30, 2018, was </w:t>
      </w:r>
      <w:r>
        <w:rPr>
          <w:rFonts w:ascii="Arial" w:cs="Arial" w:eastAsia="Arial" w:hAnsi="Arial"/>
          <w:sz w:val="18"/>
          <w:szCs w:val="18"/>
          <w:color w:val="000000"/>
        </w:rPr>
        <w:t>the result of an increase in the yield on our loan portfolio primarily due to an improvement in consumer loan</w:t>
      </w:r>
      <w:r>
        <w:rPr>
          <w:rFonts w:ascii="Arial" w:cs="Arial" w:eastAsia="Arial" w:hAnsi="Arial"/>
          <w:sz w:val="18"/>
          <w:szCs w:val="18"/>
          <w:color w:val="2C2C2C"/>
        </w:rPr>
        <w:t xml:space="preserve"> </w:t>
      </w:r>
      <w:r>
        <w:rPr>
          <w:rFonts w:ascii="Arial" w:cs="Arial" w:eastAsia="Arial" w:hAnsi="Arial"/>
          <w:sz w:val="18"/>
          <w:szCs w:val="18"/>
          <w:color w:val="000000"/>
        </w:rPr>
        <w:t>performance.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tables provide a reconciliation of non-GAAP measures to GAAP measures. Certain amounts do not recalculate due to rounding.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0" w:type="dxa"/>
            <w:vAlign w:val="bottom"/>
            <w:gridSpan w:val="2"/>
          </w:tcPr>
          <w:p>
            <w:pPr>
              <w:ind w:left="40"/>
              <w:spacing w:after="0"/>
              <w:rPr>
                <w:sz w:val="20"/>
                <w:szCs w:val="20"/>
                <w:color w:val="auto"/>
              </w:rPr>
            </w:pPr>
            <w:r>
              <w:rPr>
                <w:rFonts w:ascii="Arial" w:cs="Arial" w:eastAsia="Arial" w:hAnsi="Arial"/>
                <w:sz w:val="13"/>
                <w:szCs w:val="13"/>
                <w:color w:val="auto"/>
              </w:rPr>
              <w:t>(Dollars in millions, except per share data)</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 31, 2018</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 30, 2018</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 30, 2018</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 31, 2018</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 31, 2017</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 30, 2017</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 30, 2017</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 31, 2017</w:t>
            </w:r>
          </w:p>
        </w:tc>
        <w:tc>
          <w:tcPr>
            <w:tcW w:w="0" w:type="dxa"/>
            <w:vAlign w:val="bottom"/>
          </w:tcPr>
          <w:p>
            <w:pPr>
              <w:spacing w:after="0"/>
              <w:rPr>
                <w:sz w:val="1"/>
                <w:szCs w:val="1"/>
                <w:color w:val="auto"/>
              </w:rPr>
            </w:pPr>
          </w:p>
        </w:tc>
      </w:tr>
      <w:tr>
        <w:trPr>
          <w:trHeight w:val="104"/>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8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GAAP 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Floating yield adjustment (after-tax)</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GAAP provision for credit losses (after-tax)</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Senior notes adjustment (after-tax)</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adjustment (1)</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83"/>
        </w:trPr>
        <w:tc>
          <w:tcPr>
            <w:tcW w:w="32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Adjusted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51"/>
        </w:trPr>
        <w:tc>
          <w:tcPr>
            <w:tcW w:w="3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Adjusted net income per diluted share (2)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2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shares outstanding</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19,500,601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19,473,978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19,472,164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6"/>
              </w:rPr>
              <w:t>19,473,563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19,471,638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19,415,545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19,463,521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4"/>
              </w:rPr>
              <w:t>19,772,658</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revenue</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GAAP total 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342.8</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315.4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295.6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287.3</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27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 yield adjustment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GAAP provision for claims</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Adjusted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average capital</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GAAP average debt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3,794.4</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3,784.2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3,609.6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3,281.4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3,087.6</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2,979.1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2,907.4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2,732.8</w:t>
            </w:r>
          </w:p>
        </w:tc>
        <w:tc>
          <w:tcPr>
            <w:tcW w:w="0" w:type="dxa"/>
            <w:vAlign w:val="bottom"/>
          </w:tcPr>
          <w:p>
            <w:pPr>
              <w:spacing w:after="0"/>
              <w:rPr>
                <w:sz w:val="1"/>
                <w:szCs w:val="1"/>
                <w:color w:val="auto"/>
              </w:rPr>
            </w:pPr>
          </w:p>
        </w:tc>
      </w:tr>
      <w:tr>
        <w:trPr>
          <w:trHeight w:val="27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GAAP average shareholders' equity</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1,169.5</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Deferred debt issuance adjustment</w:t>
            </w: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Senior notes adjustment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Income tax adjustment (3)</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Floating yield adjustment</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83"/>
        </w:trPr>
        <w:tc>
          <w:tcPr>
            <w:tcW w:w="32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Adjusted average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5,797.3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5,658.8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5,341.5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4,886.2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4,575.8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4,359.7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4,190.9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3,979.3</w:t>
            </w:r>
          </w:p>
        </w:tc>
        <w:tc>
          <w:tcPr>
            <w:tcW w:w="0" w:type="dxa"/>
            <w:vAlign w:val="bottom"/>
          </w:tcPr>
          <w:p>
            <w:pPr>
              <w:spacing w:after="0"/>
              <w:rPr>
                <w:sz w:val="1"/>
                <w:szCs w:val="1"/>
                <w:color w:val="auto"/>
              </w:rPr>
            </w:pPr>
          </w:p>
        </w:tc>
      </w:tr>
      <w:tr>
        <w:trPr>
          <w:trHeight w:val="251"/>
        </w:trPr>
        <w:tc>
          <w:tcPr>
            <w:tcW w:w="3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Adjusted revenue as a percentage of adjusted</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average capital (4)</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interest expense (after-tax)</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GAAP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Senior notes adjustment</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Adjusted interest expense (pre-tax)</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Adjustment to record tax effect (1)</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Adjusted interest expense (after-tax)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500" w:right="20" w:hanging="330"/>
        <w:spacing w:after="0" w:line="257"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Adjustment to record taxes at our estimated long-term effective income tax rate. The adjustments for the three months ended March 31, 2018, June 30, 2018, September 30, 2018 and December 31, 2018 are calculated using a 23% income tax rate, which represents our estimated long-term effective income tax rate. Prior to the enactment of the 2017 Tax Act in December 2017, we used 37% to calculate after-tax adjustments, which was our long-term effective income tax rate for 2017 and prior years.</w:t>
      </w:r>
    </w:p>
    <w:p>
      <w:pPr>
        <w:spacing w:after="0" w:line="131" w:lineRule="exact"/>
        <w:rPr>
          <w:rFonts w:ascii="Arial" w:cs="Arial" w:eastAsia="Arial" w:hAnsi="Arial"/>
          <w:sz w:val="14"/>
          <w:szCs w:val="14"/>
          <w:color w:val="auto"/>
        </w:rPr>
      </w:pPr>
    </w:p>
    <w:p>
      <w:pPr>
        <w:ind w:left="500" w:hanging="330"/>
        <w:spacing w:after="0" w:line="273"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income per share is computed independently for each of the quarters presented. Therefore, the sum of quarterly net income per share information may not equal year-to-date net income per share.</w:t>
      </w:r>
    </w:p>
    <w:p>
      <w:pPr>
        <w:spacing w:after="0" w:line="119" w:lineRule="exact"/>
        <w:rPr>
          <w:rFonts w:ascii="Arial" w:cs="Arial" w:eastAsia="Arial" w:hAnsi="Arial"/>
          <w:sz w:val="14"/>
          <w:szCs w:val="14"/>
          <w:color w:val="auto"/>
        </w:rPr>
      </w:pPr>
    </w:p>
    <w:p>
      <w:pPr>
        <w:jc w:val="both"/>
        <w:ind w:left="500" w:hanging="330"/>
        <w:spacing w:after="0" w:line="252"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enactment of the 2017 Tax Act in December 2017 resulted in the reversal of $118.5 million of provision for income taxes to reflect the new federal statutory income tax rate, of which $99.8 million related to the reversal of GAAP provision for income taxes in December 2017 and $18.7 million related to the reversal of adjusted provision for income taxes in January 2018.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34" w:lineRule="exact"/>
        <w:rPr>
          <w:rFonts w:ascii="Arial" w:cs="Arial" w:eastAsia="Arial" w:hAnsi="Arial"/>
          <w:sz w:val="14"/>
          <w:szCs w:val="14"/>
          <w:color w:val="auto"/>
        </w:rPr>
      </w:pPr>
    </w:p>
    <w:p>
      <w:pPr>
        <w:ind w:left="500" w:hanging="330"/>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4" w:name="page15"/>
    <w:bookmarkEnd w:id="14"/>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(Dollars in millions)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return on capital</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interest expense (after-tax)</w:t>
      </w:r>
    </w:p>
    <w:p>
      <w:pPr>
        <w:spacing w:after="0" w:line="42" w:lineRule="exact"/>
        <w:rPr>
          <w:sz w:val="20"/>
          <w:szCs w:val="20"/>
          <w:color w:val="auto"/>
        </w:rPr>
      </w:pPr>
    </w:p>
    <w:p>
      <w:pPr>
        <w:ind w:left="200" w:hanging="161"/>
        <w:spacing w:after="0" w:line="253" w:lineRule="auto"/>
        <w:rPr>
          <w:sz w:val="20"/>
          <w:szCs w:val="20"/>
          <w:color w:val="auto"/>
        </w:rPr>
      </w:pPr>
      <w:r>
        <w:rPr>
          <w:rFonts w:ascii="Arial" w:cs="Arial" w:eastAsia="Arial" w:hAnsi="Arial"/>
          <w:sz w:val="14"/>
          <w:szCs w:val="14"/>
          <w:color w:val="auto"/>
        </w:rPr>
        <w:t>Adjusted net income plus interest expense (after-tax)</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308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 2018</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 30, 2018</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 30, 2018</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 31, 2018</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 2017</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 30, 2017</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 30, 2017</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 31, 2017</w:t>
            </w:r>
          </w:p>
        </w:tc>
      </w:tr>
      <w:tr>
        <w:trPr>
          <w:trHeight w:val="528"/>
        </w:trPr>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92.3</w:t>
            </w:r>
          </w:p>
        </w:tc>
      </w:tr>
      <w:tr>
        <w:trPr>
          <w:trHeight w:val="276"/>
        </w:trPr>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w:t>
            </w:r>
          </w:p>
        </w:tc>
      </w:tr>
      <w:tr>
        <w:trPr>
          <w:trHeight w:val="318"/>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186.2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-239395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171450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-582295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200"/>
            <w:col w:w="8360"/>
          </w:cols>
          <w:pgMar w:left="240" w:top="752" w:right="239" w:bottom="1440"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Reconciliation of GAAP return on equity to</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adjusted return on capital </w:t>
      </w:r>
      <w:r>
        <w:rPr>
          <w:rFonts w:ascii="Arial" w:cs="Arial" w:eastAsia="Arial" w:hAnsi="Arial"/>
          <w:sz w:val="14"/>
          <w:szCs w:val="14"/>
          <w:b w:val="1"/>
          <w:bCs w:val="1"/>
          <w:color w:val="auto"/>
          <w:shd w:val="clear" w:color="auto" w:fill="CCEE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869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GAAP return on equity (1)</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31.0 %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31.9 %</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Non-GAAP adjustments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-18.2 %</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283"/>
        </w:trPr>
        <w:tc>
          <w:tcPr>
            <w:tcW w:w="3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Adjusted return on capital (2)</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Economic profit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return on capital</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Cost of capital (3) (4)</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43"/>
        </w:trPr>
        <w:tc>
          <w:tcPr>
            <w:tcW w:w="306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Adjusted return on capital in excess of cost of</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capital</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Adjusted average capital</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5,797.3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5,658.8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5,341.5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4,886.2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4,575.8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4,359.7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4,190.9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3,979.3</w:t>
            </w:r>
          </w:p>
        </w:tc>
        <w:tc>
          <w:tcPr>
            <w:tcW w:w="0" w:type="dxa"/>
            <w:vAlign w:val="bottom"/>
          </w:tcPr>
          <w:p>
            <w:pPr>
              <w:spacing w:after="0"/>
              <w:rPr>
                <w:sz w:val="1"/>
                <w:szCs w:val="1"/>
                <w:color w:val="auto"/>
              </w:rPr>
            </w:pPr>
          </w:p>
        </w:tc>
      </w:tr>
      <w:tr>
        <w:trPr>
          <w:trHeight w:val="243"/>
        </w:trPr>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Economic profit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0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Reconciliation of GAAP net income</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 economic profit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GAAP 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Non-GAAP adjustments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Adjusted net income</w:t>
            </w:r>
          </w:p>
        </w:tc>
        <w:tc>
          <w:tcPr>
            <w:tcW w:w="220" w:type="dxa"/>
            <w:vAlign w:val="bottom"/>
          </w:tcPr>
          <w:p>
            <w:pPr>
              <w:spacing w:after="0"/>
              <w:rPr>
                <w:sz w:val="21"/>
                <w:szCs w:val="21"/>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interest expense (after-tax)</w:t>
            </w: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37"/>
        </w:trPr>
        <w:tc>
          <w:tcPr>
            <w:tcW w:w="3060" w:type="dxa"/>
            <w:vAlign w:val="bottom"/>
            <w:gridSpan w:val="2"/>
          </w:tcPr>
          <w:p>
            <w:pPr>
              <w:ind w:left="40"/>
              <w:spacing w:after="0" w:line="137" w:lineRule="exact"/>
              <w:rPr>
                <w:sz w:val="20"/>
                <w:szCs w:val="20"/>
                <w:color w:val="auto"/>
              </w:rPr>
            </w:pPr>
            <w:r>
              <w:rPr>
                <w:rFonts w:ascii="Arial" w:cs="Arial" w:eastAsia="Arial" w:hAnsi="Arial"/>
                <w:sz w:val="14"/>
                <w:szCs w:val="14"/>
                <w:color w:val="auto"/>
                <w:w w:val="98"/>
              </w:rPr>
              <w:t>Adjusted net income plus interest expense (after-</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60" w:type="dxa"/>
            <w:vAlign w:val="bottom"/>
            <w:gridSpan w:val="2"/>
          </w:tcPr>
          <w:p>
            <w:pPr>
              <w:ind w:left="200"/>
              <w:spacing w:after="0"/>
              <w:rPr>
                <w:sz w:val="20"/>
                <w:szCs w:val="20"/>
                <w:color w:val="auto"/>
              </w:rPr>
            </w:pPr>
            <w:r>
              <w:rPr>
                <w:rFonts w:ascii="Arial" w:cs="Arial" w:eastAsia="Arial" w:hAnsi="Arial"/>
                <w:sz w:val="14"/>
                <w:szCs w:val="14"/>
                <w:color w:val="auto"/>
              </w:rPr>
              <w:t>tax)</w:t>
            </w:r>
          </w:p>
        </w:tc>
        <w:tc>
          <w:tcPr>
            <w:tcW w:w="2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76"/>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cost of capital</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81.8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74.6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55.8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7"/>
        </w:trPr>
        <w:tc>
          <w:tcPr>
            <w:tcW w:w="3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Economic profit</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93.4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91.5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84.0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71.5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67.3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GAAP salaries and wages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GAAP general and administrative</w:t>
            </w:r>
          </w:p>
        </w:tc>
        <w:tc>
          <w:tcPr>
            <w:tcW w:w="22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GAAP sales and marketing</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83"/>
        </w:trPr>
        <w:tc>
          <w:tcPr>
            <w:tcW w:w="3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Operating expenses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74.8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9"/>
              </w:rPr>
              <w:t>Operating expenses as a percentage of adjusted</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21"/>
        </w:trPr>
        <w:tc>
          <w:tcPr>
            <w:tcW w:w="3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average capital (4)</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0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Percentage change in adjusted average capital</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22.8 %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18.0 %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18.5 %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24.5 %</w:t>
            </w:r>
          </w:p>
        </w:tc>
        <w:tc>
          <w:tcPr>
            <w:tcW w:w="0" w:type="dxa"/>
            <w:vAlign w:val="bottom"/>
          </w:tcPr>
          <w:p>
            <w:pPr>
              <w:spacing w:after="0"/>
              <w:rPr>
                <w:sz w:val="1"/>
                <w:szCs w:val="1"/>
                <w:color w:val="auto"/>
              </w:rPr>
            </w:pPr>
          </w:p>
        </w:tc>
      </w:tr>
      <w:tr>
        <w:trPr>
          <w:trHeight w:val="181"/>
        </w:trPr>
        <w:tc>
          <w:tcPr>
            <w:tcW w:w="3060" w:type="dxa"/>
            <w:vAlign w:val="bottom"/>
            <w:gridSpan w:val="2"/>
          </w:tcPr>
          <w:p>
            <w:pPr>
              <w:ind w:left="200"/>
              <w:spacing w:after="0"/>
              <w:rPr>
                <w:sz w:val="20"/>
                <w:szCs w:val="20"/>
                <w:color w:val="auto"/>
              </w:rPr>
            </w:pPr>
            <w:r>
              <w:rPr>
                <w:rFonts w:ascii="Arial" w:cs="Arial" w:eastAsia="Arial" w:hAnsi="Arial"/>
                <w:sz w:val="14"/>
                <w:szCs w:val="14"/>
                <w:color w:val="auto"/>
              </w:rPr>
              <w:t>compared to the same period in the prior year</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by dividing GAAP net income by GAAP average shareholders' equity.</w:t>
      </w:r>
    </w:p>
    <w:p>
      <w:pPr>
        <w:spacing w:after="0" w:line="163" w:lineRule="exact"/>
        <w:rPr>
          <w:rFonts w:ascii="Arial" w:cs="Arial" w:eastAsia="Arial" w:hAnsi="Arial"/>
          <w:sz w:val="14"/>
          <w:szCs w:val="14"/>
          <w:color w:val="auto"/>
        </w:rPr>
      </w:pPr>
    </w:p>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return on capital is defined as adjusted net income plus adjusted interest expense (after-tax) divided by adjusted average capital.</w:t>
      </w:r>
    </w:p>
    <w:p>
      <w:pPr>
        <w:spacing w:after="0" w:line="163" w:lineRule="exact"/>
        <w:rPr>
          <w:rFonts w:ascii="Arial" w:cs="Arial" w:eastAsia="Arial" w:hAnsi="Arial"/>
          <w:sz w:val="14"/>
          <w:szCs w:val="14"/>
          <w:color w:val="auto"/>
        </w:rPr>
      </w:pPr>
    </w:p>
    <w:p>
      <w:pPr>
        <w:jc w:val="both"/>
        <w:ind w:left="500" w:hanging="330"/>
        <w:spacing w:after="0" w:line="252"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2018</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 2018</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 2018</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 2018</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2017</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 2017</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 2017</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Mar. 31, 2017</w:t>
            </w:r>
          </w:p>
        </w:tc>
      </w:tr>
      <w:tr>
        <w:trPr>
          <w:trHeight w:val="256"/>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30-year Treasury rate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Adjusted pre-tax average cost of debt (4)</w:t>
            </w: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38"/>
        </w:trPr>
        <w:tc>
          <w:tcPr>
            <w:tcW w:w="3200" w:type="dxa"/>
            <w:vAlign w:val="bottom"/>
          </w:tcPr>
          <w:p>
            <w:pPr>
              <w:ind w:left="180"/>
              <w:spacing w:after="0"/>
              <w:rPr>
                <w:sz w:val="20"/>
                <w:szCs w:val="20"/>
                <w:color w:val="auto"/>
              </w:rPr>
            </w:pPr>
            <w:r>
              <w:rPr>
                <w:rFonts w:ascii="Arial" w:cs="Arial" w:eastAsia="Arial" w:hAnsi="Arial"/>
                <w:sz w:val="14"/>
                <w:szCs w:val="14"/>
                <w:color w:val="auto"/>
              </w:rPr>
              <w:t>(4)  Annualized.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2" w:right="239" w:bottom="1440" w:gutter="0" w:footer="0" w:header="0"/>
          <w:type w:val="continuous"/>
        </w:sectPr>
      </w:pPr>
    </w:p>
    <w:bookmarkStart w:id="15" w:name="page16"/>
    <w:bookmarkEnd w:id="15"/>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(In millions,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GAAP 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Floating yield adjustment (after-tax)</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GAAP provision for credit losses (after-tax)</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Senior notes adjustment (after-tax)</w:t>
      </w:r>
    </w:p>
    <w:p>
      <w:pPr>
        <w:spacing w:after="0" w:line="109" w:lineRule="exact"/>
        <w:rPr>
          <w:sz w:val="20"/>
          <w:szCs w:val="20"/>
          <w:color w:val="auto"/>
        </w:rPr>
      </w:pPr>
    </w:p>
    <w:p>
      <w:pPr>
        <w:jc w:val="center"/>
        <w:ind w:right="4740"/>
        <w:spacing w:after="0"/>
        <w:rPr>
          <w:sz w:val="20"/>
          <w:szCs w:val="20"/>
          <w:color w:val="auto"/>
        </w:rPr>
      </w:pPr>
      <w:r>
        <w:rPr>
          <w:rFonts w:ascii="Arial" w:cs="Arial" w:eastAsia="Arial" w:hAnsi="Arial"/>
          <w:sz w:val="12"/>
          <w:szCs w:val="12"/>
          <w:color w:val="auto"/>
        </w:rPr>
        <w:t>Income tax adjustment (1)</w:t>
      </w:r>
    </w:p>
    <w:p>
      <w:pPr>
        <w:spacing w:after="0" w:line="132" w:lineRule="exact"/>
        <w:rPr>
          <w:sz w:val="20"/>
          <w:szCs w:val="20"/>
          <w:color w:val="auto"/>
        </w:rPr>
      </w:pPr>
    </w:p>
    <w:p>
      <w:pPr>
        <w:jc w:val="center"/>
        <w:ind w:right="4740"/>
        <w:spacing w:after="0"/>
        <w:rPr>
          <w:sz w:val="20"/>
          <w:szCs w:val="20"/>
          <w:color w:val="auto"/>
        </w:rPr>
      </w:pPr>
      <w:r>
        <w:rPr>
          <w:rFonts w:ascii="Arial" w:cs="Arial" w:eastAsia="Arial" w:hAnsi="Arial"/>
          <w:sz w:val="14"/>
          <w:szCs w:val="14"/>
          <w:color w:val="auto"/>
        </w:rPr>
        <w:t>Adjusted net income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income per diluted share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Diluted weighted average shares outstanding</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average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4305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2017</w:t>
            </w:r>
          </w:p>
        </w:tc>
      </w:tr>
      <w:tr>
        <w:trPr>
          <w:trHeight w:val="528"/>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574.0</w:t>
            </w:r>
          </w:p>
        </w:tc>
        <w:tc>
          <w:tcPr>
            <w:tcW w:w="2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470.2</w:t>
            </w:r>
          </w:p>
        </w:tc>
      </w:tr>
      <w:tr>
        <w:trPr>
          <w:trHeight w:val="270"/>
        </w:trPr>
        <w:tc>
          <w:tcPr>
            <w:tcW w:w="460" w:type="dxa"/>
            <w:vAlign w:val="bottom"/>
          </w:tcPr>
          <w:p>
            <w:pPr>
              <w:spacing w:after="0"/>
              <w:rPr>
                <w:sz w:val="23"/>
                <w:szCs w:val="23"/>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(68.2)</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(47.4)</w:t>
            </w:r>
          </w:p>
        </w:tc>
      </w:tr>
      <w:tr>
        <w:trPr>
          <w:trHeight w:val="270"/>
        </w:trPr>
        <w:tc>
          <w:tcPr>
            <w:tcW w:w="460" w:type="dxa"/>
            <w:vAlign w:val="bottom"/>
          </w:tcPr>
          <w:p>
            <w:pPr>
              <w:spacing w:after="0"/>
              <w:rPr>
                <w:sz w:val="23"/>
                <w:szCs w:val="23"/>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43.8</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81.5</w:t>
            </w:r>
          </w:p>
        </w:tc>
      </w:tr>
      <w:tr>
        <w:trPr>
          <w:trHeight w:val="270"/>
        </w:trPr>
        <w:tc>
          <w:tcPr>
            <w:tcW w:w="460" w:type="dxa"/>
            <w:vAlign w:val="bottom"/>
          </w:tcPr>
          <w:p>
            <w:pPr>
              <w:spacing w:after="0"/>
              <w:rPr>
                <w:sz w:val="23"/>
                <w:szCs w:val="23"/>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(2.1)</w:t>
            </w:r>
          </w:p>
        </w:tc>
      </w:tr>
      <w:tr>
        <w:trPr>
          <w:trHeight w:val="276"/>
        </w:trPr>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7.4</w:t>
            </w: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(102.4)</w:t>
            </w:r>
          </w:p>
        </w:tc>
      </w:tr>
      <w:tr>
        <w:trPr>
          <w:trHeight w:val="237"/>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554.5</w:t>
            </w:r>
          </w:p>
        </w:tc>
        <w:tc>
          <w:tcPr>
            <w:tcW w:w="20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399.8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1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28.39</w:t>
            </w:r>
          </w:p>
        </w:tc>
        <w:tc>
          <w:tcPr>
            <w:tcW w:w="2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20.44</w:t>
            </w:r>
          </w:p>
        </w:tc>
      </w:tr>
      <w:tr>
        <w:trPr>
          <w:trHeight w:val="270"/>
        </w:trPr>
        <w:tc>
          <w:tcPr>
            <w:tcW w:w="460" w:type="dxa"/>
            <w:vAlign w:val="bottom"/>
          </w:tcPr>
          <w:p>
            <w:pPr>
              <w:spacing w:after="0"/>
              <w:rPr>
                <w:sz w:val="23"/>
                <w:szCs w:val="23"/>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19,532,312</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19,558,936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-1209675</wp:posOffset>
            </wp:positionV>
            <wp:extent cx="70491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-866775</wp:posOffset>
            </wp:positionV>
            <wp:extent cx="70491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-523240</wp:posOffset>
            </wp:positionV>
            <wp:extent cx="704913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9135" cy="18859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-163195</wp:posOffset>
            </wp:positionV>
            <wp:extent cx="70491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179070</wp:posOffset>
            </wp:positionV>
            <wp:extent cx="70491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-1552575</wp:posOffset>
            </wp:positionV>
            <wp:extent cx="70491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6240" w:space="720"/>
            <w:col w:w="4120"/>
          </w:cols>
          <w:pgMar w:left="440" w:top="752" w:right="379" w:bottom="792" w:gutter="0" w:footer="0" w:header="0"/>
        </w:sectPr>
      </w:pPr>
    </w:p>
    <w:p>
      <w:pPr>
        <w:spacing w:after="0"/>
        <w:rPr>
          <w:sz w:val="20"/>
          <w:szCs w:val="20"/>
          <w:color w:val="auto"/>
        </w:rPr>
      </w:pPr>
      <w:r>
        <w:rPr>
          <w:rFonts w:ascii="Arial" w:cs="Arial" w:eastAsia="Arial" w:hAnsi="Arial"/>
          <w:sz w:val="14"/>
          <w:szCs w:val="14"/>
          <w:color w:val="auto"/>
        </w:rPr>
        <w:t>GAAP average debt</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GAAP average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Deferred debt issuance adjustment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Senior notes adjustment</w:t>
      </w:r>
    </w:p>
    <w:p>
      <w:pPr>
        <w:spacing w:after="0" w:line="109" w:lineRule="exact"/>
        <w:rPr>
          <w:sz w:val="20"/>
          <w:szCs w:val="20"/>
          <w:color w:val="auto"/>
        </w:rPr>
      </w:pPr>
    </w:p>
    <w:p>
      <w:pPr>
        <w:jc w:val="right"/>
        <w:ind w:right="4766"/>
        <w:spacing w:after="0"/>
        <w:rPr>
          <w:sz w:val="20"/>
          <w:szCs w:val="20"/>
          <w:color w:val="auto"/>
        </w:rPr>
      </w:pPr>
      <w:r>
        <w:rPr>
          <w:rFonts w:ascii="Arial" w:cs="Arial" w:eastAsia="Arial" w:hAnsi="Arial"/>
          <w:sz w:val="12"/>
          <w:szCs w:val="12"/>
          <w:color w:val="auto"/>
        </w:rPr>
        <w:t>Income tax adjustment (2)</w:t>
      </w:r>
    </w:p>
    <w:p>
      <w:pPr>
        <w:spacing w:after="0" w:line="132" w:lineRule="exact"/>
        <w:rPr>
          <w:sz w:val="20"/>
          <w:szCs w:val="20"/>
          <w:color w:val="auto"/>
        </w:rPr>
      </w:pPr>
    </w:p>
    <w:p>
      <w:pPr>
        <w:jc w:val="right"/>
        <w:ind w:right="4806"/>
        <w:spacing w:after="0"/>
        <w:rPr>
          <w:sz w:val="20"/>
          <w:szCs w:val="20"/>
          <w:color w:val="auto"/>
        </w:rPr>
      </w:pPr>
      <w:r>
        <w:rPr>
          <w:rFonts w:ascii="Arial" w:cs="Arial" w:eastAsia="Arial" w:hAnsi="Arial"/>
          <w:sz w:val="13"/>
          <w:szCs w:val="13"/>
          <w:color w:val="auto"/>
        </w:rPr>
        <w:t>Floating yield adjustment</w:t>
      </w:r>
    </w:p>
    <w:p>
      <w:pPr>
        <w:spacing w:after="0" w:line="121" w:lineRule="exact"/>
        <w:rPr>
          <w:sz w:val="20"/>
          <w:szCs w:val="20"/>
          <w:color w:val="auto"/>
        </w:rPr>
      </w:pPr>
    </w:p>
    <w:p>
      <w:pPr>
        <w:jc w:val="right"/>
        <w:ind w:right="4726"/>
        <w:spacing w:after="0"/>
        <w:rPr>
          <w:sz w:val="20"/>
          <w:szCs w:val="20"/>
          <w:color w:val="auto"/>
        </w:rPr>
      </w:pPr>
      <w:r>
        <w:rPr>
          <w:rFonts w:ascii="Arial" w:cs="Arial" w:eastAsia="Arial" w:hAnsi="Arial"/>
          <w:sz w:val="14"/>
          <w:szCs w:val="14"/>
          <w:color w:val="auto"/>
        </w:rPr>
        <w:t>Adjusted average capital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interest expense (after-tax)</w:t>
      </w:r>
    </w:p>
    <w:p>
      <w:pPr>
        <w:spacing w:after="0" w:line="20" w:lineRule="exact"/>
        <w:rPr>
          <w:sz w:val="20"/>
          <w:szCs w:val="20"/>
          <w:color w:val="auto"/>
        </w:rPr>
      </w:pPr>
      <w:r>
        <w:rPr>
          <w:sz w:val="20"/>
          <w:szCs w:val="20"/>
          <w:color w:val="auto"/>
        </w:rPr>
        <w:br w:type="column"/>
      </w:r>
    </w:p>
    <w:p>
      <w:pPr>
        <w:ind w:left="1294" w:hanging="1294"/>
        <w:spacing w:after="0"/>
        <w:tabs>
          <w:tab w:leader="none" w:pos="1294" w:val="left"/>
        </w:tabs>
        <w:numPr>
          <w:ilvl w:val="0"/>
          <w:numId w:val="18"/>
        </w:numPr>
        <w:rPr>
          <w:rFonts w:ascii="Arial" w:cs="Arial" w:eastAsia="Arial" w:hAnsi="Arial"/>
          <w:sz w:val="14"/>
          <w:szCs w:val="14"/>
          <w:color w:val="auto"/>
        </w:rPr>
      </w:pPr>
      <w:r>
        <w:rPr>
          <w:rFonts w:ascii="Arial" w:cs="Arial" w:eastAsia="Arial" w:hAnsi="Arial"/>
          <w:sz w:val="14"/>
          <w:szCs w:val="14"/>
          <w:color w:val="auto"/>
        </w:rPr>
        <w:t>3,617.4</w:t>
      </w:r>
    </w:p>
    <w:p>
      <w:pPr>
        <w:spacing w:after="0" w:line="109" w:lineRule="exact"/>
        <w:rPr>
          <w:rFonts w:ascii="Arial" w:cs="Arial" w:eastAsia="Arial" w:hAnsi="Arial"/>
          <w:sz w:val="14"/>
          <w:szCs w:val="14"/>
          <w:color w:val="auto"/>
        </w:rPr>
      </w:pPr>
    </w:p>
    <w:p>
      <w:pPr>
        <w:ind w:left="1294"/>
        <w:spacing w:after="0"/>
        <w:rPr>
          <w:rFonts w:ascii="Arial" w:cs="Arial" w:eastAsia="Arial" w:hAnsi="Arial"/>
          <w:sz w:val="14"/>
          <w:szCs w:val="14"/>
          <w:color w:val="auto"/>
        </w:rPr>
      </w:pPr>
      <w:r>
        <w:rPr>
          <w:rFonts w:ascii="Arial" w:cs="Arial" w:eastAsia="Arial" w:hAnsi="Arial"/>
          <w:sz w:val="14"/>
          <w:szCs w:val="14"/>
          <w:color w:val="auto"/>
        </w:rPr>
        <w:t>1,808.4</w:t>
      </w:r>
    </w:p>
    <w:p>
      <w:pPr>
        <w:spacing w:after="0" w:line="109" w:lineRule="exact"/>
        <w:rPr>
          <w:rFonts w:ascii="Arial" w:cs="Arial" w:eastAsia="Arial" w:hAnsi="Arial"/>
          <w:sz w:val="14"/>
          <w:szCs w:val="14"/>
          <w:color w:val="auto"/>
        </w:rPr>
      </w:pPr>
    </w:p>
    <w:p>
      <w:pPr>
        <w:ind w:left="1474"/>
        <w:spacing w:after="0"/>
        <w:rPr>
          <w:rFonts w:ascii="Arial" w:cs="Arial" w:eastAsia="Arial" w:hAnsi="Arial"/>
          <w:sz w:val="14"/>
          <w:szCs w:val="14"/>
          <w:color w:val="auto"/>
        </w:rPr>
      </w:pPr>
      <w:r>
        <w:rPr>
          <w:rFonts w:ascii="Arial" w:cs="Arial" w:eastAsia="Arial" w:hAnsi="Arial"/>
          <w:sz w:val="14"/>
          <w:szCs w:val="14"/>
          <w:color w:val="auto"/>
        </w:rPr>
        <w:t>22.4</w:t>
      </w:r>
    </w:p>
    <w:p>
      <w:pPr>
        <w:spacing w:after="0" w:line="109" w:lineRule="exact"/>
        <w:rPr>
          <w:rFonts w:ascii="Arial" w:cs="Arial" w:eastAsia="Arial" w:hAnsi="Arial"/>
          <w:sz w:val="14"/>
          <w:szCs w:val="14"/>
          <w:color w:val="auto"/>
        </w:rPr>
      </w:pPr>
    </w:p>
    <w:p>
      <w:pPr>
        <w:ind w:left="1554"/>
        <w:spacing w:after="0"/>
        <w:rPr>
          <w:rFonts w:ascii="Arial" w:cs="Arial" w:eastAsia="Arial" w:hAnsi="Arial"/>
          <w:sz w:val="14"/>
          <w:szCs w:val="14"/>
          <w:color w:val="auto"/>
        </w:rPr>
      </w:pPr>
      <w:r>
        <w:rPr>
          <w:rFonts w:ascii="Arial" w:cs="Arial" w:eastAsia="Arial" w:hAnsi="Arial"/>
          <w:sz w:val="14"/>
          <w:szCs w:val="14"/>
          <w:color w:val="auto"/>
        </w:rPr>
        <w:t>9.7</w:t>
      </w:r>
    </w:p>
    <w:p>
      <w:pPr>
        <w:spacing w:after="0" w:line="109" w:lineRule="exact"/>
        <w:rPr>
          <w:rFonts w:ascii="Arial" w:cs="Arial" w:eastAsia="Arial" w:hAnsi="Arial"/>
          <w:sz w:val="14"/>
          <w:szCs w:val="14"/>
          <w:color w:val="auto"/>
        </w:rPr>
      </w:pPr>
    </w:p>
    <w:p>
      <w:pPr>
        <w:ind w:left="1354"/>
        <w:spacing w:after="0"/>
        <w:rPr>
          <w:rFonts w:ascii="Arial" w:cs="Arial" w:eastAsia="Arial" w:hAnsi="Arial"/>
          <w:sz w:val="14"/>
          <w:szCs w:val="14"/>
          <w:color w:val="auto"/>
        </w:rPr>
      </w:pPr>
      <w:r>
        <w:rPr>
          <w:rFonts w:ascii="Arial" w:cs="Arial" w:eastAsia="Arial" w:hAnsi="Arial"/>
          <w:sz w:val="13"/>
          <w:szCs w:val="13"/>
          <w:color w:val="auto"/>
        </w:rPr>
        <w:t>(117.8)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-657225</wp:posOffset>
            </wp:positionV>
            <wp:extent cx="70491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-313690</wp:posOffset>
            </wp:positionV>
            <wp:extent cx="70491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28575</wp:posOffset>
            </wp:positionV>
            <wp:extent cx="70491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101" w:lineRule="exact"/>
        <w:rPr>
          <w:sz w:val="20"/>
          <w:szCs w:val="20"/>
          <w:color w:val="auto"/>
        </w:rPr>
      </w:pPr>
    </w:p>
    <w:p>
      <w:pPr>
        <w:ind w:left="1474"/>
        <w:spacing w:after="0"/>
        <w:rPr>
          <w:sz w:val="20"/>
          <w:szCs w:val="20"/>
          <w:color w:val="auto"/>
        </w:rPr>
      </w:pPr>
      <w:r>
        <w:rPr>
          <w:rFonts w:ascii="Arial" w:cs="Arial" w:eastAsia="Arial" w:hAnsi="Arial"/>
          <w:sz w:val="14"/>
          <w:szCs w:val="14"/>
          <w:color w:val="auto"/>
        </w:rPr>
        <w:t>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235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6" w:lineRule="exact"/>
        <w:rPr>
          <w:sz w:val="20"/>
          <w:szCs w:val="20"/>
          <w:color w:val="auto"/>
        </w:rPr>
      </w:pPr>
    </w:p>
    <w:p>
      <w:pPr>
        <w:ind w:left="1294" w:hanging="1294"/>
        <w:spacing w:after="0"/>
        <w:tabs>
          <w:tab w:leader="none" w:pos="1294" w:val="left"/>
        </w:tabs>
        <w:numPr>
          <w:ilvl w:val="0"/>
          <w:numId w:val="19"/>
        </w:numPr>
        <w:rPr>
          <w:rFonts w:ascii="Arial" w:cs="Arial" w:eastAsia="Arial" w:hAnsi="Arial"/>
          <w:sz w:val="14"/>
          <w:szCs w:val="14"/>
          <w:color w:val="auto"/>
        </w:rPr>
      </w:pPr>
      <w:r>
        <w:rPr>
          <w:rFonts w:ascii="Arial" w:cs="Arial" w:eastAsia="Arial" w:hAnsi="Arial"/>
          <w:sz w:val="14"/>
          <w:szCs w:val="14"/>
          <w:color w:val="auto"/>
        </w:rPr>
        <w:t>5,420.9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389890</wp:posOffset>
            </wp:positionV>
            <wp:extent cx="70491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20955</wp:posOffset>
            </wp:positionV>
            <wp:extent cx="704913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913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93" w:hanging="1293"/>
        <w:spacing w:after="0"/>
        <w:tabs>
          <w:tab w:leader="none" w:pos="1293" w:val="left"/>
        </w:tabs>
        <w:numPr>
          <w:ilvl w:val="0"/>
          <w:numId w:val="20"/>
        </w:numPr>
        <w:rPr>
          <w:rFonts w:ascii="Arial" w:cs="Arial" w:eastAsia="Arial" w:hAnsi="Arial"/>
          <w:sz w:val="14"/>
          <w:szCs w:val="14"/>
          <w:color w:val="auto"/>
        </w:rPr>
      </w:pPr>
      <w:r>
        <w:rPr>
          <w:rFonts w:ascii="Arial" w:cs="Arial" w:eastAsia="Arial" w:hAnsi="Arial"/>
          <w:sz w:val="14"/>
          <w:szCs w:val="14"/>
          <w:color w:val="auto"/>
        </w:rPr>
        <w:t>2,926.7</w:t>
      </w:r>
    </w:p>
    <w:p>
      <w:pPr>
        <w:spacing w:after="0" w:line="109" w:lineRule="exact"/>
        <w:rPr>
          <w:rFonts w:ascii="Arial" w:cs="Arial" w:eastAsia="Arial" w:hAnsi="Arial"/>
          <w:sz w:val="14"/>
          <w:szCs w:val="14"/>
          <w:color w:val="auto"/>
        </w:rPr>
      </w:pPr>
    </w:p>
    <w:p>
      <w:pPr>
        <w:ind w:left="1293"/>
        <w:spacing w:after="0"/>
        <w:rPr>
          <w:rFonts w:ascii="Arial" w:cs="Arial" w:eastAsia="Arial" w:hAnsi="Arial"/>
          <w:sz w:val="14"/>
          <w:szCs w:val="14"/>
          <w:color w:val="auto"/>
        </w:rPr>
      </w:pPr>
      <w:r>
        <w:rPr>
          <w:rFonts w:ascii="Arial" w:cs="Arial" w:eastAsia="Arial" w:hAnsi="Arial"/>
          <w:sz w:val="14"/>
          <w:szCs w:val="14"/>
          <w:color w:val="auto"/>
        </w:rPr>
        <w:t>1,273.5</w:t>
      </w:r>
    </w:p>
    <w:p>
      <w:pPr>
        <w:spacing w:after="0" w:line="109" w:lineRule="exact"/>
        <w:rPr>
          <w:rFonts w:ascii="Arial" w:cs="Arial" w:eastAsia="Arial" w:hAnsi="Arial"/>
          <w:sz w:val="14"/>
          <w:szCs w:val="14"/>
          <w:color w:val="auto"/>
        </w:rPr>
      </w:pPr>
    </w:p>
    <w:p>
      <w:pPr>
        <w:ind w:left="1473"/>
        <w:spacing w:after="0"/>
        <w:rPr>
          <w:rFonts w:ascii="Arial" w:cs="Arial" w:eastAsia="Arial" w:hAnsi="Arial"/>
          <w:sz w:val="14"/>
          <w:szCs w:val="14"/>
          <w:color w:val="auto"/>
        </w:rPr>
      </w:pPr>
      <w:r>
        <w:rPr>
          <w:rFonts w:ascii="Arial" w:cs="Arial" w:eastAsia="Arial" w:hAnsi="Arial"/>
          <w:sz w:val="14"/>
          <w:szCs w:val="14"/>
          <w:color w:val="auto"/>
        </w:rPr>
        <w:t>18.1</w:t>
      </w:r>
    </w:p>
    <w:p>
      <w:pPr>
        <w:spacing w:after="0" w:line="109" w:lineRule="exact"/>
        <w:rPr>
          <w:rFonts w:ascii="Arial" w:cs="Arial" w:eastAsia="Arial" w:hAnsi="Arial"/>
          <w:sz w:val="14"/>
          <w:szCs w:val="14"/>
          <w:color w:val="auto"/>
        </w:rPr>
      </w:pPr>
    </w:p>
    <w:p>
      <w:pPr>
        <w:ind w:left="1473"/>
        <w:spacing w:after="0"/>
        <w:rPr>
          <w:rFonts w:ascii="Arial" w:cs="Arial" w:eastAsia="Arial" w:hAnsi="Arial"/>
          <w:sz w:val="14"/>
          <w:szCs w:val="14"/>
          <w:color w:val="auto"/>
        </w:rPr>
      </w:pPr>
      <w:r>
        <w:rPr>
          <w:rFonts w:ascii="Arial" w:cs="Arial" w:eastAsia="Arial" w:hAnsi="Arial"/>
          <w:sz w:val="14"/>
          <w:szCs w:val="14"/>
          <w:color w:val="auto"/>
        </w:rPr>
        <w:t>10.6</w:t>
      </w:r>
    </w:p>
    <w:p>
      <w:pPr>
        <w:spacing w:after="0" w:line="109" w:lineRule="exact"/>
        <w:rPr>
          <w:rFonts w:ascii="Arial" w:cs="Arial" w:eastAsia="Arial" w:hAnsi="Arial"/>
          <w:sz w:val="14"/>
          <w:szCs w:val="14"/>
          <w:color w:val="auto"/>
        </w:rPr>
      </w:pPr>
    </w:p>
    <w:p>
      <w:pPr>
        <w:ind w:left="1493"/>
        <w:spacing w:after="0"/>
        <w:rPr>
          <w:rFonts w:ascii="Arial" w:cs="Arial" w:eastAsia="Arial" w:hAnsi="Arial"/>
          <w:sz w:val="14"/>
          <w:szCs w:val="14"/>
          <w:color w:val="auto"/>
        </w:rPr>
      </w:pPr>
      <w:r>
        <w:rPr>
          <w:rFonts w:ascii="Arial" w:cs="Arial" w:eastAsia="Arial" w:hAnsi="Arial"/>
          <w:sz w:val="13"/>
          <w:szCs w:val="13"/>
          <w:color w:val="auto"/>
        </w:rPr>
        <w:t>(4.1)</w:t>
      </w:r>
    </w:p>
    <w:p>
      <w:pPr>
        <w:spacing w:after="0" w:line="121" w:lineRule="exact"/>
        <w:rPr>
          <w:sz w:val="20"/>
          <w:szCs w:val="20"/>
          <w:color w:val="auto"/>
        </w:rPr>
      </w:pPr>
    </w:p>
    <w:p>
      <w:pPr>
        <w:ind w:left="1473"/>
        <w:spacing w:after="0"/>
        <w:rPr>
          <w:sz w:val="20"/>
          <w:szCs w:val="20"/>
          <w:color w:val="auto"/>
        </w:rPr>
      </w:pPr>
      <w:r>
        <w:rPr>
          <w:rFonts w:ascii="Arial" w:cs="Arial" w:eastAsia="Arial" w:hAnsi="Arial"/>
          <w:sz w:val="14"/>
          <w:szCs w:val="14"/>
          <w:color w:val="auto"/>
        </w:rPr>
        <w:t>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235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6" w:lineRule="exact"/>
        <w:rPr>
          <w:sz w:val="20"/>
          <w:szCs w:val="20"/>
          <w:color w:val="auto"/>
        </w:rPr>
      </w:pPr>
    </w:p>
    <w:p>
      <w:pPr>
        <w:ind w:left="1293" w:hanging="1293"/>
        <w:spacing w:after="0"/>
        <w:tabs>
          <w:tab w:leader="none" w:pos="1293" w:val="left"/>
        </w:tabs>
        <w:numPr>
          <w:ilvl w:val="0"/>
          <w:numId w:val="21"/>
        </w:numPr>
        <w:rPr>
          <w:rFonts w:ascii="Arial" w:cs="Arial" w:eastAsia="Arial" w:hAnsi="Arial"/>
          <w:sz w:val="14"/>
          <w:szCs w:val="14"/>
          <w:color w:val="auto"/>
        </w:rPr>
      </w:pPr>
      <w:r>
        <w:rPr>
          <w:rFonts w:ascii="Arial" w:cs="Arial" w:eastAsia="Arial" w:hAnsi="Arial"/>
          <w:sz w:val="14"/>
          <w:szCs w:val="14"/>
          <w:color w:val="auto"/>
        </w:rPr>
        <w:t>4,276.4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1235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3">
            <w:col w:w="6266" w:space="720"/>
            <w:col w:w="1774" w:space="387"/>
            <w:col w:w="1933"/>
          </w:cols>
          <w:pgMar w:left="440" w:top="752" w:right="379" w:bottom="792" w:gutter="0" w:footer="0" w:header="0"/>
          <w:type w:val="continuous"/>
        </w:sectPr>
      </w:pPr>
    </w:p>
    <w:p>
      <w:pPr>
        <w:spacing w:after="0"/>
        <w:rPr>
          <w:sz w:val="20"/>
          <w:szCs w:val="20"/>
          <w:color w:val="auto"/>
        </w:rPr>
      </w:pPr>
      <w:r>
        <w:rPr>
          <w:rFonts w:ascii="Arial" w:cs="Arial" w:eastAsia="Arial" w:hAnsi="Arial"/>
          <w:sz w:val="14"/>
          <w:szCs w:val="14"/>
          <w:color w:val="auto"/>
        </w:rPr>
        <w:t>GAAP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Senior notes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Adjusted interest expense (pre-tax)</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Adjustment to record tax effect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Adjusted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209550</wp:posOffset>
            </wp:positionV>
            <wp:extent cx="70491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43053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Adjusted interest expense (after-tax)</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Adjusted net income plus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49135" cy="18859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Reconciliation of GAAP return on equity to 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31115</wp:posOffset>
            </wp:positionV>
            <wp:extent cx="70491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GAAP return on equity (3)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Adjusted return on capital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209550</wp:posOffset>
            </wp:positionV>
            <wp:extent cx="704913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4305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Cost of capital (5) (6)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Adjusted return on capital in excess of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Adjusted average capital</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20955</wp:posOffset>
            </wp:positionV>
            <wp:extent cx="704913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9135" cy="18859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GAAP net income to 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704913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156.6</w:t>
            </w:r>
          </w:p>
        </w:tc>
        <w:tc>
          <w:tcPr>
            <w:tcW w:w="200" w:type="dxa"/>
            <w:vAlign w:val="bottom"/>
          </w:tcPr>
          <w:p>
            <w:pPr>
              <w:spacing w:after="0"/>
              <w:rPr>
                <w:sz w:val="15"/>
                <w:szCs w:val="15"/>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120.2</w:t>
            </w:r>
          </w:p>
        </w:tc>
      </w:tr>
      <w:tr>
        <w:trPr>
          <w:trHeight w:val="276"/>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w:t>
            </w:r>
          </w:p>
        </w:tc>
      </w:tr>
      <w:tr>
        <w:trPr>
          <w:trHeight w:val="244"/>
        </w:trPr>
        <w:tc>
          <w:tcPr>
            <w:tcW w:w="720" w:type="dxa"/>
            <w:vAlign w:val="bottom"/>
          </w:tcPr>
          <w:p>
            <w:pPr>
              <w:spacing w:after="0"/>
              <w:rPr>
                <w:sz w:val="21"/>
                <w:szCs w:val="21"/>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159.9</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123.5</w:t>
            </w:r>
          </w:p>
        </w:tc>
      </w:tr>
      <w:tr>
        <w:trPr>
          <w:trHeight w:val="276"/>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(36.8)</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(45.7)</w:t>
            </w:r>
          </w:p>
        </w:tc>
      </w:tr>
      <w:tr>
        <w:trPr>
          <w:trHeight w:val="237"/>
        </w:trPr>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123.1</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77.8</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85"/>
        </w:trPr>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554.5</w:t>
            </w:r>
          </w:p>
        </w:tc>
        <w:tc>
          <w:tcPr>
            <w:tcW w:w="200" w:type="dxa"/>
            <w:vAlign w:val="bottom"/>
          </w:tcPr>
          <w:p>
            <w:pPr>
              <w:spacing w:after="0"/>
              <w:rPr>
                <w:sz w:val="24"/>
                <w:szCs w:val="24"/>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399.8</w:t>
            </w:r>
          </w:p>
        </w:tc>
      </w:tr>
      <w:tr>
        <w:trPr>
          <w:trHeight w:val="276"/>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123.1</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77.8</w:t>
            </w:r>
          </w:p>
        </w:tc>
      </w:tr>
      <w:tr>
        <w:trPr>
          <w:trHeight w:val="237"/>
        </w:trPr>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677.6</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477.6</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85"/>
        </w:trPr>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31.7 %</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36.9 %</w:t>
            </w:r>
          </w:p>
        </w:tc>
      </w:tr>
      <w:tr>
        <w:trPr>
          <w:trHeight w:val="276"/>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-19.2 %</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-25.7 %</w:t>
            </w:r>
          </w:p>
        </w:tc>
      </w:tr>
      <w:tr>
        <w:trPr>
          <w:trHeight w:val="237"/>
        </w:trPr>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12.5 %</w:t>
            </w: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11.2 %</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85"/>
        </w:trPr>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12.5 %</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11.2 %</w:t>
            </w:r>
          </w:p>
        </w:tc>
      </w:tr>
      <w:tr>
        <w:trPr>
          <w:trHeight w:val="276"/>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r>
      <w:tr>
        <w:trPr>
          <w:trHeight w:val="244"/>
        </w:trPr>
        <w:tc>
          <w:tcPr>
            <w:tcW w:w="7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6.3 %</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276"/>
        </w:trPr>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5,420.9</w:t>
            </w:r>
          </w:p>
        </w:tc>
        <w:tc>
          <w:tcPr>
            <w:tcW w:w="200" w:type="dxa"/>
            <w:vAlign w:val="bottom"/>
          </w:tcPr>
          <w:p>
            <w:pPr>
              <w:spacing w:after="0"/>
              <w:rPr>
                <w:sz w:val="24"/>
                <w:szCs w:val="24"/>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4,276.4</w:t>
            </w:r>
          </w:p>
        </w:tc>
      </w:tr>
      <w:tr>
        <w:trPr>
          <w:trHeight w:val="237"/>
        </w:trPr>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340.4</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257.0</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15" w:lineRule="exact"/>
        <w:rPr>
          <w:sz w:val="20"/>
          <w:szCs w:val="20"/>
          <w:color w:val="auto"/>
        </w:rPr>
      </w:pPr>
    </w:p>
    <w:p>
      <w:pPr>
        <w:sectPr>
          <w:pgSz w:w="11900" w:h="16838" w:orient="portrait"/>
          <w:cols w:equalWidth="0" w:num="2">
            <w:col w:w="6240" w:space="720"/>
            <w:col w:w="4120"/>
          </w:cols>
          <w:pgMar w:left="440" w:top="752" w:right="379" w:bottom="792" w:gutter="0" w:footer="0" w:header="0"/>
          <w:type w:val="continuous"/>
        </w:sectPr>
      </w:pPr>
    </w:p>
    <w:p>
      <w:pPr>
        <w:spacing w:after="0"/>
        <w:rPr>
          <w:sz w:val="20"/>
          <w:szCs w:val="20"/>
          <w:color w:val="auto"/>
        </w:rPr>
      </w:pPr>
      <w:r>
        <w:rPr>
          <w:rFonts w:ascii="Arial" w:cs="Arial" w:eastAsia="Arial" w:hAnsi="Arial"/>
          <w:sz w:val="14"/>
          <w:szCs w:val="14"/>
          <w:color w:val="auto"/>
        </w:rPr>
        <w:t>GAAP 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Non-GAAP adjustments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Adjusted interest expense (after-tax)</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Adjusted net income plus interest expense (after-tax)</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Less: cost of capital</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Economic profit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574.0</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(19.5)</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554.5</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123.1</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677.6</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337.2</w:t>
            </w:r>
          </w:p>
        </w:tc>
      </w:tr>
      <w:tr>
        <w:trPr>
          <w:trHeight w:val="237"/>
        </w:trPr>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340.4</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-874395</wp:posOffset>
            </wp:positionV>
            <wp:extent cx="704913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-530860</wp:posOffset>
            </wp:positionV>
            <wp:extent cx="704913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9135" cy="171450"/>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-187960</wp:posOffset>
            </wp:positionV>
            <wp:extent cx="704913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4913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470.2</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(70.4)</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399.8</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77.8</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477.6</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220.6</w:t>
            </w:r>
          </w:p>
        </w:tc>
      </w:tr>
      <w:tr>
        <w:trPr>
          <w:trHeight w:val="237"/>
        </w:trPr>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257.0</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3">
            <w:col w:w="6240" w:space="720"/>
            <w:col w:w="1960" w:space="200"/>
            <w:col w:w="1960"/>
          </w:cols>
          <w:pgMar w:left="440" w:top="752" w:right="379" w:bottom="792"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490" w:right="1440" w:bottom="1440" w:gutter="0" w:footer="0" w:header="0"/>
        </w:sectPr>
      </w:pPr>
    </w:p>
    <w:bookmarkStart w:id="17" w:name="page18"/>
    <w:bookmarkEnd w:id="17"/>
    <w:p>
      <w:pPr>
        <w:ind w:left="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260350</wp:posOffset>
            </wp:positionH>
            <wp:positionV relativeFrom="page">
              <wp:posOffset>431800</wp:posOffset>
            </wp:positionV>
            <wp:extent cx="704913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49135" cy="171450"/>
                    </a:xfrm>
                    <a:prstGeom prst="rect">
                      <a:avLst/>
                    </a:prstGeom>
                    <a:noFill/>
                  </pic:spPr>
                </pic:pic>
              </a:graphicData>
            </a:graphic>
          </wp:anchor>
        </w:drawing>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23495</wp:posOffset>
            </wp:positionV>
            <wp:extent cx="43738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73880" cy="8890"/>
                    </a:xfrm>
                    <a:prstGeom prst="rect">
                      <a:avLst/>
                    </a:prstGeom>
                    <a:noFill/>
                  </pic:spPr>
                </pic:pic>
              </a:graphicData>
            </a:graphic>
          </wp:anchor>
        </w:drawing>
      </w:r>
    </w:p>
    <w:p>
      <w:pPr>
        <w:spacing w:after="0" w:line="93" w:lineRule="exact"/>
        <w:rPr>
          <w:sz w:val="20"/>
          <w:szCs w:val="20"/>
          <w:color w:val="auto"/>
        </w:rPr>
      </w:pPr>
    </w:p>
    <w:tbl>
      <w:tblPr>
        <w:tblLayout w:type="fixed"/>
        <w:tblInd w:w="180" w:type="dxa"/>
        <w:tblCellMar>
          <w:top w:w="0" w:type="dxa"/>
          <w:left w:w="0" w:type="dxa"/>
          <w:bottom w:w="0" w:type="dxa"/>
          <w:right w:w="0" w:type="dxa"/>
        </w:tblCellMar>
      </w:tblPr>
      <w:tr>
        <w:trPr>
          <w:trHeight w:val="188"/>
        </w:trPr>
        <w:tc>
          <w:tcPr>
            <w:tcW w:w="7100" w:type="dxa"/>
            <w:vAlign w:val="bottom"/>
          </w:tcPr>
          <w:p>
            <w:pPr>
              <w:ind w:left="20"/>
              <w:spacing w:after="0"/>
              <w:rPr>
                <w:sz w:val="20"/>
                <w:szCs w:val="20"/>
                <w:color w:val="auto"/>
              </w:rPr>
            </w:pPr>
            <w:r>
              <w:rPr>
                <w:rFonts w:ascii="Arial" w:cs="Arial" w:eastAsia="Arial" w:hAnsi="Arial"/>
                <w:sz w:val="14"/>
                <w:szCs w:val="14"/>
                <w:color w:val="auto"/>
              </w:rPr>
              <w:t>GAAP salaries and wages</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167.8</w:t>
            </w:r>
          </w:p>
        </w:tc>
        <w:tc>
          <w:tcPr>
            <w:tcW w:w="220" w:type="dxa"/>
            <w:vAlign w:val="bottom"/>
          </w:tcPr>
          <w:p>
            <w:pPr>
              <w:spacing w:after="0"/>
              <w:rPr>
                <w:sz w:val="16"/>
                <w:szCs w:val="16"/>
                <w:color w:val="auto"/>
              </w:rPr>
            </w:pP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140.1</w:t>
            </w:r>
          </w:p>
        </w:tc>
      </w:tr>
      <w:tr>
        <w:trPr>
          <w:trHeight w:val="276"/>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general and administrative</w:t>
            </w:r>
          </w:p>
        </w:tc>
        <w:tc>
          <w:tcPr>
            <w:tcW w:w="7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w:t>
            </w:r>
          </w:p>
        </w:tc>
      </w:tr>
      <w:tr>
        <w:trPr>
          <w:trHeight w:val="26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GAAP sales and marketing</w:t>
            </w:r>
          </w:p>
        </w:tc>
        <w:tc>
          <w:tcPr>
            <w:tcW w:w="7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67.7</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w:t>
            </w:r>
          </w:p>
        </w:tc>
      </w:tr>
      <w:tr>
        <w:trPr>
          <w:trHeight w:val="24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expenses</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254.0</w:t>
            </w:r>
          </w:p>
        </w:tc>
      </w:tr>
      <w:tr>
        <w:trPr>
          <w:trHeight w:val="20"/>
        </w:trPr>
        <w:tc>
          <w:tcPr>
            <w:tcW w:w="7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500" w:hanging="330"/>
        <w:spacing w:after="0" w:line="257"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Adjustment to record taxes at our estimated long-term effective income tax rate. The adjustment for the year ended December 31, 2018 is calculated using a 23% income tax rate, which represents our estimated long-term effective income tax rate. Prior to the enactment of the 2017 Tax Act in December 2017, we used 37% to calculate after-tax adjustments, which was our long-term effective income tax rate for 2017 and prior years.</w:t>
      </w:r>
    </w:p>
    <w:p>
      <w:pPr>
        <w:spacing w:after="0" w:line="131" w:lineRule="exact"/>
        <w:rPr>
          <w:rFonts w:ascii="Arial" w:cs="Arial" w:eastAsia="Arial" w:hAnsi="Arial"/>
          <w:sz w:val="14"/>
          <w:szCs w:val="14"/>
          <w:color w:val="auto"/>
        </w:rPr>
      </w:pPr>
    </w:p>
    <w:p>
      <w:pPr>
        <w:jc w:val="both"/>
        <w:ind w:left="500" w:hanging="330"/>
        <w:spacing w:after="0" w:line="252"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enactment of the 2017 Tax Act in December 2017 resulted in the reversal of $118.5 million of provision for income taxes to reflect the new federal statutory income tax rate, of which $99.8 million related to the reversal of GAAP provision for income taxes in December 2017 and $18.7 million related to the reversal of adjusted provision for income taxes in January 2018.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34" w:lineRule="exact"/>
        <w:rPr>
          <w:rFonts w:ascii="Arial" w:cs="Arial" w:eastAsia="Arial" w:hAnsi="Arial"/>
          <w:sz w:val="14"/>
          <w:szCs w:val="14"/>
          <w:color w:val="auto"/>
        </w:rPr>
      </w:pPr>
    </w:p>
    <w:p>
      <w:pPr>
        <w:ind w:left="500" w:hanging="33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Calculated by dividing GAAP net income by GAAP average shareholders' equity.</w:t>
      </w:r>
    </w:p>
    <w:p>
      <w:pPr>
        <w:spacing w:after="0" w:line="163" w:lineRule="exact"/>
        <w:rPr>
          <w:rFonts w:ascii="Arial" w:cs="Arial" w:eastAsia="Arial" w:hAnsi="Arial"/>
          <w:sz w:val="14"/>
          <w:szCs w:val="14"/>
          <w:color w:val="auto"/>
        </w:rPr>
      </w:pPr>
    </w:p>
    <w:p>
      <w:pPr>
        <w:ind w:left="500" w:hanging="33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Adjusted return on capital is defined as adjusted net income plus adjusted interest expense after-tax divided by adjusted average capital.</w:t>
      </w:r>
    </w:p>
    <w:p>
      <w:pPr>
        <w:spacing w:after="0" w:line="163" w:lineRule="exact"/>
        <w:rPr>
          <w:rFonts w:ascii="Arial" w:cs="Arial" w:eastAsia="Arial" w:hAnsi="Arial"/>
          <w:sz w:val="14"/>
          <w:szCs w:val="14"/>
          <w:color w:val="auto"/>
        </w:rPr>
      </w:pPr>
    </w:p>
    <w:p>
      <w:pPr>
        <w:jc w:val="both"/>
        <w:ind w:left="500" w:hanging="330"/>
        <w:spacing w:after="0" w:line="252"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198"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23495</wp:posOffset>
            </wp:positionV>
            <wp:extent cx="2487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jc w:val="right"/>
              <w:ind w:right="708"/>
              <w:spacing w:after="0"/>
              <w:rPr>
                <w:sz w:val="20"/>
                <w:szCs w:val="20"/>
                <w:color w:val="auto"/>
              </w:rPr>
            </w:pPr>
            <w:r>
              <w:rPr>
                <w:rFonts w:ascii="Arial" w:cs="Arial" w:eastAsia="Arial" w:hAnsi="Arial"/>
                <w:sz w:val="14"/>
                <w:szCs w:val="14"/>
                <w:b w:val="1"/>
                <w:bCs w:val="1"/>
                <w:color w:val="auto"/>
              </w:rPr>
              <w:t>2017</w:t>
            </w:r>
          </w:p>
        </w:tc>
      </w:tr>
      <w:tr>
        <w:trPr>
          <w:trHeight w:val="53"/>
        </w:trPr>
        <w:tc>
          <w:tcPr>
            <w:tcW w:w="75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r>
        <w:trPr>
          <w:trHeight w:val="250"/>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30-year Treasury rate</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58"/>
        </w:trPr>
        <w:tc>
          <w:tcPr>
            <w:tcW w:w="8800" w:type="dxa"/>
            <w:vAlign w:val="bottom"/>
            <w:gridSpan w:val="2"/>
          </w:tcPr>
          <w:p>
            <w:pPr>
              <w:ind w:left="40"/>
              <w:spacing w:after="0"/>
              <w:rPr>
                <w:sz w:val="20"/>
                <w:szCs w:val="20"/>
                <w:color w:val="auto"/>
              </w:rPr>
            </w:pPr>
            <w:r>
              <w:rPr>
                <w:rFonts w:ascii="Arial" w:cs="Arial" w:eastAsia="Arial" w:hAnsi="Arial"/>
                <w:sz w:val="14"/>
                <w:szCs w:val="14"/>
                <w:color w:val="auto"/>
              </w:rPr>
              <w:t>Adjusted pre-tax average cost of debt</w:t>
            </w:r>
          </w:p>
        </w:tc>
        <w:tc>
          <w:tcPr>
            <w:tcW w:w="560" w:type="dxa"/>
            <w:vAlign w:val="bottom"/>
          </w:tcPr>
          <w:p>
            <w:pPr>
              <w:jc w:val="right"/>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4.2%</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non-GAAP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finance charge revenue we will recognize over the life of the loan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“floating yield” method, all changes in expected cash flows (both positive and negative) are treated as yield adjustments and therefore impact earnings over time. The GAAP treatment results in a lower carrying value of the loan receivable asset, but may result in either higher or lower earnings for any given period depending on the timing and amount of expected cash flow changes.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floating yield adjustment provides a more accurate reflection of the performance of our business, since both favorable and unfavorable changes in estimated cash flows are treated consistently.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Notes Adjustment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22, 2014, we issued $300.0 million of 6.125% senior notes due 2021 (the “2021 notes”) in a private offering exempt from registration under the Securities Act of 1933. On February 21, 2014, we used the net proceeds from the 2021 notes, together with borrowings under our revolving credit facilities, to redeem in full the $350.0 million outstanding principal amount of our 9.125% senior notes due 2017 (the “2017 notes”). The purpose of this non-GAAP adjustment is to modify our GAAP financial results to treat the issuance of the 2021 notes as a refinancing of the 2017 notes.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GAAP, the redemption of the 2017 notes in the first quarter of 2014 required us to recognize a pre-tax loss on extinguishment of debt of $21.8 million. Under our non-GAAP approach, the loss on extinguishment of debt and additional interest expense that was recognized for GAAP purposes for the quarter ended March 31, 2014 was deferred as a debt issuance cost and is being recognized ratably as interest expense over the term of the 2021 notes. In addition, for adjusted average capital purposes, the impact of additional outstanding debt related to the one month lag from the issuance of the 2021 notes to the redemption of the 2017 notes was deferred and is being recognized ratably over the term of the 2021 notes.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52" w:right="239" w:bottom="1440" w:gutter="0" w:footer="0" w:header="0"/>
        </w:sectPr>
      </w:pPr>
    </w:p>
    <w:bookmarkStart w:id="18" w:name="page19"/>
    <w:bookmarkEnd w:id="18"/>
    <w:p>
      <w:pPr>
        <w:jc w:val="both"/>
        <w:ind w:right="20"/>
        <w:spacing w:after="0" w:line="308" w:lineRule="auto"/>
        <w:rPr>
          <w:sz w:val="20"/>
          <w:szCs w:val="20"/>
          <w:color w:val="auto"/>
        </w:rPr>
      </w:pPr>
      <w:r>
        <w:rPr>
          <w:rFonts w:ascii="Arial" w:cs="Arial" w:eastAsia="Arial" w:hAnsi="Arial"/>
          <w:sz w:val="17"/>
          <w:szCs w:val="17"/>
          <w:color w:val="auto"/>
        </w:rPr>
        <w:t>We believe the senior notes adjustment provides a more accurate reflection of the performance of our business, since we are recognizing the costs incurred with this transaction in a manner consistent with how we recognize the costs incurred when we periodically refinance our other debt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Form 10-K for the year ended December 31, 2017, filed with the Securities and Exchange Commission on February 9, 2018, other risk factors discussed herein or listed from time to time in our reports filed with the Securities and Exchange Commission and the following:</w:t>
      </w:r>
    </w:p>
    <w:p>
      <w:pPr>
        <w:spacing w:after="0" w:line="179"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 adverse impact on our operations.</w:t>
      </w:r>
    </w:p>
    <w:p>
      <w:pPr>
        <w:ind w:left="660" w:hanging="328"/>
        <w:spacing w:after="0" w:line="26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9" w:name="page20"/>
    <w:bookmarkEnd w:id="19"/>
    <w:p>
      <w:pPr>
        <w:jc w:val="both"/>
        <w:ind w:right="2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Arial" w:cs="Arial" w:eastAsia="Arial" w:hAnsi="Arial"/>
          <w:sz w:val="18"/>
          <w:szCs w:val="18"/>
          <w:u w:val="single" w:color="auto"/>
          <w:color w:val="auto"/>
        </w:rPr>
        <w:t>creditacceptance.com.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ind w:left="40"/>
              <w:spacing w:after="0"/>
              <w:rPr>
                <w:sz w:val="20"/>
                <w:szCs w:val="20"/>
                <w:color w:val="auto"/>
              </w:rPr>
            </w:pPr>
            <w:r>
              <w:rPr>
                <w:rFonts w:ascii="Arial" w:cs="Arial" w:eastAsia="Arial" w:hAnsi="Arial"/>
                <w:sz w:val="14"/>
                <w:szCs w:val="14"/>
                <w:color w:val="auto"/>
              </w:rPr>
              <w:t>(Dollars in millions, except per share data)</w:t>
            </w:r>
          </w:p>
        </w:tc>
        <w:tc>
          <w:tcPr>
            <w:tcW w:w="260" w:type="dxa"/>
            <w:vAlign w:val="bottom"/>
          </w:tcPr>
          <w:p>
            <w:pPr>
              <w:spacing w:after="0"/>
              <w:rPr>
                <w:sz w:val="16"/>
                <w:szCs w:val="16"/>
                <w:color w:val="auto"/>
              </w:rPr>
            </w:pPr>
          </w:p>
        </w:tc>
        <w:tc>
          <w:tcPr>
            <w:tcW w:w="34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December 31,</w:t>
            </w:r>
          </w:p>
        </w:tc>
        <w:tc>
          <w:tcPr>
            <w:tcW w:w="380" w:type="dxa"/>
            <w:vAlign w:val="bottom"/>
          </w:tcPr>
          <w:p>
            <w:pPr>
              <w:spacing w:after="0"/>
              <w:rPr>
                <w:sz w:val="16"/>
                <w:szCs w:val="16"/>
                <w:color w:val="auto"/>
              </w:rPr>
            </w:pPr>
          </w:p>
        </w:tc>
        <w:tc>
          <w:tcPr>
            <w:tcW w:w="30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For the Years Ended December 31,</w:t>
            </w:r>
          </w:p>
        </w:tc>
      </w:tr>
      <w:tr>
        <w:trPr>
          <w:trHeight w:val="263"/>
        </w:trPr>
        <w:tc>
          <w:tcPr>
            <w:tcW w:w="43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Finance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313.8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1,011.5</w:t>
            </w: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Premiums earned</w:t>
            </w: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41.1</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r>
      <w:tr>
        <w:trPr>
          <w:trHeight w:val="237"/>
        </w:trPr>
        <w:tc>
          <w:tcPr>
            <w:tcW w:w="4360" w:type="dxa"/>
            <w:vAlign w:val="bottom"/>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342.8</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1,285.8</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1,110.0</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Salaries and wages</w:t>
            </w: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140.1</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w:t>
            </w: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156.6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claims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37"/>
        </w:trPr>
        <w:tc>
          <w:tcPr>
            <w:tcW w:w="4360" w:type="dxa"/>
            <w:vAlign w:val="bottom"/>
          </w:tcPr>
          <w:p>
            <w:pPr>
              <w:ind w:left="6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530.7</w:t>
            </w:r>
          </w:p>
        </w:tc>
        <w:tc>
          <w:tcPr>
            <w:tcW w:w="2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526.2</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201.0</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w:t>
            </w: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181.1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113.6</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151.9</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574.0</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470.2</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9.13</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29.52</w:t>
            </w: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24.12</w:t>
            </w:r>
          </w:p>
        </w:tc>
      </w:tr>
      <w:tr>
        <w:trPr>
          <w:trHeight w:val="251"/>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7.79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29.39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24.04</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19,415,436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19,407,344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19,446,067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19,497,719</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19,500,601</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19,471,638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19,532,312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19,558,936</w:t>
            </w:r>
          </w:p>
        </w:tc>
      </w:tr>
      <w:tr>
        <w:trPr>
          <w:trHeight w:val="891"/>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ind w:left="520"/>
              <w:spacing w:after="0"/>
              <w:rPr>
                <w:sz w:val="20"/>
                <w:szCs w:val="20"/>
                <w:color w:val="auto"/>
              </w:rPr>
            </w:pPr>
            <w:r>
              <w:rPr>
                <w:rFonts w:ascii="Arial" w:cs="Arial" w:eastAsia="Arial" w:hAnsi="Arial"/>
                <w:sz w:val="14"/>
                <w:szCs w:val="14"/>
                <w:color w:val="auto"/>
              </w:rPr>
              <w:t>(Dollars in millions, except per share data)</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85"/>
              </w:rPr>
              <w:t>As of</w:t>
            </w:r>
          </w:p>
        </w:tc>
        <w:tc>
          <w:tcPr>
            <w:tcW w:w="1420" w:type="dxa"/>
            <w:vAlign w:val="bottom"/>
            <w:tcBorders>
              <w:bottom w:val="single" w:sz="8" w:color="auto"/>
            </w:tcBorders>
          </w:tcPr>
          <w:p>
            <w:pPr>
              <w:spacing w:after="0"/>
              <w:rPr>
                <w:sz w:val="16"/>
                <w:szCs w:val="16"/>
                <w:color w:val="auto"/>
              </w:rPr>
            </w:pPr>
          </w:p>
        </w:tc>
      </w:tr>
      <w:tr>
        <w:trPr>
          <w:trHeight w:val="263"/>
        </w:trPr>
        <w:tc>
          <w:tcPr>
            <w:tcW w:w="8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3"/>
              </w:rPr>
              <w:t>December 31, 2018</w:t>
            </w:r>
          </w:p>
        </w:tc>
        <w:tc>
          <w:tcPr>
            <w:tcW w:w="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2017</w:t>
            </w:r>
          </w:p>
        </w:tc>
      </w:tr>
      <w:tr>
        <w:trPr>
          <w:trHeight w:val="243"/>
        </w:trPr>
        <w:tc>
          <w:tcPr>
            <w:tcW w:w="8000" w:type="dxa"/>
            <w:vAlign w:val="bottom"/>
          </w:tcPr>
          <w:p>
            <w:pPr>
              <w:ind w:left="36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255.6</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securities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r>
      <w:tr>
        <w:trPr>
          <w:trHeight w:val="297"/>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Loans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6,225.2</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5,049.0</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(461.9)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(429.4)</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Loans receivable, net</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5,763.3</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4,619.6</w:t>
            </w:r>
          </w:p>
        </w:tc>
      </w:tr>
      <w:tr>
        <w:trPr>
          <w:trHeight w:val="291"/>
        </w:trPr>
        <w:tc>
          <w:tcPr>
            <w:tcW w:w="8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r>
      <w:tr>
        <w:trPr>
          <w:trHeight w:val="297"/>
        </w:trPr>
        <w:tc>
          <w:tcPr>
            <w:tcW w:w="800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6,237.4</w:t>
            </w:r>
          </w:p>
        </w:tc>
        <w:tc>
          <w:tcPr>
            <w:tcW w:w="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4,985.6</w:t>
            </w:r>
          </w:p>
        </w:tc>
      </w:tr>
      <w:tr>
        <w:trPr>
          <w:trHeight w:val="284"/>
        </w:trPr>
        <w:tc>
          <w:tcPr>
            <w:tcW w:w="8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000" w:type="dxa"/>
            <w:vAlign w:val="bottom"/>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186.4</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151.7</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secured line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Secured financing</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3,092.7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2,514.1</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542.8</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Mortgage note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4,246.5</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3,449.8</w:t>
            </w:r>
          </w:p>
        </w:tc>
      </w:tr>
      <w:tr>
        <w:trPr>
          <w:trHeight w:val="291"/>
        </w:trPr>
        <w:tc>
          <w:tcPr>
            <w:tcW w:w="8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Common stock, $0.01 par value, 80,000,000 shares authorized, 18,972,558 and 19,310,049 shares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issued and outstanding as of December 31, 2018 and December 31, 2017,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145.5</w:t>
            </w: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1,390.3</w:t>
            </w:r>
          </w:p>
        </w:tc>
      </w:tr>
      <w:tr>
        <w:trPr>
          <w:trHeight w:val="243"/>
        </w:trPr>
        <w:tc>
          <w:tcPr>
            <w:tcW w:w="800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1,535.8</w:t>
            </w:r>
          </w:p>
        </w:tc>
      </w:tr>
      <w:tr>
        <w:trPr>
          <w:trHeight w:val="257"/>
        </w:trPr>
        <w:tc>
          <w:tcPr>
            <w:tcW w:w="8000" w:type="dxa"/>
            <w:vAlign w:val="bottom"/>
          </w:tcPr>
          <w:p>
            <w:pPr>
              <w:ind w:left="9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6,237.4</w:t>
            </w: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4,985.6</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lvl w:ilvl="1">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2019-12-28T17:03:17Z</dcterms:created>
  <dcterms:modified xsi:type="dcterms:W3CDTF">2019-12-28T17:03:17Z</dcterms:modified>
</cp:coreProperties>
</file>