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3, 2024</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CREDIT ACCEPTANCE CORPORATION</w:t>
      </w: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3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00" w:type="dxa"/>
            <w:vAlign w:val="bottom"/>
          </w:tcPr>
          <w:p>
            <w:pPr>
              <w:spacing w:after="0"/>
              <w:rPr>
                <w:sz w:val="20"/>
                <w:szCs w:val="20"/>
                <w:color w:val="auto"/>
              </w:rPr>
            </w:pPr>
          </w:p>
        </w:tc>
      </w:tr>
      <w:tr>
        <w:trPr>
          <w:trHeight w:val="601"/>
        </w:trPr>
        <w:tc>
          <w:tcPr>
            <w:tcW w:w="346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Michigan</w:t>
            </w:r>
          </w:p>
        </w:tc>
        <w:tc>
          <w:tcPr>
            <w:tcW w:w="35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000-20202</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8"/>
              </w:rPr>
              <w:t>38-1999511</w:t>
            </w:r>
          </w:p>
        </w:tc>
      </w:tr>
      <w:tr>
        <w:trPr>
          <w:trHeight w:val="40"/>
        </w:trPr>
        <w:tc>
          <w:tcPr>
            <w:tcW w:w="3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3300" w:type="dxa"/>
            <w:vAlign w:val="bottom"/>
          </w:tcPr>
          <w:p>
            <w:pPr>
              <w:spacing w:after="0"/>
              <w:rPr>
                <w:sz w:val="3"/>
                <w:szCs w:val="3"/>
                <w:color w:val="auto"/>
              </w:rPr>
            </w:pPr>
          </w:p>
        </w:tc>
      </w:tr>
      <w:tr>
        <w:trPr>
          <w:trHeight w:val="182"/>
        </w:trPr>
        <w:tc>
          <w:tcPr>
            <w:tcW w:w="3460" w:type="dxa"/>
            <w:vAlign w:val="bottom"/>
            <w:tcBorders>
              <w:top w:val="single" w:sz="8" w:color="auto"/>
            </w:tcBorders>
          </w:tcPr>
          <w:p>
            <w:pPr>
              <w:jc w:val="center"/>
              <w:ind w:left="35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27"/>
        </w:trPr>
        <w:tc>
          <w:tcPr>
            <w:tcW w:w="346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99"/>
              </w:rPr>
              <w:t>25505 West Twelve Mile Road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0"/>
        </w:trPr>
        <w:tc>
          <w:tcPr>
            <w:tcW w:w="3460" w:type="dxa"/>
            <w:vAlign w:val="bottom"/>
          </w:tcPr>
          <w:p>
            <w:pPr>
              <w:jc w:val="center"/>
              <w:ind w:left="497"/>
              <w:spacing w:after="0"/>
              <w:rPr>
                <w:sz w:val="20"/>
                <w:szCs w:val="20"/>
                <w:color w:val="auto"/>
              </w:rPr>
            </w:pPr>
            <w:r>
              <w:rPr>
                <w:rFonts w:ascii="Times New Roman" w:cs="Times New Roman" w:eastAsia="Times New Roman" w:hAnsi="Times New Roman"/>
                <w:sz w:val="18"/>
                <w:szCs w:val="18"/>
                <w:color w:val="auto"/>
              </w:rPr>
              <w:t>Southfield,  Michigan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0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rPr>
              <w:t>48034-8339</w:t>
            </w:r>
          </w:p>
        </w:tc>
      </w:tr>
      <w:tr>
        <w:trPr>
          <w:trHeight w:val="40"/>
        </w:trPr>
        <w:tc>
          <w:tcPr>
            <w:tcW w:w="3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r>
      <w:tr>
        <w:trPr>
          <w:trHeight w:val="182"/>
        </w:trPr>
        <w:tc>
          <w:tcPr>
            <w:tcW w:w="3460" w:type="dxa"/>
            <w:vAlign w:val="bottom"/>
          </w:tcPr>
          <w:p>
            <w:pPr>
              <w:jc w:val="center"/>
              <w:ind w:left="4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0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21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Registrant’s telephone number, including area code:  (248) 353-2700</w:t>
      </w:r>
    </w:p>
    <w:p>
      <w:pPr>
        <w:spacing w:after="0" w:line="15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-127635</wp:posOffset>
            </wp:positionV>
            <wp:extent cx="3943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35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CACC</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39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Acceptance Corporation is furnishing materials, included as Exhibit 99.1 to this report and incorporated herein by reference, which were prepared for inclusion on its investor relations website. Credit Acceptance Corporation is not undertaking to update these materials. This report is not an admission as to the materiality of any information contained in these materials.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r>
        <w:trPr>
          <w:trHeight w:val="183"/>
        </w:trPr>
        <w:tc>
          <w:tcPr>
            <w:tcW w:w="1220" w:type="dxa"/>
            <w:vAlign w:val="bottom"/>
            <w:gridSpan w:val="3"/>
          </w:tcPr>
          <w:p>
            <w:pPr>
              <w:jc w:val="center"/>
              <w:ind w:right="66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5"/>
                <w:szCs w:val="15"/>
                <w:color w:val="auto"/>
              </w:rPr>
            </w:pPr>
          </w:p>
        </w:tc>
        <w:tc>
          <w:tcPr>
            <w:tcW w:w="95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Shareholder Letter added to website on or about April 3, 2024.</w:t>
            </w:r>
          </w:p>
        </w:tc>
      </w:tr>
      <w:tr>
        <w:trPr>
          <w:trHeight w:val="250"/>
        </w:trPr>
        <w:tc>
          <w:tcPr>
            <w:tcW w:w="220" w:type="dxa"/>
            <w:vAlign w:val="bottom"/>
          </w:tcPr>
          <w:p>
            <w:pPr>
              <w:spacing w:after="0"/>
              <w:rPr>
                <w:sz w:val="21"/>
                <w:szCs w:val="21"/>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Exhibit 99.1, contain forward-looking statements. These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2023, filed with the Securities and Exchange Commission on February 12, 2024, and the risks and uncertainties discussed in our other reports filed or furnished from time to time with the SEC and the following: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Operational, and Macroeconomic Risks</w:t>
      </w:r>
    </w:p>
    <w:p>
      <w:pPr>
        <w:spacing w:after="0" w:line="31" w:lineRule="exact"/>
        <w:rPr>
          <w:sz w:val="20"/>
          <w:szCs w:val="20"/>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accurately forecast and estimate the amount and timing of future collections could have a material adverse effect on results of operations.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competition from traditional financing sources and non-traditional lenders, we may not be able to compete successfully.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administer our ancillary product offerings could adversely affect our business and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is a key asset to our business, and our business may be affected by how we are perceived in the marketplace.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contagious disease or other public health emergency could materially and adversely affect our business, financial condition, liquidity, and results of operations.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dealers in several states could adversely affect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outsourced business functions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foreign engineering personnel could be hindered by immigration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business strategy due to current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climate change, military conflicts, acts of war, terrorist attacks and threats, or the escalation of military activity in response to terrorist attacks or otherwise may negatively affect our business, financial condition, and results of operations.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market responses to climate change and related environmental issues could have a material adverse effect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and Liquidity Risks</w:t>
      </w:r>
    </w:p>
    <w:p>
      <w:pPr>
        <w:spacing w:after="0" w:line="2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access or renew funding sources and obtain capital needed to maintain and grow our business.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debt limit how we conduct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the terms of our asset-backed secured financings or revolving secured warehouse facilities could have a material adverse impact on our operations.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negatively impact our business, prevent us from satisfying our debt obligations, and adversely affect our financial condition.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adversely affect our borrowing costs, profitability, and liquidity.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substantially more debt and other liabilities. This could exacerbate further the risks associated with our current debt levels.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Technology and Cybersecurity Risks</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technology could have a material adverse effect on our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secure information technology, and a breach of our systems or those of our third-party service providers could result in our experiencing significant financial, legal, and reputational exposure and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electronic contracts could impact our ability to perfect our ownership or security interest in Consumer Loans.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safeguard confidential consumer and team member information could subject us to liability, decrease our profitability, and damage our reputation.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and Regulatory Risks</w:t>
      </w:r>
    </w:p>
    <w:p>
      <w:pPr>
        <w:spacing w:after="0" w:line="2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we are involved in from time to time may adversely affect our financial condition, results of operations, and cash flows.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to which we are or may become subject could result in a material adverse effect on our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68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CREDIT ACCEPTANCE CORPORATION</w:t>
            </w:r>
          </w:p>
        </w:tc>
      </w:tr>
      <w:tr>
        <w:trPr>
          <w:trHeight w:val="48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22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D. Martin</w:t>
            </w:r>
          </w:p>
        </w:tc>
      </w:tr>
      <w:tr>
        <w:trPr>
          <w:trHeight w:val="218"/>
        </w:trPr>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Jay D. Martin</w:t>
            </w:r>
          </w:p>
        </w:tc>
      </w:tr>
      <w:tr>
        <w:trPr>
          <w:trHeight w:val="234"/>
        </w:trPr>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3066"/>
        </w:rPr>
        <w:t>Shareholder Leter</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color w:val="003066"/>
        </w:rPr>
        <w:t>A message from our Chief Executve Ofcer</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BACKGROUND</w:t>
      </w:r>
    </w:p>
    <w:p>
      <w:pPr>
        <w:spacing w:after="0" w:line="245" w:lineRule="exact"/>
        <w:rPr>
          <w:sz w:val="20"/>
          <w:szCs w:val="20"/>
          <w:color w:val="auto"/>
        </w:rPr>
      </w:pPr>
    </w:p>
    <w:p>
      <w:pPr>
        <w:ind w:right="100"/>
        <w:spacing w:after="0" w:line="217" w:lineRule="auto"/>
        <w:rPr>
          <w:sz w:val="20"/>
          <w:szCs w:val="20"/>
          <w:color w:val="auto"/>
        </w:rPr>
      </w:pPr>
      <w:r>
        <w:rPr>
          <w:rFonts w:ascii="Calibri" w:cs="Calibri" w:eastAsia="Calibri" w:hAnsi="Calibri"/>
          <w:sz w:val="22"/>
          <w:szCs w:val="22"/>
          <w:color w:val="auto"/>
        </w:rPr>
        <w:t>For more than 50 years, Credit Acceptance Corporaton</w:t>
      </w:r>
      <w:r>
        <w:rPr>
          <w:rFonts w:ascii="Calibri" w:cs="Calibri" w:eastAsia="Calibri" w:hAnsi="Calibri"/>
          <w:sz w:val="28"/>
          <w:szCs w:val="28"/>
          <w:color w:val="auto"/>
          <w:vertAlign w:val="superscript"/>
        </w:rPr>
        <w:t>1</w:t>
      </w:r>
      <w:r>
        <w:rPr>
          <w:rFonts w:ascii="Calibri" w:cs="Calibri" w:eastAsia="Calibri" w:hAnsi="Calibri"/>
          <w:sz w:val="22"/>
          <w:szCs w:val="22"/>
          <w:color w:val="auto"/>
        </w:rPr>
        <w:t xml:space="preserve"> has made vehicle ownership possible by providing innovatve fnancing solutons that enable automobile dealers to sell vehicles to consumers regardless of their credit history. We provide our natonwide network of dealers the ability to sell a vehicle to a consumer who, without us, they might otherwise have had to turn away.</w:t>
      </w:r>
    </w:p>
    <w:p>
      <w:pPr>
        <w:spacing w:after="0" w:line="242" w:lineRule="exact"/>
        <w:rPr>
          <w:sz w:val="20"/>
          <w:szCs w:val="20"/>
          <w:color w:val="auto"/>
        </w:rPr>
      </w:pPr>
    </w:p>
    <w:p>
      <w:pPr>
        <w:ind w:right="100"/>
        <w:spacing w:after="0" w:line="230" w:lineRule="auto"/>
        <w:rPr>
          <w:sz w:val="20"/>
          <w:szCs w:val="20"/>
          <w:color w:val="auto"/>
        </w:rPr>
      </w:pPr>
      <w:r>
        <w:rPr>
          <w:rFonts w:ascii="Calibri" w:cs="Calibri" w:eastAsia="Calibri" w:hAnsi="Calibri"/>
          <w:sz w:val="21"/>
          <w:szCs w:val="21"/>
          <w:color w:val="auto"/>
        </w:rPr>
        <w:t>The auto fnance market is large and fragmented, with nearly $1.5 trillion in outstanding loan balances as of December 31, 2023. We compete with banks, credit unions, auto fnance companies afliated with auto manufacturers, independent auto fnance companies, and “buy here, pay here” dealers. Our value propositon in the market is unique for two reasons. First, consumers are not denied the opportunity to purchase a vehicle based on their credit history. Vehicles are necessary in most areas of the country. By providing access to credit,</w:t>
      </w:r>
      <w:r>
        <w:rPr>
          <w:rFonts w:ascii="Calibri" w:cs="Calibri" w:eastAsia="Calibri" w:hAnsi="Calibri"/>
          <w:sz w:val="27"/>
          <w:szCs w:val="27"/>
          <w:color w:val="auto"/>
          <w:vertAlign w:val="superscript"/>
        </w:rPr>
        <w:t>2</w:t>
      </w:r>
      <w:r>
        <w:rPr>
          <w:rFonts w:ascii="Calibri" w:cs="Calibri" w:eastAsia="Calibri" w:hAnsi="Calibri"/>
          <w:sz w:val="21"/>
          <w:szCs w:val="21"/>
          <w:color w:val="auto"/>
        </w:rPr>
        <w:t xml:space="preserve"> we make it possible for consumers to purchase vehicles needed to maintain or fnd beter employment, atend school, access health care, and buy more afordable groceries and other necessites. Second, for most of the vehicle sales we fnance, the dealer shares in the cash fows from the loan afer the loan is assigned to us.</w:t>
      </w:r>
      <w:r>
        <w:rPr>
          <w:rFonts w:ascii="Calibri" w:cs="Calibri" w:eastAsia="Calibri" w:hAnsi="Calibri"/>
          <w:sz w:val="27"/>
          <w:szCs w:val="27"/>
          <w:color w:val="auto"/>
          <w:vertAlign w:val="superscript"/>
        </w:rPr>
        <w:t>3</w:t>
      </w:r>
      <w:r>
        <w:rPr>
          <w:rFonts w:ascii="Calibri" w:cs="Calibri" w:eastAsia="Calibri" w:hAnsi="Calibri"/>
          <w:sz w:val="21"/>
          <w:szCs w:val="21"/>
          <w:color w:val="auto"/>
        </w:rPr>
        <w:t xml:space="preserve"> Dealers receive 80% of collectons throughout the life of a loan. This compensaton plan is a critcal element of our success as it creates an alignment of interests between Credit Acceptance, the dealer, and the consumer. Through Credit Acceptance, the dealer directly benefts if the consumer’s loan is repaid and the consumer builds or rebuilds their credit. Our program incentvizes the dealer to sell a quality vehicle at a price the customer can aford and that will last at least the term of the loan.</w:t>
      </w:r>
    </w:p>
    <w:p>
      <w:pPr>
        <w:spacing w:after="0" w:line="249"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Our customers are people like Takisha S. from Toledo, Ohio. Takisha assists nurses in facilites, nursing homes, and hospitals. She enjoys providing transportaton to patents in her community who need it. She dreamed of upgrading her sedan to a larger vehicle to help more people and earn additonal income. But, like many Americans with impaired credit, Takisha had difculty getng approved to fnance her dream vehicle. Takisha had cosigned for a friend to purchase a vehicle. The friend ran into difculty making payments during the COVID-19 pandemic, which caused Takisha’s credit score to decline. Although she was turned down for fnancing at multple dealerships in her pursuit of a larger vehicle, she did not give up. She found a dealer working with Credit Acceptance and got approved to purchase the van of her dreams. With her new van, Takisha helped more patents in her community and increased her income. In just one year, she paid of her account and improved her credit. Takisha is now planning to fnance a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9" w:lineRule="exact"/>
        <w:rPr>
          <w:sz w:val="20"/>
          <w:szCs w:val="20"/>
          <w:color w:val="auto"/>
        </w:rPr>
      </w:pPr>
    </w:p>
    <w:p>
      <w:pPr>
        <w:ind w:left="100" w:hanging="92"/>
        <w:spacing w:after="0"/>
        <w:tabs>
          <w:tab w:leader="none" w:pos="100" w:val="left"/>
        </w:tabs>
        <w:numPr>
          <w:ilvl w:val="0"/>
          <w:numId w:val="7"/>
        </w:numPr>
        <w:rPr>
          <w:rFonts w:ascii="Calibri" w:cs="Calibri" w:eastAsia="Calibri" w:hAnsi="Calibri"/>
          <w:sz w:val="23"/>
          <w:szCs w:val="23"/>
          <w:color w:val="auto"/>
          <w:vertAlign w:val="superscript"/>
        </w:rPr>
      </w:pPr>
      <w:r>
        <w:rPr>
          <w:rFonts w:ascii="Calibri" w:cs="Calibri" w:eastAsia="Calibri" w:hAnsi="Calibri"/>
          <w:sz w:val="16"/>
          <w:szCs w:val="16"/>
          <w:color w:val="auto"/>
        </w:rPr>
        <w:t>I also refer to Credit Acceptance Corporaton as “Credit Acceptance”, “the Company”, “we”, or “us” throughout this leter.</w:t>
      </w:r>
    </w:p>
    <w:p>
      <w:pPr>
        <w:spacing w:after="0" w:line="265" w:lineRule="exact"/>
        <w:rPr>
          <w:sz w:val="20"/>
          <w:szCs w:val="20"/>
          <w:color w:val="auto"/>
        </w:rPr>
      </w:pPr>
    </w:p>
    <w:p>
      <w:pPr>
        <w:ind w:right="280" w:firstLine="8"/>
        <w:spacing w:after="0" w:line="199" w:lineRule="auto"/>
        <w:tabs>
          <w:tab w:leader="none" w:pos="99" w:val="left"/>
        </w:tabs>
        <w:numPr>
          <w:ilvl w:val="0"/>
          <w:numId w:val="8"/>
        </w:numPr>
        <w:rPr>
          <w:rFonts w:ascii="Calibri" w:cs="Calibri" w:eastAsia="Calibri" w:hAnsi="Calibri"/>
          <w:sz w:val="23"/>
          <w:szCs w:val="23"/>
          <w:color w:val="auto"/>
          <w:vertAlign w:val="superscript"/>
        </w:rPr>
      </w:pPr>
      <w:r>
        <w:rPr>
          <w:rFonts w:ascii="Calibri" w:cs="Calibri" w:eastAsia="Calibri" w:hAnsi="Calibri"/>
          <w:sz w:val="16"/>
          <w:szCs w:val="16"/>
          <w:color w:val="auto"/>
        </w:rPr>
        <w:t>Our company, like most of our compettors, is an indirect auto fnance company, which means the fnancing contract is originated by the auto dealer and immediately assigned to us in exchange for compensaton.</w:t>
      </w:r>
    </w:p>
    <w:p>
      <w:pPr>
        <w:spacing w:after="0" w:line="253" w:lineRule="exact"/>
        <w:rPr>
          <w:sz w:val="20"/>
          <w:szCs w:val="20"/>
          <w:color w:val="auto"/>
        </w:rPr>
      </w:pPr>
    </w:p>
    <w:p>
      <w:pPr>
        <w:ind w:right="100" w:firstLine="8"/>
        <w:spacing w:after="0" w:line="194" w:lineRule="auto"/>
        <w:tabs>
          <w:tab w:leader="none" w:pos="99" w:val="left"/>
        </w:tabs>
        <w:numPr>
          <w:ilvl w:val="0"/>
          <w:numId w:val="9"/>
        </w:numPr>
        <w:rPr>
          <w:rFonts w:ascii="Calibri" w:cs="Calibri" w:eastAsia="Calibri" w:hAnsi="Calibri"/>
          <w:sz w:val="23"/>
          <w:szCs w:val="23"/>
          <w:color w:val="auto"/>
          <w:vertAlign w:val="superscript"/>
        </w:rPr>
      </w:pPr>
      <w:r>
        <w:rPr>
          <w:rFonts w:ascii="Calibri" w:cs="Calibri" w:eastAsia="Calibri" w:hAnsi="Calibri"/>
          <w:sz w:val="16"/>
          <w:szCs w:val="16"/>
          <w:color w:val="auto"/>
        </w:rPr>
        <w:t>The transacton between the dealer and the consumer is not a loan, but instead something called a retail installment contract. However, for simplicity and to conform to the language commonly used in the industry and used in our disclosures, I will refer in this leter to retail installment contracts as “loans” and to indirect auto fnance companies as “lenders.”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spacing w:after="0" w:line="232" w:lineRule="auto"/>
        <w:rPr>
          <w:sz w:val="20"/>
          <w:szCs w:val="20"/>
          <w:color w:val="auto"/>
        </w:rPr>
      </w:pPr>
      <w:r>
        <w:rPr>
          <w:rFonts w:ascii="Calibri" w:cs="Calibri" w:eastAsia="Calibri" w:hAnsi="Calibri"/>
          <w:sz w:val="22"/>
          <w:szCs w:val="22"/>
          <w:color w:val="auto"/>
        </w:rPr>
        <w:t>While Takisha’s story is inspiring, she’s far from alone. Our potental market is huge—adults with no credit history (credit invisible), with limited credit informaton available through the credit bureaus (a thin fle), and subprime credit are ofen ignored by mainstream lenders and have limited credit choices. According to an industry white paper published in 2022, citng Experian® data:</w:t>
      </w:r>
    </w:p>
    <w:p>
      <w:pPr>
        <w:spacing w:after="0" w:line="26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Calibri" w:cs="Calibri" w:eastAsia="Calibri" w:hAnsi="Calibri"/>
          <w:sz w:val="22"/>
          <w:szCs w:val="22"/>
          <w:color w:val="auto"/>
        </w:rPr>
        <w:t>11% (28 million) of adults in the United States have no credit score and are considered credit invisible.</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Calibri" w:cs="Calibri" w:eastAsia="Calibri" w:hAnsi="Calibri"/>
          <w:sz w:val="22"/>
          <w:szCs w:val="22"/>
          <w:color w:val="auto"/>
        </w:rPr>
        <w:t>An additonal 8% (21 million) of adults have thin credit fles or a limited credit history and are unscorable.</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Calibri" w:cs="Calibri" w:eastAsia="Calibri" w:hAnsi="Calibri"/>
          <w:sz w:val="22"/>
          <w:szCs w:val="22"/>
          <w:color w:val="auto"/>
        </w:rPr>
        <w:t>Approximately 22% (57 million) of adults have a credit profle that is considered subprime.</w:t>
      </w:r>
    </w:p>
    <w:p>
      <w:pPr>
        <w:spacing w:after="0" w:line="14"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10"/>
        </w:numPr>
        <w:rPr>
          <w:rFonts w:ascii="Arial" w:cs="Arial" w:eastAsia="Arial" w:hAnsi="Arial"/>
          <w:sz w:val="22"/>
          <w:szCs w:val="22"/>
          <w:color w:val="auto"/>
        </w:rPr>
      </w:pPr>
      <w:r>
        <w:rPr>
          <w:rFonts w:ascii="Calibri" w:cs="Calibri" w:eastAsia="Calibri" w:hAnsi="Calibri"/>
          <w:sz w:val="22"/>
          <w:szCs w:val="22"/>
          <w:color w:val="auto"/>
        </w:rPr>
        <w:t>An additonal 14% (35 million) of adults have credit profles considered near prime.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Calibri" w:cs="Calibri" w:eastAsia="Calibri" w:hAnsi="Calibri"/>
          <w:sz w:val="22"/>
          <w:szCs w:val="22"/>
          <w:color w:val="auto"/>
        </w:rPr>
        <w:t>Only 44% (114 million) of adults have prime credit.</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We make it possible for all of these individuals to fnance a vehicle—a life-changing opportunity for many.</w:t>
      </w:r>
    </w:p>
    <w:p>
      <w:pPr>
        <w:spacing w:after="0" w:line="242" w:lineRule="exact"/>
        <w:rPr>
          <w:sz w:val="20"/>
          <w:szCs w:val="20"/>
          <w:color w:val="auto"/>
        </w:rPr>
      </w:pPr>
    </w:p>
    <w:p>
      <w:pPr>
        <w:jc w:val="both"/>
        <w:ind w:right="60"/>
        <w:spacing w:after="0" w:line="229" w:lineRule="auto"/>
        <w:rPr>
          <w:sz w:val="20"/>
          <w:szCs w:val="20"/>
          <w:color w:val="auto"/>
        </w:rPr>
      </w:pPr>
      <w:r>
        <w:rPr>
          <w:rFonts w:ascii="Calibri" w:cs="Calibri" w:eastAsia="Calibri" w:hAnsi="Calibri"/>
          <w:sz w:val="22"/>
          <w:szCs w:val="22"/>
          <w:color w:val="auto"/>
        </w:rPr>
        <w:t>We also provide our dealers with a unique opportunity to grow their businesses and improve their fnancial futures. A business relatonship with us creates incremental proft for the dealer, and the potental for incremental repeat and referral business. We have helped thousands of dealers build their businesses and contnue to strengthen our dealer relatonships.</w:t>
      </w:r>
    </w:p>
    <w:p>
      <w:pPr>
        <w:spacing w:after="0" w:line="244" w:lineRule="exact"/>
        <w:rPr>
          <w:sz w:val="20"/>
          <w:szCs w:val="20"/>
          <w:color w:val="auto"/>
        </w:rPr>
      </w:pPr>
    </w:p>
    <w:p>
      <w:pPr>
        <w:ind w:right="20"/>
        <w:spacing w:after="0" w:line="232" w:lineRule="auto"/>
        <w:rPr>
          <w:sz w:val="20"/>
          <w:szCs w:val="20"/>
          <w:color w:val="auto"/>
        </w:rPr>
      </w:pPr>
      <w:r>
        <w:rPr>
          <w:rFonts w:ascii="Calibri" w:cs="Calibri" w:eastAsia="Calibri" w:hAnsi="Calibri"/>
          <w:sz w:val="22"/>
          <w:szCs w:val="22"/>
          <w:color w:val="auto"/>
        </w:rPr>
        <w:t>Our dealers are like Sean and Tony, the owners of Champs Auto Sales in Detroit, Michigan. Champs had limited fnancing optons for consumers when Sean and Tony purchased the dealership over 10 years ago. In 2021, Champs expanded its fnancing optons through Credit Acceptance and began to ofer fnancing to all consumers, including those who were credit impaired and credit invisible. Tony recently commented that Credit Acceptance helps Champs “put dreams in driveways.” The experience is so meaningful that Champs customers ofen return for future vehicles and refer their friends and family to the dealership. Our consistent, fast-funding process also gave Sean and Tony the cash fow needed to build Champs’ inventory to over 120 vehicles on the lot at any given tme, from 20 to 30 vehicles previously. With additonal cash fow and greater inventory, Champs now sells over 50 to 60 vehicles per month.</w:t>
      </w:r>
    </w:p>
    <w:p>
      <w:pPr>
        <w:spacing w:after="0" w:line="2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HISTORY</w:t>
      </w:r>
    </w:p>
    <w:p>
      <w:pPr>
        <w:spacing w:after="0" w:line="241" w:lineRule="exact"/>
        <w:rPr>
          <w:sz w:val="20"/>
          <w:szCs w:val="20"/>
          <w:color w:val="auto"/>
        </w:rPr>
      </w:pPr>
    </w:p>
    <w:p>
      <w:pPr>
        <w:ind w:right="360"/>
        <w:spacing w:after="0" w:line="229" w:lineRule="auto"/>
        <w:rPr>
          <w:sz w:val="20"/>
          <w:szCs w:val="20"/>
          <w:color w:val="auto"/>
        </w:rPr>
      </w:pPr>
      <w:r>
        <w:rPr>
          <w:rFonts w:ascii="Calibri" w:cs="Calibri" w:eastAsia="Calibri" w:hAnsi="Calibri"/>
          <w:sz w:val="22"/>
          <w:szCs w:val="22"/>
          <w:color w:val="auto"/>
        </w:rPr>
        <w:t>Our business model has been quite successful over tme. I atribute our success over the last 25 years to three pillars: (1) our purpose; (2) our long-term strategy and goals; and (3) our values and beliefs.</w:t>
      </w:r>
    </w:p>
    <w:p>
      <w:pPr>
        <w:spacing w:after="0" w:line="257" w:lineRule="exact"/>
        <w:rPr>
          <w:sz w:val="20"/>
          <w:szCs w:val="20"/>
          <w:color w:val="auto"/>
        </w:rPr>
      </w:pPr>
    </w:p>
    <w:p>
      <w:pPr>
        <w:ind w:right="140"/>
        <w:spacing w:after="0" w:line="229" w:lineRule="auto"/>
        <w:rPr>
          <w:sz w:val="20"/>
          <w:szCs w:val="20"/>
          <w:color w:val="auto"/>
        </w:rPr>
      </w:pPr>
      <w:r>
        <w:rPr>
          <w:rFonts w:ascii="Calibri" w:cs="Calibri" w:eastAsia="Calibri" w:hAnsi="Calibri"/>
          <w:sz w:val="22"/>
          <w:szCs w:val="22"/>
          <w:color w:val="auto"/>
        </w:rPr>
        <w:t>First, our purpose is to make vehicle ownership possible by providing innovatve fnancing solutons that enable automobile dealers to sell vehicles to consumers regardless of their credit history. Arising from this purpose is our North Star: to change lives and create intrinsic value for dealers, consumers, team members, investors, and our communites. To do so, we must ofer a great product and build a successful, proftable business. And when we serve our consttuents well—when we change their lives in positve ways—our business will thrive.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5" w:right="339" w:bottom="1440" w:gutter="0" w:footer="0" w:header="0"/>
        </w:sectPr>
      </w:pPr>
    </w:p>
    <w:bookmarkStart w:id="6" w:name="page7"/>
    <w:bookmarkEnd w:id="6"/>
    <w:p>
      <w:pPr>
        <w:ind w:right="80"/>
        <w:spacing w:after="0" w:line="230" w:lineRule="auto"/>
        <w:rPr>
          <w:sz w:val="20"/>
          <w:szCs w:val="20"/>
          <w:color w:val="auto"/>
        </w:rPr>
      </w:pPr>
      <w:r>
        <w:rPr>
          <w:rFonts w:ascii="Calibri" w:cs="Calibri" w:eastAsia="Calibri" w:hAnsi="Calibri"/>
          <w:sz w:val="22"/>
          <w:szCs w:val="22"/>
          <w:color w:val="auto"/>
        </w:rPr>
        <w:t>Don Foss founded Credit Acceptance in 1972 on these beliefs. Don had learned early in his career as an auto dealer that many individuals could not acquire vehicles they need due to their lack of credit. Don witnessed traditonal lending sources unfairly misjudge credit-impaired and credit-invisible applicants, assuming the applicants’ less-than-prime credit made them undeserving of a second chance. Don started Credit Acceptance to help those individuals move their lives in a positve directon by providing them the opportunity to fnance a vehicle and establish or reestablish positve credit history. Don served as our CEO untl 2002 and contnued to serve on our Board as Chairman untl his retrement in 2017. Our purpose and North Star have guided our decisions, actons, and policies, in all phases of our evoluton.</w:t>
      </w:r>
    </w:p>
    <w:p>
      <w:pPr>
        <w:spacing w:after="0" w:line="250" w:lineRule="exact"/>
        <w:rPr>
          <w:sz w:val="20"/>
          <w:szCs w:val="20"/>
          <w:color w:val="auto"/>
        </w:rPr>
      </w:pPr>
    </w:p>
    <w:p>
      <w:pPr>
        <w:spacing w:after="0" w:line="231" w:lineRule="auto"/>
        <w:rPr>
          <w:sz w:val="20"/>
          <w:szCs w:val="20"/>
          <w:color w:val="auto"/>
        </w:rPr>
      </w:pPr>
      <w:r>
        <w:rPr>
          <w:rFonts w:ascii="Calibri" w:cs="Calibri" w:eastAsia="Calibri" w:hAnsi="Calibri"/>
          <w:sz w:val="22"/>
          <w:szCs w:val="22"/>
          <w:color w:val="auto"/>
        </w:rPr>
        <w:t>Second, we focus on the long-term success of the business and set big, hairy, audacious goals accordingly. Our second pillar was greatly infuenced by one of our long-standing Board members. Before our inital public ofering, we had limited competton and wrote highly proftable business. Afer we became publicly traded in 1992, competton intensifed, and we struggled for several years in the mid- to late-1990s. One of the frst changes the Board member made was to establish a minimum required return on capital. The message was clear: If we could not earn more than our cost of capital, we needed to give that capital back to shareholders. This message got leadership’s atenton, since at the tme we were not meetng this minimum requirement. With the Board’s help, we worked through those challenges and began focusing on a metric called “Economic Proft.” This led to an increased focus on our core business under Bret Roberts, our CEO from 2002 to 2021, and our exit from several business lines and geographic locatons. This focus, insttutonalized by Bret, has since guided our success.</w:t>
      </w:r>
    </w:p>
    <w:p>
      <w:pPr>
        <w:spacing w:after="0" w:line="252" w:lineRule="exact"/>
        <w:rPr>
          <w:sz w:val="20"/>
          <w:szCs w:val="20"/>
          <w:color w:val="auto"/>
        </w:rPr>
      </w:pPr>
    </w:p>
    <w:p>
      <w:pPr>
        <w:ind w:right="120"/>
        <w:spacing w:after="0" w:line="229" w:lineRule="auto"/>
        <w:rPr>
          <w:sz w:val="20"/>
          <w:szCs w:val="20"/>
          <w:color w:val="auto"/>
        </w:rPr>
      </w:pPr>
      <w:r>
        <w:rPr>
          <w:rFonts w:ascii="Calibri" w:cs="Calibri" w:eastAsia="Calibri" w:hAnsi="Calibri"/>
          <w:sz w:val="22"/>
          <w:szCs w:val="22"/>
          <w:color w:val="auto"/>
        </w:rPr>
        <w:t>With our atenton on Economic Proft, we wisely invested our capital and consistently earned a return on capital well above its cost, even in years when our loans performed worse than we expected. We invested in our core business and used excess capital to repurchase stock, buying approximately 40.4 million shares from 1999 through 2023.</w:t>
      </w:r>
    </w:p>
    <w:p>
      <w:pPr>
        <w:spacing w:after="0" w:line="257" w:lineRule="exact"/>
        <w:rPr>
          <w:sz w:val="20"/>
          <w:szCs w:val="20"/>
          <w:color w:val="auto"/>
        </w:rPr>
      </w:pPr>
    </w:p>
    <w:p>
      <w:pPr>
        <w:ind w:right="400"/>
        <w:spacing w:after="0" w:line="229" w:lineRule="auto"/>
        <w:rPr>
          <w:sz w:val="20"/>
          <w:szCs w:val="20"/>
          <w:color w:val="auto"/>
        </w:rPr>
      </w:pPr>
      <w:r>
        <w:rPr>
          <w:rFonts w:ascii="Calibri" w:cs="Calibri" w:eastAsia="Calibri" w:hAnsi="Calibri"/>
          <w:sz w:val="22"/>
          <w:szCs w:val="22"/>
          <w:color w:val="auto"/>
        </w:rPr>
        <w:t>Third, we have clear and unwavering values and beliefs. We began concentratng on building a great culture for our team members in 2001. Bret was confdent that creatng a strong culture and great work environment would help us create a fnancially successful business. In 2012, our team members were asked to describe our values and coined the phrase PRIDE: Positve, Respectul, Insightul, Direct, and Earnest. Those values are now organic to our culture and fully integrated into our hiring processes, workplace, communicatons, and performance management.</w:t>
      </w:r>
    </w:p>
    <w:p>
      <w:pPr>
        <w:spacing w:after="0" w:line="258" w:lineRule="exact"/>
        <w:rPr>
          <w:sz w:val="20"/>
          <w:szCs w:val="20"/>
          <w:color w:val="auto"/>
        </w:rPr>
      </w:pPr>
    </w:p>
    <w:p>
      <w:pPr>
        <w:ind w:right="220"/>
        <w:spacing w:after="0" w:line="229" w:lineRule="auto"/>
        <w:rPr>
          <w:sz w:val="20"/>
          <w:szCs w:val="20"/>
          <w:color w:val="auto"/>
        </w:rPr>
      </w:pPr>
      <w:r>
        <w:rPr>
          <w:rFonts w:ascii="Calibri" w:cs="Calibri" w:eastAsia="Calibri" w:hAnsi="Calibri"/>
          <w:sz w:val="22"/>
          <w:szCs w:val="22"/>
          <w:color w:val="auto"/>
        </w:rPr>
        <w:t>To retain our great people and environment, we have devoted a signifcant porton of our tme to executng something we call Organizatonal Health—setng clear expectatons, managing performance, providing training, maintaining efectve incentve compensaton plans, establishing the right environment, and providing the technology and processes required for operatonal excellence. We have positoned our team members to produce their best work by making decisions through the lens of Organizatonal Health.</w:t>
      </w:r>
    </w:p>
    <w:p>
      <w:pPr>
        <w:spacing w:after="0" w:line="244" w:lineRule="exact"/>
        <w:rPr>
          <w:sz w:val="20"/>
          <w:szCs w:val="20"/>
          <w:color w:val="auto"/>
        </w:rPr>
      </w:pPr>
    </w:p>
    <w:p>
      <w:pPr>
        <w:ind w:right="340"/>
        <w:spacing w:after="0" w:line="235" w:lineRule="auto"/>
        <w:rPr>
          <w:sz w:val="20"/>
          <w:szCs w:val="20"/>
          <w:color w:val="auto"/>
        </w:rPr>
      </w:pPr>
      <w:r>
        <w:rPr>
          <w:rFonts w:ascii="Calibri" w:cs="Calibri" w:eastAsia="Calibri" w:hAnsi="Calibri"/>
          <w:sz w:val="22"/>
          <w:szCs w:val="22"/>
          <w:color w:val="auto"/>
        </w:rPr>
        <w:t>We are honored by the many workplace awards we have earned as a result of PRIDE and our focus on Organizatonal Health. The awards and recogniton received by Credit Acceptance,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245" w:right="359" w:bottom="1440" w:gutter="0" w:footer="0" w:header="0"/>
        </w:sectPr>
      </w:pPr>
    </w:p>
    <w:bookmarkStart w:id="7" w:name="page8"/>
    <w:bookmarkEnd w:id="7"/>
    <w:p>
      <w:pPr>
        <w:ind w:right="360"/>
        <w:spacing w:after="0" w:line="229" w:lineRule="auto"/>
        <w:rPr>
          <w:sz w:val="20"/>
          <w:szCs w:val="20"/>
          <w:color w:val="auto"/>
        </w:rPr>
      </w:pPr>
      <w:r>
        <w:rPr>
          <w:rFonts w:ascii="Calibri" w:cs="Calibri" w:eastAsia="Calibri" w:hAnsi="Calibri"/>
          <w:sz w:val="22"/>
          <w:szCs w:val="22"/>
          <w:color w:val="auto"/>
        </w:rPr>
        <w:t>from local awards to natonal ranking among the Fortune 100 Best Places to Work, provide outside confrmaton of our great culture.</w:t>
      </w:r>
    </w:p>
    <w:p>
      <w:pPr>
        <w:spacing w:after="0" w:line="244" w:lineRule="exact"/>
        <w:rPr>
          <w:sz w:val="20"/>
          <w:szCs w:val="20"/>
          <w:color w:val="auto"/>
        </w:rPr>
      </w:pPr>
    </w:p>
    <w:p>
      <w:pPr>
        <w:jc w:val="both"/>
        <w:ind w:right="440"/>
        <w:spacing w:after="0" w:line="233" w:lineRule="auto"/>
        <w:rPr>
          <w:sz w:val="20"/>
          <w:szCs w:val="20"/>
          <w:color w:val="auto"/>
        </w:rPr>
      </w:pPr>
      <w:r>
        <w:rPr>
          <w:rFonts w:ascii="Calibri" w:cs="Calibri" w:eastAsia="Calibri" w:hAnsi="Calibri"/>
          <w:sz w:val="22"/>
          <w:szCs w:val="22"/>
          <w:color w:val="auto"/>
        </w:rPr>
        <w:t>Our purpose, long-term focus on the business, and values have helped us navigate many challenges throughout our history. Most recently, we endured the global pandemic. We contnue to manage changes in the compettve market and economic environment arising from the pandemic.</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TODAY</w:t>
      </w:r>
    </w:p>
    <w:p>
      <w:pPr>
        <w:spacing w:after="0" w:line="242" w:lineRule="exact"/>
        <w:rPr>
          <w:sz w:val="20"/>
          <w:szCs w:val="20"/>
          <w:color w:val="auto"/>
        </w:rPr>
      </w:pPr>
    </w:p>
    <w:p>
      <w:pPr>
        <w:jc w:val="both"/>
        <w:ind w:right="40"/>
        <w:spacing w:after="0" w:line="232" w:lineRule="auto"/>
        <w:rPr>
          <w:sz w:val="20"/>
          <w:szCs w:val="20"/>
          <w:color w:val="auto"/>
        </w:rPr>
      </w:pPr>
      <w:r>
        <w:rPr>
          <w:rFonts w:ascii="Calibri" w:cs="Calibri" w:eastAsia="Calibri" w:hAnsi="Calibri"/>
          <w:sz w:val="22"/>
          <w:szCs w:val="22"/>
          <w:color w:val="auto"/>
        </w:rPr>
        <w:t>Our purpose, strategy, and values remain relatvely unchanged. We contnue to ofer a product that provides enormous benefts to our dealers and their customers; focus on the long-term success of the business; and provide a culture that atracts talented people around the country and enables them to perform to their potental. We apply lessons learned over the years to contnue to improve.</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color w:val="auto"/>
        </w:rPr>
        <w:t>To preserve and enhance these three pillars in our remote-frst environment, we are contnuing to:</w:t>
      </w:r>
    </w:p>
    <w:p>
      <w:pPr>
        <w:spacing w:after="0" w:line="269" w:lineRule="exact"/>
        <w:rPr>
          <w:sz w:val="20"/>
          <w:szCs w:val="20"/>
          <w:color w:val="auto"/>
        </w:rPr>
      </w:pPr>
    </w:p>
    <w:p>
      <w:pPr>
        <w:ind w:left="660" w:right="80" w:hanging="328"/>
        <w:spacing w:after="0" w:line="229" w:lineRule="auto"/>
        <w:tabs>
          <w:tab w:leader="none" w:pos="655" w:val="left"/>
        </w:tabs>
        <w:numPr>
          <w:ilvl w:val="0"/>
          <w:numId w:val="11"/>
        </w:numPr>
        <w:rPr>
          <w:rFonts w:ascii="Arial" w:cs="Arial" w:eastAsia="Arial" w:hAnsi="Arial"/>
          <w:sz w:val="22"/>
          <w:szCs w:val="22"/>
          <w:color w:val="auto"/>
        </w:rPr>
      </w:pPr>
      <w:r>
        <w:rPr>
          <w:rFonts w:ascii="Calibri" w:cs="Calibri" w:eastAsia="Calibri" w:hAnsi="Calibri"/>
          <w:sz w:val="22"/>
          <w:szCs w:val="22"/>
          <w:color w:val="auto"/>
        </w:rPr>
        <w:t>Provide exceptonal leadership. The experience, consistency, and business knowledge of our leaders are key advantages. Our exceptonal leaders now include:</w:t>
      </w:r>
    </w:p>
    <w:p>
      <w:pPr>
        <w:spacing w:after="0" w:line="27" w:lineRule="exact"/>
        <w:rPr>
          <w:rFonts w:ascii="Arial" w:cs="Arial" w:eastAsia="Arial" w:hAnsi="Arial"/>
          <w:sz w:val="22"/>
          <w:szCs w:val="22"/>
          <w:color w:val="auto"/>
        </w:rPr>
      </w:pPr>
    </w:p>
    <w:p>
      <w:pPr>
        <w:jc w:val="both"/>
        <w:ind w:left="980" w:right="120" w:hanging="324"/>
        <w:spacing w:after="0" w:line="247" w:lineRule="auto"/>
        <w:tabs>
          <w:tab w:leader="none" w:pos="975" w:val="left"/>
        </w:tabs>
        <w:numPr>
          <w:ilvl w:val="1"/>
          <w:numId w:val="11"/>
        </w:numPr>
        <w:rPr>
          <w:rFonts w:ascii="Arial" w:cs="Arial" w:eastAsia="Arial" w:hAnsi="Arial"/>
          <w:sz w:val="21"/>
          <w:szCs w:val="21"/>
          <w:color w:val="auto"/>
        </w:rPr>
      </w:pPr>
      <w:r>
        <w:rPr>
          <w:rFonts w:ascii="Calibri" w:cs="Calibri" w:eastAsia="Calibri" w:hAnsi="Calibri"/>
          <w:sz w:val="21"/>
          <w:szCs w:val="21"/>
          <w:color w:val="auto"/>
        </w:rPr>
        <w:t>Our executve leadership team, including nine individuals averaging 21 years of experience at Credit Acceptance and two new seasoned leaders experienced in Engineering, and Product &amp; Marketng. I have been with the Company for over 20 years, primarily as the Chief Financial Ofcer, and became the Chief Executve Ofcer in May 2021.</w:t>
      </w:r>
    </w:p>
    <w:p>
      <w:pPr>
        <w:spacing w:after="0" w:line="18" w:lineRule="exact"/>
        <w:rPr>
          <w:rFonts w:ascii="Arial" w:cs="Arial" w:eastAsia="Arial" w:hAnsi="Arial"/>
          <w:sz w:val="21"/>
          <w:szCs w:val="21"/>
          <w:color w:val="auto"/>
        </w:rPr>
      </w:pPr>
    </w:p>
    <w:p>
      <w:pPr>
        <w:ind w:left="980" w:right="220" w:hanging="324"/>
        <w:spacing w:after="0" w:line="229" w:lineRule="auto"/>
        <w:tabs>
          <w:tab w:leader="none" w:pos="975" w:val="left"/>
        </w:tabs>
        <w:numPr>
          <w:ilvl w:val="1"/>
          <w:numId w:val="11"/>
        </w:numPr>
        <w:rPr>
          <w:rFonts w:ascii="Arial" w:cs="Arial" w:eastAsia="Arial" w:hAnsi="Arial"/>
          <w:sz w:val="22"/>
          <w:szCs w:val="22"/>
          <w:color w:val="auto"/>
        </w:rPr>
      </w:pPr>
      <w:r>
        <w:rPr>
          <w:rFonts w:ascii="Calibri" w:cs="Calibri" w:eastAsia="Calibri" w:hAnsi="Calibri"/>
          <w:sz w:val="22"/>
          <w:szCs w:val="22"/>
          <w:color w:val="auto"/>
        </w:rPr>
        <w:t>Our senior leadership team, made up of vice presidents and senior vice presidents, includes 20 individuals with an average of 16 years of experience with the Company; and six new seasoned leaders experienced in their respectve felds, including Engineering, Product, Marketng, and Sales.</w:t>
      </w:r>
    </w:p>
    <w:p>
      <w:pPr>
        <w:spacing w:after="0" w:line="41" w:lineRule="exact"/>
        <w:rPr>
          <w:rFonts w:ascii="Arial" w:cs="Arial" w:eastAsia="Arial" w:hAnsi="Arial"/>
          <w:sz w:val="22"/>
          <w:szCs w:val="22"/>
          <w:color w:val="auto"/>
        </w:rPr>
      </w:pPr>
    </w:p>
    <w:p>
      <w:pPr>
        <w:ind w:left="980" w:right="300" w:hanging="324"/>
        <w:spacing w:after="0" w:line="229" w:lineRule="auto"/>
        <w:tabs>
          <w:tab w:leader="none" w:pos="975" w:val="left"/>
        </w:tabs>
        <w:numPr>
          <w:ilvl w:val="1"/>
          <w:numId w:val="11"/>
        </w:numPr>
        <w:rPr>
          <w:rFonts w:ascii="Arial" w:cs="Arial" w:eastAsia="Arial" w:hAnsi="Arial"/>
          <w:sz w:val="22"/>
          <w:szCs w:val="22"/>
          <w:color w:val="auto"/>
        </w:rPr>
      </w:pPr>
      <w:r>
        <w:rPr>
          <w:rFonts w:ascii="Calibri" w:cs="Calibri" w:eastAsia="Calibri" w:hAnsi="Calibri"/>
          <w:sz w:val="22"/>
          <w:szCs w:val="22"/>
          <w:color w:val="auto"/>
        </w:rPr>
        <w:t>Our mid-level leadership team, which includes managers and directors, of 329 individuals with an average of eight years of experience with the Company.</w:t>
      </w:r>
    </w:p>
    <w:p>
      <w:pPr>
        <w:spacing w:after="0" w:line="27" w:lineRule="exact"/>
        <w:rPr>
          <w:rFonts w:ascii="Arial" w:cs="Arial" w:eastAsia="Arial" w:hAnsi="Arial"/>
          <w:sz w:val="22"/>
          <w:szCs w:val="22"/>
          <w:color w:val="auto"/>
        </w:rPr>
      </w:pPr>
    </w:p>
    <w:p>
      <w:pPr>
        <w:ind w:left="660" w:hanging="328"/>
        <w:spacing w:after="0" w:line="231" w:lineRule="auto"/>
        <w:tabs>
          <w:tab w:leader="none" w:pos="655" w:val="left"/>
        </w:tabs>
        <w:numPr>
          <w:ilvl w:val="0"/>
          <w:numId w:val="11"/>
        </w:numPr>
        <w:rPr>
          <w:rFonts w:ascii="Arial" w:cs="Arial" w:eastAsia="Arial" w:hAnsi="Arial"/>
          <w:sz w:val="22"/>
          <w:szCs w:val="22"/>
          <w:color w:val="auto"/>
        </w:rPr>
      </w:pPr>
      <w:r>
        <w:rPr>
          <w:rFonts w:ascii="Calibri" w:cs="Calibri" w:eastAsia="Calibri" w:hAnsi="Calibri"/>
          <w:sz w:val="22"/>
          <w:szCs w:val="22"/>
          <w:color w:val="auto"/>
        </w:rPr>
        <w:t>Positon our team members to produce their best work. Our great team members and culture allow us to thrive. We maintain a great culture, and contnue to enhance it, through our PRIDE values, the dimensions of Organizatonal Health, and always listening. We contnue to focus on our team members’ wellbeing and mental health. For the ninth tme in 10 years, Credit Acceptance was named to the FORTUNE 100 Best Companies to Work For® list. We moved up 15 spots from a year ago and ranked #34 on the 2023 list, our second highest ranking ever. People Magazine and Great Place to Work also named Credit Acceptance as one of the 2023 People Magazine Companies that Care for demonstratng outstanding respect, care, and concern for our team members and their communites. Other workplace-related accolades included our being named in Fortune’s lists for Best Workplaces in Financial Services &amp; Insurance, Best Workplaces for Millennials, and Best Workplaces for Women; our inclusion in Computerworld’s Best Places to Work in IT; and our selecton as one of the Detroit Free Press’ Top Workplaces.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45" w:right="339" w:bottom="1440" w:gutter="0" w:footer="0" w:header="0"/>
        </w:sectPr>
      </w:pPr>
    </w:p>
    <w:bookmarkStart w:id="8" w:name="page9"/>
    <w:bookmarkEnd w:id="8"/>
    <w:p>
      <w:pPr>
        <w:ind w:left="660" w:right="460" w:hanging="328"/>
        <w:spacing w:after="0" w:line="229"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Focus on retaining and atractng the best talent. We contnue to build our bench strength—developing our internal talent and, when needed, recruitng the best external talent from anywhere in the country with our remote-frst environment. Our team member base is a nod to our belief in diversity of experience and thought.</w:t>
      </w:r>
    </w:p>
    <w:p>
      <w:pPr>
        <w:spacing w:after="0" w:line="14" w:lineRule="exact"/>
        <w:rPr>
          <w:rFonts w:ascii="Calibri" w:cs="Calibri" w:eastAsia="Calibri" w:hAnsi="Calibri"/>
          <w:sz w:val="22"/>
          <w:szCs w:val="22"/>
          <w:color w:val="auto"/>
        </w:rPr>
      </w:pPr>
    </w:p>
    <w:p>
      <w:pPr>
        <w:ind w:left="660" w:right="200" w:hanging="328"/>
        <w:spacing w:after="0" w:line="231"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Create a sense of belonging and focus on our purpose, goals, and values through engagement and collaboraton remotely and in-person. This requires great intenton when team members are no longer all located within the same building. Through top-down communicatons (virtual town halls, monthly management team meetngs, and regional roundtables), we ensure that team members understand our shared purpose, goals, values, and beliefs. We ofer team members opportunites throughout the year to strengthen their connectons and foster cross-functonal collaboraton both virtually and in-person.</w:t>
      </w:r>
    </w:p>
    <w:p>
      <w:pPr>
        <w:spacing w:after="0" w:line="245" w:lineRule="exact"/>
        <w:rPr>
          <w:sz w:val="20"/>
          <w:szCs w:val="20"/>
          <w:color w:val="auto"/>
        </w:rPr>
      </w:pPr>
    </w:p>
    <w:p>
      <w:pPr>
        <w:ind w:right="60"/>
        <w:spacing w:after="0" w:line="242" w:lineRule="auto"/>
        <w:rPr>
          <w:sz w:val="20"/>
          <w:szCs w:val="20"/>
          <w:color w:val="auto"/>
        </w:rPr>
      </w:pPr>
      <w:r>
        <w:rPr>
          <w:rFonts w:ascii="Calibri" w:cs="Calibri" w:eastAsia="Calibri" w:hAnsi="Calibri"/>
          <w:sz w:val="21"/>
          <w:szCs w:val="21"/>
          <w:color w:val="auto"/>
        </w:rPr>
        <w:t>Today, consistent with how we addressed past macroeconomic challenges, we are leveraging our strengths to grow despite the ripple efects of the pandemic as described in the secton of this leter enttled “Impact of Business Cycles on our Performance.” Consistent with our historical operatng principles, we use Economic Proft as a framework to evaluate business decisions and strategies, with an objectve to maximize Economic Proft over the long term; we reinvest capital in the business, and we return that capital to shareholders through share repurchases to the extent we generate capital in excess of what is needed to fund and invest in the business, as described in the secton of this leter enttled “Operatng Principles.”</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IMPACT OF BUSINESS CYCLES ON OUR PERFORMANCE</w:t>
      </w:r>
    </w:p>
    <w:p>
      <w:pPr>
        <w:spacing w:after="0" w:line="242" w:lineRule="exact"/>
        <w:rPr>
          <w:sz w:val="20"/>
          <w:szCs w:val="20"/>
          <w:color w:val="auto"/>
        </w:rPr>
      </w:pPr>
    </w:p>
    <w:p>
      <w:pPr>
        <w:ind w:right="280"/>
        <w:spacing w:after="0" w:line="241" w:lineRule="auto"/>
        <w:rPr>
          <w:sz w:val="20"/>
          <w:szCs w:val="20"/>
          <w:color w:val="auto"/>
        </w:rPr>
      </w:pPr>
      <w:r>
        <w:rPr>
          <w:rFonts w:ascii="Calibri" w:cs="Calibri" w:eastAsia="Calibri" w:hAnsi="Calibri"/>
          <w:sz w:val="21"/>
          <w:szCs w:val="21"/>
          <w:color w:val="auto"/>
        </w:rPr>
        <w:t>It is important for shareholders to understand the impact of the external environment on our performance. Access to capital, compettve cycles, and economic cycles have afected our past results and are likely to afect our results in the future.</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Summary</w:t>
      </w:r>
    </w:p>
    <w:p>
      <w:pPr>
        <w:spacing w:after="0" w:line="255"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While infaton and used vehicle availability improved in 2023 from 2022, infaton remained elevated and used vehicles remained in short supply when compared to pre-pandemic levels. The industry witnessed a rising number of consumers fall behind on payments, resultng in lower than antcipated collectons on consumer loans originated in 2021 and 2022. This caused many lenders to tghten access to credit, partcularly for subprime consumers.</w:t>
      </w:r>
    </w:p>
    <w:p>
      <w:pPr>
        <w:spacing w:after="0" w:line="244" w:lineRule="exact"/>
        <w:rPr>
          <w:sz w:val="20"/>
          <w:szCs w:val="20"/>
          <w:color w:val="auto"/>
        </w:rPr>
      </w:pPr>
    </w:p>
    <w:p>
      <w:pPr>
        <w:ind w:right="40"/>
        <w:spacing w:after="0" w:line="230" w:lineRule="auto"/>
        <w:rPr>
          <w:sz w:val="20"/>
          <w:szCs w:val="20"/>
          <w:color w:val="auto"/>
        </w:rPr>
      </w:pPr>
      <w:r>
        <w:rPr>
          <w:rFonts w:ascii="Calibri" w:cs="Calibri" w:eastAsia="Calibri" w:hAnsi="Calibri"/>
          <w:sz w:val="22"/>
          <w:szCs w:val="22"/>
          <w:color w:val="auto"/>
        </w:rPr>
        <w:t>With a year-over-year increase in vehicle supply, decreasing vehicle values, and fewer lenders ofering fnancing to those with less than prime credit, we experienced an increased demand for our product startng in mid-2022 and contnuing through 2023. We were able to increase our margin of safety in the aggregate and grow our actve dealer base, our loan assignment volume, and the average balance of our loan portolio. We increased the inital spread to 21.3% in 2023 compared to 20.1% on loans assigned in 2022. Our unit and dollar volumes grew 18.6% and 14.4%, respectvely, during a period with seven consecutve quarters of growth. The balance of our loan portolio increased 10.4% from year-end 2022 to year-end 2023. As of year-end 2023, Credit Acceptance had the largest loan portolio in its history—at $7.0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245" w:right="35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5B9BD5"/>
        </w:rPr>
        <w:t>Access To Capital</w:t>
      </w:r>
    </w:p>
    <w:p>
      <w:pPr>
        <w:spacing w:after="0" w:line="242" w:lineRule="exact"/>
        <w:rPr>
          <w:sz w:val="20"/>
          <w:szCs w:val="20"/>
          <w:color w:val="auto"/>
        </w:rPr>
      </w:pPr>
    </w:p>
    <w:p>
      <w:pPr>
        <w:ind w:right="660"/>
        <w:spacing w:after="0" w:line="229" w:lineRule="auto"/>
        <w:rPr>
          <w:sz w:val="20"/>
          <w:szCs w:val="20"/>
          <w:color w:val="auto"/>
        </w:rPr>
      </w:pPr>
      <w:r>
        <w:rPr>
          <w:rFonts w:ascii="Calibri" w:cs="Calibri" w:eastAsia="Calibri" w:hAnsi="Calibri"/>
          <w:sz w:val="22"/>
          <w:szCs w:val="22"/>
          <w:color w:val="auto"/>
        </w:rPr>
        <w:t>The auto fnance market historically has been sensitve to changes in access to capital. When access to capital decreased, competton in our market decreased.</w:t>
      </w:r>
    </w:p>
    <w:p>
      <w:pPr>
        <w:spacing w:after="0" w:line="257"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Capital markets were inconsistent in 2023. In 2019 through mid-2022, with the excepton of a period in 2020 due to the pandemic, capital markets were generally favorable to issuers. Startng in the second half of 2022, two factors adversely impacted access to, and the cost of, capital in our industry: (1) credit quality concerns related to loans originated in 2021 and 2022 (as explained below); and (2) interest rate volatlity. The Fed increased interest rates 11 tmes from March 2022 to July 2023 to combat infaton, increasing the cost of borrowing. In the fourth quarter of 2023, market interest rate volatlity declined, in part, due to the Fed’s decision on November 1, 2023, to hold its target rate steady for the second consecutve tme in 2023. A reducton in market expectatons of rate volatlity created more favorable conditons in the capital markets. As of the date of this leter, capital market conditons remain relatvely favorable for debt issuers.</w:t>
      </w:r>
    </w:p>
    <w:p>
      <w:pPr>
        <w:spacing w:after="0" w:line="250" w:lineRule="exact"/>
        <w:rPr>
          <w:sz w:val="20"/>
          <w:szCs w:val="20"/>
          <w:color w:val="auto"/>
        </w:rPr>
      </w:pPr>
    </w:p>
    <w:p>
      <w:pPr>
        <w:ind w:right="140"/>
        <w:spacing w:after="0" w:line="231" w:lineRule="auto"/>
        <w:rPr>
          <w:sz w:val="20"/>
          <w:szCs w:val="20"/>
          <w:color w:val="auto"/>
        </w:rPr>
      </w:pPr>
      <w:r>
        <w:rPr>
          <w:rFonts w:ascii="Calibri" w:cs="Calibri" w:eastAsia="Calibri" w:hAnsi="Calibri"/>
          <w:sz w:val="22"/>
          <w:szCs w:val="22"/>
          <w:color w:val="auto"/>
        </w:rPr>
        <w:t>Conditons in the capital markets can make it more difcult to access the capital needed to fund our business. As a result, we have applied lessons from the past seeking to best positon the Company if access to capital becomes limited. As of the date of this leter, we believe we have positoned the Company for contnued success if access to capital becomes limited by: (1) completng seven oferings of senior notes with terms of fve to eight years, two series of which are currently outstanding and together provides us with $1 billion of long-term debt capital; (2) lengthening the terms of certain asset-backed fnancings to over three years; and (3) increasing our revolving credit facilites to $1.6 billion currently from $540 million at the end of 2009. We maintain a considerable amount of available borrowing capacity under our revolving credit facilites at all tmes and renew these facilites well before they mature. Although the capital markets have periodically been volatle, we recently secured $700 million in new asset-backed fnancing and, as of March 31, 2024, had $1.4 billion of unused capacity under our revolving credit facilites.</w:t>
      </w:r>
    </w:p>
    <w:p>
      <w:pPr>
        <w:spacing w:after="0" w:line="250" w:lineRule="exact"/>
        <w:rPr>
          <w:sz w:val="20"/>
          <w:szCs w:val="20"/>
          <w:color w:val="auto"/>
        </w:rPr>
      </w:pPr>
    </w:p>
    <w:p>
      <w:pPr>
        <w:ind w:right="80"/>
        <w:spacing w:after="0" w:line="229" w:lineRule="auto"/>
        <w:rPr>
          <w:sz w:val="20"/>
          <w:szCs w:val="20"/>
          <w:color w:val="auto"/>
        </w:rPr>
      </w:pPr>
      <w:r>
        <w:rPr>
          <w:rFonts w:ascii="Calibri" w:cs="Calibri" w:eastAsia="Calibri" w:hAnsi="Calibri"/>
          <w:sz w:val="22"/>
          <w:szCs w:val="22"/>
          <w:color w:val="auto"/>
        </w:rPr>
        <w:t>Lengthening the term of our debt facilites, issuing higher-cost long-term debt, and keeping available a signifcant porton of our revolving credit facilites increase our funding costs and reduce short-term proftability.</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Compettve Cycles</w:t>
      </w:r>
    </w:p>
    <w:p>
      <w:pPr>
        <w:spacing w:after="0" w:line="257" w:lineRule="exact"/>
        <w:rPr>
          <w:sz w:val="20"/>
          <w:szCs w:val="20"/>
          <w:color w:val="auto"/>
        </w:rPr>
      </w:pPr>
    </w:p>
    <w:p>
      <w:pPr>
        <w:ind w:right="60"/>
        <w:spacing w:after="0" w:line="230" w:lineRule="auto"/>
        <w:rPr>
          <w:sz w:val="20"/>
          <w:szCs w:val="20"/>
          <w:color w:val="auto"/>
        </w:rPr>
      </w:pPr>
      <w:r>
        <w:rPr>
          <w:rFonts w:ascii="Calibri" w:cs="Calibri" w:eastAsia="Calibri" w:hAnsi="Calibri"/>
          <w:sz w:val="22"/>
          <w:szCs w:val="22"/>
          <w:color w:val="auto"/>
        </w:rPr>
        <w:t>Compettve cycles tend to be related to access to capital, as mentoned above. When capital is easier to obtain, underwritng standards in the industry tend to drop (as a result of which, fnancing for credit-challenged consumers becomes more accessible and competton in our market increases), and loan proftability drops as advances become more compettve. Conversely, when capital is more difcult to obtain, underwritng standards in the industry tend to rise (as a result of which, fnancing for credit-challenged consumers becomes less accessible and our competton decreases), and loan proftability rises. Because we take a long view on the industry, price to maximize Economic Proft over the long term (as described below in the secton of this leter enttled “Economic Proft”), and seek to best positon the Company if access to capital becomes limited, we are less reactve to changes in access to capital. As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34" w:right="339" w:bottom="1440" w:gutter="0" w:footer="0" w:header="0"/>
        </w:sectPr>
      </w:pPr>
    </w:p>
    <w:bookmarkStart w:id="10" w:name="page11"/>
    <w:bookmarkEnd w:id="10"/>
    <w:p>
      <w:pPr>
        <w:spacing w:after="0" w:line="232" w:lineRule="auto"/>
        <w:rPr>
          <w:sz w:val="20"/>
          <w:szCs w:val="20"/>
          <w:color w:val="auto"/>
        </w:rPr>
      </w:pPr>
      <w:r>
        <w:rPr>
          <w:rFonts w:ascii="Calibri" w:cs="Calibri" w:eastAsia="Calibri" w:hAnsi="Calibri"/>
          <w:sz w:val="22"/>
          <w:szCs w:val="22"/>
          <w:color w:val="auto"/>
        </w:rPr>
        <w:t>result, we will have difculty growing, or will even shrink, our business at tmes; and we will be able to grow strongly at other tmes. Through several compettve cycles, we have applied past lessons learned and leveraged our strengths (</w:t>
      </w:r>
      <w:r>
        <w:rPr>
          <w:rFonts w:ascii="Calibri" w:cs="Calibri" w:eastAsia="Calibri" w:hAnsi="Calibri"/>
          <w:sz w:val="22"/>
          <w:szCs w:val="22"/>
          <w:i w:val="1"/>
          <w:iCs w:val="1"/>
          <w:color w:val="auto"/>
        </w:rPr>
        <w:t>e.g</w:t>
      </w:r>
      <w:r>
        <w:rPr>
          <w:rFonts w:ascii="Calibri" w:cs="Calibri" w:eastAsia="Calibri" w:hAnsi="Calibri"/>
          <w:sz w:val="22"/>
          <w:szCs w:val="22"/>
          <w:color w:val="auto"/>
        </w:rPr>
        <w:t>., our ability to predict aggregate performance, deploy risk-adjusted pricing, monitor loan performance, and execute key functons consistently) to successfully maintain our business despite tougher competton.</w:t>
      </w:r>
    </w:p>
    <w:p>
      <w:pPr>
        <w:spacing w:after="0" w:line="244"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When capital markets were generally favorable to issuers in 2019 through mid-2022 and capital remained accessible, competton intensifed from the fourth quarter of 2019 to the second quarter of 2022, and the number of loans assigned to us by dealers decreased year-over-year, eventually shrinking our portolio.</w:t>
      </w:r>
    </w:p>
    <w:p>
      <w:pPr>
        <w:spacing w:after="0" w:line="244" w:lineRule="exact"/>
        <w:rPr>
          <w:sz w:val="20"/>
          <w:szCs w:val="20"/>
          <w:color w:val="auto"/>
        </w:rPr>
      </w:pPr>
    </w:p>
    <w:p>
      <w:pPr>
        <w:ind w:right="40"/>
        <w:spacing w:after="0" w:line="232" w:lineRule="auto"/>
        <w:rPr>
          <w:sz w:val="20"/>
          <w:szCs w:val="20"/>
          <w:color w:val="auto"/>
        </w:rPr>
      </w:pPr>
      <w:r>
        <w:rPr>
          <w:rFonts w:ascii="Calibri" w:cs="Calibri" w:eastAsia="Calibri" w:hAnsi="Calibri"/>
          <w:sz w:val="22"/>
          <w:szCs w:val="22"/>
          <w:color w:val="auto"/>
        </w:rPr>
        <w:t>When the cost of capital increased and loan performance moderated (as described below) in the second half of 2022, competton eased through 2023 as many lenders signifcantly tghtened subprime lending parameters, while other lenders exited the subprime market altogether. As liquidity became an issue, credit unions also began pulling back on auto lending afer growing their share of subprime in 2022.</w:t>
      </w:r>
    </w:p>
    <w:p>
      <w:pPr>
        <w:spacing w:after="0" w:line="244"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Consistent with our historical practces, during the period of intense competton, we focused on our long-term strategy and maintained an aggregate margin of safety in the amount we advanced to dealers. We were able to enroll more new dealers and increase our actve dealer base from mid-2022 to mid-2023 to address volume per dealer trends. Afer a modest increase in 2022, we experienced signifcant growth in our actve dealers, reaching the highest level in our history – increasing both dealer enrollments (from 3,627 in 2022 to 5,605 in 2023, a 54.5% increase) and the number of actve dealers (from 11,901 in 2022 to 14,174 in 2023, a 19.1% increase).</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Economic Cycles</w:t>
      </w:r>
    </w:p>
    <w:p>
      <w:pPr>
        <w:spacing w:after="0" w:line="241" w:lineRule="exact"/>
        <w:rPr>
          <w:sz w:val="20"/>
          <w:szCs w:val="20"/>
          <w:color w:val="auto"/>
        </w:rPr>
      </w:pPr>
    </w:p>
    <w:p>
      <w:pPr>
        <w:ind w:right="180"/>
        <w:spacing w:after="0" w:line="235" w:lineRule="auto"/>
        <w:rPr>
          <w:sz w:val="20"/>
          <w:szCs w:val="20"/>
          <w:color w:val="auto"/>
        </w:rPr>
      </w:pPr>
      <w:r>
        <w:rPr>
          <w:rFonts w:ascii="Calibri" w:cs="Calibri" w:eastAsia="Calibri" w:hAnsi="Calibri"/>
          <w:sz w:val="22"/>
          <w:szCs w:val="22"/>
          <w:color w:val="auto"/>
        </w:rPr>
        <w:t>Economic cycles also afect our business. Most recently, our business felt the economic repercussions from the pandemic. The pandemic impacted vehicle supplies, vehicle prices, and our loan performance.</w:t>
      </w:r>
    </w:p>
    <w:p>
      <w:pPr>
        <w:spacing w:after="0" w:line="244" w:lineRule="exact"/>
        <w:rPr>
          <w:sz w:val="20"/>
          <w:szCs w:val="20"/>
          <w:color w:val="auto"/>
        </w:rPr>
      </w:pPr>
    </w:p>
    <w:p>
      <w:pPr>
        <w:ind w:right="100"/>
        <w:spacing w:after="0" w:line="230" w:lineRule="auto"/>
        <w:rPr>
          <w:sz w:val="20"/>
          <w:szCs w:val="20"/>
          <w:color w:val="auto"/>
        </w:rPr>
      </w:pPr>
      <w:r>
        <w:rPr>
          <w:rFonts w:ascii="Calibri" w:cs="Calibri" w:eastAsia="Calibri" w:hAnsi="Calibri"/>
          <w:sz w:val="22"/>
          <w:szCs w:val="22"/>
          <w:color w:val="auto"/>
        </w:rPr>
        <w:t>The ripple efects of the pandemic impacted vehicle supply. Startng in March 2020, government authorites placed limits on economic actvity in an efort to slow the spread of COVID-19. Those limits disrupted the supply chain, which led to a lack of parts such as semi-conductor chips needed for new vehicles. That, in turn, created vehicle shortages and drove up used vehicle prices throughout 2020, 2021, 2022, and the beginning of 2023. The used vehicle supply reached its lowest point in the frst quarter of 2023, but then steadily increased throughout the year, according to a 2024 Cox Automotve report. Consistent with industry changes, vehicle inventory held by our dealers also modestly increased. As vehicle supply increased, vehicle values at aucton began to decline, but remain elevated compared to pre-pandemic levels.</w:t>
      </w:r>
    </w:p>
    <w:p>
      <w:pPr>
        <w:spacing w:after="0" w:line="250" w:lineRule="exact"/>
        <w:rPr>
          <w:sz w:val="20"/>
          <w:szCs w:val="20"/>
          <w:color w:val="auto"/>
        </w:rPr>
      </w:pPr>
    </w:p>
    <w:p>
      <w:pPr>
        <w:ind w:right="540"/>
        <w:spacing w:after="0" w:line="232" w:lineRule="auto"/>
        <w:rPr>
          <w:sz w:val="20"/>
          <w:szCs w:val="20"/>
          <w:color w:val="auto"/>
        </w:rPr>
      </w:pPr>
      <w:r>
        <w:rPr>
          <w:rFonts w:ascii="Calibri" w:cs="Calibri" w:eastAsia="Calibri" w:hAnsi="Calibri"/>
          <w:sz w:val="22"/>
          <w:szCs w:val="22"/>
          <w:color w:val="auto"/>
        </w:rPr>
        <w:t>A lack of parts impacted vehicle manufacturing. According to a December 2023 NADA report, small and mid-sized vehicles account for a much smaller share of vehicle sales (7.0% and 7.4%, respectvely) than larger, more expensive vehicles, as manufacturers have increasingly focused on manufacturing crossovers and pickups (which made up 47.9% and 17.9%, respectvely, 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245" w:right="379" w:bottom="1440" w:gutter="0" w:footer="0" w:header="0"/>
        </w:sectPr>
      </w:pPr>
    </w:p>
    <w:bookmarkStart w:id="11" w:name="page12"/>
    <w:bookmarkEnd w:id="11"/>
    <w:p>
      <w:pPr>
        <w:spacing w:after="0"/>
        <w:rPr>
          <w:sz w:val="20"/>
          <w:szCs w:val="20"/>
          <w:color w:val="auto"/>
        </w:rPr>
      </w:pPr>
      <w:r>
        <w:rPr>
          <w:rFonts w:ascii="Calibri" w:cs="Calibri" w:eastAsia="Calibri" w:hAnsi="Calibri"/>
          <w:sz w:val="22"/>
          <w:szCs w:val="22"/>
          <w:color w:val="auto"/>
        </w:rPr>
        <w:t>vehicle sales in 2023). The average price for subcompact sedans increased from $16,000 in 2018 to nearly $24,000 in 2023.</w:t>
      </w:r>
    </w:p>
    <w:p>
      <w:pPr>
        <w:spacing w:after="0" w:line="244" w:lineRule="exact"/>
        <w:rPr>
          <w:sz w:val="20"/>
          <w:szCs w:val="20"/>
          <w:color w:val="auto"/>
        </w:rPr>
      </w:pPr>
    </w:p>
    <w:p>
      <w:pPr>
        <w:ind w:right="80"/>
        <w:spacing w:after="0" w:line="231" w:lineRule="auto"/>
        <w:rPr>
          <w:sz w:val="20"/>
          <w:szCs w:val="20"/>
          <w:color w:val="auto"/>
        </w:rPr>
      </w:pPr>
      <w:r>
        <w:rPr>
          <w:rFonts w:ascii="Calibri" w:cs="Calibri" w:eastAsia="Calibri" w:hAnsi="Calibri"/>
          <w:sz w:val="22"/>
          <w:szCs w:val="22"/>
          <w:color w:val="auto"/>
        </w:rPr>
        <w:t>We believe the vehicle shortage and decreased availability of low-cost vehicles contributed to the signifcant decline from 2018 to 2022, and the more modest decline in 2023, in the percentage of used-vehicle loan originatons for customers with subprime and deep subprime credit scores reported by Experian®. Dealers generally make higher profts on higher credit quality and cash customers. Given limited inventory and supply of low-cost vehicles, dealers were likely more willing to sell their limited vehicle supplies to higher credit quality and cash customers instead of those with less-than-prime credit.</w:t>
      </w:r>
    </w:p>
    <w:p>
      <w:pPr>
        <w:spacing w:after="0" w:line="247"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The ripple efects of the pandemic also impacted loan performance. From the second half of 2020 to the frst quarter of 2022, loan performance in the industry improved markedly following the distributon of federal stmulus payments and enhanced unemployment benefts due to the pandemic. This, coupled with access to capital, increased competton in our space. In the second quarter of 2022, loan performance moderated with the lapse of federal stmulus payments and enhanced unemployment benefts, the peak of vehicle values and prices due to supply shortages, and rising infaton. Many subprime lenders experienced higher than expected losses on their 2021 and 2022 originatons. According to Experian®, the percentage of auto loans 60-days delinquent in 2023 contnued to surpass pre-pandemic levels. This decreased competton in our space.</w:t>
      </w:r>
    </w:p>
    <w:p>
      <w:pPr>
        <w:spacing w:after="0" w:line="250"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The level of uncertainty associated with our estmate of the amount and tming of future net cash fows from our loan portolio likewise increased. But, because we understand forecastng collecton rates is challenging, our business model is designed to produce acceptable returns in the aggregate even if loan performance is less than forecasted. During the frst quarter of 2020, we applied a subjectve adjustment to our forecastng model to refect our best estmate of the future impact of the pandemic on future net cash fows (“COVID forecast adjustment”), which reduced our estmate of future net cash fows by $162.2 million, or 1.8%. We contnued to apply the COVID forecast adjustment through the end of 2021, as it contnued to represent our best estmate. During the frst quarter of 2022, we determined that we had sufcient loan performance experience since the lapse of federal stmulus payments and enhanced unemployment benefts to refne our estmate of future net cash fows. Accordingly, during the frst quarter of 2022, we removed the COVID forecast adjustment and enhanced our methodology for forecastng the amount and tming of future net cash fows from our loan portolio using more recent data and new forecast variables, which increased our estmate of future net cash fows by $95.7 million, or 1.1%. Based on the loan performance described below, during the second quarter of 2023, we again adjusted our methodology for forecastng the amount and tming of future net cash fows from our loan portolio using more recent loan performance and consumer loan prepayment data, which reduced our estmate of future net cash fows by $44.5 million, or 0.5%, and slowed our forecasted net cash fow tming. For the period from January 1, 2020 through December 31, 2023, the cumulatve change to our forecast of future net cash fows from our loan portolio has been an increase of $13.8 million, or 0.2%.</w:t>
      </w:r>
    </w:p>
    <w:p>
      <w:pPr>
        <w:spacing w:after="0" w:line="252" w:lineRule="exact"/>
        <w:rPr>
          <w:sz w:val="20"/>
          <w:szCs w:val="20"/>
          <w:color w:val="auto"/>
        </w:rPr>
      </w:pPr>
    </w:p>
    <w:p>
      <w:pPr>
        <w:ind w:right="20"/>
        <w:spacing w:after="0" w:line="235" w:lineRule="auto"/>
        <w:rPr>
          <w:sz w:val="20"/>
          <w:szCs w:val="20"/>
          <w:color w:val="auto"/>
        </w:rPr>
      </w:pPr>
      <w:r>
        <w:rPr>
          <w:rFonts w:ascii="Calibri" w:cs="Calibri" w:eastAsia="Calibri" w:hAnsi="Calibri"/>
          <w:sz w:val="22"/>
          <w:szCs w:val="22"/>
          <w:color w:val="auto"/>
        </w:rPr>
        <w:t>Loans assigned to us in 2018 through 2020 yielded forecasted collecton results signifcantly beter than our inital estmates, like others in the industry, refectng the impact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32" w:right="339" w:bottom="1440" w:gutter="0" w:footer="0" w:header="0"/>
        </w:sectPr>
      </w:pPr>
    </w:p>
    <w:bookmarkStart w:id="12" w:name="page13"/>
    <w:bookmarkEnd w:id="12"/>
    <w:p>
      <w:pPr>
        <w:spacing w:after="0" w:line="230" w:lineRule="auto"/>
        <w:rPr>
          <w:sz w:val="20"/>
          <w:szCs w:val="20"/>
          <w:color w:val="auto"/>
        </w:rPr>
      </w:pPr>
      <w:r>
        <w:rPr>
          <w:rFonts w:ascii="Calibri" w:cs="Calibri" w:eastAsia="Calibri" w:hAnsi="Calibri"/>
          <w:sz w:val="22"/>
          <w:szCs w:val="22"/>
          <w:color w:val="auto"/>
        </w:rPr>
        <w:t>distributon of federal stmulus payments and enhanced unemployment benefts due to the pandemic. Loans originated by the Company during the highly compettve period of 2021 and 2022 yielded forecasted collecton results signifcantly worse than our inital estmates, like others in the industry, with the lapse of federal stmulus payments and enhanced unemployment benefts, the peak of vehicle values and prices, and rising infaton. Consumer loan prepayments also have been lower in periods with less availability of consumer credit. Consistent with historical trends, during the frst half of 2023, we experienced a decrease in consumer loan prepayments to below-average levels and, as a result, slowed our forecasted net cash fow tming. The below-average levels of consumer loan prepayments contnued through the fourth quarter of 2023.</w:t>
      </w:r>
    </w:p>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OPERATING PRINCIPLES</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Economic Proft</w:t>
      </w:r>
    </w:p>
    <w:p>
      <w:pPr>
        <w:spacing w:after="0" w:line="242"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We use a fnancial measure called Economic Proft to evaluate our fnancial results and determine proft-sharing for team members. We also use Economic Proft as a framework to evaluate business decisions and strategies, with an objectve to maximize Economic Proft over the long term. Economic Proft measures how efciently we utlize our total capital, both debt and equity, and is a functon of the return on capital in excess of the cost of capital and the amount of capital invested in the business. Economic Proft difers from net income in that it includes a cost for equity capital. To the extent we generate capital in excess of what we believe is needed to maximize Economic Proft through investng in our business, we focus on maximizing Economic Proft per share (diluted) through our share repurchases approach outlined below. In the “Supplemental Financial Results” secton following the signature page of this leter, we detail our past Economic Proft and Economic Proft per share (diluted) performance.</w:t>
      </w:r>
    </w:p>
    <w:p>
      <w:pPr>
        <w:spacing w:after="0" w:line="23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Investments in the Business</w:t>
      </w:r>
    </w:p>
    <w:p>
      <w:pPr>
        <w:spacing w:after="0" w:line="255" w:lineRule="exact"/>
        <w:rPr>
          <w:sz w:val="20"/>
          <w:szCs w:val="20"/>
          <w:color w:val="auto"/>
        </w:rPr>
      </w:pPr>
    </w:p>
    <w:p>
      <w:pPr>
        <w:ind w:right="20"/>
        <w:spacing w:after="0" w:line="231" w:lineRule="auto"/>
        <w:rPr>
          <w:sz w:val="20"/>
          <w:szCs w:val="20"/>
          <w:color w:val="auto"/>
        </w:rPr>
      </w:pPr>
      <w:r>
        <w:rPr>
          <w:rFonts w:ascii="Calibri" w:cs="Calibri" w:eastAsia="Calibri" w:hAnsi="Calibri"/>
          <w:sz w:val="22"/>
          <w:szCs w:val="22"/>
          <w:color w:val="auto"/>
        </w:rPr>
        <w:t>Our core product has remained essentally unchanged for 52 years. We provide innovatve fnancing solutons that enable automobile dealers to sell vehicles to consumers regardless of their credit history. Consumers that beneft from our program consist primarily of individuals who have typically been turned away by other lenders. Traditonal lenders have many reasons for declining a loan. We have always believed that a signifcant number of individuals, if given an opportunity to establish or reestablish a positve credit history, will take advantage of it. As a result of this belief, we have provided a life-changing opportunity to more than 4 million consumers.</w:t>
      </w:r>
    </w:p>
    <w:p>
      <w:pPr>
        <w:spacing w:after="0" w:line="245" w:lineRule="exact"/>
        <w:rPr>
          <w:sz w:val="20"/>
          <w:szCs w:val="20"/>
          <w:color w:val="auto"/>
        </w:rPr>
      </w:pPr>
    </w:p>
    <w:p>
      <w:pPr>
        <w:ind w:right="240"/>
        <w:spacing w:after="0" w:line="229" w:lineRule="auto"/>
        <w:rPr>
          <w:sz w:val="20"/>
          <w:szCs w:val="20"/>
          <w:color w:val="auto"/>
        </w:rPr>
      </w:pPr>
      <w:r>
        <w:rPr>
          <w:rFonts w:ascii="Calibri" w:cs="Calibri" w:eastAsia="Calibri" w:hAnsi="Calibri"/>
          <w:sz w:val="22"/>
          <w:szCs w:val="22"/>
          <w:color w:val="auto"/>
        </w:rPr>
        <w:t>Our fnancial success is a result of having a unique and valuable product and of putng in many years of hard work to develop the business. Consistent with recent years, in 2023, we made investments focused on enhancing the value of our product for our key consttuents and preparing for future growth. I would like to highlight a couple of changes that we believe make a positve impact.</w:t>
      </w:r>
    </w:p>
    <w:p>
      <w:pPr>
        <w:spacing w:after="0" w:line="244" w:lineRule="exact"/>
        <w:rPr>
          <w:sz w:val="20"/>
          <w:szCs w:val="20"/>
          <w:color w:val="auto"/>
        </w:rPr>
      </w:pPr>
    </w:p>
    <w:p>
      <w:pPr>
        <w:ind w:right="100"/>
        <w:spacing w:after="0" w:line="235" w:lineRule="auto"/>
        <w:rPr>
          <w:sz w:val="20"/>
          <w:szCs w:val="20"/>
          <w:color w:val="auto"/>
        </w:rPr>
      </w:pPr>
      <w:r>
        <w:rPr>
          <w:rFonts w:ascii="Calibri" w:cs="Calibri" w:eastAsia="Calibri" w:hAnsi="Calibri"/>
          <w:sz w:val="22"/>
          <w:szCs w:val="22"/>
          <w:color w:val="auto"/>
        </w:rPr>
        <w:t>We invested in our Engineering, Product, and Marketng teams to further increase velocity, deliver great customer experiences, refresh our brand, and accelerate business value.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45" w:right="359" w:bottom="1440" w:gutter="0" w:footer="0" w:header="0"/>
        </w:sectPr>
      </w:pPr>
    </w:p>
    <w:bookmarkStart w:id="13" w:name="page14"/>
    <w:bookmarkEnd w:id="13"/>
    <w:p>
      <w:pPr>
        <w:ind w:right="660"/>
        <w:spacing w:after="0" w:line="229" w:lineRule="auto"/>
        <w:rPr>
          <w:sz w:val="20"/>
          <w:szCs w:val="20"/>
          <w:color w:val="auto"/>
        </w:rPr>
      </w:pPr>
      <w:r>
        <w:rPr>
          <w:rFonts w:ascii="Calibri" w:cs="Calibri" w:eastAsia="Calibri" w:hAnsi="Calibri"/>
          <w:sz w:val="22"/>
          <w:szCs w:val="22"/>
          <w:color w:val="auto"/>
        </w:rPr>
        <w:t>impact of technology on our business is signifcant. By becoming a “remote frst” organizaton, we have been able to hire throughout the United States and compete for the best talent.</w:t>
      </w:r>
    </w:p>
    <w:p>
      <w:pPr>
        <w:spacing w:after="0" w:line="244" w:lineRule="exact"/>
        <w:rPr>
          <w:sz w:val="20"/>
          <w:szCs w:val="20"/>
          <w:color w:val="auto"/>
        </w:rPr>
      </w:pPr>
    </w:p>
    <w:p>
      <w:pPr>
        <w:ind w:right="100"/>
        <w:spacing w:after="0" w:line="231" w:lineRule="auto"/>
        <w:rPr>
          <w:sz w:val="20"/>
          <w:szCs w:val="20"/>
          <w:color w:val="auto"/>
        </w:rPr>
      </w:pPr>
      <w:r>
        <w:rPr>
          <w:rFonts w:ascii="Calibri" w:cs="Calibri" w:eastAsia="Calibri" w:hAnsi="Calibri"/>
          <w:sz w:val="22"/>
          <w:szCs w:val="22"/>
          <w:color w:val="auto"/>
        </w:rPr>
        <w:t>We have learned how to develop relatonships with dealers that are proftable throughout our history. Forging a proftable relatonship requires us to select the right dealer, align incentves, communicate constantly, and create processes to enforce standards. In our segment of the market, the dealer has signifcant infuence over loan performance. Learning how to create relatonships with dealers who share our passion for changing lives has been one of our most important accomplishments. This year, we brought in new seasoned leaders, professionals, and engineers with the skills needed to innovate and enhance our product to meet the needs of the dealer. We created opportunites to listen to the voice of the dealer through dealer visits, meetngs, and celebratons. We refreshed our dealer-engagement approach through our cross-functonal Go-To-Market team. This team focuses on efectve and efcient sales and marketng processes with the goal of increasing dealer enrollments, increasing our actve dealer base, and reducing churn. We also made it more convenient for dealers to do business with us by contnuing to expand our fnancing optons for dealers to provide more compettve deal structures and advances and ofer more favorable interest rates for qualifying customers.</w:t>
      </w:r>
    </w:p>
    <w:p>
      <w:pPr>
        <w:spacing w:after="0" w:line="248" w:lineRule="exact"/>
        <w:rPr>
          <w:sz w:val="20"/>
          <w:szCs w:val="20"/>
          <w:color w:val="auto"/>
        </w:rPr>
      </w:pPr>
    </w:p>
    <w:p>
      <w:pPr>
        <w:ind w:right="200"/>
        <w:spacing w:after="0" w:line="232" w:lineRule="auto"/>
        <w:rPr>
          <w:sz w:val="20"/>
          <w:szCs w:val="20"/>
          <w:color w:val="auto"/>
        </w:rPr>
      </w:pPr>
      <w:r>
        <w:rPr>
          <w:rFonts w:ascii="Calibri" w:cs="Calibri" w:eastAsia="Calibri" w:hAnsi="Calibri"/>
          <w:sz w:val="22"/>
          <w:szCs w:val="22"/>
          <w:color w:val="auto"/>
        </w:rPr>
        <w:t>We invested in consumer experiences. Afer we take assignment of a consumer loan originated by a partcipatng dealer, the consumer is welcomed to Credit Acceptance through our enhanced onboarding experience and receives useful account informaton through channels convenient to the consumer. Throughout the life of the loan, the consumers can access account informaton and payment channels through our mobile app, which we contnued to enhance throughout the year.</w:t>
      </w:r>
    </w:p>
    <w:p>
      <w:pPr>
        <w:spacing w:after="0" w:line="244" w:lineRule="exact"/>
        <w:rPr>
          <w:sz w:val="20"/>
          <w:szCs w:val="20"/>
          <w:color w:val="auto"/>
        </w:rPr>
      </w:pPr>
    </w:p>
    <w:p>
      <w:pPr>
        <w:spacing w:after="0" w:line="231" w:lineRule="auto"/>
        <w:rPr>
          <w:sz w:val="20"/>
          <w:szCs w:val="20"/>
          <w:color w:val="auto"/>
        </w:rPr>
      </w:pPr>
      <w:r>
        <w:rPr>
          <w:rFonts w:ascii="Calibri" w:cs="Calibri" w:eastAsia="Calibri" w:hAnsi="Calibri"/>
          <w:sz w:val="22"/>
          <w:szCs w:val="22"/>
          <w:color w:val="auto"/>
        </w:rPr>
        <w:t>We invested in our team members. We recruited new talent; recognized top talent; enhanced our benefts; and created professional development experiences through a mix of in-person and virtual events, such as town halls, monthly management meetngs, regional roundtables, retreats for our Sales and Operatons leaders, and Team Member Resource Group meetngs. These events also furthered our shared sense of purpose and cross-functonal collaboraton to maintain productvity in a remote setng.</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Share Repurchases</w:t>
      </w:r>
    </w:p>
    <w:p>
      <w:pPr>
        <w:spacing w:after="0" w:line="243"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To the extent we generate capital in excess of what is needed to fund and re-invest in the business, we will return that capital to shareholders through share repurchases as we have done in the past. We have used excess capital to repurchase shares when prices are at or below our estmate of intrinsic value (which is the discounted value of estmated future cash fows). As long as the share price is at or below our estmate of intrinsic value, we prefer share repurchases to dividends for several reasons. First, repurchasing shares below intrinsic value increases the value of the remaining shares. Second, distributng capital to shareholders through a share repurchase gives shareholders the opton to defer taxes by electng not to sell any of their holdings. A dividend does not allow shareholders to defer taxes in this manner. Finally, share repurchases enable shareholders to increase their ownership, receive cash, or do both based on their individual circumstances and view of the value of a Credit Acceptance share—they do both if the proporton of shares they sell is smaller than the ownership stake they gain through the repurchase. A dividend does not provide similar fexibility.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245" w:right="359" w:bottom="1440" w:gutter="0" w:footer="0" w:header="0"/>
        </w:sectPr>
      </w:pPr>
    </w:p>
    <w:bookmarkStart w:id="14" w:name="page15"/>
    <w:bookmarkEnd w:id="14"/>
    <w:p>
      <w:pPr>
        <w:spacing w:after="0" w:line="49"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Before startng the share repurchase program, the Company had approximately 46 million shares outstanding. Afer beginning our share repurchase program in mid-1999, we have repurchased approximately 40.4 million shares at a total cost of $4.9 billion. We actvely repurchased shares in 2021 and 2022 as the pandemic resulted in conditons where: (1) we had signifcant excess capital; and (2) our share price was trading at or below our estmate of intrinsic value. During 2021 and 2022, we repurchased approximately 4.3 million shares, which represented 25.4% of the shares outstanding at the beginning of 2021, at a total cost of $2.2 billion. In 2023, due to the improvement in the compettve environment and the increase in our growth rate, we repurchased only approximately 350,000 shares, which represented 2.8% of the shares outstanding at the beginning of the year, at a total cost of $175 million.</w:t>
      </w:r>
    </w:p>
    <w:p>
      <w:pPr>
        <w:spacing w:after="0" w:line="263"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At tmes, it may appear that we have excess capital, but we will not be actve in repurchasing our shares. This can occur for several reasons. First, the assessment of our capital positon involves a high degree of judgment. We need to consider future expected capital needs and the likelihood that this capital will be available. Simply put, when our debt-to-equity rato falls below the normal trend line, it does not necessarily mean we have concluded that we have excess capital. Our frst priority is always to make sure we have enough capital to fund our business, and such assessments are always made using what we believe are conservatve assumptons. Second, we may have excess capital but conclude our shares are overvalued relatve to intrinsic value or are trading at a level where we believe it’s likely they could be purchased at a lower price at some point in the future. The assessment of intrinsic value is also highly judgmental. The fnal reason we may be inactve in repurchasing shares, when we have excess capital at a tme when the share price is atractve, is that we are in possession of what we believe to be material informaton that has not yet been made public. During such periods, we suspend our share repurchases untl the informaton has been publicly disclosed.</w:t>
      </w:r>
    </w:p>
    <w:p>
      <w:pPr>
        <w:spacing w:after="0" w:line="260" w:lineRule="exact"/>
        <w:rPr>
          <w:sz w:val="20"/>
          <w:szCs w:val="20"/>
          <w:color w:val="auto"/>
        </w:rPr>
      </w:pPr>
    </w:p>
    <w:p>
      <w:pPr>
        <w:jc w:val="both"/>
        <w:ind w:right="440"/>
        <w:spacing w:after="0" w:line="229" w:lineRule="auto"/>
        <w:rPr>
          <w:sz w:val="20"/>
          <w:szCs w:val="20"/>
          <w:color w:val="auto"/>
        </w:rPr>
      </w:pPr>
      <w:r>
        <w:rPr>
          <w:rFonts w:ascii="Calibri" w:cs="Calibri" w:eastAsia="Calibri" w:hAnsi="Calibri"/>
          <w:sz w:val="22"/>
          <w:szCs w:val="22"/>
          <w:color w:val="auto"/>
        </w:rPr>
        <w:t>Unless we disclose a diferent intenton, shareholders should assume we are following the approach outlined above in this “Share Repurchases” secton. Our priority is to fund the business. If we conclude we have excess capital, we will return that capital to shareholders through share repurchases. If we are inactve for a period, shareholders should not assume that we believe our shares are overvalued.</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LITIGATION AND REGULATORY MATTERS</w:t>
      </w:r>
    </w:p>
    <w:p>
      <w:pPr>
        <w:spacing w:after="0" w:line="255" w:lineRule="exact"/>
        <w:rPr>
          <w:sz w:val="20"/>
          <w:szCs w:val="20"/>
          <w:color w:val="auto"/>
        </w:rPr>
      </w:pPr>
    </w:p>
    <w:p>
      <w:pPr>
        <w:ind w:right="240"/>
        <w:spacing w:after="0" w:line="229" w:lineRule="auto"/>
        <w:rPr>
          <w:sz w:val="20"/>
          <w:szCs w:val="20"/>
          <w:color w:val="auto"/>
        </w:rPr>
      </w:pPr>
      <w:r>
        <w:rPr>
          <w:rFonts w:ascii="Calibri" w:cs="Calibri" w:eastAsia="Calibri" w:hAnsi="Calibri"/>
          <w:sz w:val="22"/>
          <w:szCs w:val="22"/>
          <w:color w:val="auto"/>
        </w:rPr>
        <w:t>Shareholders should consider how the litgaton and regulatory landscape may impact their investment in the Company. Since the Company is engaged in actve litgaton, it is a topic that I am unable to discuss in this leter in much detail. With that qualifcaton, and it is a signifcant one, I share largely the same thoughts as last year.</w:t>
      </w:r>
    </w:p>
    <w:p>
      <w:pPr>
        <w:spacing w:after="0" w:line="244" w:lineRule="exact"/>
        <w:rPr>
          <w:sz w:val="20"/>
          <w:szCs w:val="20"/>
          <w:color w:val="auto"/>
        </w:rPr>
      </w:pPr>
    </w:p>
    <w:p>
      <w:pPr>
        <w:jc w:val="both"/>
        <w:ind w:right="320"/>
        <w:spacing w:after="0"/>
        <w:rPr>
          <w:sz w:val="20"/>
          <w:szCs w:val="20"/>
          <w:color w:val="auto"/>
        </w:rPr>
      </w:pPr>
      <w:r>
        <w:rPr>
          <w:rFonts w:ascii="Calibri" w:cs="Calibri" w:eastAsia="Calibri" w:hAnsi="Calibri"/>
          <w:sz w:val="21"/>
          <w:szCs w:val="21"/>
          <w:color w:val="auto"/>
        </w:rPr>
        <w:t>First, there are state and federal laws and regulatons governing virtually every facet of the auto fnance industry. We have a comprehensive compliance management system to oversee compliance with those laws. We frst documented this system in 2002 and have enhanced it over tme. We believe our compliance management system is among the best in the industry.</w:t>
      </w:r>
    </w:p>
    <w:p>
      <w:pPr>
        <w:spacing w:after="0" w:line="14" w:lineRule="exact"/>
        <w:rPr>
          <w:sz w:val="20"/>
          <w:szCs w:val="20"/>
          <w:color w:val="auto"/>
        </w:rPr>
      </w:pPr>
    </w:p>
    <w:p>
      <w:pPr>
        <w:ind w:right="300"/>
        <w:spacing w:after="0" w:line="229" w:lineRule="auto"/>
        <w:rPr>
          <w:sz w:val="20"/>
          <w:szCs w:val="20"/>
          <w:color w:val="auto"/>
        </w:rPr>
      </w:pPr>
      <w:r>
        <w:rPr>
          <w:rFonts w:ascii="Calibri" w:cs="Calibri" w:eastAsia="Calibri" w:hAnsi="Calibri"/>
          <w:sz w:val="22"/>
          <w:szCs w:val="22"/>
          <w:color w:val="auto"/>
        </w:rPr>
        <w:t>Ultmately, we strive to do what is right and are dedicated to working with dealers to help change lives of consumers through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spacing w:after="0" w:line="231" w:lineRule="auto"/>
        <w:rPr>
          <w:sz w:val="20"/>
          <w:szCs w:val="20"/>
          <w:color w:val="auto"/>
        </w:rPr>
      </w:pPr>
      <w:r>
        <w:rPr>
          <w:rFonts w:ascii="Calibri" w:cs="Calibri" w:eastAsia="Calibri" w:hAnsi="Calibri"/>
          <w:sz w:val="22"/>
          <w:szCs w:val="22"/>
          <w:color w:val="auto"/>
        </w:rPr>
        <w:t>Second, we have observed that the regulatory landscape has changed dramatcally over the last several years. Certain regulators are increasingly likely to move toward enforcement actons or litgaton rather than work through perceived diferences. Regulatory expectatons are not always communicated clearly, and companies do not always get credit for strong internal controls. A regulatory environment is challenging if laws are not consistently and fairly applied to regulated enttes or interpreted in a diferent manner by administraton or entty.</w:t>
      </w:r>
    </w:p>
    <w:p>
      <w:pPr>
        <w:spacing w:after="0" w:line="247" w:lineRule="exact"/>
        <w:rPr>
          <w:sz w:val="20"/>
          <w:szCs w:val="20"/>
          <w:color w:val="auto"/>
        </w:rPr>
      </w:pPr>
    </w:p>
    <w:p>
      <w:pPr>
        <w:jc w:val="both"/>
        <w:ind w:right="120"/>
        <w:spacing w:after="0"/>
        <w:rPr>
          <w:sz w:val="20"/>
          <w:szCs w:val="20"/>
          <w:color w:val="auto"/>
        </w:rPr>
      </w:pPr>
      <w:r>
        <w:rPr>
          <w:rFonts w:ascii="Calibri" w:cs="Calibri" w:eastAsia="Calibri" w:hAnsi="Calibri"/>
          <w:sz w:val="21"/>
          <w:szCs w:val="21"/>
          <w:color w:val="auto"/>
        </w:rPr>
        <w:t>To manage this risk, we closely follow how agencies, such as the Consumer Financial Protecton Bureau (CFPB), state atorneys general, and fnancial services regulators, are interpretng the existng laws through their blog posts, circulars, changes to exam manuals, consent orders, and enforcement actons, and adjust our policies and procedures as we believe is necessary.</w:t>
      </w:r>
    </w:p>
    <w:p>
      <w:pPr>
        <w:spacing w:after="0" w:line="257" w:lineRule="exact"/>
        <w:rPr>
          <w:sz w:val="20"/>
          <w:szCs w:val="20"/>
          <w:color w:val="auto"/>
        </w:rPr>
      </w:pPr>
    </w:p>
    <w:p>
      <w:pPr>
        <w:ind w:right="80"/>
        <w:spacing w:after="0" w:line="229" w:lineRule="auto"/>
        <w:rPr>
          <w:sz w:val="20"/>
          <w:szCs w:val="20"/>
          <w:color w:val="auto"/>
        </w:rPr>
      </w:pPr>
      <w:r>
        <w:rPr>
          <w:rFonts w:ascii="Calibri" w:cs="Calibri" w:eastAsia="Calibri" w:hAnsi="Calibri"/>
          <w:sz w:val="22"/>
          <w:szCs w:val="22"/>
          <w:color w:val="auto"/>
        </w:rPr>
        <w:t>We support the mission of agencies such as the CFPB, which was created "to implement and, where applicable, enforce Federal consumer fnancial law consistently for the purpose of ensuring all consumers have access to markets for consumer fnancial products and services and that markets for consumer fnancial products and services are fair, transparent, and compettve.” However, we speak up—and defend ourselves—when we believe that an agency has overstepped its bounds or has unfairly accused us of violatng the law. Because we have a mater in actve litgaton, we must let our court flings speak for themselves on this point.</w:t>
      </w:r>
    </w:p>
    <w:p>
      <w:pPr>
        <w:spacing w:after="0" w:line="258" w:lineRule="exact"/>
        <w:rPr>
          <w:sz w:val="20"/>
          <w:szCs w:val="20"/>
          <w:color w:val="auto"/>
        </w:rPr>
      </w:pPr>
    </w:p>
    <w:p>
      <w:pPr>
        <w:ind w:right="40"/>
        <w:spacing w:after="0" w:line="229" w:lineRule="auto"/>
        <w:rPr>
          <w:sz w:val="20"/>
          <w:szCs w:val="20"/>
          <w:color w:val="auto"/>
        </w:rPr>
      </w:pPr>
      <w:r>
        <w:rPr>
          <w:rFonts w:ascii="Calibri" w:cs="Calibri" w:eastAsia="Calibri" w:hAnsi="Calibri"/>
          <w:sz w:val="22"/>
          <w:szCs w:val="22"/>
          <w:color w:val="auto"/>
        </w:rPr>
        <w:t>Our public disclosures include four pending regulatory maters, with one of those being in litgaton. We have closed six previously disclosed maters since 2014 without any material changes to the Company. The frst of these maters started in mid-2014, which means we have been subject to almost contnuous scrutny for the last 10 years. We have responded to informatonal requests on almost every aspect of our business and produced millions of pages of documents to support those responses.</w:t>
      </w:r>
    </w:p>
    <w:p>
      <w:pPr>
        <w:spacing w:after="0" w:line="258" w:lineRule="exact"/>
        <w:rPr>
          <w:sz w:val="20"/>
          <w:szCs w:val="20"/>
          <w:color w:val="auto"/>
        </w:rPr>
      </w:pPr>
    </w:p>
    <w:p>
      <w:pPr>
        <w:ind w:right="80"/>
        <w:spacing w:after="0" w:line="229" w:lineRule="auto"/>
        <w:rPr>
          <w:sz w:val="20"/>
          <w:szCs w:val="20"/>
          <w:color w:val="auto"/>
        </w:rPr>
      </w:pPr>
      <w:r>
        <w:rPr>
          <w:rFonts w:ascii="Calibri" w:cs="Calibri" w:eastAsia="Calibri" w:hAnsi="Calibri"/>
          <w:sz w:val="22"/>
          <w:szCs w:val="22"/>
          <w:color w:val="auto"/>
        </w:rPr>
        <w:t>As I stated above, there is not much I can say about the ongoing maters other than that our intenton is to seek common ground where we can and defend ourselves vigorously when a compromise is unavailable. We take these maters seriously, and they have our full atenton.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245" w:right="359" w:bottom="1440" w:gutter="0" w:footer="0" w:header="0"/>
        </w:sectPr>
      </w:pPr>
    </w:p>
    <w:bookmarkStart w:id="16" w:name="page17"/>
    <w:bookmarkEnd w:id="16"/>
    <w:p>
      <w:pPr>
        <w:spacing w:after="0"/>
        <w:rPr>
          <w:sz w:val="20"/>
          <w:szCs w:val="20"/>
          <w:color w:val="auto"/>
        </w:rPr>
      </w:pPr>
      <w:r>
        <w:rPr>
          <w:rFonts w:ascii="Calibri" w:cs="Calibri" w:eastAsia="Calibri" w:hAnsi="Calibri"/>
          <w:sz w:val="22"/>
          <w:szCs w:val="22"/>
          <w:b w:val="1"/>
          <w:bCs w:val="1"/>
          <w:color w:val="003066"/>
        </w:rPr>
        <w:t>A Final Note</w:t>
      </w:r>
    </w:p>
    <w:p>
      <w:pPr>
        <w:spacing w:after="0" w:line="242" w:lineRule="exact"/>
        <w:rPr>
          <w:sz w:val="20"/>
          <w:szCs w:val="20"/>
          <w:color w:val="auto"/>
        </w:rPr>
      </w:pPr>
    </w:p>
    <w:p>
      <w:pPr>
        <w:ind w:right="20"/>
        <w:spacing w:after="0" w:line="257" w:lineRule="auto"/>
        <w:rPr>
          <w:sz w:val="20"/>
          <w:szCs w:val="20"/>
          <w:color w:val="auto"/>
        </w:rPr>
      </w:pPr>
      <w:r>
        <w:rPr>
          <w:rFonts w:ascii="Calibri" w:cs="Calibri" w:eastAsia="Calibri" w:hAnsi="Calibri"/>
          <w:sz w:val="20"/>
          <w:szCs w:val="20"/>
          <w:color w:val="auto"/>
        </w:rPr>
        <w:t>For 52 years, Credit Acceptance has been dedicated to helping people fnance a vehicle. We have provided an opportunity for vehicle ownership to over 4 million people. To accomplish this, we have had an incredibly talented team of dedicated individuals that have spent a large porton of their lives helping us achieve our goals. Our longest-tenured team member, Robin, has been here 33 years. By the end of this year, we will have had seven more team members reach the 30-year milestone. This year was my 20</w:t>
      </w:r>
      <w:r>
        <w:rPr>
          <w:rFonts w:ascii="Calibri" w:cs="Calibri" w:eastAsia="Calibri" w:hAnsi="Calibri"/>
          <w:sz w:val="11"/>
          <w:szCs w:val="11"/>
          <w:color w:val="auto"/>
        </w:rPr>
        <w:t>th</w:t>
      </w:r>
      <w:r>
        <w:rPr>
          <w:rFonts w:ascii="Calibri" w:cs="Calibri" w:eastAsia="Calibri" w:hAnsi="Calibri"/>
          <w:sz w:val="20"/>
          <w:szCs w:val="20"/>
          <w:color w:val="auto"/>
        </w:rPr>
        <w:t xml:space="preserve"> at Credit Acceptance, which seems like a lot, but I am less tenured than six of the 10 other executve leaders. I started on January 5, 2004, with three other team members. Of those three, Dianne and Brihana are stll on the team today. The long tenure of so many of our team members is a testament to our strength of purpose. This strong foundaton has helped us to cultvate a great environment that enables people to excel while working together to achieve that purpose.</w:t>
      </w:r>
    </w:p>
    <w:p>
      <w:pPr>
        <w:spacing w:after="0" w:line="231" w:lineRule="exact"/>
        <w:rPr>
          <w:sz w:val="20"/>
          <w:szCs w:val="20"/>
          <w:color w:val="auto"/>
        </w:rPr>
      </w:pPr>
    </w:p>
    <w:p>
      <w:pPr>
        <w:ind w:right="60"/>
        <w:spacing w:after="0"/>
        <w:rPr>
          <w:sz w:val="20"/>
          <w:szCs w:val="20"/>
          <w:color w:val="auto"/>
        </w:rPr>
      </w:pPr>
      <w:r>
        <w:rPr>
          <w:rFonts w:ascii="Calibri" w:cs="Calibri" w:eastAsia="Calibri" w:hAnsi="Calibri"/>
          <w:sz w:val="21"/>
          <w:szCs w:val="21"/>
          <w:color w:val="auto"/>
        </w:rPr>
        <w:t>None of this would be possible without our investors and Board members who have let us take a long-term view and focus on building a beter business, not worrying about short-term results. In additon to the Foss family, we have been fortunate to have many signifcant investors that have been with us for decades. One of those frms has also given us two outstanding Board members over the years, both of whom are currently on our Board (thanks Tom S.!). Even our Board has extensive tenure— while we added two new seasoned members in the last few years, our other three Board members average 21 years with us.</w:t>
      </w: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color w:val="auto"/>
        </w:rPr>
        <w:t>I am grateful for everyone’s commitment to Credit Acceptance, which has allowed us to accomplish so much over tme.</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We look forward to contnuing to achieve great things in 2024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8435"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alibri" w:cs="Calibri" w:eastAsia="Calibri" w:hAnsi="Calibri"/>
          <w:sz w:val="22"/>
          <w:szCs w:val="22"/>
          <w:color w:val="auto"/>
        </w:rPr>
        <w:t>Kenneth S. Booth</w:t>
      </w:r>
    </w:p>
    <w:p>
      <w:pPr>
        <w:spacing w:after="0" w:line="231" w:lineRule="auto"/>
        <w:rPr>
          <w:sz w:val="20"/>
          <w:szCs w:val="20"/>
          <w:color w:val="auto"/>
        </w:rPr>
      </w:pPr>
      <w:r>
        <w:rPr>
          <w:rFonts w:ascii="Calibri" w:cs="Calibri" w:eastAsia="Calibri" w:hAnsi="Calibri"/>
          <w:sz w:val="22"/>
          <w:szCs w:val="22"/>
          <w:color w:val="auto"/>
        </w:rPr>
        <w:t>Chief Executve Ofcer</w:t>
      </w:r>
    </w:p>
    <w:p>
      <w:pPr>
        <w:spacing w:after="0" w:line="229" w:lineRule="auto"/>
        <w:rPr>
          <w:sz w:val="20"/>
          <w:szCs w:val="20"/>
          <w:color w:val="auto"/>
        </w:rPr>
      </w:pPr>
      <w:r>
        <w:rPr>
          <w:rFonts w:ascii="Calibri" w:cs="Calibri" w:eastAsia="Calibri" w:hAnsi="Calibri"/>
          <w:sz w:val="22"/>
          <w:szCs w:val="22"/>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line="235" w:lineRule="auto"/>
        <w:rPr>
          <w:sz w:val="20"/>
          <w:szCs w:val="20"/>
          <w:color w:val="auto"/>
        </w:rPr>
      </w:pPr>
      <w:r>
        <w:rPr>
          <w:rFonts w:ascii="Calibri" w:cs="Calibri" w:eastAsia="Calibri" w:hAnsi="Calibri"/>
          <w:sz w:val="16"/>
          <w:szCs w:val="16"/>
          <w:color w:val="auto"/>
        </w:rPr>
        <w:t>Certain statements herein are forward-looking statements that are subject to certain risks. Please see “Forward-Looking Statements” on page 45 of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34" w:right="339" w:bottom="1440" w:gutter="0" w:footer="0" w:header="0"/>
        </w:sectPr>
      </w:pPr>
    </w:p>
    <w:bookmarkStart w:id="17" w:name="page18"/>
    <w:bookmarkEnd w:id="17"/>
    <w:p>
      <w:pPr>
        <w:spacing w:after="0"/>
        <w:rPr>
          <w:sz w:val="20"/>
          <w:szCs w:val="20"/>
          <w:color w:val="auto"/>
        </w:rPr>
      </w:pPr>
      <w:r>
        <w:rPr>
          <w:rFonts w:ascii="Calibri" w:cs="Calibri" w:eastAsia="Calibri" w:hAnsi="Calibri"/>
          <w:sz w:val="22"/>
          <w:szCs w:val="22"/>
          <w:b w:val="1"/>
          <w:bCs w:val="1"/>
          <w:color w:val="ED7D31"/>
        </w:rPr>
        <w:t>KEY OPERATING RESULTS</w:t>
      </w:r>
    </w:p>
    <w:p>
      <w:pPr>
        <w:spacing w:after="0" w:line="242" w:lineRule="exact"/>
        <w:rPr>
          <w:sz w:val="20"/>
          <w:szCs w:val="20"/>
          <w:color w:val="auto"/>
        </w:rPr>
      </w:pPr>
    </w:p>
    <w:p>
      <w:pPr>
        <w:spacing w:after="0"/>
        <w:rPr>
          <w:sz w:val="20"/>
          <w:szCs w:val="20"/>
          <w:color w:val="auto"/>
        </w:rPr>
      </w:pPr>
      <w:r>
        <w:rPr>
          <w:rFonts w:ascii="Calibri" w:cs="Calibri" w:eastAsia="Calibri" w:hAnsi="Calibri"/>
          <w:sz w:val="21"/>
          <w:szCs w:val="21"/>
          <w:color w:val="auto"/>
        </w:rPr>
        <w:t>At the simplest level, our business success is largely determined by how many loans we originate and how those loans perform.</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Unit Volume</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table summarizes the growth in number of loans, or unit volume, over the last 20 years: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040" w:type="dxa"/>
            <w:vAlign w:val="bottom"/>
            <w:gridSpan w:val="2"/>
          </w:tcPr>
          <w:p>
            <w:pPr>
              <w:ind w:left="600"/>
              <w:spacing w:after="0"/>
              <w:rPr>
                <w:sz w:val="20"/>
                <w:szCs w:val="20"/>
                <w:color w:val="auto"/>
              </w:rPr>
            </w:pPr>
            <w:r>
              <w:rPr>
                <w:rFonts w:ascii="Calibri" w:cs="Calibri" w:eastAsia="Calibri" w:hAnsi="Calibri"/>
                <w:sz w:val="14"/>
                <w:szCs w:val="14"/>
                <w:b w:val="1"/>
                <w:bCs w:val="1"/>
                <w:color w:val="auto"/>
              </w:rPr>
              <w:t>Unit volume</w:t>
            </w:r>
          </w:p>
        </w:tc>
        <w:tc>
          <w:tcPr>
            <w:tcW w:w="2040" w:type="dxa"/>
            <w:vAlign w:val="bottom"/>
          </w:tcPr>
          <w:p>
            <w:pPr>
              <w:jc w:val="right"/>
              <w:ind w:right="331"/>
              <w:spacing w:after="0"/>
              <w:rPr>
                <w:sz w:val="20"/>
                <w:szCs w:val="20"/>
                <w:color w:val="auto"/>
              </w:rPr>
            </w:pPr>
            <w:r>
              <w:rPr>
                <w:rFonts w:ascii="Calibri" w:cs="Calibri" w:eastAsia="Calibri" w:hAnsi="Calibri"/>
                <w:sz w:val="14"/>
                <w:szCs w:val="14"/>
                <w:b w:val="1"/>
                <w:bCs w:val="1"/>
                <w:color w:val="auto"/>
              </w:rPr>
              <w:t>Year-to-year change</w:t>
            </w:r>
          </w:p>
        </w:tc>
      </w:tr>
      <w:tr>
        <w:trPr>
          <w:trHeight w:val="74"/>
        </w:trPr>
        <w:tc>
          <w:tcPr>
            <w:tcW w:w="7160" w:type="dxa"/>
            <w:vAlign w:val="bottom"/>
            <w:tcBorders>
              <w:bottom w:val="single" w:sz="8" w:color="CCEEFF"/>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r>
      <w:tr>
        <w:trPr>
          <w:trHeight w:val="223"/>
        </w:trPr>
        <w:tc>
          <w:tcPr>
            <w:tcW w:w="716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74,154</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81,184</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9.5 %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91,344</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106,693</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16.8 %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121,282</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13.7 %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111,029</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-8.5 %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136,813</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23.2 %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178,074</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30.2 %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190,023</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6.7 %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202,250</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223,998</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10.8 %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298,288</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33.2 %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330,710</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10.9 %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328,507</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373,329</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13.6 %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369,805</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-0.9 %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341,967</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-7.5 %</w:t>
            </w:r>
          </w:p>
        </w:tc>
      </w:tr>
      <w:tr>
        <w:trPr>
          <w:trHeight w:val="222"/>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268,730</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-21.4 %</w:t>
            </w:r>
          </w:p>
        </w:tc>
      </w:tr>
      <w:tr>
        <w:trPr>
          <w:trHeight w:val="237"/>
        </w:trPr>
        <w:tc>
          <w:tcPr>
            <w:tcW w:w="716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9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280,467</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4.4 %</w:t>
            </w:r>
          </w:p>
        </w:tc>
      </w:tr>
      <w:tr>
        <w:trPr>
          <w:trHeight w:val="215"/>
        </w:trPr>
        <w:tc>
          <w:tcPr>
            <w:tcW w:w="716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332,499</w:t>
            </w:r>
          </w:p>
        </w:tc>
        <w:tc>
          <w:tcPr>
            <w:tcW w:w="120" w:type="dxa"/>
            <w:vAlign w:val="bottom"/>
          </w:tcPr>
          <w:p>
            <w:pPr>
              <w:spacing w:after="0"/>
              <w:rPr>
                <w:sz w:val="18"/>
                <w:szCs w:val="18"/>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18.6 %</w:t>
            </w:r>
          </w:p>
        </w:tc>
      </w:tr>
      <w:tr>
        <w:trPr>
          <w:trHeight w:val="315"/>
        </w:trPr>
        <w:tc>
          <w:tcPr>
            <w:tcW w:w="7160" w:type="dxa"/>
            <w:vAlign w:val="bottom"/>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alibri" w:cs="Calibri" w:eastAsia="Calibri" w:hAnsi="Calibri"/>
                <w:sz w:val="18"/>
                <w:szCs w:val="18"/>
                <w:i w:val="1"/>
                <w:iCs w:val="1"/>
                <w:color w:val="auto"/>
              </w:rPr>
              <w:t>8.2 %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34" w:right="339" w:bottom="1440" w:gutter="0" w:footer="0" w:header="0"/>
        </w:sectPr>
      </w:pPr>
    </w:p>
    <w:bookmarkStart w:id="18" w:name="page19"/>
    <w:bookmarkEnd w:id="18"/>
    <w:p>
      <w:pPr>
        <w:ind w:right="260"/>
        <w:spacing w:after="0" w:line="229" w:lineRule="auto"/>
        <w:rPr>
          <w:sz w:val="20"/>
          <w:szCs w:val="20"/>
          <w:color w:val="auto"/>
        </w:rPr>
      </w:pPr>
      <w:r>
        <w:rPr>
          <w:rFonts w:ascii="Calibri" w:cs="Calibri" w:eastAsia="Calibri" w:hAnsi="Calibri"/>
          <w:sz w:val="22"/>
          <w:szCs w:val="22"/>
          <w:color w:val="auto"/>
        </w:rPr>
        <w:t>Unit volume is a functon of the number of actve dealers and the average volume per dealer. The following table summarizes the trend in each of these variables over the last 20 years: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520" w:type="dxa"/>
            <w:vAlign w:val="bottom"/>
          </w:tcPr>
          <w:p>
            <w:pPr>
              <w:ind w:left="620"/>
              <w:spacing w:after="0"/>
              <w:rPr>
                <w:sz w:val="20"/>
                <w:szCs w:val="20"/>
                <w:color w:val="auto"/>
              </w:rPr>
            </w:pPr>
            <w:r>
              <w:rPr>
                <w:rFonts w:ascii="Calibri" w:cs="Calibri" w:eastAsia="Calibri" w:hAnsi="Calibri"/>
                <w:sz w:val="14"/>
                <w:szCs w:val="14"/>
                <w:b w:val="1"/>
                <w:bCs w:val="1"/>
                <w:color w:val="auto"/>
              </w:rPr>
              <w:t>Actve dealers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ind w:left="520"/>
              <w:spacing w:after="0"/>
              <w:rPr>
                <w:sz w:val="20"/>
                <w:szCs w:val="20"/>
                <w:color w:val="auto"/>
              </w:rPr>
            </w:pPr>
            <w:r>
              <w:rPr>
                <w:rFonts w:ascii="Calibri" w:cs="Calibri" w:eastAsia="Calibri" w:hAnsi="Calibri"/>
                <w:sz w:val="14"/>
                <w:szCs w:val="14"/>
                <w:b w:val="1"/>
                <w:bCs w:val="1"/>
                <w:color w:val="auto"/>
              </w:rPr>
              <w:t>Year-to-year change</w:t>
            </w:r>
          </w:p>
        </w:tc>
        <w:tc>
          <w:tcPr>
            <w:tcW w:w="1740" w:type="dxa"/>
            <w:vAlign w:val="bottom"/>
          </w:tcPr>
          <w:p>
            <w:pPr>
              <w:ind w:left="360"/>
              <w:spacing w:after="0"/>
              <w:rPr>
                <w:sz w:val="20"/>
                <w:szCs w:val="20"/>
                <w:color w:val="auto"/>
              </w:rPr>
            </w:pPr>
            <w:r>
              <w:rPr>
                <w:rFonts w:ascii="Calibri" w:cs="Calibri" w:eastAsia="Calibri" w:hAnsi="Calibri"/>
                <w:sz w:val="14"/>
                <w:szCs w:val="14"/>
                <w:b w:val="1"/>
                <w:bCs w:val="1"/>
                <w:color w:val="auto"/>
              </w:rPr>
              <w:t>Unit volume per dealer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jc w:val="right"/>
              <w:ind w:right="451"/>
              <w:spacing w:after="0"/>
              <w:rPr>
                <w:sz w:val="20"/>
                <w:szCs w:val="20"/>
                <w:color w:val="auto"/>
              </w:rPr>
            </w:pPr>
            <w:r>
              <w:rPr>
                <w:rFonts w:ascii="Calibri" w:cs="Calibri" w:eastAsia="Calibri" w:hAnsi="Calibri"/>
                <w:sz w:val="14"/>
                <w:szCs w:val="14"/>
                <w:b w:val="1"/>
                <w:bCs w:val="1"/>
                <w:color w:val="auto"/>
              </w:rPr>
              <w:t>Year-to-year change</w:t>
            </w:r>
          </w:p>
        </w:tc>
      </w:tr>
      <w:tr>
        <w:trPr>
          <w:trHeight w:val="74"/>
        </w:trPr>
        <w:tc>
          <w:tcPr>
            <w:tcW w:w="2120" w:type="dxa"/>
            <w:vAlign w:val="bottom"/>
            <w:tcBorders>
              <w:bottom w:val="single" w:sz="8" w:color="CCEEFF"/>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r>
        <w:trPr>
          <w:trHeight w:val="223"/>
        </w:trPr>
        <w:tc>
          <w:tcPr>
            <w:tcW w:w="2120" w:type="dxa"/>
            <w:vAlign w:val="bottom"/>
            <w:shd w:val="clear" w:color="auto" w:fill="CCEEFF"/>
          </w:tcPr>
          <w:p>
            <w:pPr>
              <w:ind w:left="40"/>
              <w:spacing w:after="0" w:line="199" w:lineRule="exact"/>
              <w:rPr>
                <w:sz w:val="20"/>
                <w:szCs w:val="20"/>
                <w:color w:val="auto"/>
              </w:rPr>
            </w:pPr>
            <w:r>
              <w:rPr>
                <w:rFonts w:ascii="Calibri" w:cs="Calibri" w:eastAsia="Calibri" w:hAnsi="Calibri"/>
                <w:sz w:val="18"/>
                <w:szCs w:val="18"/>
                <w:i w:val="1"/>
                <w:iCs w:val="1"/>
                <w:color w:val="auto"/>
              </w:rPr>
              <w:t>2004</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1,212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93"/>
              </w:rPr>
              <w:t>61.2</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2005</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1,759</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45.1 %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46.2</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-24.5 %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2006</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2,214</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25.9 %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41.3</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-10.6 %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2007</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2,827</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27.7 %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37.7</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-8.7 %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2008</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3,264</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15.5 %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37.2</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2009</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3,168</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35.0</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-5.9 %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2010</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3,206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42.7</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22.0 %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2011</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3,998</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24.7 %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44.5</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4.2 %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2012</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5,319</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33.0 %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35.7</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-19.8 %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2013</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6,394</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20.2 %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31.6</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-11.5 %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2014</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7,247</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13.3 %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30.9</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2015</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9,064</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25.1 %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32.9</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2016</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10,536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16.2 %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31.4</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-4.6 %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2017</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11,551</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9.6 %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28.4</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-9.6 %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2018</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12,528</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8.5 %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29.8</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4.9 %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2019</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13,399</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27.6</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-7.4 %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2020</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12,690</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26.9</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-2.5 %</w:t>
            </w:r>
          </w:p>
        </w:tc>
      </w:tr>
      <w:tr>
        <w:trPr>
          <w:trHeight w:val="222"/>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2021</w:t>
            </w:r>
          </w:p>
        </w:tc>
        <w:tc>
          <w:tcPr>
            <w:tcW w:w="152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11,410</w:t>
            </w:r>
          </w:p>
        </w:tc>
        <w:tc>
          <w:tcPr>
            <w:tcW w:w="10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-10.1 %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23.6</w:t>
            </w:r>
          </w:p>
        </w:tc>
        <w:tc>
          <w:tcPr>
            <w:tcW w:w="120" w:type="dxa"/>
            <w:vAlign w:val="bottom"/>
          </w:tcPr>
          <w:p>
            <w:pPr>
              <w:spacing w:after="0"/>
              <w:rPr>
                <w:sz w:val="19"/>
                <w:szCs w:val="19"/>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-12.3 %</w:t>
            </w:r>
          </w:p>
        </w:tc>
      </w:tr>
      <w:tr>
        <w:trPr>
          <w:trHeight w:val="237"/>
        </w:trPr>
        <w:tc>
          <w:tcPr>
            <w:tcW w:w="212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2022</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11,901</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4.3 %</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93"/>
              </w:rPr>
              <w:t>23.6</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r>
      <w:tr>
        <w:trPr>
          <w:trHeight w:val="215"/>
        </w:trPr>
        <w:tc>
          <w:tcPr>
            <w:tcW w:w="212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2023</w:t>
            </w:r>
          </w:p>
        </w:tc>
        <w:tc>
          <w:tcPr>
            <w:tcW w:w="15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14,174</w:t>
            </w:r>
          </w:p>
        </w:tc>
        <w:tc>
          <w:tcPr>
            <w:tcW w:w="100" w:type="dxa"/>
            <w:vAlign w:val="bottom"/>
          </w:tcPr>
          <w:p>
            <w:pPr>
              <w:spacing w:after="0"/>
              <w:rPr>
                <w:sz w:val="18"/>
                <w:szCs w:val="18"/>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19.1 %</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93"/>
              </w:rPr>
              <w:t>23.5</w:t>
            </w:r>
          </w:p>
        </w:tc>
        <w:tc>
          <w:tcPr>
            <w:tcW w:w="120" w:type="dxa"/>
            <w:vAlign w:val="bottom"/>
          </w:tcPr>
          <w:p>
            <w:pPr>
              <w:spacing w:after="0"/>
              <w:rPr>
                <w:sz w:val="18"/>
                <w:szCs w:val="18"/>
                <w:color w:val="auto"/>
              </w:rPr>
            </w:pP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r>
      <w:tr>
        <w:trPr>
          <w:trHeight w:val="275"/>
        </w:trPr>
        <w:tc>
          <w:tcPr>
            <w:tcW w:w="3640" w:type="dxa"/>
            <w:vAlign w:val="bottom"/>
            <w:gridSpan w:val="2"/>
          </w:tcPr>
          <w:p>
            <w:pPr>
              <w:ind w:left="40"/>
              <w:spacing w:after="0"/>
              <w:rPr>
                <w:sz w:val="20"/>
                <w:szCs w:val="20"/>
                <w:color w:val="auto"/>
              </w:rPr>
            </w:pPr>
            <w:r>
              <w:rPr>
                <w:rFonts w:ascii="Calibri" w:cs="Calibri" w:eastAsia="Calibri" w:hAnsi="Calibri"/>
                <w:sz w:val="16"/>
                <w:szCs w:val="16"/>
                <w:i w:val="1"/>
                <w:iCs w:val="1"/>
                <w:color w:val="auto"/>
              </w:rPr>
              <w:t>Compound annual growth rate 2004</w:t>
            </w:r>
            <w:r>
              <w:rPr>
                <w:rFonts w:ascii="Calibri" w:cs="Calibri" w:eastAsia="Calibri" w:hAnsi="Calibri"/>
                <w:sz w:val="16"/>
                <w:szCs w:val="16"/>
                <w:color w:val="auto"/>
              </w:rPr>
              <w:t>–</w:t>
            </w:r>
            <w:r>
              <w:rPr>
                <w:rFonts w:ascii="Calibri" w:cs="Calibri" w:eastAsia="Calibri" w:hAnsi="Calibri"/>
                <w:sz w:val="16"/>
                <w:szCs w:val="16"/>
                <w:i w:val="1"/>
                <w:iCs w:val="1"/>
                <w:color w:val="auto"/>
              </w:rPr>
              <w:t>2023</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Calibri" w:cs="Calibri" w:eastAsia="Calibri" w:hAnsi="Calibri"/>
                <w:sz w:val="18"/>
                <w:szCs w:val="18"/>
                <w:i w:val="1"/>
                <w:iCs w:val="1"/>
                <w:color w:val="auto"/>
              </w:rPr>
              <w:t>13.8 %</w:t>
            </w: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Calibri" w:cs="Calibri" w:eastAsia="Calibri" w:hAnsi="Calibri"/>
                <w:sz w:val="18"/>
                <w:szCs w:val="18"/>
                <w:i w:val="1"/>
                <w:iCs w:val="1"/>
                <w:color w:val="auto"/>
              </w:rPr>
              <w:t>-4.9 %</w:t>
            </w:r>
          </w:p>
        </w:tc>
      </w:tr>
    </w:tbl>
    <w:p>
      <w:pPr>
        <w:spacing w:after="0" w:line="211" w:lineRule="exact"/>
        <w:rPr>
          <w:sz w:val="20"/>
          <w:szCs w:val="20"/>
          <w:color w:val="auto"/>
        </w:rPr>
      </w:pPr>
    </w:p>
    <w:p>
      <w:pPr>
        <w:ind w:right="20"/>
        <w:spacing w:after="0" w:line="231" w:lineRule="auto"/>
        <w:rPr>
          <w:sz w:val="20"/>
          <w:szCs w:val="20"/>
          <w:color w:val="auto"/>
        </w:rPr>
      </w:pPr>
      <w:r>
        <w:rPr>
          <w:rFonts w:ascii="Calibri" w:cs="Calibri" w:eastAsia="Calibri" w:hAnsi="Calibri"/>
          <w:sz w:val="22"/>
          <w:szCs w:val="22"/>
          <w:color w:val="auto"/>
        </w:rPr>
        <w:t>As the table shows, the gain in unit volume since 2004 has resulted, in most years, from an increase in the number of actve dealers partally ofset by a reducton in volume per dealer. Prior to the COVID-19 pandemic and resultng vehicle shortages, we faced two challenges in growing unit volume. First, increased competton was making it more difcult to enroll new dealers and more difcult to retain those who had already enrolled, since they had more alternatves to choose from. In additon, increased competton was putng downward pressure on volume per dealer. Second, as the number of actve dealers increased, it became harder to grow at the same rate. The impact of these challenges is apparent startng in 2017. Following robust expansion each year from 2011 to 2016, the growth of actve dealers decelerated annually from 2017 to 2019. The number of actve dealers decreased in 2020 and 2021 due to the pandemic. Afer a modest increase in actve dealers during 2022, we experienced signifcant growth in actve dealers during 2023, atributable primarily to a more favorable compettve environment and also improvements to our sales and marketng strategy. In 2023, the number of actve dealers reached its highest level in our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245" w:right="359" w:bottom="1440" w:gutter="0" w:footer="0" w:header="0"/>
        </w:sectPr>
      </w:pPr>
    </w:p>
    <w:bookmarkStart w:id="19" w:name="page20"/>
    <w:bookmarkEnd w:id="19"/>
    <w:p>
      <w:pPr>
        <w:spacing w:after="0"/>
        <w:rPr>
          <w:sz w:val="20"/>
          <w:szCs w:val="20"/>
          <w:color w:val="auto"/>
        </w:rPr>
      </w:pPr>
      <w:r>
        <w:rPr>
          <w:rFonts w:ascii="Calibri" w:cs="Calibri" w:eastAsia="Calibri" w:hAnsi="Calibri"/>
          <w:sz w:val="22"/>
          <w:szCs w:val="22"/>
          <w:b w:val="1"/>
          <w:bCs w:val="1"/>
          <w:color w:val="5B9BD5"/>
        </w:rPr>
        <w:t>Loan Performance</w:t>
      </w:r>
    </w:p>
    <w:p>
      <w:pPr>
        <w:spacing w:after="0" w:line="242" w:lineRule="exact"/>
        <w:rPr>
          <w:sz w:val="20"/>
          <w:szCs w:val="20"/>
          <w:color w:val="auto"/>
        </w:rPr>
      </w:pPr>
    </w:p>
    <w:p>
      <w:pPr>
        <w:ind w:right="460"/>
        <w:spacing w:after="0" w:line="229" w:lineRule="auto"/>
        <w:rPr>
          <w:sz w:val="20"/>
          <w:szCs w:val="20"/>
          <w:color w:val="auto"/>
        </w:rPr>
      </w:pPr>
      <w:r>
        <w:rPr>
          <w:rFonts w:ascii="Calibri" w:cs="Calibri" w:eastAsia="Calibri" w:hAnsi="Calibri"/>
          <w:sz w:val="22"/>
          <w:szCs w:val="22"/>
          <w:color w:val="auto"/>
        </w:rPr>
        <w:t>The most critcal tme to correctly assess future loan performance is at loan incepton, since that is when we determine the amount we pay to the dealer.</w:t>
      </w:r>
    </w:p>
    <w:p>
      <w:pPr>
        <w:spacing w:after="0" w:line="257" w:lineRule="exact"/>
        <w:rPr>
          <w:sz w:val="20"/>
          <w:szCs w:val="20"/>
          <w:color w:val="auto"/>
        </w:rPr>
      </w:pPr>
    </w:p>
    <w:p>
      <w:pPr>
        <w:spacing w:after="0" w:line="230" w:lineRule="auto"/>
        <w:rPr>
          <w:sz w:val="20"/>
          <w:szCs w:val="20"/>
          <w:color w:val="auto"/>
        </w:rPr>
      </w:pPr>
      <w:r>
        <w:rPr>
          <w:rFonts w:ascii="Calibri" w:cs="Calibri" w:eastAsia="Calibri" w:hAnsi="Calibri"/>
          <w:sz w:val="22"/>
          <w:szCs w:val="22"/>
          <w:color w:val="auto"/>
        </w:rPr>
        <w:t>At loan incepton, we use a statstcal model to estmate the expected collecton rate for that loan. The statstcal model is called a credit scorecard. Most consumer fnance companies use such a tool to forecast the performance of the loans they originate. Our credit scorecard combines credit bureau data, customer data supplied in the credit applicaton, vehicle data, dealer data, and data captured from the loan transacton such as the inital loan term or the amount of the down payment received from the customer. We developed our frst credit scorecard in 1998, which we have revised periodically as we identfed new trends through our evaluaton of variances in expected collecton rates. A credit scorecard that is accurate across a populaton of loans allows us to properly price new loan originatons, which improves the probability that we will realize our expected returns on capital.</w:t>
      </w:r>
    </w:p>
    <w:p>
      <w:pPr>
        <w:spacing w:after="0" w:line="250" w:lineRule="exact"/>
        <w:rPr>
          <w:sz w:val="20"/>
          <w:szCs w:val="20"/>
          <w:color w:val="auto"/>
        </w:rPr>
      </w:pPr>
    </w:p>
    <w:p>
      <w:pPr>
        <w:spacing w:after="0" w:line="232" w:lineRule="auto"/>
        <w:rPr>
          <w:sz w:val="20"/>
          <w:szCs w:val="20"/>
          <w:color w:val="auto"/>
        </w:rPr>
      </w:pPr>
      <w:r>
        <w:rPr>
          <w:rFonts w:ascii="Calibri" w:cs="Calibri" w:eastAsia="Calibri" w:hAnsi="Calibri"/>
          <w:sz w:val="22"/>
          <w:szCs w:val="22"/>
          <w:color w:val="auto"/>
        </w:rPr>
        <w:t>Subsequent to loan incepton, we contnue to evaluate the expected collecton rate for each loan. Our evaluaton becomes more accurate as the loans age, since we use actual loan performance data in our aggregated forecast. By comparing our current expected collecton rate for each loan with the rate we projected at the tme of originaton, we can assess the accuracy of that inital forecast.</w:t>
      </w:r>
    </w:p>
    <w:p>
      <w:pPr>
        <w:spacing w:after="0" w:line="244" w:lineRule="exact"/>
        <w:rPr>
          <w:sz w:val="20"/>
          <w:szCs w:val="20"/>
          <w:color w:val="auto"/>
        </w:rPr>
      </w:pPr>
    </w:p>
    <w:p>
      <w:pPr>
        <w:ind w:right="760"/>
        <w:spacing w:after="0" w:line="229" w:lineRule="auto"/>
        <w:rPr>
          <w:sz w:val="20"/>
          <w:szCs w:val="20"/>
          <w:color w:val="auto"/>
        </w:rPr>
      </w:pPr>
      <w:r>
        <w:rPr>
          <w:rFonts w:ascii="Calibri" w:cs="Calibri" w:eastAsia="Calibri" w:hAnsi="Calibri"/>
          <w:sz w:val="22"/>
          <w:szCs w:val="22"/>
          <w:color w:val="auto"/>
        </w:rPr>
        <w:t>The following table compares our December 31, 2023 aggregated forecast of loan performance with our inital forecast, segmented by year of originaton: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140" w:type="dxa"/>
            <w:vAlign w:val="bottom"/>
            <w:gridSpan w:val="2"/>
          </w:tcPr>
          <w:p>
            <w:pPr>
              <w:ind w:left="180"/>
              <w:spacing w:after="0"/>
              <w:rPr>
                <w:sz w:val="20"/>
                <w:szCs w:val="20"/>
                <w:color w:val="auto"/>
              </w:rPr>
            </w:pPr>
            <w:r>
              <w:rPr>
                <w:rFonts w:ascii="Calibri" w:cs="Calibri" w:eastAsia="Calibri" w:hAnsi="Calibri"/>
                <w:sz w:val="14"/>
                <w:szCs w:val="14"/>
                <w:b w:val="1"/>
                <w:bCs w:val="1"/>
                <w:color w:val="auto"/>
              </w:rPr>
              <w:t>December 31, 2023 forecast</w:t>
            </w:r>
          </w:p>
        </w:tc>
        <w:tc>
          <w:tcPr>
            <w:tcW w:w="2120" w:type="dxa"/>
            <w:vAlign w:val="bottom"/>
            <w:gridSpan w:val="2"/>
          </w:tcPr>
          <w:p>
            <w:pPr>
              <w:ind w:left="580"/>
              <w:spacing w:after="0"/>
              <w:rPr>
                <w:sz w:val="20"/>
                <w:szCs w:val="20"/>
                <w:color w:val="auto"/>
              </w:rPr>
            </w:pPr>
            <w:r>
              <w:rPr>
                <w:rFonts w:ascii="Calibri" w:cs="Calibri" w:eastAsia="Calibri" w:hAnsi="Calibri"/>
                <w:sz w:val="14"/>
                <w:szCs w:val="14"/>
                <w:b w:val="1"/>
                <w:bCs w:val="1"/>
                <w:color w:val="auto"/>
              </w:rPr>
              <w:t>Inital forecast</w:t>
            </w:r>
          </w:p>
        </w:tc>
        <w:tc>
          <w:tcPr>
            <w:tcW w:w="2040" w:type="dxa"/>
            <w:vAlign w:val="bottom"/>
          </w:tcPr>
          <w:p>
            <w:pPr>
              <w:jc w:val="right"/>
              <w:ind w:right="671"/>
              <w:spacing w:after="0"/>
              <w:rPr>
                <w:sz w:val="20"/>
                <w:szCs w:val="20"/>
                <w:color w:val="auto"/>
              </w:rPr>
            </w:pPr>
            <w:r>
              <w:rPr>
                <w:rFonts w:ascii="Calibri" w:cs="Calibri" w:eastAsia="Calibri" w:hAnsi="Calibri"/>
                <w:sz w:val="14"/>
                <w:szCs w:val="14"/>
                <w:b w:val="1"/>
                <w:bCs w:val="1"/>
                <w:color w:val="auto"/>
              </w:rPr>
              <w:t>Variance</w:t>
            </w:r>
          </w:p>
        </w:tc>
      </w:tr>
      <w:tr>
        <w:trPr>
          <w:trHeight w:val="74"/>
        </w:trPr>
        <w:tc>
          <w:tcPr>
            <w:tcW w:w="4920" w:type="dxa"/>
            <w:vAlign w:val="bottom"/>
            <w:tcBorders>
              <w:bottom w:val="single" w:sz="8" w:color="CCEEFF"/>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r>
      <w:tr>
        <w:trPr>
          <w:trHeight w:val="223"/>
        </w:trPr>
        <w:tc>
          <w:tcPr>
            <w:tcW w:w="492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2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73.0 %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73.0 %</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73.6 %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74.0 %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70.0 %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71.4 %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68.1 %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70.7 %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-2.6 %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70.4 %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69.7 %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0.7 %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79.5 %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71.9 %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7.6 %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77.7 %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73.6 %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4.1 %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74.7 %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72.5 %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73.7 %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71.4 %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73.4 %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72.0 %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71.7 %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71.8 %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65.2 %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67.7 %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63.8 %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65.4 %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64.7 %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64.0 %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65.5 %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63.6 %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66.9 %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64.0 %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67.6 %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63.4 %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4.2 %</w:t>
            </w:r>
          </w:p>
        </w:tc>
      </w:tr>
      <w:tr>
        <w:trPr>
          <w:trHeight w:val="222"/>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64.5 %</w:t>
            </w:r>
          </w:p>
        </w:tc>
        <w:tc>
          <w:tcPr>
            <w:tcW w:w="100" w:type="dxa"/>
            <w:vAlign w:val="bottom"/>
          </w:tcPr>
          <w:p>
            <w:pPr>
              <w:spacing w:after="0"/>
              <w:rPr>
                <w:sz w:val="19"/>
                <w:szCs w:val="19"/>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66.3 %</w:t>
            </w:r>
          </w:p>
        </w:tc>
        <w:tc>
          <w:tcPr>
            <w:tcW w:w="120" w:type="dxa"/>
            <w:vAlign w:val="bottom"/>
          </w:tcPr>
          <w:p>
            <w:pPr>
              <w:spacing w:after="0"/>
              <w:rPr>
                <w:sz w:val="19"/>
                <w:szCs w:val="19"/>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-1.8 %</w:t>
            </w:r>
          </w:p>
        </w:tc>
      </w:tr>
      <w:tr>
        <w:trPr>
          <w:trHeight w:val="237"/>
        </w:trPr>
        <w:tc>
          <w:tcPr>
            <w:tcW w:w="49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62.7 %</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67.5 %</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-4.8 %</w:t>
            </w:r>
          </w:p>
        </w:tc>
      </w:tr>
      <w:tr>
        <w:trPr>
          <w:trHeight w:val="215"/>
        </w:trPr>
        <w:tc>
          <w:tcPr>
            <w:tcW w:w="49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67.4 %</w:t>
            </w:r>
          </w:p>
        </w:tc>
        <w:tc>
          <w:tcPr>
            <w:tcW w:w="100" w:type="dxa"/>
            <w:vAlign w:val="bottom"/>
          </w:tcPr>
          <w:p>
            <w:pPr>
              <w:spacing w:after="0"/>
              <w:rPr>
                <w:sz w:val="18"/>
                <w:szCs w:val="18"/>
                <w:color w:val="auto"/>
              </w:rPr>
            </w:pPr>
          </w:p>
        </w:tc>
        <w:tc>
          <w:tcPr>
            <w:tcW w:w="20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67.5 %</w:t>
            </w:r>
          </w:p>
        </w:tc>
        <w:tc>
          <w:tcPr>
            <w:tcW w:w="120" w:type="dxa"/>
            <w:vAlign w:val="bottom"/>
          </w:tcPr>
          <w:p>
            <w:pPr>
              <w:spacing w:after="0"/>
              <w:rPr>
                <w:sz w:val="18"/>
                <w:szCs w:val="18"/>
                <w:color w:val="auto"/>
              </w:rPr>
            </w:pP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r>
      <w:tr>
        <w:trPr>
          <w:trHeight w:val="315"/>
        </w:trPr>
        <w:tc>
          <w:tcPr>
            <w:tcW w:w="4920" w:type="dxa"/>
            <w:vAlign w:val="bottom"/>
          </w:tcPr>
          <w:p>
            <w:pPr>
              <w:ind w:left="60"/>
              <w:spacing w:after="0"/>
              <w:rPr>
                <w:sz w:val="20"/>
                <w:szCs w:val="20"/>
                <w:color w:val="auto"/>
              </w:rPr>
            </w:pPr>
            <w:r>
              <w:rPr>
                <w:rFonts w:ascii="Calibri" w:cs="Calibri" w:eastAsia="Calibri" w:hAnsi="Calibri"/>
                <w:sz w:val="18"/>
                <w:szCs w:val="18"/>
                <w:i w:val="1"/>
                <w:iCs w:val="1"/>
                <w:color w:val="auto"/>
              </w:rPr>
              <w:t>Average</w:t>
            </w:r>
          </w:p>
        </w:tc>
        <w:tc>
          <w:tcPr>
            <w:tcW w:w="2040" w:type="dxa"/>
            <w:vAlign w:val="bottom"/>
          </w:tcPr>
          <w:p>
            <w:pPr>
              <w:jc w:val="right"/>
              <w:spacing w:after="0"/>
              <w:rPr>
                <w:sz w:val="20"/>
                <w:szCs w:val="20"/>
                <w:color w:val="auto"/>
              </w:rPr>
            </w:pPr>
            <w:r>
              <w:rPr>
                <w:rFonts w:ascii="Calibri" w:cs="Calibri" w:eastAsia="Calibri" w:hAnsi="Calibri"/>
                <w:sz w:val="18"/>
                <w:szCs w:val="18"/>
                <w:i w:val="1"/>
                <w:iCs w:val="1"/>
                <w:color w:val="auto"/>
              </w:rPr>
              <w:t>69.7 %</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alibri" w:cs="Calibri" w:eastAsia="Calibri" w:hAnsi="Calibri"/>
                <w:sz w:val="18"/>
                <w:szCs w:val="18"/>
                <w:i w:val="1"/>
                <w:iCs w:val="1"/>
                <w:color w:val="auto"/>
              </w:rPr>
              <w:t>69.1 %</w:t>
            </w:r>
          </w:p>
        </w:tc>
        <w:tc>
          <w:tcPr>
            <w:tcW w:w="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alibri" w:cs="Calibri" w:eastAsia="Calibri" w:hAnsi="Calibri"/>
                <w:sz w:val="18"/>
                <w:szCs w:val="18"/>
                <w:i w:val="1"/>
                <w:iCs w:val="1"/>
                <w:color w:val="auto"/>
              </w:rPr>
              <w:t>0.6 %</w:t>
            </w:r>
          </w:p>
        </w:tc>
      </w:tr>
      <w:tr>
        <w:trPr>
          <w:trHeight w:val="928"/>
        </w:trPr>
        <w:tc>
          <w:tcPr>
            <w:tcW w:w="4920" w:type="dxa"/>
            <w:vAlign w:val="bottom"/>
          </w:tcPr>
          <w:p>
            <w:pPr>
              <w:spacing w:after="0"/>
              <w:rPr>
                <w:sz w:val="24"/>
                <w:szCs w:val="24"/>
                <w:color w:val="auto"/>
              </w:rPr>
            </w:pPr>
          </w:p>
        </w:tc>
        <w:tc>
          <w:tcPr>
            <w:tcW w:w="2040" w:type="dxa"/>
            <w:vAlign w:val="bottom"/>
          </w:tcPr>
          <w:p>
            <w:pPr>
              <w:jc w:val="right"/>
              <w:ind w:right="115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220"/>
          </w:cols>
          <w:pgMar w:left="320" w:top="1234" w:right="359" w:bottom="1440" w:gutter="0" w:footer="0" w:header="0"/>
        </w:sectPr>
      </w:pPr>
    </w:p>
    <w:bookmarkStart w:id="20" w:name="page21"/>
    <w:bookmarkEnd w:id="20"/>
    <w:p>
      <w:pPr>
        <w:spacing w:after="0" w:line="231" w:lineRule="auto"/>
        <w:rPr>
          <w:sz w:val="20"/>
          <w:szCs w:val="20"/>
          <w:color w:val="auto"/>
        </w:rPr>
      </w:pPr>
      <w:r>
        <w:rPr>
          <w:rFonts w:ascii="Calibri" w:cs="Calibri" w:eastAsia="Calibri" w:hAnsi="Calibri"/>
          <w:sz w:val="22"/>
          <w:szCs w:val="22"/>
          <w:color w:val="auto"/>
        </w:rPr>
        <w:t>Loan performance can be explained by a combinaton of internal and external factors. Internal factors, among other things, include the quality of our originaton and collecton processes, the quality of our credit scorecard, and changes in our policies governing new loan originatons. External factors include, among other things, infaton, the unemployment rate, the retail price of gasoline, vehicle wholesale values, and the cost of other required expenditures (such as for food and energy) that impact consumers. In additon, the level of competton is thought to impact loan performance through something called adverse selecton.</w:t>
      </w:r>
    </w:p>
    <w:p>
      <w:pPr>
        <w:spacing w:after="0" w:line="245" w:lineRule="exact"/>
        <w:rPr>
          <w:sz w:val="20"/>
          <w:szCs w:val="20"/>
          <w:color w:val="auto"/>
        </w:rPr>
      </w:pPr>
    </w:p>
    <w:p>
      <w:pPr>
        <w:ind w:right="80"/>
        <w:spacing w:after="0" w:line="232" w:lineRule="auto"/>
        <w:rPr>
          <w:sz w:val="20"/>
          <w:szCs w:val="20"/>
          <w:color w:val="auto"/>
        </w:rPr>
      </w:pPr>
      <w:r>
        <w:rPr>
          <w:rFonts w:ascii="Calibri" w:cs="Calibri" w:eastAsia="Calibri" w:hAnsi="Calibri"/>
          <w:sz w:val="22"/>
          <w:szCs w:val="22"/>
          <w:color w:val="auto"/>
        </w:rPr>
        <w:t>Adverse selecton, as it relates to our market, refers to an inverse correlaton between the number of lenders that are competng for the loan and the accuracy of an empirical scorecard. Said another way, without any competton, it is easier to build a scorecard that accurately assesses expected collectons across a populaton of loans based on atributes collected at the tme of loan originaton. As competton increases, creatng an accurate scorecard becomes more challenging.</w:t>
      </w:r>
    </w:p>
    <w:p>
      <w:pPr>
        <w:spacing w:after="0" w:line="244" w:lineRule="exact"/>
        <w:rPr>
          <w:sz w:val="20"/>
          <w:szCs w:val="20"/>
          <w:color w:val="auto"/>
        </w:rPr>
      </w:pPr>
    </w:p>
    <w:p>
      <w:pPr>
        <w:ind w:right="180"/>
        <w:spacing w:after="0" w:line="231" w:lineRule="auto"/>
        <w:rPr>
          <w:sz w:val="20"/>
          <w:szCs w:val="20"/>
          <w:color w:val="auto"/>
        </w:rPr>
      </w:pPr>
      <w:r>
        <w:rPr>
          <w:rFonts w:ascii="Calibri" w:cs="Calibri" w:eastAsia="Calibri" w:hAnsi="Calibri"/>
          <w:sz w:val="22"/>
          <w:szCs w:val="22"/>
          <w:color w:val="auto"/>
        </w:rPr>
        <w:t>To illustrate adverse selecton, we will give a simple example. Assume that the scorecard we use to accept assignment of loans originated by partcipatng dealers is based on a single variable, the amount of the customer’s down payment, and that the higher the down payment, the higher the expected collecton rate. Assume that, for many years, we have no compettors, and we accumulate performance data indicatng that loans with down payments above $1,000 consistently produce the same average collecton rate. Then assume that we begin to compete with another lender whose scorecard ignores down payment and instead emphasizes the amount of the customer’s weekly income.</w:t>
      </w:r>
    </w:p>
    <w:p>
      <w:pPr>
        <w:spacing w:after="0" w:line="245" w:lineRule="exact"/>
        <w:rPr>
          <w:sz w:val="20"/>
          <w:szCs w:val="20"/>
          <w:color w:val="auto"/>
        </w:rPr>
      </w:pPr>
    </w:p>
    <w:p>
      <w:pPr>
        <w:ind w:right="180"/>
        <w:spacing w:after="0" w:line="231" w:lineRule="auto"/>
        <w:rPr>
          <w:sz w:val="20"/>
          <w:szCs w:val="20"/>
          <w:color w:val="auto"/>
        </w:rPr>
      </w:pPr>
      <w:r>
        <w:rPr>
          <w:rFonts w:ascii="Calibri" w:cs="Calibri" w:eastAsia="Calibri" w:hAnsi="Calibri"/>
          <w:sz w:val="22"/>
          <w:szCs w:val="22"/>
          <w:color w:val="auto"/>
        </w:rPr>
        <w:t>As the competng lender begins to acquire loans originated by dealers based on its scorecard, our mix of loans would be impacted as follows: We would start to receive loans for borrowers with lower average weekly incomes as the new lender acquires loans for borrowers with higher weekly incomes—i.e., borrowers whose loans we would previously have acquired. Furthermore, since, in this example, our scorecard focuses only on down payment, the shif in our borrower mix would not be detected by our scorecard, and our collecton rate expectaton would remain unchanged. It is easy to see that this shif in borrower characteristcs would have a negatve impact on loan performance, and that this impact will be missed by our scorecard.</w:t>
      </w:r>
    </w:p>
    <w:p>
      <w:pPr>
        <w:spacing w:after="0" w:line="243" w:lineRule="exact"/>
        <w:rPr>
          <w:sz w:val="20"/>
          <w:szCs w:val="20"/>
          <w:color w:val="auto"/>
        </w:rPr>
      </w:pPr>
    </w:p>
    <w:p>
      <w:pPr>
        <w:ind w:right="20"/>
        <w:spacing w:after="0" w:line="252" w:lineRule="auto"/>
        <w:rPr>
          <w:sz w:val="20"/>
          <w:szCs w:val="20"/>
          <w:color w:val="auto"/>
        </w:rPr>
      </w:pPr>
      <w:r>
        <w:rPr>
          <w:rFonts w:ascii="Calibri" w:cs="Calibri" w:eastAsia="Calibri" w:hAnsi="Calibri"/>
          <w:sz w:val="21"/>
          <w:szCs w:val="21"/>
          <w:color w:val="auto"/>
        </w:rPr>
        <w:t>Although the real world is more complex than this simple example—with hundreds of lenders competng for loans and with each lender using many variables in its scorecard—adverse selecton is something that probably does impact loan performance.</w:t>
      </w:r>
    </w:p>
    <w:p>
      <w:pPr>
        <w:spacing w:after="0" w:line="231" w:lineRule="exact"/>
        <w:rPr>
          <w:sz w:val="20"/>
          <w:szCs w:val="20"/>
          <w:color w:val="auto"/>
        </w:rPr>
      </w:pPr>
    </w:p>
    <w:p>
      <w:pPr>
        <w:ind w:right="20"/>
        <w:spacing w:after="0" w:line="229" w:lineRule="auto"/>
        <w:rPr>
          <w:sz w:val="20"/>
          <w:szCs w:val="20"/>
          <w:color w:val="auto"/>
        </w:rPr>
      </w:pPr>
      <w:r>
        <w:rPr>
          <w:rFonts w:ascii="Calibri" w:cs="Calibri" w:eastAsia="Calibri" w:hAnsi="Calibri"/>
          <w:sz w:val="22"/>
          <w:szCs w:val="22"/>
          <w:color w:val="auto"/>
        </w:rPr>
        <w:t>Over the 20-year period shown in the table above, our loans have performed on average 60 basis points beter than our inital forecasts. Loans originated in nine of the 20 years have yielded actual collecton results worse than our inital estmates. What is noteworthy, however, is that the underperformance was modest. As a result, loans originated in those nine years were stll proftable, even though they performed worse than we had forecast.</w:t>
      </w:r>
    </w:p>
    <w:p>
      <w:pPr>
        <w:spacing w:after="0" w:line="244" w:lineRule="exact"/>
        <w:rPr>
          <w:sz w:val="20"/>
          <w:szCs w:val="20"/>
          <w:color w:val="auto"/>
        </w:rPr>
      </w:pPr>
    </w:p>
    <w:p>
      <w:pPr>
        <w:ind w:right="400"/>
        <w:spacing w:after="0" w:line="247" w:lineRule="auto"/>
        <w:rPr>
          <w:sz w:val="20"/>
          <w:szCs w:val="20"/>
          <w:color w:val="auto"/>
        </w:rPr>
      </w:pPr>
      <w:r>
        <w:rPr>
          <w:rFonts w:ascii="Calibri" w:cs="Calibri" w:eastAsia="Calibri" w:hAnsi="Calibri"/>
          <w:sz w:val="21"/>
          <w:szCs w:val="21"/>
          <w:color w:val="auto"/>
        </w:rPr>
        <w:t>We have understood for many years that expectng to predict the performance of our loans with exactng precision is not realistc. For this reason, we have made it a priority to maintain a margin of safety so that, even if our forecasts prove to be optmistc, our loans, on average, will stll be proftable. Because of this approach, we believe we can withstand a signifcant</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245" w:right="379" w:bottom="1440" w:gutter="0" w:footer="0" w:header="0"/>
        </w:sectPr>
      </w:pPr>
    </w:p>
    <w:bookmarkStart w:id="21" w:name="page22"/>
    <w:bookmarkEnd w:id="21"/>
    <w:p>
      <w:pPr>
        <w:ind w:right="1100"/>
        <w:spacing w:after="0" w:line="229" w:lineRule="auto"/>
        <w:rPr>
          <w:sz w:val="20"/>
          <w:szCs w:val="20"/>
          <w:color w:val="auto"/>
        </w:rPr>
      </w:pPr>
      <w:r>
        <w:rPr>
          <w:rFonts w:ascii="Calibri" w:cs="Calibri" w:eastAsia="Calibri" w:hAnsi="Calibri"/>
          <w:sz w:val="22"/>
          <w:szCs w:val="22"/>
          <w:color w:val="auto"/>
        </w:rPr>
        <w:t>deterioraton in loan performance and stll have an opportunity to move forward and create signifcant value for our shareholders.</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ED7D31"/>
        </w:rPr>
        <w:t>SUPPLEMENTAL FINANCIAL RESULTS</w:t>
      </w:r>
    </w:p>
    <w:p>
      <w:pPr>
        <w:spacing w:after="0" w:line="2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GAAP Results</w:t>
      </w:r>
    </w:p>
    <w:p>
      <w:pPr>
        <w:spacing w:after="0" w:line="244"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The table below summarizes our results over the last 20 years under accountng principles generally accepted in the United States of America (GAAP):</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Year-to-year change in GAAP net income per</w:t>
            </w:r>
          </w:p>
        </w:tc>
        <w:tc>
          <w:tcPr>
            <w:tcW w:w="2840" w:type="dxa"/>
            <w:vAlign w:val="bottom"/>
          </w:tcPr>
          <w:p>
            <w:pPr>
              <w:spacing w:after="0"/>
              <w:rPr>
                <w:sz w:val="14"/>
                <w:szCs w:val="14"/>
                <w:color w:val="auto"/>
              </w:rPr>
            </w:pPr>
          </w:p>
        </w:tc>
      </w:tr>
      <w:tr>
        <w:trPr>
          <w:trHeight w:val="222"/>
        </w:trPr>
        <w:tc>
          <w:tcPr>
            <w:tcW w:w="2620" w:type="dxa"/>
            <w:vAlign w:val="bottom"/>
          </w:tcPr>
          <w:p>
            <w:pPr>
              <w:spacing w:after="0"/>
              <w:rPr>
                <w:sz w:val="19"/>
                <w:szCs w:val="19"/>
                <w:color w:val="auto"/>
              </w:rPr>
            </w:pPr>
          </w:p>
        </w:tc>
        <w:tc>
          <w:tcPr>
            <w:tcW w:w="2820" w:type="dxa"/>
            <w:vAlign w:val="bottom"/>
            <w:gridSpan w:val="3"/>
          </w:tcPr>
          <w:p>
            <w:pPr>
              <w:ind w:left="300"/>
              <w:spacing w:after="0"/>
              <w:rPr>
                <w:sz w:val="20"/>
                <w:szCs w:val="20"/>
                <w:color w:val="auto"/>
              </w:rPr>
            </w:pPr>
            <w:r>
              <w:rPr>
                <w:rFonts w:ascii="Calibri" w:cs="Calibri" w:eastAsia="Calibri" w:hAnsi="Calibri"/>
                <w:sz w:val="14"/>
                <w:szCs w:val="14"/>
                <w:b w:val="1"/>
                <w:bCs w:val="1"/>
                <w:color w:val="auto"/>
              </w:rPr>
              <w:t>GAAP net income per diluted share</w:t>
            </w:r>
          </w:p>
        </w:tc>
        <w:tc>
          <w:tcPr>
            <w:tcW w:w="29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share</w:t>
            </w:r>
          </w:p>
        </w:tc>
        <w:tc>
          <w:tcPr>
            <w:tcW w:w="2840" w:type="dxa"/>
            <w:vAlign w:val="bottom"/>
          </w:tcPr>
          <w:p>
            <w:pPr>
              <w:jc w:val="right"/>
              <w:ind w:right="811"/>
              <w:spacing w:after="0"/>
              <w:rPr>
                <w:sz w:val="20"/>
                <w:szCs w:val="20"/>
                <w:color w:val="auto"/>
              </w:rPr>
            </w:pPr>
            <w:r>
              <w:rPr>
                <w:rFonts w:ascii="Calibri" w:cs="Calibri" w:eastAsia="Calibri" w:hAnsi="Calibri"/>
                <w:sz w:val="14"/>
                <w:szCs w:val="14"/>
                <w:b w:val="1"/>
                <w:bCs w:val="1"/>
                <w:color w:val="auto"/>
              </w:rPr>
              <w:t>Return on equity</w:t>
            </w:r>
            <w:r>
              <w:rPr>
                <w:rFonts w:ascii="Calibri" w:cs="Calibri" w:eastAsia="Calibri" w:hAnsi="Calibri"/>
                <w:sz w:val="18"/>
                <w:szCs w:val="18"/>
                <w:b w:val="1"/>
                <w:bCs w:val="1"/>
                <w:color w:val="auto"/>
                <w:vertAlign w:val="superscript"/>
              </w:rPr>
              <w:t>1</w:t>
            </w:r>
          </w:p>
        </w:tc>
      </w:tr>
      <w:tr>
        <w:trPr>
          <w:trHeight w:val="35"/>
        </w:trPr>
        <w:tc>
          <w:tcPr>
            <w:tcW w:w="26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23"/>
        </w:trPr>
        <w:tc>
          <w:tcPr>
            <w:tcW w:w="262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420" w:type="dxa"/>
            <w:vAlign w:val="bottom"/>
            <w:shd w:val="clear" w:color="auto" w:fill="CCEEFF"/>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1.40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18.4 %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1.85</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32.1 %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21.8 %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1.66</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-10.3 %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20.2 %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1.76</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6.0 %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23.1 %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2.16</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22.7 %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22.2 %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4.62</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113.9 %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35.6 %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5.67</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22.7 %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34.8 %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7.07</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24.7 %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40.0 %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8.58</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21.4 %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37.8 %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10.54</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22.8 %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38.0 %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11.92</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13.1 %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37.0 %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14.28</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19.8 %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35.4 %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16.31</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14.2 %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31.1 %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24.04</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47.4 %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36.9 %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29.39</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22.3 %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31.7 %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34.57</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17.6 %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29.8 %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23.47</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-32.1 %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19.2 %</w:t>
            </w:r>
          </w:p>
        </w:tc>
      </w:tr>
      <w:tr>
        <w:trPr>
          <w:trHeight w:val="222"/>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59.52</w:t>
            </w:r>
          </w:p>
        </w:tc>
        <w:tc>
          <w:tcPr>
            <w:tcW w:w="120" w:type="dxa"/>
            <w:vAlign w:val="bottom"/>
          </w:tcPr>
          <w:p>
            <w:pPr>
              <w:spacing w:after="0"/>
              <w:rPr>
                <w:sz w:val="19"/>
                <w:szCs w:val="19"/>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153.6 %</w:t>
            </w:r>
          </w:p>
        </w:tc>
        <w:tc>
          <w:tcPr>
            <w:tcW w:w="140" w:type="dxa"/>
            <w:vAlign w:val="bottom"/>
          </w:tcPr>
          <w:p>
            <w:pPr>
              <w:spacing w:after="0"/>
              <w:rPr>
                <w:sz w:val="19"/>
                <w:szCs w:val="19"/>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43.3 %</w:t>
            </w:r>
          </w:p>
        </w:tc>
      </w:tr>
      <w:tr>
        <w:trPr>
          <w:trHeight w:val="237"/>
        </w:trPr>
        <w:tc>
          <w:tcPr>
            <w:tcW w:w="262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420" w:type="dxa"/>
            <w:vAlign w:val="bottom"/>
            <w:shd w:val="clear" w:color="auto" w:fill="CCEEFF"/>
          </w:tcPr>
          <w:p>
            <w:pPr>
              <w:jc w:val="right"/>
              <w:ind w:right="1231"/>
              <w:spacing w:after="0"/>
              <w:rPr>
                <w:sz w:val="20"/>
                <w:szCs w:val="20"/>
                <w:color w:val="auto"/>
              </w:rPr>
            </w:pPr>
            <w:r>
              <w:rPr>
                <w:rFonts w:ascii="Calibri" w:cs="Calibri" w:eastAsia="Calibri" w:hAnsi="Calibri"/>
                <w:sz w:val="18"/>
                <w:szCs w:val="18"/>
                <w:i w:val="1"/>
                <w:iCs w:val="1"/>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39.32</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-33.9 %</w:t>
            </w:r>
          </w:p>
        </w:tc>
        <w:tc>
          <w:tcPr>
            <w:tcW w:w="140" w:type="dxa"/>
            <w:vAlign w:val="bottom"/>
            <w:shd w:val="clear" w:color="auto" w:fill="CCEEFF"/>
          </w:tcPr>
          <w:p>
            <w:pPr>
              <w:spacing w:after="0"/>
              <w:rPr>
                <w:sz w:val="20"/>
                <w:szCs w:val="20"/>
                <w:color w:val="auto"/>
              </w:rPr>
            </w:pPr>
          </w:p>
        </w:tc>
        <w:tc>
          <w:tcPr>
            <w:tcW w:w="28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32.7 %</w:t>
            </w:r>
          </w:p>
        </w:tc>
      </w:tr>
      <w:tr>
        <w:trPr>
          <w:trHeight w:val="214"/>
        </w:trPr>
        <w:tc>
          <w:tcPr>
            <w:tcW w:w="262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420" w:type="dxa"/>
            <w:vAlign w:val="bottom"/>
          </w:tcPr>
          <w:p>
            <w:pPr>
              <w:jc w:val="right"/>
              <w:ind w:right="1231"/>
              <w:spacing w:after="0" w:line="215" w:lineRule="exact"/>
              <w:rPr>
                <w:sz w:val="20"/>
                <w:szCs w:val="20"/>
                <w:color w:val="auto"/>
              </w:rPr>
            </w:pPr>
            <w:r>
              <w:rPr>
                <w:rFonts w:ascii="Calibri" w:cs="Calibri" w:eastAsia="Calibri" w:hAnsi="Calibri"/>
                <w:sz w:val="18"/>
                <w:szCs w:val="18"/>
                <w:i w:val="1"/>
                <w:iCs w:val="1"/>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21.99</w:t>
            </w:r>
          </w:p>
        </w:tc>
        <w:tc>
          <w:tcPr>
            <w:tcW w:w="120" w:type="dxa"/>
            <w:vAlign w:val="bottom"/>
          </w:tcPr>
          <w:p>
            <w:pPr>
              <w:spacing w:after="0"/>
              <w:rPr>
                <w:sz w:val="18"/>
                <w:szCs w:val="18"/>
                <w:color w:val="auto"/>
              </w:rPr>
            </w:pPr>
          </w:p>
        </w:tc>
        <w:tc>
          <w:tcPr>
            <w:tcW w:w="28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-44.1 %</w:t>
            </w:r>
          </w:p>
        </w:tc>
        <w:tc>
          <w:tcPr>
            <w:tcW w:w="140" w:type="dxa"/>
            <w:vAlign w:val="bottom"/>
          </w:tcPr>
          <w:p>
            <w:pPr>
              <w:spacing w:after="0"/>
              <w:rPr>
                <w:sz w:val="18"/>
                <w:szCs w:val="18"/>
                <w:color w:val="auto"/>
              </w:rPr>
            </w:pPr>
          </w:p>
        </w:tc>
        <w:tc>
          <w:tcPr>
            <w:tcW w:w="28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16.6 %</w:t>
            </w:r>
          </w:p>
        </w:tc>
      </w:tr>
      <w:tr>
        <w:trPr>
          <w:trHeight w:val="262"/>
        </w:trPr>
        <w:tc>
          <w:tcPr>
            <w:tcW w:w="4040" w:type="dxa"/>
            <w:vAlign w:val="bottom"/>
            <w:gridSpan w:val="2"/>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jc w:val="right"/>
              <w:spacing w:after="0"/>
              <w:rPr>
                <w:sz w:val="20"/>
                <w:szCs w:val="20"/>
                <w:color w:val="auto"/>
              </w:rPr>
            </w:pPr>
            <w:r>
              <w:rPr>
                <w:rFonts w:ascii="Calibri" w:cs="Calibri" w:eastAsia="Calibri" w:hAnsi="Calibri"/>
                <w:sz w:val="18"/>
                <w:szCs w:val="18"/>
                <w:i w:val="1"/>
                <w:iCs w:val="1"/>
                <w:color w:val="auto"/>
              </w:rPr>
              <w:t>15.6 %</w:t>
            </w:r>
          </w:p>
        </w:tc>
        <w:tc>
          <w:tcPr>
            <w:tcW w:w="14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70"/>
        </w:trPr>
        <w:tc>
          <w:tcPr>
            <w:tcW w:w="4040" w:type="dxa"/>
            <w:vAlign w:val="bottom"/>
            <w:gridSpan w:val="2"/>
          </w:tcPr>
          <w:p>
            <w:pPr>
              <w:ind w:left="60"/>
              <w:spacing w:after="0"/>
              <w:rPr>
                <w:sz w:val="20"/>
                <w:szCs w:val="20"/>
                <w:color w:val="auto"/>
              </w:rPr>
            </w:pPr>
            <w:r>
              <w:rPr>
                <w:rFonts w:ascii="Calibri" w:cs="Calibri" w:eastAsia="Calibri" w:hAnsi="Calibri"/>
                <w:sz w:val="18"/>
                <w:szCs w:val="18"/>
                <w:i w:val="1"/>
                <w:iCs w:val="1"/>
                <w:color w:val="auto"/>
              </w:rPr>
              <w:t>Average annual return on equity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Calibri" w:cs="Calibri" w:eastAsia="Calibri" w:hAnsi="Calibri"/>
                <w:sz w:val="18"/>
                <w:szCs w:val="18"/>
                <w:i w:val="1"/>
                <w:iCs w:val="1"/>
                <w:color w:val="auto"/>
              </w:rPr>
              <w:t>30.3 %</w:t>
            </w:r>
          </w:p>
        </w:tc>
      </w:tr>
    </w:tbl>
    <w:p>
      <w:pPr>
        <w:spacing w:after="0" w:line="280" w:lineRule="exact"/>
        <w:rPr>
          <w:sz w:val="20"/>
          <w:szCs w:val="20"/>
          <w:color w:val="auto"/>
        </w:rPr>
      </w:pPr>
    </w:p>
    <w:p>
      <w:pPr>
        <w:spacing w:after="0"/>
        <w:rPr>
          <w:sz w:val="20"/>
          <w:szCs w:val="20"/>
          <w:color w:val="auto"/>
        </w:rPr>
      </w:pPr>
      <w:r>
        <w:rPr>
          <w:rFonts w:ascii="Calibri" w:cs="Calibri" w:eastAsia="Calibri" w:hAnsi="Calibri"/>
          <w:sz w:val="23"/>
          <w:szCs w:val="23"/>
          <w:color w:val="auto"/>
          <w:vertAlign w:val="superscript"/>
        </w:rPr>
        <w:t>1</w:t>
      </w:r>
      <w:r>
        <w:rPr>
          <w:rFonts w:ascii="Calibri" w:cs="Calibri" w:eastAsia="Calibri" w:hAnsi="Calibri"/>
          <w:sz w:val="14"/>
          <w:szCs w:val="14"/>
          <w:color w:val="auto"/>
        </w:rPr>
        <w:t>Return on equity is defned as GAAP net income for the applicable period divided by average shareholders’ equity for such period.</w:t>
      </w:r>
    </w:p>
    <w:p>
      <w:pPr>
        <w:spacing w:after="0" w:line="176" w:lineRule="exact"/>
        <w:rPr>
          <w:sz w:val="20"/>
          <w:szCs w:val="20"/>
          <w:color w:val="auto"/>
        </w:rPr>
      </w:pPr>
    </w:p>
    <w:p>
      <w:pPr>
        <w:ind w:right="260"/>
        <w:spacing w:after="0" w:line="229" w:lineRule="auto"/>
        <w:rPr>
          <w:sz w:val="20"/>
          <w:szCs w:val="20"/>
          <w:color w:val="auto"/>
        </w:rPr>
      </w:pPr>
      <w:r>
        <w:rPr>
          <w:rFonts w:ascii="Calibri" w:cs="Calibri" w:eastAsia="Calibri" w:hAnsi="Calibri"/>
          <w:sz w:val="22"/>
          <w:szCs w:val="22"/>
          <w:color w:val="auto"/>
        </w:rPr>
        <w:t>Over the last 20 years, GAAP net income per diluted share has grown at a compounded annual rate of 15.6%, with an average annual return on equity of 30.3%.</w:t>
      </w:r>
    </w:p>
    <w:p>
      <w:pPr>
        <w:spacing w:after="0" w:line="257" w:lineRule="exact"/>
        <w:rPr>
          <w:sz w:val="20"/>
          <w:szCs w:val="20"/>
          <w:color w:val="auto"/>
        </w:rPr>
      </w:pPr>
    </w:p>
    <w:p>
      <w:pPr>
        <w:spacing w:after="0" w:line="242" w:lineRule="auto"/>
        <w:rPr>
          <w:sz w:val="20"/>
          <w:szCs w:val="20"/>
          <w:color w:val="auto"/>
        </w:rPr>
      </w:pPr>
      <w:r>
        <w:rPr>
          <w:rFonts w:ascii="Calibri" w:cs="Calibri" w:eastAsia="Calibri" w:hAnsi="Calibri"/>
          <w:sz w:val="21"/>
          <w:szCs w:val="21"/>
          <w:color w:val="auto"/>
        </w:rPr>
        <w:t>The decline in GAAP net income per diluted share from 2021 to 2023 was primarily driven by shifs in loan performance during this period. Prior to moderatng in 2022, loan performance signifcantly exceeded expectatons in 2021 following the distributon of federal stmulus payments and enhanced unemployment benefts. Last year, GAAP net income per diluted share decreased 44.1% to $21.99, with a return on equity of 16.6%. The decrease was primarily due to a decline in loan performance and slower forecasted net cash fow tming during 2023 as a result of below-average levels of consumer loan prepayments. Historically, consumer loan prepayments have been lower in periods with less availability of consumer credit.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45" w:right="339" w:bottom="1440" w:gutter="0" w:footer="0" w:header="0"/>
        </w:sectPr>
      </w:pPr>
    </w:p>
    <w:bookmarkStart w:id="22" w:name="page23"/>
    <w:bookmarkEnd w:id="22"/>
    <w:p>
      <w:pPr>
        <w:ind w:right="260"/>
        <w:spacing w:after="0" w:line="229" w:lineRule="auto"/>
        <w:rPr>
          <w:sz w:val="20"/>
          <w:szCs w:val="20"/>
          <w:color w:val="auto"/>
        </w:rPr>
      </w:pPr>
      <w:r>
        <w:rPr>
          <w:rFonts w:ascii="Calibri" w:cs="Calibri" w:eastAsia="Calibri" w:hAnsi="Calibri"/>
          <w:sz w:val="22"/>
          <w:szCs w:val="22"/>
          <w:color w:val="auto"/>
        </w:rPr>
        <w:t>“Adjusted Results” secton below explains our fnancial results afer considering the impact of the current expected credit loss (CECL) accountng standard and other accountng-related items.</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Adjusted Results</w:t>
      </w:r>
    </w:p>
    <w:p>
      <w:pPr>
        <w:spacing w:after="0" w:line="255" w:lineRule="exact"/>
        <w:rPr>
          <w:sz w:val="20"/>
          <w:szCs w:val="20"/>
          <w:color w:val="auto"/>
        </w:rPr>
      </w:pPr>
    </w:p>
    <w:p>
      <w:pPr>
        <w:ind w:right="60"/>
        <w:spacing w:after="0" w:line="230" w:lineRule="auto"/>
        <w:rPr>
          <w:sz w:val="20"/>
          <w:szCs w:val="20"/>
          <w:color w:val="auto"/>
        </w:rPr>
      </w:pPr>
      <w:r>
        <w:rPr>
          <w:rFonts w:ascii="Calibri" w:cs="Calibri" w:eastAsia="Calibri" w:hAnsi="Calibri"/>
          <w:sz w:val="22"/>
          <w:szCs w:val="22"/>
          <w:color w:val="auto"/>
        </w:rPr>
        <w:t>Our business model is diferent from that of a typical lender and doesn’t ft neatly into GAAP. The adopton of CECL at the beginning of 2020 means we have now been required to use three diferent GAAP accountng methods over the period we have been public, even though our business hasn’t materially changed during that tme. In 1992, the year we became a public company, we accounted for our business as a lender to consumers. In 2005, our external auditors decided we were a lender to dealers, which required diferent accountng. CECL is now the latest new methodology we are required to use. Unfortunately, none of the three GAAP methods results in fnancial statements that are consistent with how we think about our business. To solve this problem, we began reportng adjusted results using an accountng method that we believe is simple to understand, is consistently presented, and matches the economics of our business. To explain this method, some additonal background is needed.</w:t>
      </w:r>
    </w:p>
    <w:p>
      <w:pPr>
        <w:spacing w:after="0" w:line="249" w:lineRule="exact"/>
        <w:rPr>
          <w:sz w:val="20"/>
          <w:szCs w:val="20"/>
          <w:color w:val="auto"/>
        </w:rPr>
      </w:pPr>
    </w:p>
    <w:p>
      <w:pPr>
        <w:ind w:right="200"/>
        <w:spacing w:after="0" w:line="233" w:lineRule="auto"/>
        <w:rPr>
          <w:sz w:val="20"/>
          <w:szCs w:val="20"/>
          <w:color w:val="auto"/>
        </w:rPr>
      </w:pPr>
      <w:r>
        <w:rPr>
          <w:rFonts w:ascii="Calibri" w:cs="Calibri" w:eastAsia="Calibri" w:hAnsi="Calibri"/>
          <w:sz w:val="22"/>
          <w:szCs w:val="22"/>
          <w:color w:val="auto"/>
        </w:rPr>
        <w:t>Most of the automobile dealers we enroll receive two types of payments from us. The frst payment is made at the tme of originaton. The remaining payments are remited over tme based on the performance of the loan. The amount we pay at the tme of originaton is called an advance; the porton paid over tme is called dealer holdback.</w:t>
      </w:r>
    </w:p>
    <w:p>
      <w:pPr>
        <w:spacing w:after="0" w:line="244" w:lineRule="exact"/>
        <w:rPr>
          <w:sz w:val="20"/>
          <w:szCs w:val="20"/>
          <w:color w:val="auto"/>
        </w:rPr>
      </w:pPr>
    </w:p>
    <w:p>
      <w:pPr>
        <w:spacing w:after="0" w:line="231" w:lineRule="auto"/>
        <w:rPr>
          <w:sz w:val="20"/>
          <w:szCs w:val="20"/>
          <w:color w:val="auto"/>
        </w:rPr>
      </w:pPr>
      <w:r>
        <w:rPr>
          <w:rFonts w:ascii="Calibri" w:cs="Calibri" w:eastAsia="Calibri" w:hAnsi="Calibri"/>
          <w:sz w:val="22"/>
          <w:szCs w:val="22"/>
          <w:color w:val="auto"/>
        </w:rPr>
        <w:t>The fnance charge revenue we recognize over the life of a loan equals the cash we collect from the loan (i.e., repayments by the consumer), less the amounts we pay to the dealer (advance + dealer holdback). In other words, the fnance charge revenue we recognize over the life of the loan equals the cash infows from the loan less the cash outlows to acquire the loan. This amount, plus a modest amount of revenue from other sources, less our operatng expenses, interest, and taxes, is the sum that will ultmately be paid to shareholders or reinvested in new assets.</w:t>
      </w:r>
    </w:p>
    <w:p>
      <w:pPr>
        <w:spacing w:after="0" w:line="247" w:lineRule="exact"/>
        <w:rPr>
          <w:sz w:val="20"/>
          <w:szCs w:val="20"/>
          <w:color w:val="auto"/>
        </w:rPr>
      </w:pPr>
    </w:p>
    <w:p>
      <w:pPr>
        <w:ind w:right="340"/>
        <w:spacing w:after="0" w:line="231" w:lineRule="auto"/>
        <w:rPr>
          <w:sz w:val="20"/>
          <w:szCs w:val="20"/>
          <w:color w:val="auto"/>
        </w:rPr>
      </w:pPr>
      <w:r>
        <w:rPr>
          <w:rFonts w:ascii="Calibri" w:cs="Calibri" w:eastAsia="Calibri" w:hAnsi="Calibri"/>
          <w:sz w:val="22"/>
          <w:szCs w:val="22"/>
          <w:color w:val="auto"/>
        </w:rPr>
        <w:t>For our adjusted fnancial results, we recognize fnance charge revenue on a level-yield basis. That is, the amount of fnance charge revenue recognized in a given period, divided by the loan asset, is a constant percentage. Since the future cash fows from a loan are not known with certainty, we use statstcal models to forecast the amount of cash fows from each loan. Our fnance charge revenue is recorded based on these estmates. As the estmates change, we adjust the yield. This method produces fnancial results that we believe are a close approximaton of the actual economics of our business.</w:t>
      </w:r>
    </w:p>
    <w:p>
      <w:pPr>
        <w:spacing w:after="0" w:line="247" w:lineRule="exact"/>
        <w:rPr>
          <w:sz w:val="20"/>
          <w:szCs w:val="20"/>
          <w:color w:val="auto"/>
        </w:rPr>
      </w:pPr>
    </w:p>
    <w:p>
      <w:pPr>
        <w:ind w:right="80"/>
        <w:spacing w:after="0" w:line="242" w:lineRule="auto"/>
        <w:rPr>
          <w:sz w:val="20"/>
          <w:szCs w:val="20"/>
          <w:color w:val="auto"/>
        </w:rPr>
      </w:pPr>
      <w:r>
        <w:rPr>
          <w:rFonts w:ascii="Calibri" w:cs="Calibri" w:eastAsia="Calibri" w:hAnsi="Calibri"/>
          <w:sz w:val="21"/>
          <w:szCs w:val="21"/>
          <w:color w:val="auto"/>
        </w:rPr>
        <w:t xml:space="preserve">While our adjusted methodology is simple and closely represents the actual economics of our business, we do not believe that our GAAP fnancial results provide sufcient transparency into the economics of our business. To explain this, we will focus on the current GAAP methodology as our two prior GAAP methodologies have been discussed in previous years. As noted earlier, the current required GAAP methodology is called CECL. Like the adjusted methodology described above, CECL requires a level-yield approach for recognizing fnance charge revenue. </w:t>
      </w:r>
      <w:r>
        <w:rPr>
          <w:rFonts w:ascii="Calibri" w:cs="Calibri" w:eastAsia="Calibri" w:hAnsi="Calibri"/>
          <w:sz w:val="21"/>
          <w:szCs w:val="21"/>
          <w:color w:val="212529"/>
        </w:rPr>
        <w:t>However, the yield under CECL is not the yield that we expect to earn on</w:t>
      </w:r>
      <w:r>
        <w:rPr>
          <w:rFonts w:ascii="Calibri" w:cs="Calibri" w:eastAsia="Calibri" w:hAnsi="Calibri"/>
          <w:sz w:val="21"/>
          <w:szCs w:val="21"/>
          <w:color w:val="auto"/>
        </w:rPr>
        <w:t xml:space="preserve"> </w:t>
      </w:r>
      <w:r>
        <w:rPr>
          <w:rFonts w:ascii="Calibri" w:cs="Calibri" w:eastAsia="Calibri" w:hAnsi="Calibri"/>
          <w:sz w:val="21"/>
          <w:szCs w:val="21"/>
          <w:color w:val="212529"/>
        </w:rPr>
        <w:t>our portolio of loans. Instead, the yield is what we would earn if every payment were received according to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45" w:right="339" w:bottom="1440" w:gutter="0" w:footer="0" w:header="0"/>
        </w:sectPr>
      </w:pPr>
    </w:p>
    <w:bookmarkStart w:id="23" w:name="page24"/>
    <w:bookmarkEnd w:id="23"/>
    <w:p>
      <w:pPr>
        <w:ind w:right="40"/>
        <w:spacing w:after="0" w:line="232" w:lineRule="auto"/>
        <w:rPr>
          <w:sz w:val="20"/>
          <w:szCs w:val="20"/>
          <w:color w:val="auto"/>
        </w:rPr>
      </w:pPr>
      <w:r>
        <w:rPr>
          <w:rFonts w:ascii="Calibri" w:cs="Calibri" w:eastAsia="Calibri" w:hAnsi="Calibri"/>
          <w:sz w:val="22"/>
          <w:szCs w:val="22"/>
          <w:color w:val="212529"/>
        </w:rPr>
        <w:t>contractual terms of the loans, a fgure much higher than what we actually expect to earn across the populaton of loans. Based on this alone, you might expect CECL to overstate our proftability. But CECL, like any accountng standard, doesn’t change the total amount of income recorded, it only changes the tming. Eventually, the true cash profts and the accountng profts need to match.</w:t>
      </w:r>
    </w:p>
    <w:p>
      <w:pPr>
        <w:spacing w:after="0" w:line="244" w:lineRule="exact"/>
        <w:rPr>
          <w:sz w:val="20"/>
          <w:szCs w:val="20"/>
          <w:color w:val="auto"/>
        </w:rPr>
      </w:pPr>
    </w:p>
    <w:p>
      <w:pPr>
        <w:spacing w:after="0" w:line="231" w:lineRule="auto"/>
        <w:rPr>
          <w:sz w:val="20"/>
          <w:szCs w:val="20"/>
          <w:color w:val="auto"/>
        </w:rPr>
      </w:pPr>
      <w:r>
        <w:rPr>
          <w:rFonts w:ascii="Calibri" w:cs="Calibri" w:eastAsia="Calibri" w:hAnsi="Calibri"/>
          <w:sz w:val="22"/>
          <w:szCs w:val="22"/>
          <w:color w:val="212529"/>
        </w:rPr>
        <w:t>To arrive at a result that eventually matches the cash proft, CECL requires us to ofset the additonal revenue that it causes to be recorded over the life of the loans with an additonal expense in an equivalent amount. The expense is recorded as a provision for credit losses at the tme the loans are originated. Since no revenue has yet been recorded, this means that, under CECL, our fnancial statements refect an inital loss on each loan we originate, a result that does not match the economics of the transacton.</w:t>
      </w:r>
    </w:p>
    <w:p>
      <w:pPr>
        <w:spacing w:after="0" w:line="247" w:lineRule="exact"/>
        <w:rPr>
          <w:sz w:val="20"/>
          <w:szCs w:val="20"/>
          <w:color w:val="auto"/>
        </w:rPr>
      </w:pPr>
    </w:p>
    <w:p>
      <w:pPr>
        <w:ind w:right="20"/>
        <w:spacing w:after="0" w:line="242" w:lineRule="auto"/>
        <w:rPr>
          <w:sz w:val="20"/>
          <w:szCs w:val="20"/>
          <w:color w:val="auto"/>
        </w:rPr>
      </w:pPr>
      <w:r>
        <w:rPr>
          <w:rFonts w:ascii="Calibri" w:cs="Calibri" w:eastAsia="Calibri" w:hAnsi="Calibri"/>
          <w:sz w:val="21"/>
          <w:szCs w:val="21"/>
          <w:color w:val="212529"/>
        </w:rPr>
        <w:t>CECL also difers from our adjusted methodology in the way it treats changes in expected cash fows. As mentoned above, for the adjusted results, we treat those changes as yield adjustments. In contrast, CECL treats changes in expected cash fows as a current-period expense (for unfavorable changes) or reversal of expense (for favorable changes). The combinaton of the three CECL-required steps—(1) recording a large expense at loan incepton, (2) recording fnance charge revenue at a yield higher than the yield we expect to earn, and (3) recording forecast changes through the income statement in the current period—can make it difcult to understand the performance of our business using our GAAP-based fnancial statements. The foatng yield adjustment in the tables below addresses all three of these issues by eliminatng the provision for credit losses recorded in our GAAP statements and modifying GAAP-based fnance charges so the yield is equal to the one we expect to earn on the loan.</w:t>
      </w:r>
    </w:p>
    <w:p>
      <w:pPr>
        <w:spacing w:after="0" w:line="241" w:lineRule="exact"/>
        <w:rPr>
          <w:sz w:val="20"/>
          <w:szCs w:val="20"/>
          <w:color w:val="auto"/>
        </w:rPr>
      </w:pPr>
    </w:p>
    <w:p>
      <w:pPr>
        <w:ind w:right="20"/>
        <w:spacing w:after="0" w:line="231" w:lineRule="auto"/>
        <w:rPr>
          <w:sz w:val="20"/>
          <w:szCs w:val="20"/>
          <w:color w:val="auto"/>
        </w:rPr>
      </w:pPr>
      <w:r>
        <w:rPr>
          <w:rFonts w:ascii="Calibri" w:cs="Calibri" w:eastAsia="Calibri" w:hAnsi="Calibri"/>
          <w:sz w:val="22"/>
          <w:szCs w:val="22"/>
          <w:color w:val="212529"/>
        </w:rPr>
        <w:t>The tables below show net income and net income per diluted share for the last 20 years on both a GAAP and an adjusted basis. Besides the foatng yield adjustment, the tables include several other categories of adjustments that are generally less material. The notable excepton is the income tax adjustment in 2017, which reverses the one-tme beneft arising from the 2017 Tax Cuts and Jobs Act. While the beneft recorded in 2017 represented a real cash savings due to the reducton in income tax rates, we reversed it for adjusted net income as we prefer to measure the performance of the business using consistent tax rates. To that end, we calculated adjusted net income using a 37% tax rate for 2004–2017 and a 23% tax rate for 2018–2023. The other, less-material adjustments are explained in our quarterly earnings press releases.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4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2600" w:type="dxa"/>
            <w:vAlign w:val="bottom"/>
          </w:tcPr>
          <w:p>
            <w:pPr>
              <w:ind w:left="60"/>
              <w:spacing w:after="0"/>
              <w:rPr>
                <w:sz w:val="20"/>
                <w:szCs w:val="20"/>
                <w:color w:val="auto"/>
              </w:rPr>
            </w:pPr>
            <w:r>
              <w:rPr>
                <w:rFonts w:ascii="Calibri" w:cs="Calibri" w:eastAsia="Calibri" w:hAnsi="Calibri"/>
                <w:sz w:val="13"/>
                <w:szCs w:val="13"/>
                <w:color w:val="auto"/>
              </w:rPr>
              <w:t>( $ in millions)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Floatng yield</w:t>
            </w: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Income tax</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GAAP net income</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adjustment</w:t>
            </w:r>
          </w:p>
        </w:tc>
        <w:tc>
          <w:tcPr>
            <w:tcW w:w="2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adjustment</w:t>
            </w: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Other adjustments</w:t>
            </w:r>
          </w:p>
        </w:tc>
        <w:tc>
          <w:tcPr>
            <w:tcW w:w="144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rPr>
              <w:t>Adjusted net income</w:t>
            </w:r>
          </w:p>
        </w:tc>
        <w:tc>
          <w:tcPr>
            <w:tcW w:w="1440" w:type="dxa"/>
            <w:vAlign w:val="bottom"/>
          </w:tcPr>
          <w:p>
            <w:pPr>
              <w:jc w:val="right"/>
              <w:ind w:right="31"/>
              <w:spacing w:after="0"/>
              <w:rPr>
                <w:sz w:val="20"/>
                <w:szCs w:val="20"/>
                <w:color w:val="auto"/>
              </w:rPr>
            </w:pPr>
            <w:r>
              <w:rPr>
                <w:rFonts w:ascii="Calibri" w:cs="Calibri" w:eastAsia="Calibri" w:hAnsi="Calibri"/>
                <w:sz w:val="14"/>
                <w:szCs w:val="14"/>
                <w:b w:val="1"/>
                <w:bCs w:val="1"/>
                <w:color w:val="auto"/>
              </w:rPr>
              <w:t>Year-to-year change</w:t>
            </w:r>
          </w:p>
        </w:tc>
      </w:tr>
      <w:tr>
        <w:trPr>
          <w:trHeight w:val="74"/>
        </w:trPr>
        <w:tc>
          <w:tcPr>
            <w:tcW w:w="26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23"/>
        </w:trPr>
        <w:tc>
          <w:tcPr>
            <w:tcW w:w="260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57.3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52.2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72.6</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63.2</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21.1 %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61.7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54.9</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3.6</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4.4</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61.7</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67.2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82.8</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34.2 %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146.3</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(19.6)</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125.0</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51.0 %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170.1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160.5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28.4 %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188.0</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7.1</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0.3</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194.1</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20.9 %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219.7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30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i w:val="1"/>
                <w:iCs w:val="1"/>
                <w:color w:val="auto"/>
              </w:rPr>
              <w:t>—</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3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216.2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253.1</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(2.3)</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3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i w:val="1"/>
                <w:iCs w:val="1"/>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248.3</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14.8 %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266.2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271.7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299.7</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12.9</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309.8</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14.0 %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332.8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360.6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470.2</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34.1</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(102.4)</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399.8</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10.9 %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574.0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554.5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38.7 %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656.1</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2.9</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(0.8)</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658.4</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18.7 %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421.0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259.2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686.3</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4.2 %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958.3</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(142.0)</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12.6</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826.8</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20.5 %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535.8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720.1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-12.9 %</w:t>
            </w:r>
          </w:p>
        </w:tc>
      </w:tr>
      <w:tr>
        <w:trPr>
          <w:trHeight w:val="215"/>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286.1</w:t>
            </w:r>
          </w:p>
        </w:tc>
        <w:tc>
          <w:tcPr>
            <w:tcW w:w="1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256.8</w:t>
            </w:r>
          </w:p>
        </w:tc>
        <w:tc>
          <w:tcPr>
            <w:tcW w:w="1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(3.1)</w:t>
            </w:r>
          </w:p>
        </w:tc>
        <w:tc>
          <w:tcPr>
            <w:tcW w:w="1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(4.2)</w:t>
            </w:r>
          </w:p>
        </w:tc>
        <w:tc>
          <w:tcPr>
            <w:tcW w:w="14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535.6</w:t>
            </w:r>
          </w:p>
        </w:tc>
        <w:tc>
          <w:tcPr>
            <w:tcW w:w="12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-25.6 %</w:t>
            </w:r>
          </w:p>
        </w:tc>
      </w:tr>
      <w:tr>
        <w:trPr>
          <w:trHeight w:val="261"/>
        </w:trPr>
        <w:tc>
          <w:tcPr>
            <w:tcW w:w="4040" w:type="dxa"/>
            <w:vAlign w:val="bottom"/>
            <w:gridSpan w:val="4"/>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Calibri" w:cs="Calibri" w:eastAsia="Calibri" w:hAnsi="Calibri"/>
                <w:sz w:val="18"/>
                <w:szCs w:val="18"/>
                <w:i w:val="1"/>
                <w:iCs w:val="1"/>
                <w:color w:val="auto"/>
              </w:rPr>
              <w:t>13.0 %</w:t>
            </w:r>
          </w:p>
        </w:tc>
      </w:tr>
      <w:tr>
        <w:trPr>
          <w:trHeight w:val="36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Floatng yield</w:t>
            </w:r>
          </w:p>
        </w:tc>
        <w:tc>
          <w:tcPr>
            <w:tcW w:w="2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Income tax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36"/>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20"/>
              <w:spacing w:after="0" w:line="136" w:lineRule="exact"/>
              <w:rPr>
                <w:sz w:val="20"/>
                <w:szCs w:val="20"/>
                <w:color w:val="auto"/>
              </w:rPr>
            </w:pPr>
            <w:r>
              <w:rPr>
                <w:rFonts w:ascii="Calibri" w:cs="Calibri" w:eastAsia="Calibri" w:hAnsi="Calibri"/>
                <w:sz w:val="14"/>
                <w:szCs w:val="14"/>
                <w:b w:val="1"/>
                <w:bCs w:val="1"/>
                <w:color w:val="auto"/>
              </w:rPr>
              <w:t>GAAP net income</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6" w:lineRule="exact"/>
              <w:rPr>
                <w:sz w:val="20"/>
                <w:szCs w:val="20"/>
                <w:color w:val="auto"/>
              </w:rPr>
            </w:pPr>
            <w:r>
              <w:rPr>
                <w:rFonts w:ascii="Calibri" w:cs="Calibri" w:eastAsia="Calibri" w:hAnsi="Calibri"/>
                <w:sz w:val="14"/>
                <w:szCs w:val="14"/>
                <w:b w:val="1"/>
                <w:bCs w:val="1"/>
                <w:color w:val="auto"/>
              </w:rPr>
              <w:t>adjustment per</w:t>
            </w:r>
          </w:p>
        </w:tc>
        <w:tc>
          <w:tcPr>
            <w:tcW w:w="1420" w:type="dxa"/>
            <w:vAlign w:val="bottom"/>
            <w:gridSpan w:val="3"/>
          </w:tcPr>
          <w:p>
            <w:pPr>
              <w:jc w:val="center"/>
              <w:ind w:right="140"/>
              <w:spacing w:after="0" w:line="136" w:lineRule="exact"/>
              <w:rPr>
                <w:sz w:val="20"/>
                <w:szCs w:val="20"/>
                <w:color w:val="auto"/>
              </w:rPr>
            </w:pPr>
            <w:r>
              <w:rPr>
                <w:rFonts w:ascii="Calibri" w:cs="Calibri" w:eastAsia="Calibri" w:hAnsi="Calibri"/>
                <w:sz w:val="14"/>
                <w:szCs w:val="14"/>
                <w:b w:val="1"/>
                <w:bCs w:val="1"/>
                <w:color w:val="auto"/>
              </w:rPr>
              <w:t>adjustment per</w:t>
            </w:r>
          </w:p>
        </w:tc>
        <w:tc>
          <w:tcPr>
            <w:tcW w:w="100" w:type="dxa"/>
            <w:vAlign w:val="bottom"/>
          </w:tcPr>
          <w:p>
            <w:pPr>
              <w:spacing w:after="0"/>
              <w:rPr>
                <w:sz w:val="11"/>
                <w:szCs w:val="11"/>
                <w:color w:val="auto"/>
              </w:rPr>
            </w:pPr>
          </w:p>
        </w:tc>
        <w:tc>
          <w:tcPr>
            <w:tcW w:w="1360" w:type="dxa"/>
            <w:vAlign w:val="bottom"/>
            <w:gridSpan w:val="2"/>
          </w:tcPr>
          <w:p>
            <w:pPr>
              <w:jc w:val="center"/>
              <w:ind w:right="240"/>
              <w:spacing w:after="0" w:line="136" w:lineRule="exact"/>
              <w:rPr>
                <w:sz w:val="20"/>
                <w:szCs w:val="20"/>
                <w:color w:val="auto"/>
              </w:rPr>
            </w:pPr>
            <w:r>
              <w:rPr>
                <w:rFonts w:ascii="Calibri" w:cs="Calibri" w:eastAsia="Calibri" w:hAnsi="Calibri"/>
                <w:sz w:val="14"/>
                <w:szCs w:val="14"/>
                <w:b w:val="1"/>
                <w:bCs w:val="1"/>
                <w:color w:val="auto"/>
              </w:rPr>
              <w:t>Other adjustments</w:t>
            </w:r>
          </w:p>
        </w:tc>
        <w:tc>
          <w:tcPr>
            <w:tcW w:w="1440" w:type="dxa"/>
            <w:vAlign w:val="bottom"/>
            <w:gridSpan w:val="3"/>
          </w:tcPr>
          <w:p>
            <w:pPr>
              <w:jc w:val="center"/>
              <w:ind w:right="140"/>
              <w:spacing w:after="0" w:line="136" w:lineRule="exact"/>
              <w:rPr>
                <w:sz w:val="20"/>
                <w:szCs w:val="20"/>
                <w:color w:val="auto"/>
              </w:rPr>
            </w:pPr>
            <w:r>
              <w:rPr>
                <w:rFonts w:ascii="Calibri" w:cs="Calibri" w:eastAsia="Calibri" w:hAnsi="Calibri"/>
                <w:sz w:val="14"/>
                <w:szCs w:val="14"/>
                <w:b w:val="1"/>
                <w:bCs w:val="1"/>
                <w:color w:val="auto"/>
              </w:rPr>
              <w:t>Adjusted net income</w:t>
            </w:r>
          </w:p>
        </w:tc>
        <w:tc>
          <w:tcPr>
            <w:tcW w:w="1440" w:type="dxa"/>
            <w:vAlign w:val="bottom"/>
          </w:tcPr>
          <w:p>
            <w:pPr>
              <w:spacing w:after="0"/>
              <w:rPr>
                <w:sz w:val="11"/>
                <w:szCs w:val="11"/>
                <w:color w:val="auto"/>
              </w:rPr>
            </w:pPr>
          </w:p>
        </w:tc>
      </w:tr>
      <w:tr>
        <w:trPr>
          <w:trHeight w:val="183"/>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per diluted share</w:t>
            </w: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diluted share</w:t>
            </w:r>
          </w:p>
        </w:tc>
        <w:tc>
          <w:tcPr>
            <w:tcW w:w="24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diluted share</w:t>
            </w: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per diluted share</w:t>
            </w: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per diluted share</w:t>
            </w:r>
          </w:p>
        </w:tc>
        <w:tc>
          <w:tcPr>
            <w:tcW w:w="1440" w:type="dxa"/>
            <w:vAlign w:val="bottom"/>
          </w:tcPr>
          <w:p>
            <w:pPr>
              <w:jc w:val="right"/>
              <w:ind w:right="31"/>
              <w:spacing w:after="0"/>
              <w:rPr>
                <w:sz w:val="20"/>
                <w:szCs w:val="20"/>
                <w:color w:val="auto"/>
              </w:rPr>
            </w:pPr>
            <w:r>
              <w:rPr>
                <w:rFonts w:ascii="Calibri" w:cs="Calibri" w:eastAsia="Calibri" w:hAnsi="Calibri"/>
                <w:sz w:val="14"/>
                <w:szCs w:val="14"/>
                <w:b w:val="1"/>
                <w:bCs w:val="1"/>
                <w:color w:val="auto"/>
              </w:rPr>
              <w:t>Year-to-year change</w:t>
            </w:r>
          </w:p>
        </w:tc>
      </w:tr>
      <w:tr>
        <w:trPr>
          <w:trHeight w:val="74"/>
        </w:trPr>
        <w:tc>
          <w:tcPr>
            <w:tcW w:w="2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23"/>
        </w:trPr>
        <w:tc>
          <w:tcPr>
            <w:tcW w:w="2600" w:type="dxa"/>
            <w:vAlign w:val="bottom"/>
            <w:tcBorders>
              <w:top w:val="single" w:sz="8" w:color="CCEEFF"/>
            </w:tcBorders>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1.40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1.85</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(0.06)</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i w:val="1"/>
                <w:iCs w:val="1"/>
                <w:color w:val="auto"/>
              </w:rPr>
              <w:t>—</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(0.18)</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1.61</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26.8 %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8.7 %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1.76</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0.11</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(0.04)</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0.15</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1.98</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13.1 %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2.66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34.3 %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4.62</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(0.62)</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(0.06)</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3.95</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48.5 %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35.4 %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7.07</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0.26</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(0.04)</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7.30</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36.4 %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8.58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30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i w:val="1"/>
                <w:iCs w:val="1"/>
                <w:color w:val="auto"/>
              </w:rPr>
              <w:t>—</w:t>
            </w: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3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8.45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15.8 %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10.54</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(0.11)</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(0.09)</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3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i w:val="1"/>
                <w:iCs w:val="1"/>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10.34</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22.4 %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0.56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12.17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17.7 %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14.28</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0.62</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(0.03)</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(0.10)</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14.77</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21.4 %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16.31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17.67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19.6 %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24.04</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1.74</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(5.23)</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(0.11)</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20.44</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15.7 %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29.39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28.39</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38.9 %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34.57</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0.01</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0.16</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(0.04)</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34.70</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22.2 %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38.26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10.3 %</w:t>
            </w:r>
          </w:p>
        </w:tc>
      </w:tr>
      <w:tr>
        <w:trPr>
          <w:trHeight w:val="222"/>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59.52</w:t>
            </w:r>
          </w:p>
        </w:tc>
        <w:tc>
          <w:tcPr>
            <w:tcW w:w="14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(8.82)</w:t>
            </w:r>
          </w:p>
        </w:tc>
        <w:tc>
          <w:tcPr>
            <w:tcW w:w="12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(0.13)</w:t>
            </w:r>
          </w:p>
        </w:tc>
        <w:tc>
          <w:tcPr>
            <w:tcW w:w="14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51.35</w:t>
            </w:r>
          </w:p>
        </w:tc>
        <w:tc>
          <w:tcPr>
            <w:tcW w:w="1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34.2 %</w:t>
            </w:r>
          </w:p>
        </w:tc>
      </w:tr>
      <w:tr>
        <w:trPr>
          <w:trHeight w:val="237"/>
        </w:trPr>
        <w:tc>
          <w:tcPr>
            <w:tcW w:w="260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39.32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i w:val="1"/>
                <w:iCs w:val="1"/>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52.85</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2.9 %</w:t>
            </w:r>
          </w:p>
        </w:tc>
      </w:tr>
      <w:tr>
        <w:trPr>
          <w:trHeight w:val="215"/>
        </w:trPr>
        <w:tc>
          <w:tcPr>
            <w:tcW w:w="260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21.99</w:t>
            </w:r>
          </w:p>
        </w:tc>
        <w:tc>
          <w:tcPr>
            <w:tcW w:w="1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19.73</w:t>
            </w:r>
          </w:p>
        </w:tc>
        <w:tc>
          <w:tcPr>
            <w:tcW w:w="1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i w:val="1"/>
                <w:iCs w:val="1"/>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(0.23)</w:t>
            </w:r>
          </w:p>
        </w:tc>
        <w:tc>
          <w:tcPr>
            <w:tcW w:w="1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(0.32)</w:t>
            </w:r>
          </w:p>
        </w:tc>
        <w:tc>
          <w:tcPr>
            <w:tcW w:w="14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41.17</w:t>
            </w:r>
          </w:p>
        </w:tc>
        <w:tc>
          <w:tcPr>
            <w:tcW w:w="12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-22.1 %</w:t>
            </w:r>
          </w:p>
        </w:tc>
      </w:tr>
      <w:tr>
        <w:trPr>
          <w:trHeight w:val="221"/>
        </w:trPr>
        <w:tc>
          <w:tcPr>
            <w:tcW w:w="4040" w:type="dxa"/>
            <w:vAlign w:val="bottom"/>
            <w:gridSpan w:val="4"/>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18"/>
                <w:szCs w:val="18"/>
                <w:color w:val="auto"/>
              </w:rPr>
              <w:t>–</w:t>
            </w:r>
            <w:r>
              <w:rPr>
                <w:rFonts w:ascii="Calibri" w:cs="Calibri" w:eastAsia="Calibri" w:hAnsi="Calibri"/>
                <w:sz w:val="18"/>
                <w:szCs w:val="18"/>
                <w:i w:val="1"/>
                <w:iCs w:val="1"/>
                <w:color w:val="auto"/>
              </w:rPr>
              <w:t>2023</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Calibri" w:cs="Calibri" w:eastAsia="Calibri" w:hAnsi="Calibri"/>
                <w:sz w:val="18"/>
                <w:szCs w:val="18"/>
                <w:i w:val="1"/>
                <w:iCs w:val="1"/>
                <w:color w:val="auto"/>
              </w:rPr>
              <w:t>20.1 %</w:t>
            </w:r>
          </w:p>
        </w:tc>
      </w:tr>
      <w:tr>
        <w:trPr>
          <w:trHeight w:val="928"/>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386" w:right="339" w:bottom="1440" w:gutter="0" w:footer="0" w:header="0"/>
        </w:sectPr>
      </w:pPr>
    </w:p>
    <w:bookmarkStart w:id="25" w:name="page26"/>
    <w:bookmarkEnd w:id="25"/>
    <w:p>
      <w:pPr>
        <w:spacing w:after="0" w:line="232" w:lineRule="auto"/>
        <w:rPr>
          <w:sz w:val="20"/>
          <w:szCs w:val="20"/>
          <w:color w:val="auto"/>
        </w:rPr>
      </w:pPr>
      <w:r>
        <w:rPr>
          <w:rFonts w:ascii="Calibri" w:cs="Calibri" w:eastAsia="Calibri" w:hAnsi="Calibri"/>
          <w:sz w:val="22"/>
          <w:szCs w:val="22"/>
          <w:color w:val="auto"/>
        </w:rPr>
        <w:t>As the second table shows, adjusted net income per diluted share decreased 22.1% in 2023. Since 2004, adjusted net income per diluted share has increased at a compounded annual rate of 20.1%. Just like our GAAP results, the decline in adjusted net income per diluted share from 2021 to 2023 was primarily driven by shifs in loan performance. Prior to moderatng in 2022, loan performance signifcantly exceeded expectatons in 2021 following the distributon of federal stmulus payments and enhanced unemployment benefts. The decrease in net income per diluted share last year was atributable to a decrease in adjusted net income, partally ofset by a decrease in our weighted average diluted shares outstanding. Our adjusted net income decreased 25.6% primarily due to a decline in loan performance and slower forecasted net cash fow tming during 2023 primarily as a result of a decrease in consumer loan prepayments to below-average levels, while our weighted average diluted shares outstanding decreased 4.5% primarily due to share repurchases.</w:t>
      </w:r>
    </w:p>
    <w:p>
      <w:pPr>
        <w:spacing w:after="0" w:line="23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5B9BD5"/>
        </w:rPr>
        <w:t>Economic Proft</w:t>
      </w:r>
    </w:p>
    <w:p>
      <w:pPr>
        <w:spacing w:after="0" w:line="242" w:lineRule="exact"/>
        <w:rPr>
          <w:sz w:val="20"/>
          <w:szCs w:val="20"/>
          <w:color w:val="auto"/>
        </w:rPr>
      </w:pPr>
    </w:p>
    <w:p>
      <w:pPr>
        <w:ind w:right="100"/>
        <w:spacing w:after="0" w:line="231" w:lineRule="auto"/>
        <w:rPr>
          <w:sz w:val="20"/>
          <w:szCs w:val="20"/>
          <w:color w:val="auto"/>
        </w:rPr>
      </w:pPr>
      <w:r>
        <w:rPr>
          <w:rFonts w:ascii="Calibri" w:cs="Calibri" w:eastAsia="Calibri" w:hAnsi="Calibri"/>
          <w:sz w:val="22"/>
          <w:szCs w:val="22"/>
          <w:color w:val="auto"/>
        </w:rPr>
        <w:t>We use a non-GAAP fnancial measure called Economic Proft to evaluate our fnancial results and determine proft-sharing for team members. We also use Economic Proft as a framework to evaluate business decisions and strategies, with an objectve to maximize Economic Proft over the long term. Economic Proft measures how efciently we utlize our total capital, both debt and equity, and is a functon of the return on capital in excess of the cost of capital and the amount of capital invested in the business. Economic Proft difers from net income in that it includes a cost for equity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245" w:right="359" w:bottom="1440" w:gutter="0" w:footer="0" w:header="0"/>
        </w:sectPr>
      </w:pPr>
    </w:p>
    <w:bookmarkStart w:id="26" w:name="page27"/>
    <w:bookmarkEnd w:id="26"/>
    <w:p>
      <w:pPr>
        <w:spacing w:after="0"/>
        <w:rPr>
          <w:sz w:val="20"/>
          <w:szCs w:val="20"/>
          <w:color w:val="auto"/>
        </w:rPr>
      </w:pPr>
      <w:r>
        <w:rPr>
          <w:rFonts w:ascii="Calibri" w:cs="Calibri" w:eastAsia="Calibri" w:hAnsi="Calibri"/>
          <w:sz w:val="22"/>
          <w:szCs w:val="22"/>
          <w:color w:val="auto"/>
        </w:rPr>
        <w:t>The following table summarizes Economic Proft for 2004–2023:</w:t>
      </w:r>
      <w:r>
        <w:rPr>
          <w:rFonts w:ascii="Calibri" w:cs="Calibri" w:eastAsia="Calibri" w:hAnsi="Calibri"/>
          <w:sz w:val="28"/>
          <w:szCs w:val="28"/>
          <w:color w:val="auto"/>
          <w:vertAlign w:val="superscript"/>
        </w:rPr>
        <w:t>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80" w:type="dxa"/>
            <w:vAlign w:val="bottom"/>
          </w:tcPr>
          <w:p>
            <w:pPr>
              <w:ind w:left="60"/>
              <w:spacing w:after="0"/>
              <w:rPr>
                <w:sz w:val="20"/>
                <w:szCs w:val="20"/>
                <w:color w:val="auto"/>
              </w:rPr>
            </w:pPr>
            <w:r>
              <w:rPr>
                <w:rFonts w:ascii="Calibri" w:cs="Calibri" w:eastAsia="Calibri" w:hAnsi="Calibri"/>
                <w:sz w:val="13"/>
                <w:szCs w:val="13"/>
                <w:color w:val="auto"/>
              </w:rPr>
              <w:t>($ in millions)</w:t>
            </w:r>
          </w:p>
        </w:tc>
        <w:tc>
          <w:tcPr>
            <w:tcW w:w="140" w:type="dxa"/>
            <w:vAlign w:val="bottom"/>
          </w:tcPr>
          <w:p>
            <w:pPr>
              <w:spacing w:after="0"/>
              <w:rPr>
                <w:sz w:val="21"/>
                <w:szCs w:val="21"/>
                <w:color w:val="auto"/>
              </w:rPr>
            </w:pPr>
          </w:p>
        </w:tc>
        <w:tc>
          <w:tcPr>
            <w:tcW w:w="160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Adjusted net income</w:t>
            </w:r>
          </w:p>
        </w:tc>
        <w:tc>
          <w:tcPr>
            <w:tcW w:w="10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Calibri" w:cs="Calibri" w:eastAsia="Calibri" w:hAnsi="Calibri"/>
                <w:sz w:val="14"/>
                <w:szCs w:val="14"/>
                <w:b w:val="1"/>
                <w:bCs w:val="1"/>
                <w:color w:val="auto"/>
              </w:rPr>
              <w:t>Imputed cost of equity</w:t>
            </w:r>
            <w:r>
              <w:rPr>
                <w:rFonts w:ascii="Calibri" w:cs="Calibri" w:eastAsia="Calibri" w:hAnsi="Calibri"/>
                <w:sz w:val="18"/>
                <w:szCs w:val="18"/>
                <w:b w:val="1"/>
                <w:bCs w:val="1"/>
                <w:color w:val="auto"/>
                <w:vertAlign w:val="superscript"/>
              </w:rPr>
              <w:t>2</w:t>
            </w:r>
          </w:p>
        </w:tc>
        <w:tc>
          <w:tcPr>
            <w:tcW w:w="22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Economic Proft</w:t>
            </w:r>
          </w:p>
        </w:tc>
        <w:tc>
          <w:tcPr>
            <w:tcW w:w="174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Year-to-year change</w:t>
            </w:r>
          </w:p>
        </w:tc>
      </w:tr>
      <w:tr>
        <w:trPr>
          <w:trHeight w:val="62"/>
        </w:trPr>
        <w:tc>
          <w:tcPr>
            <w:tcW w:w="42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r>
        <w:trPr>
          <w:trHeight w:val="223"/>
        </w:trPr>
        <w:tc>
          <w:tcPr>
            <w:tcW w:w="428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52.2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17.8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63.2</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(34.5)</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28.7</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61.2 %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32.1</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11.8 %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61.7</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(27.2)</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34.5</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7.5 %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47.0</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36.2 %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125.0</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(45.9)</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79.1</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68.3 %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112.7</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42.5 %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194.1</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(51.0)</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143.1</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27.0 %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159.6</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11.5 %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248.3</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(75.1)</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173.2</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8.5 %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271.7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(87.5)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184.2</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6.4 %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309.8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(93.2)</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216.6</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17.6 %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360.6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246.8</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13.9 %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399.8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(142.8)</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257.0</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4.1 %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554.5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340.4</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32.5 %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658.4</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(225.7)</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432.7</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27.1 %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686.3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471.3</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8.9 %</w:t>
            </w:r>
          </w:p>
        </w:tc>
      </w:tr>
      <w:tr>
        <w:trPr>
          <w:trHeight w:val="222"/>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826.8</w:t>
            </w:r>
          </w:p>
        </w:tc>
        <w:tc>
          <w:tcPr>
            <w:tcW w:w="120" w:type="dxa"/>
            <w:vAlign w:val="bottom"/>
          </w:tcPr>
          <w:p>
            <w:pPr>
              <w:spacing w:after="0"/>
              <w:rPr>
                <w:sz w:val="19"/>
                <w:szCs w:val="19"/>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(252.7)</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574.1</w:t>
            </w:r>
          </w:p>
        </w:tc>
        <w:tc>
          <w:tcPr>
            <w:tcW w:w="120" w:type="dxa"/>
            <w:vAlign w:val="bottom"/>
          </w:tcPr>
          <w:p>
            <w:pPr>
              <w:spacing w:after="0"/>
              <w:rPr>
                <w:sz w:val="19"/>
                <w:szCs w:val="19"/>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21.8 %</w:t>
            </w:r>
          </w:p>
        </w:tc>
      </w:tr>
      <w:tr>
        <w:trPr>
          <w:trHeight w:val="237"/>
        </w:trPr>
        <w:tc>
          <w:tcPr>
            <w:tcW w:w="42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720.1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(243.5)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i w:val="1"/>
                <w:iCs w:val="1"/>
                <w:color w:val="auto"/>
                <w:w w:val="87"/>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476.6</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-17.0 %</w:t>
            </w:r>
          </w:p>
        </w:tc>
      </w:tr>
      <w:tr>
        <w:trPr>
          <w:trHeight w:val="215"/>
        </w:trPr>
        <w:tc>
          <w:tcPr>
            <w:tcW w:w="42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535.6</w:t>
            </w:r>
          </w:p>
        </w:tc>
        <w:tc>
          <w:tcPr>
            <w:tcW w:w="1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(275.1)</w:t>
            </w:r>
          </w:p>
        </w:tc>
        <w:tc>
          <w:tcPr>
            <w:tcW w:w="12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i w:val="1"/>
                <w:iCs w:val="1"/>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260.5</w:t>
            </w:r>
          </w:p>
        </w:tc>
        <w:tc>
          <w:tcPr>
            <w:tcW w:w="120" w:type="dxa"/>
            <w:vAlign w:val="bottom"/>
          </w:tcPr>
          <w:p>
            <w:pPr>
              <w:spacing w:after="0"/>
              <w:rPr>
                <w:sz w:val="18"/>
                <w:szCs w:val="18"/>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-45.3 %</w:t>
            </w:r>
          </w:p>
        </w:tc>
      </w:tr>
      <w:tr>
        <w:trPr>
          <w:trHeight w:val="315"/>
        </w:trPr>
        <w:tc>
          <w:tcPr>
            <w:tcW w:w="4280" w:type="dxa"/>
            <w:vAlign w:val="bottom"/>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alibri" w:cs="Calibri" w:eastAsia="Calibri" w:hAnsi="Calibri"/>
                <w:sz w:val="18"/>
                <w:szCs w:val="18"/>
                <w:i w:val="1"/>
                <w:iCs w:val="1"/>
                <w:color w:val="auto"/>
              </w:rPr>
              <w:t>15.2 %</w:t>
            </w:r>
          </w:p>
        </w:tc>
      </w:tr>
    </w:tbl>
    <w:p>
      <w:pPr>
        <w:spacing w:after="0" w:line="195" w:lineRule="exact"/>
        <w:rPr>
          <w:sz w:val="20"/>
          <w:szCs w:val="20"/>
          <w:color w:val="auto"/>
        </w:rPr>
      </w:pPr>
    </w:p>
    <w:p>
      <w:pPr>
        <w:ind w:left="40"/>
        <w:spacing w:after="0"/>
        <w:rPr>
          <w:sz w:val="20"/>
          <w:szCs w:val="20"/>
          <w:color w:val="auto"/>
        </w:rPr>
      </w:pPr>
      <w:r>
        <w:rPr>
          <w:rFonts w:ascii="Calibri" w:cs="Calibri" w:eastAsia="Calibri" w:hAnsi="Calibri"/>
          <w:sz w:val="23"/>
          <w:szCs w:val="23"/>
          <w:color w:val="auto"/>
          <w:vertAlign w:val="superscript"/>
        </w:rPr>
        <w:t>1</w:t>
      </w:r>
      <w:r>
        <w:rPr>
          <w:rFonts w:ascii="Calibri" w:cs="Calibri" w:eastAsia="Calibri" w:hAnsi="Calibri"/>
          <w:sz w:val="14"/>
          <w:szCs w:val="14"/>
          <w:color w:val="auto"/>
        </w:rPr>
        <w:t>See Exhibit A for a reconciliaton of the adjusted fnancial measures to the most directly comparable GAAP fnancial measures.</w:t>
      </w:r>
    </w:p>
    <w:p>
      <w:pPr>
        <w:ind w:left="80" w:right="200" w:hanging="40"/>
        <w:spacing w:after="0"/>
        <w:rPr>
          <w:sz w:val="20"/>
          <w:szCs w:val="20"/>
          <w:color w:val="auto"/>
        </w:rPr>
      </w:pPr>
      <w:r>
        <w:rPr>
          <w:rFonts w:ascii="Calibri" w:cs="Calibri" w:eastAsia="Calibri" w:hAnsi="Calibri"/>
          <w:sz w:val="23"/>
          <w:szCs w:val="23"/>
          <w:color w:val="auto"/>
          <w:vertAlign w:val="superscript"/>
        </w:rPr>
        <w:t>2</w:t>
      </w:r>
      <w:r>
        <w:rPr>
          <w:rFonts w:ascii="Calibri" w:cs="Calibri" w:eastAsia="Calibri" w:hAnsi="Calibri"/>
          <w:sz w:val="14"/>
          <w:szCs w:val="14"/>
          <w:color w:val="auto"/>
        </w:rPr>
        <w:t>We determine the imputed cost of equity by using a formula that considers the risk of the business and the risk associated with our use of debt. The formula is as follows: average equity x {(the average 30-year Treasury rate + 5%) + [(1 – tax rate) x (the average 30-year Treasury rate + 5% – pre-tax average cost-of-debt rate) x average debt / (average equity + average debt x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8" w:right="339" w:bottom="1440" w:gutter="0" w:footer="0" w:header="0"/>
        </w:sectPr>
      </w:pPr>
    </w:p>
    <w:bookmarkStart w:id="27" w:name="page28"/>
    <w:bookmarkEnd w:id="27"/>
    <w:p>
      <w:pPr>
        <w:ind w:right="60"/>
        <w:spacing w:after="0" w:line="229" w:lineRule="auto"/>
        <w:rPr>
          <w:sz w:val="20"/>
          <w:szCs w:val="20"/>
          <w:color w:val="auto"/>
        </w:rPr>
      </w:pPr>
      <w:r>
        <w:rPr>
          <w:rFonts w:ascii="Calibri" w:cs="Calibri" w:eastAsia="Calibri" w:hAnsi="Calibri"/>
          <w:sz w:val="22"/>
          <w:szCs w:val="22"/>
          <w:color w:val="auto"/>
        </w:rPr>
        <w:t>Economic Proft is a functon of three variables: the adjusted average amount of capital invested, the adjusted return on capital, and the adjusted weighted average cost of capital. The following table summarizes our fnancial performance in these areas over the last 20 years:</w:t>
      </w:r>
      <w:r>
        <w:rPr>
          <w:rFonts w:ascii="Calibri" w:cs="Calibri" w:eastAsia="Calibri" w:hAnsi="Calibri"/>
          <w:sz w:val="28"/>
          <w:szCs w:val="28"/>
          <w:color w:val="auto"/>
          <w:vertAlign w:val="superscript"/>
        </w:rPr>
        <w:t>1</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200" w:type="dxa"/>
            <w:vAlign w:val="bottom"/>
          </w:tcPr>
          <w:p>
            <w:pPr>
              <w:spacing w:after="0"/>
              <w:rPr>
                <w:sz w:val="20"/>
                <w:szCs w:val="20"/>
                <w:color w:val="auto"/>
              </w:rPr>
            </w:pPr>
            <w:r>
              <w:rPr>
                <w:rFonts w:ascii="Calibri" w:cs="Calibri" w:eastAsia="Calibri" w:hAnsi="Calibri"/>
                <w:sz w:val="13"/>
                <w:szCs w:val="13"/>
                <w:color w:val="auto"/>
              </w:rPr>
              <w:t>($ in millions)</w:t>
            </w:r>
          </w:p>
        </w:tc>
        <w:tc>
          <w:tcPr>
            <w:tcW w:w="1760" w:type="dxa"/>
            <w:vAlign w:val="bottom"/>
            <w:gridSpan w:val="3"/>
            <w:vMerge w:val="restart"/>
          </w:tcPr>
          <w:p>
            <w:pPr>
              <w:jc w:val="center"/>
              <w:ind w:right="140"/>
              <w:spacing w:after="0"/>
              <w:rPr>
                <w:sz w:val="20"/>
                <w:szCs w:val="20"/>
                <w:color w:val="auto"/>
              </w:rPr>
            </w:pPr>
            <w:r>
              <w:rPr>
                <w:rFonts w:ascii="Calibri" w:cs="Calibri" w:eastAsia="Calibri" w:hAnsi="Calibri"/>
                <w:sz w:val="14"/>
                <w:szCs w:val="14"/>
                <w:b w:val="1"/>
                <w:bCs w:val="1"/>
                <w:color w:val="auto"/>
              </w:rPr>
              <w:t>Adjusted average capital</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Calibri" w:cs="Calibri" w:eastAsia="Calibri" w:hAnsi="Calibri"/>
                <w:sz w:val="14"/>
                <w:szCs w:val="14"/>
                <w:b w:val="1"/>
                <w:bCs w:val="1"/>
                <w:color w:val="auto"/>
              </w:rPr>
              <w:t>Adjusted weighted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20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invested</w:t>
            </w:r>
          </w:p>
        </w:tc>
        <w:tc>
          <w:tcPr>
            <w:tcW w:w="178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Adjusted return on capital</w:t>
            </w:r>
          </w:p>
        </w:tc>
        <w:tc>
          <w:tcPr>
            <w:tcW w:w="17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average cost of capital</w:t>
            </w:r>
          </w:p>
        </w:tc>
        <w:tc>
          <w:tcPr>
            <w:tcW w:w="1680" w:type="dxa"/>
            <w:vAlign w:val="bottom"/>
          </w:tcPr>
          <w:p>
            <w:pPr>
              <w:jc w:val="right"/>
              <w:ind w:right="551"/>
              <w:spacing w:after="0"/>
              <w:rPr>
                <w:sz w:val="20"/>
                <w:szCs w:val="20"/>
                <w:color w:val="auto"/>
              </w:rPr>
            </w:pPr>
            <w:r>
              <w:rPr>
                <w:rFonts w:ascii="Calibri" w:cs="Calibri" w:eastAsia="Calibri" w:hAnsi="Calibri"/>
                <w:sz w:val="14"/>
                <w:szCs w:val="14"/>
                <w:b w:val="1"/>
                <w:bCs w:val="1"/>
                <w:color w:val="auto"/>
              </w:rPr>
              <w:t>Spread</w:t>
            </w:r>
          </w:p>
        </w:tc>
        <w:tc>
          <w:tcPr>
            <w:tcW w:w="0" w:type="dxa"/>
            <w:vAlign w:val="bottom"/>
          </w:tcPr>
          <w:p>
            <w:pPr>
              <w:spacing w:after="0"/>
              <w:rPr>
                <w:sz w:val="1"/>
                <w:szCs w:val="1"/>
                <w:color w:val="auto"/>
              </w:rPr>
            </w:pPr>
          </w:p>
        </w:tc>
      </w:tr>
      <w:tr>
        <w:trPr>
          <w:trHeight w:val="74"/>
        </w:trPr>
        <w:tc>
          <w:tcPr>
            <w:tcW w:w="4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40"/>
              <w:spacing w:after="0" w:line="199" w:lineRule="exact"/>
              <w:rPr>
                <w:sz w:val="20"/>
                <w:szCs w:val="20"/>
                <w:color w:val="auto"/>
              </w:rPr>
            </w:pPr>
            <w:r>
              <w:rPr>
                <w:rFonts w:ascii="Calibri" w:cs="Calibri" w:eastAsia="Calibri" w:hAnsi="Calibri"/>
                <w:sz w:val="18"/>
                <w:szCs w:val="18"/>
                <w:i w:val="1"/>
                <w:iCs w:val="1"/>
                <w:color w:val="auto"/>
              </w:rPr>
              <w:t>2004</w:t>
            </w:r>
          </w:p>
        </w:tc>
        <w:tc>
          <w:tcPr>
            <w:tcW w:w="340" w:type="dxa"/>
            <w:vAlign w:val="bottom"/>
            <w:shd w:val="clear" w:color="auto" w:fill="CCEEFF"/>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line="215" w:lineRule="exact"/>
              <w:rPr>
                <w:sz w:val="20"/>
                <w:szCs w:val="20"/>
                <w:color w:val="auto"/>
              </w:rPr>
            </w:pPr>
            <w:r>
              <w:rPr>
                <w:rFonts w:ascii="Calibri" w:cs="Calibri" w:eastAsia="Calibri" w:hAnsi="Calibri"/>
                <w:sz w:val="18"/>
                <w:szCs w:val="18"/>
                <w:i w:val="1"/>
                <w:iCs w:val="1"/>
                <w:color w:val="auto"/>
              </w:rPr>
              <w:t>483.7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12.3 %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8.6 %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3.7 %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2005</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523.4</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13.7 %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8.3 %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5.4 %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2006</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548.5</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13.9 %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8.1 %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5.8 %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2007</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710.1</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11.9 %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4.9 %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2008</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975.0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11.3 %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6.4 %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4.9 %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2009</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998.7</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14.6 %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7.9 %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2010</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1,074.2</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17.7 %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7.2 %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10.5 %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2011</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1,371.1</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16.8 %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10.4 %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2012</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1,742.8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14.7 %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5.5 %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9.2 %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2013</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2,049.2</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14.1 %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5.7 %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8.4 %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2014</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2,338.1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13.2 %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7.9 %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2015</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2,831.9</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12.7 %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5.0 %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7.7 %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2016</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3,572.0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5.0 %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6.9 %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2017</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4,276.4</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11.2 %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5.2 %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6.0 %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2018</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5,420.9</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6.2 %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6.3 %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2019</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6,372.2</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12.7 %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6.0 %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2020</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7,076.0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11.8 %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5.2 %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6.6 %</w:t>
            </w:r>
          </w:p>
        </w:tc>
        <w:tc>
          <w:tcPr>
            <w:tcW w:w="0" w:type="dxa"/>
            <w:vAlign w:val="bottom"/>
          </w:tcPr>
          <w:p>
            <w:pPr>
              <w:spacing w:after="0"/>
              <w:rPr>
                <w:sz w:val="1"/>
                <w:szCs w:val="1"/>
                <w:color w:val="auto"/>
              </w:rPr>
            </w:pPr>
          </w:p>
        </w:tc>
      </w:tr>
      <w:tr>
        <w:trPr>
          <w:trHeight w:val="222"/>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2021</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7,078.4</w:t>
            </w:r>
          </w:p>
        </w:tc>
        <w:tc>
          <w:tcPr>
            <w:tcW w:w="10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13.5 %</w:t>
            </w:r>
          </w:p>
        </w:tc>
        <w:tc>
          <w:tcPr>
            <w:tcW w:w="120" w:type="dxa"/>
            <w:vAlign w:val="bottom"/>
          </w:tcPr>
          <w:p>
            <w:pPr>
              <w:spacing w:after="0"/>
              <w:rPr>
                <w:sz w:val="19"/>
                <w:szCs w:val="19"/>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5.4 %</w:t>
            </w:r>
          </w:p>
        </w:tc>
        <w:tc>
          <w:tcPr>
            <w:tcW w:w="10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8.1 %</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Calibri" w:cs="Calibri" w:eastAsia="Calibri" w:hAnsi="Calibri"/>
                <w:sz w:val="18"/>
                <w:szCs w:val="18"/>
                <w:i w:val="1"/>
                <w:iCs w:val="1"/>
                <w:color w:val="auto"/>
              </w:rPr>
              <w:t>2022</w:t>
            </w:r>
          </w:p>
        </w:tc>
        <w:tc>
          <w:tcPr>
            <w:tcW w:w="340" w:type="dxa"/>
            <w:vAlign w:val="bottom"/>
            <w:shd w:val="clear" w:color="auto" w:fill="CCEEFF"/>
          </w:tcPr>
          <w:p>
            <w:pPr>
              <w:jc w:val="right"/>
              <w:ind w:right="151"/>
              <w:spacing w:after="0"/>
              <w:rPr>
                <w:sz w:val="20"/>
                <w:szCs w:val="20"/>
                <w:color w:val="auto"/>
              </w:rPr>
            </w:pPr>
            <w:r>
              <w:rPr>
                <w:rFonts w:ascii="Calibri" w:cs="Calibri" w:eastAsia="Calibri" w:hAnsi="Calibri"/>
                <w:sz w:val="18"/>
                <w:szCs w:val="18"/>
                <w:i w:val="1"/>
                <w:iCs w:val="1"/>
                <w:color w:val="auto"/>
                <w:w w:val="87"/>
              </w:rPr>
              <w:t>$</w:t>
            </w:r>
          </w:p>
        </w:tc>
        <w:tc>
          <w:tcPr>
            <w:tcW w:w="132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rPr>
              <w:t>6,466.1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13.2 %</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5.8 %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7.4 %</w:t>
            </w:r>
          </w:p>
        </w:tc>
        <w:tc>
          <w:tcPr>
            <w:tcW w:w="0" w:type="dxa"/>
            <w:vAlign w:val="bottom"/>
          </w:tcPr>
          <w:p>
            <w:pPr>
              <w:spacing w:after="0"/>
              <w:rPr>
                <w:sz w:val="1"/>
                <w:szCs w:val="1"/>
                <w:color w:val="auto"/>
              </w:rPr>
            </w:pPr>
          </w:p>
        </w:tc>
      </w:tr>
      <w:tr>
        <w:trPr>
          <w:trHeight w:val="215"/>
        </w:trPr>
        <w:tc>
          <w:tcPr>
            <w:tcW w:w="4200" w:type="dxa"/>
            <w:vAlign w:val="bottom"/>
          </w:tcPr>
          <w:p>
            <w:pPr>
              <w:ind w:left="40"/>
              <w:spacing w:after="0" w:line="215" w:lineRule="exact"/>
              <w:rPr>
                <w:sz w:val="20"/>
                <w:szCs w:val="20"/>
                <w:color w:val="auto"/>
              </w:rPr>
            </w:pPr>
            <w:r>
              <w:rPr>
                <w:rFonts w:ascii="Calibri" w:cs="Calibri" w:eastAsia="Calibri" w:hAnsi="Calibri"/>
                <w:sz w:val="18"/>
                <w:szCs w:val="18"/>
                <w:i w:val="1"/>
                <w:iCs w:val="1"/>
                <w:color w:val="auto"/>
              </w:rPr>
              <w:t>2023</w:t>
            </w:r>
          </w:p>
        </w:tc>
        <w:tc>
          <w:tcPr>
            <w:tcW w:w="340" w:type="dxa"/>
            <w:vAlign w:val="bottom"/>
          </w:tcPr>
          <w:p>
            <w:pPr>
              <w:jc w:val="right"/>
              <w:ind w:right="151"/>
              <w:spacing w:after="0" w:line="215" w:lineRule="exact"/>
              <w:rPr>
                <w:sz w:val="20"/>
                <w:szCs w:val="20"/>
                <w:color w:val="auto"/>
              </w:rPr>
            </w:pPr>
            <w:r>
              <w:rPr>
                <w:rFonts w:ascii="Calibri" w:cs="Calibri" w:eastAsia="Calibri" w:hAnsi="Calibri"/>
                <w:sz w:val="18"/>
                <w:szCs w:val="18"/>
                <w:i w:val="1"/>
                <w:iCs w:val="1"/>
                <w:color w:val="auto"/>
                <w:w w:val="87"/>
              </w:rPr>
              <w:t>$</w:t>
            </w:r>
          </w:p>
        </w:tc>
        <w:tc>
          <w:tcPr>
            <w:tcW w:w="132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rPr>
              <w:t>6,909.8</w:t>
            </w:r>
          </w:p>
        </w:tc>
        <w:tc>
          <w:tcPr>
            <w:tcW w:w="1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10.8 %</w:t>
            </w:r>
          </w:p>
        </w:tc>
        <w:tc>
          <w:tcPr>
            <w:tcW w:w="12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c>
          <w:tcPr>
            <w:tcW w:w="10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3.8 %</w:t>
            </w:r>
          </w:p>
        </w:tc>
        <w:tc>
          <w:tcPr>
            <w:tcW w:w="0" w:type="dxa"/>
            <w:vAlign w:val="bottom"/>
          </w:tcPr>
          <w:p>
            <w:pPr>
              <w:spacing w:after="0"/>
              <w:rPr>
                <w:sz w:val="1"/>
                <w:szCs w:val="1"/>
                <w:color w:val="auto"/>
              </w:rPr>
            </w:pPr>
          </w:p>
        </w:tc>
      </w:tr>
      <w:tr>
        <w:trPr>
          <w:trHeight w:val="315"/>
        </w:trPr>
        <w:tc>
          <w:tcPr>
            <w:tcW w:w="4200" w:type="dxa"/>
            <w:vAlign w:val="bottom"/>
          </w:tcPr>
          <w:p>
            <w:pPr>
              <w:ind w:left="4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i w:val="1"/>
                <w:iCs w:val="1"/>
                <w:color w:val="auto"/>
              </w:rPr>
              <w:t>15.0 %</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Calibri" w:cs="Calibri" w:eastAsia="Calibri" w:hAnsi="Calibri"/>
          <w:sz w:val="23"/>
          <w:szCs w:val="23"/>
          <w:color w:val="auto"/>
          <w:vertAlign w:val="superscript"/>
        </w:rPr>
        <w:t>1</w:t>
      </w:r>
      <w:r>
        <w:rPr>
          <w:rFonts w:ascii="Calibri" w:cs="Calibri" w:eastAsia="Calibri" w:hAnsi="Calibri"/>
          <w:sz w:val="14"/>
          <w:szCs w:val="14"/>
          <w:color w:val="auto"/>
        </w:rPr>
        <w:t>See Exhibit A for a reconciliaton of the adjusted fnancial measures to the most directly comparable GAAP fnancial measures.</w:t>
      </w:r>
    </w:p>
    <w:p>
      <w:pPr>
        <w:spacing w:after="0" w:line="190" w:lineRule="exact"/>
        <w:rPr>
          <w:sz w:val="20"/>
          <w:szCs w:val="20"/>
          <w:color w:val="auto"/>
        </w:rPr>
      </w:pPr>
    </w:p>
    <w:p>
      <w:pPr>
        <w:ind w:right="60"/>
        <w:spacing w:after="0" w:line="230" w:lineRule="auto"/>
        <w:rPr>
          <w:sz w:val="20"/>
          <w:szCs w:val="20"/>
          <w:color w:val="auto"/>
        </w:rPr>
      </w:pPr>
      <w:r>
        <w:rPr>
          <w:rFonts w:ascii="Calibri" w:cs="Calibri" w:eastAsia="Calibri" w:hAnsi="Calibri"/>
          <w:sz w:val="22"/>
          <w:szCs w:val="22"/>
          <w:color w:val="auto"/>
        </w:rPr>
        <w:t>From 2004 to 2011, Economic Proft improved as a result of growth in average capital, higher returns on capital and lower costs of capital. In 2004, our return on capital was 12.3%. In 2011, as a result of a favorable compettve environment, it was 16.8%. Since 2011, almost all of the growth in Economic Proft has occurred from increasing average capital. In each year from 2011 through 2017, the return on capital declined as competton returned to our market. The trend reversed in 2018 as our return on capital improved, by 130 basis points, due to a change in the federal tax rate. In 2020, our return on capital declined by 90 basis points due to the impact of COVID-19 on loan performance. With hindsight, our downward forecast adjustment recorded in the frst quarter of 2020 was too large. In 2021, much of the 170-basis point improvement in our return on capital was due to increased collectons and improvement in our forecast.</w:t>
      </w:r>
    </w:p>
    <w:p>
      <w:pPr>
        <w:spacing w:after="0" w:line="250" w:lineRule="exact"/>
        <w:rPr>
          <w:sz w:val="20"/>
          <w:szCs w:val="20"/>
          <w:color w:val="auto"/>
        </w:rPr>
      </w:pPr>
    </w:p>
    <w:p>
      <w:pPr>
        <w:ind w:right="460"/>
        <w:spacing w:after="0" w:line="229" w:lineRule="auto"/>
        <w:rPr>
          <w:sz w:val="20"/>
          <w:szCs w:val="20"/>
          <w:color w:val="auto"/>
        </w:rPr>
      </w:pPr>
      <w:r>
        <w:rPr>
          <w:rFonts w:ascii="Calibri" w:cs="Calibri" w:eastAsia="Calibri" w:hAnsi="Calibri"/>
          <w:sz w:val="22"/>
          <w:szCs w:val="22"/>
          <w:color w:val="auto"/>
        </w:rPr>
        <w:t>In 2022, Economic Proft decreased as a result of a decline in average capital, a higher cost of capital, and a lower return on capital.</w:t>
      </w:r>
    </w:p>
    <w:p>
      <w:pPr>
        <w:spacing w:after="0" w:line="257" w:lineRule="exact"/>
        <w:rPr>
          <w:sz w:val="20"/>
          <w:szCs w:val="20"/>
          <w:color w:val="auto"/>
        </w:rPr>
      </w:pPr>
    </w:p>
    <w:p>
      <w:pPr>
        <w:ind w:right="460"/>
        <w:spacing w:after="0" w:line="229" w:lineRule="auto"/>
        <w:rPr>
          <w:sz w:val="20"/>
          <w:szCs w:val="20"/>
          <w:color w:val="auto"/>
        </w:rPr>
      </w:pPr>
      <w:r>
        <w:rPr>
          <w:rFonts w:ascii="Calibri" w:cs="Calibri" w:eastAsia="Calibri" w:hAnsi="Calibri"/>
          <w:sz w:val="22"/>
          <w:szCs w:val="22"/>
          <w:color w:val="auto"/>
        </w:rPr>
        <w:t>In 2023, Economic Proft decreased as a result of a lower return on capital and a higher cost of capital, partally ofset by an increase in average capital as a result of an increase in the average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245" w:right="359" w:bottom="1440" w:gutter="0" w:footer="0" w:header="0"/>
        </w:sectPr>
      </w:pPr>
    </w:p>
    <w:bookmarkStart w:id="28" w:name="page29"/>
    <w:bookmarkEnd w:id="28"/>
    <w:p>
      <w:pPr>
        <w:ind w:right="400"/>
        <w:spacing w:after="0" w:line="229" w:lineRule="auto"/>
        <w:rPr>
          <w:sz w:val="20"/>
          <w:szCs w:val="20"/>
          <w:color w:val="auto"/>
        </w:rPr>
      </w:pPr>
      <w:r>
        <w:rPr>
          <w:rFonts w:ascii="Calibri" w:cs="Calibri" w:eastAsia="Calibri" w:hAnsi="Calibri"/>
          <w:sz w:val="22"/>
          <w:szCs w:val="22"/>
          <w:color w:val="auto"/>
        </w:rPr>
        <w:t>balance of our loan portolio. In 2023, the 240 basis point decline in our adjusted return on capital was primarily due to a decline in loan performance and slower forecasted net cash fow tming primarily as a result of a decrease in consumer loan prepayments to below-average levels.</w:t>
      </w:r>
    </w:p>
    <w:p>
      <w:pPr>
        <w:spacing w:after="0" w:line="257" w:lineRule="exact"/>
        <w:rPr>
          <w:sz w:val="20"/>
          <w:szCs w:val="20"/>
          <w:color w:val="auto"/>
        </w:rPr>
      </w:pPr>
    </w:p>
    <w:p>
      <w:pPr>
        <w:ind w:right="40"/>
        <w:spacing w:after="0" w:line="230" w:lineRule="auto"/>
        <w:rPr>
          <w:sz w:val="20"/>
          <w:szCs w:val="20"/>
          <w:color w:val="auto"/>
        </w:rPr>
      </w:pPr>
      <w:r>
        <w:rPr>
          <w:rFonts w:ascii="Calibri" w:cs="Calibri" w:eastAsia="Calibri" w:hAnsi="Calibri"/>
          <w:sz w:val="22"/>
          <w:szCs w:val="22"/>
          <w:color w:val="auto"/>
        </w:rPr>
        <w:t>There are several additonal points worth mentoning. First, we grew adjusted average capital each year from 2004 to 2021. The growth was a direct result of our success in growing the number of actve dealers. While variables like volume per dealer and contract size impact adjusted average capital growth as well, the trend in the number of actve dealers tells us much of what we need to know to understand the trajectory of our business. Growing the number of actve dealers makes future Economic Proft growth likely. If we are unable to grow the number of actve dealers, Economic Proft growth will likely stall. This is important since in 2020 and 2021 the number of actve dealers declined. While the COVID-19 pandemic and related vehicle shortages contributed to this decline, the downturn follows a trend of deceleratng growth that began in 2017 afer strong growth each year from 2011 to 2016. Afer a modest increase in actve dealers during 2022, we experienced signifcant growth in actve dealers during 2023, with the number of actve dealers reaching its highest level in our history.</w:t>
      </w:r>
    </w:p>
    <w:p>
      <w:pPr>
        <w:spacing w:after="0" w:line="249" w:lineRule="exact"/>
        <w:rPr>
          <w:sz w:val="20"/>
          <w:szCs w:val="20"/>
          <w:color w:val="auto"/>
        </w:rPr>
      </w:pPr>
    </w:p>
    <w:p>
      <w:pPr>
        <w:ind w:right="40"/>
        <w:spacing w:after="0" w:line="232" w:lineRule="auto"/>
        <w:rPr>
          <w:sz w:val="20"/>
          <w:szCs w:val="20"/>
          <w:color w:val="auto"/>
        </w:rPr>
      </w:pPr>
      <w:r>
        <w:rPr>
          <w:rFonts w:ascii="Calibri" w:cs="Calibri" w:eastAsia="Calibri" w:hAnsi="Calibri"/>
          <w:sz w:val="22"/>
          <w:szCs w:val="22"/>
          <w:color w:val="auto"/>
        </w:rPr>
        <w:t>Second, while the return on capital has been volatle, expenses as a percentage of adjusted average capital have declined for 13 of the last 17 years, to 6.6% in 2023 from 15.1% in 2006. This underscores the importance of growing average capital. As long as the return on incremental capital invested exceeds the cost of that capital, growing average capital increases Economic Proft directly. In additon, growing average capital improves the return on capital by reducing the impact of expenses, since a porton of our expenses is fxed. The volatlity in the return on capital is primarily due to the revenue component, which moves up and down based on the compettve environment. When the compettve environment is favorable, we reduce advance rates (the amount we pay the dealer at loan originaton), and that increases our return. When the compettve environment worsens, the opposite occurs. But growing expenses more slowly than capital allows us to achieve greater returns in both favorable and unfavorable environments.</w:t>
      </w:r>
    </w:p>
    <w:p>
      <w:pPr>
        <w:spacing w:after="0" w:line="229" w:lineRule="exact"/>
        <w:rPr>
          <w:sz w:val="20"/>
          <w:szCs w:val="20"/>
          <w:color w:val="auto"/>
        </w:rPr>
      </w:pPr>
    </w:p>
    <w:p>
      <w:pPr>
        <w:spacing w:after="0" w:line="234" w:lineRule="auto"/>
        <w:rPr>
          <w:sz w:val="20"/>
          <w:szCs w:val="20"/>
          <w:color w:val="auto"/>
        </w:rPr>
      </w:pPr>
      <w:r>
        <w:rPr>
          <w:rFonts w:ascii="Calibri" w:cs="Calibri" w:eastAsia="Calibri" w:hAnsi="Calibri"/>
          <w:sz w:val="21"/>
          <w:szCs w:val="21"/>
          <w:color w:val="auto"/>
        </w:rPr>
        <w:t>Third, as described previously in the secton enttled “Operatng Principles”, to the extent we generate capital in excess of what’s needed to fund and re-invest in the business, we will return that capital to shareholders through share repurchases. During</w:t>
      </w:r>
    </w:p>
    <w:p>
      <w:pPr>
        <w:spacing w:after="0" w:line="1" w:lineRule="exact"/>
        <w:rPr>
          <w:sz w:val="20"/>
          <w:szCs w:val="20"/>
          <w:color w:val="auto"/>
        </w:rPr>
      </w:pPr>
    </w:p>
    <w:p>
      <w:pPr>
        <w:spacing w:after="0" w:line="215" w:lineRule="auto"/>
        <w:rPr>
          <w:sz w:val="20"/>
          <w:szCs w:val="20"/>
          <w:color w:val="auto"/>
        </w:rPr>
      </w:pPr>
      <w:r>
        <w:rPr>
          <w:rFonts w:ascii="Calibri" w:cs="Calibri" w:eastAsia="Calibri" w:hAnsi="Calibri"/>
          <w:sz w:val="22"/>
          <w:szCs w:val="22"/>
          <w:color w:val="auto"/>
        </w:rPr>
        <w:t>2021 and 2022, we used excess capital to actvely repurchase shares rather than growing loan volume through pricing changes at lower proftability. Over those two years, we repurchased approximately 4.3 million shares, which represented 25.4% of the shares outstanding at the beginning of 2021, at a total cost of $2.2 billion. In 2023, due to the improvement in the compettve environment and the increase in our growth rate, we repurchased only approximately 350,000 shares, which represented 2.8% of the shares outstanding at the beginning of the year, at a total cost of $175 million. Over the long term, our share repurchase program has enabled us to grow Economic Proft per diluted share at higher rate than Economic Proft. Likewise, over the long term, we have grown adjusted net income per diluted share at higher rate than adjusted net income. Shares repurchased during 2021, 2022, and 2023 enabled us to minimize the per share impact of the declines in Economic Proft and adjusted net income in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245" w:right="359" w:bottom="1440" w:gutter="0" w:footer="0" w:header="0"/>
        </w:sectPr>
      </w:pPr>
    </w:p>
    <w:bookmarkStart w:id="29" w:name="page30"/>
    <w:bookmarkEnd w:id="29"/>
    <w:p>
      <w:pPr>
        <w:spacing w:after="0"/>
        <w:rPr>
          <w:sz w:val="20"/>
          <w:szCs w:val="20"/>
          <w:color w:val="auto"/>
        </w:rPr>
      </w:pPr>
      <w:r>
        <w:rPr>
          <w:rFonts w:ascii="Calibri" w:cs="Calibri" w:eastAsia="Calibri" w:hAnsi="Calibri"/>
          <w:sz w:val="22"/>
          <w:szCs w:val="22"/>
          <w:color w:val="auto"/>
        </w:rPr>
        <w:t>The following table summarizes Economic Proft per diluted share for 2004–2023:</w:t>
      </w:r>
      <w:r>
        <w:rPr>
          <w:rFonts w:ascii="Calibri" w:cs="Calibri" w:eastAsia="Calibri" w:hAnsi="Calibri"/>
          <w:sz w:val="28"/>
          <w:szCs w:val="28"/>
          <w:color w:val="auto"/>
          <w:vertAlign w:val="superscript"/>
        </w:rPr>
        <w:t>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80" w:type="dxa"/>
            <w:vAlign w:val="bottom"/>
          </w:tcPr>
          <w:p>
            <w:pPr>
              <w:ind w:left="20"/>
              <w:spacing w:after="0"/>
              <w:rPr>
                <w:sz w:val="20"/>
                <w:szCs w:val="20"/>
                <w:color w:val="auto"/>
              </w:rPr>
            </w:pPr>
            <w:r>
              <w:rPr>
                <w:rFonts w:ascii="Calibri" w:cs="Calibri" w:eastAsia="Calibri" w:hAnsi="Calibri"/>
                <w:sz w:val="13"/>
                <w:szCs w:val="13"/>
                <w:color w:val="auto"/>
              </w:rPr>
              <w:t>($ in millions)</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vMerge w:val="restart"/>
          </w:tcPr>
          <w:p>
            <w:pPr>
              <w:jc w:val="right"/>
              <w:ind w:right="92"/>
              <w:spacing w:after="0"/>
              <w:rPr>
                <w:sz w:val="20"/>
                <w:szCs w:val="20"/>
                <w:color w:val="auto"/>
              </w:rPr>
            </w:pPr>
            <w:r>
              <w:rPr>
                <w:rFonts w:ascii="Calibri" w:cs="Calibri" w:eastAsia="Calibri" w:hAnsi="Calibri"/>
                <w:sz w:val="14"/>
                <w:szCs w:val="14"/>
                <w:b w:val="1"/>
                <w:bCs w:val="1"/>
                <w:color w:val="auto"/>
              </w:rPr>
              <w:t>Year-to-year change in Economic</w:t>
            </w:r>
          </w:p>
        </w:tc>
        <w:tc>
          <w:tcPr>
            <w:tcW w:w="0" w:type="dxa"/>
            <w:vAlign w:val="bottom"/>
          </w:tcPr>
          <w:p>
            <w:pPr>
              <w:spacing w:after="0"/>
              <w:rPr>
                <w:sz w:val="1"/>
                <w:szCs w:val="1"/>
                <w:color w:val="auto"/>
              </w:rPr>
            </w:pPr>
          </w:p>
        </w:tc>
      </w:tr>
      <w:tr>
        <w:trPr>
          <w:trHeight w:val="104"/>
        </w:trPr>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40" w:type="dxa"/>
            <w:vAlign w:val="bottom"/>
            <w:gridSpan w:val="2"/>
            <w:vMerge w:val="restart"/>
          </w:tcPr>
          <w:p>
            <w:pPr>
              <w:ind w:left="40"/>
              <w:spacing w:after="0"/>
              <w:rPr>
                <w:sz w:val="20"/>
                <w:szCs w:val="20"/>
                <w:color w:val="auto"/>
              </w:rPr>
            </w:pPr>
            <w:r>
              <w:rPr>
                <w:rFonts w:ascii="Calibri" w:cs="Calibri" w:eastAsia="Calibri" w:hAnsi="Calibri"/>
                <w:sz w:val="14"/>
                <w:szCs w:val="14"/>
                <w:b w:val="1"/>
                <w:bCs w:val="1"/>
                <w:color w:val="auto"/>
              </w:rPr>
              <w:t>Economic Proft per diluted share</w:t>
            </w: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2300" w:type="dxa"/>
            <w:vAlign w:val="bottom"/>
          </w:tcPr>
          <w:p>
            <w:pPr>
              <w:jc w:val="right"/>
              <w:ind w:right="612"/>
              <w:spacing w:after="0"/>
              <w:rPr>
                <w:sz w:val="20"/>
                <w:szCs w:val="20"/>
                <w:color w:val="auto"/>
              </w:rPr>
            </w:pPr>
            <w:r>
              <w:rPr>
                <w:rFonts w:ascii="Calibri" w:cs="Calibri" w:eastAsia="Calibri" w:hAnsi="Calibri"/>
                <w:sz w:val="14"/>
                <w:szCs w:val="14"/>
                <w:b w:val="1"/>
                <w:bCs w:val="1"/>
                <w:color w:val="auto"/>
              </w:rPr>
              <w:t>Proft per share</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0"/>
              <w:spacing w:after="0" w:line="199" w:lineRule="exact"/>
              <w:rPr>
                <w:sz w:val="20"/>
                <w:szCs w:val="20"/>
                <w:color w:val="auto"/>
              </w:rPr>
            </w:pPr>
            <w:r>
              <w:rPr>
                <w:rFonts w:ascii="Calibri" w:cs="Calibri" w:eastAsia="Calibri" w:hAnsi="Calibri"/>
                <w:sz w:val="18"/>
                <w:szCs w:val="18"/>
                <w:i w:val="1"/>
                <w:iCs w:val="1"/>
                <w:color w:val="auto"/>
              </w:rPr>
              <w:t>2004</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i w:val="1"/>
                <w:iCs w:val="1"/>
                <w:color w:val="auto"/>
              </w:rPr>
              <w:t>0.43</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0.73</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69.8 %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0.91</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24.7 %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1.11</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22.0 %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2008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1.51</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36.0 %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2009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2.50</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65.6 %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3.76</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50.4 %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5.38</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43.1 %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6.23</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15.8 %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7.21</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15.7 %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2014</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8.25</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14.4 %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2015</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10.32</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25.1 %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12.09</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17.2 %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2017</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13.14</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8.7 %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2018</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17.43</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32.6 %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2019</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22.80</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30.8 %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26.28</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15.3 %</w:t>
            </w:r>
          </w:p>
        </w:tc>
        <w:tc>
          <w:tcPr>
            <w:tcW w:w="0" w:type="dxa"/>
            <w:vAlign w:val="bottom"/>
          </w:tcPr>
          <w:p>
            <w:pPr>
              <w:spacing w:after="0"/>
              <w:rPr>
                <w:sz w:val="1"/>
                <w:szCs w:val="1"/>
                <w:color w:val="auto"/>
              </w:rPr>
            </w:pPr>
          </w:p>
        </w:tc>
      </w:tr>
      <w:tr>
        <w:trPr>
          <w:trHeight w:val="222"/>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2021</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35.66</w:t>
            </w:r>
          </w:p>
        </w:tc>
        <w:tc>
          <w:tcPr>
            <w:tcW w:w="160" w:type="dxa"/>
            <w:vAlign w:val="bottom"/>
          </w:tcPr>
          <w:p>
            <w:pPr>
              <w:spacing w:after="0"/>
              <w:rPr>
                <w:sz w:val="19"/>
                <w:szCs w:val="19"/>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35.7 %</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60"/>
              <w:spacing w:after="0"/>
              <w:rPr>
                <w:sz w:val="20"/>
                <w:szCs w:val="20"/>
                <w:color w:val="auto"/>
              </w:rPr>
            </w:pPr>
            <w:r>
              <w:rPr>
                <w:rFonts w:ascii="Calibri" w:cs="Calibri" w:eastAsia="Calibri" w:hAnsi="Calibri"/>
                <w:sz w:val="18"/>
                <w:szCs w:val="18"/>
                <w:i w:val="1"/>
                <w:iCs w:val="1"/>
                <w:color w:val="auto"/>
              </w:rPr>
              <w:t>2022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2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34.98</w:t>
            </w: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-1.9 %</w:t>
            </w:r>
          </w:p>
        </w:tc>
        <w:tc>
          <w:tcPr>
            <w:tcW w:w="0" w:type="dxa"/>
            <w:vAlign w:val="bottom"/>
          </w:tcPr>
          <w:p>
            <w:pPr>
              <w:spacing w:after="0"/>
              <w:rPr>
                <w:sz w:val="1"/>
                <w:szCs w:val="1"/>
                <w:color w:val="auto"/>
              </w:rPr>
            </w:pPr>
          </w:p>
        </w:tc>
      </w:tr>
      <w:tr>
        <w:trPr>
          <w:trHeight w:val="215"/>
        </w:trPr>
        <w:tc>
          <w:tcPr>
            <w:tcW w:w="6480" w:type="dxa"/>
            <w:vAlign w:val="bottom"/>
          </w:tcPr>
          <w:p>
            <w:pPr>
              <w:ind w:left="60"/>
              <w:spacing w:after="0" w:line="215" w:lineRule="exact"/>
              <w:rPr>
                <w:sz w:val="20"/>
                <w:szCs w:val="20"/>
                <w:color w:val="auto"/>
              </w:rPr>
            </w:pPr>
            <w:r>
              <w:rPr>
                <w:rFonts w:ascii="Calibri" w:cs="Calibri" w:eastAsia="Calibri" w:hAnsi="Calibri"/>
                <w:sz w:val="18"/>
                <w:szCs w:val="18"/>
                <w:i w:val="1"/>
                <w:iCs w:val="1"/>
                <w:color w:val="auto"/>
              </w:rPr>
              <w:t>2023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218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20.02</w:t>
            </w:r>
          </w:p>
        </w:tc>
        <w:tc>
          <w:tcPr>
            <w:tcW w:w="160" w:type="dxa"/>
            <w:vAlign w:val="bottom"/>
          </w:tcPr>
          <w:p>
            <w:pPr>
              <w:spacing w:after="0"/>
              <w:rPr>
                <w:sz w:val="18"/>
                <w:szCs w:val="18"/>
                <w:color w:val="auto"/>
              </w:rPr>
            </w:pPr>
          </w:p>
        </w:tc>
        <w:tc>
          <w:tcPr>
            <w:tcW w:w="23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-42.8 %</w:t>
            </w:r>
          </w:p>
        </w:tc>
        <w:tc>
          <w:tcPr>
            <w:tcW w:w="0" w:type="dxa"/>
            <w:vAlign w:val="bottom"/>
          </w:tcPr>
          <w:p>
            <w:pPr>
              <w:spacing w:after="0"/>
              <w:rPr>
                <w:sz w:val="1"/>
                <w:szCs w:val="1"/>
                <w:color w:val="auto"/>
              </w:rPr>
            </w:pPr>
          </w:p>
        </w:tc>
      </w:tr>
      <w:tr>
        <w:trPr>
          <w:trHeight w:val="315"/>
        </w:trPr>
        <w:tc>
          <w:tcPr>
            <w:tcW w:w="6480" w:type="dxa"/>
            <w:vAlign w:val="bottom"/>
          </w:tcPr>
          <w:p>
            <w:pPr>
              <w:ind w:left="60"/>
              <w:spacing w:after="0"/>
              <w:rPr>
                <w:sz w:val="20"/>
                <w:szCs w:val="20"/>
                <w:color w:val="auto"/>
              </w:rPr>
            </w:pPr>
            <w:r>
              <w:rPr>
                <w:rFonts w:ascii="Calibri" w:cs="Calibri" w:eastAsia="Calibri" w:hAnsi="Calibri"/>
                <w:sz w:val="18"/>
                <w:szCs w:val="18"/>
                <w:i w:val="1"/>
                <w:iCs w:val="1"/>
                <w:color w:val="auto"/>
              </w:rPr>
              <w:t>Compound annual growth rate 2004</w:t>
            </w:r>
            <w:r>
              <w:rPr>
                <w:rFonts w:ascii="Calibri" w:cs="Calibri" w:eastAsia="Calibri" w:hAnsi="Calibri"/>
                <w:sz w:val="21"/>
                <w:szCs w:val="21"/>
                <w:color w:val="auto"/>
              </w:rPr>
              <w:t>–</w:t>
            </w:r>
            <w:r>
              <w:rPr>
                <w:rFonts w:ascii="Calibri" w:cs="Calibri" w:eastAsia="Calibri" w:hAnsi="Calibri"/>
                <w:sz w:val="18"/>
                <w:szCs w:val="18"/>
                <w:i w:val="1"/>
                <w:iCs w:val="1"/>
                <w:color w:val="auto"/>
              </w:rPr>
              <w:t>2023</w:t>
            </w: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alibri" w:cs="Calibri" w:eastAsia="Calibri" w:hAnsi="Calibri"/>
                <w:sz w:val="18"/>
                <w:szCs w:val="18"/>
                <w:i w:val="1"/>
                <w:iCs w:val="1"/>
                <w:color w:val="auto"/>
              </w:rPr>
              <w:t>22.4 %</w:t>
            </w: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0"/>
        <w:spacing w:after="0"/>
        <w:rPr>
          <w:sz w:val="20"/>
          <w:szCs w:val="20"/>
          <w:color w:val="auto"/>
        </w:rPr>
      </w:pPr>
      <w:r>
        <w:rPr>
          <w:rFonts w:ascii="Calibri" w:cs="Calibri" w:eastAsia="Calibri" w:hAnsi="Calibri"/>
          <w:sz w:val="23"/>
          <w:szCs w:val="23"/>
          <w:color w:val="auto"/>
          <w:vertAlign w:val="superscript"/>
        </w:rPr>
        <w:t>1</w:t>
      </w:r>
      <w:r>
        <w:rPr>
          <w:rFonts w:ascii="Calibri" w:cs="Calibri" w:eastAsia="Calibri" w:hAnsi="Calibri"/>
          <w:sz w:val="14"/>
          <w:szCs w:val="14"/>
          <w:color w:val="auto"/>
        </w:rPr>
        <w:t>See Exhibit A for a reconciliaton of the adjusted fnancial measures to the most directly comparable GAAP fnancial measures.</w:t>
      </w:r>
    </w:p>
    <w:p>
      <w:pPr>
        <w:spacing w:after="0" w:line="200" w:lineRule="exact"/>
        <w:rPr>
          <w:sz w:val="20"/>
          <w:szCs w:val="20"/>
          <w:color w:val="auto"/>
        </w:rPr>
      </w:pPr>
    </w:p>
    <w:p>
      <w:pPr>
        <w:spacing w:after="0" w:line="233" w:lineRule="exact"/>
        <w:rPr>
          <w:sz w:val="20"/>
          <w:szCs w:val="20"/>
          <w:color w:val="auto"/>
        </w:rPr>
      </w:pPr>
    </w:p>
    <w:p>
      <w:pPr>
        <w:jc w:val="both"/>
        <w:ind w:left="80"/>
        <w:spacing w:after="0" w:line="229" w:lineRule="auto"/>
        <w:rPr>
          <w:sz w:val="20"/>
          <w:szCs w:val="20"/>
          <w:color w:val="auto"/>
        </w:rPr>
      </w:pPr>
      <w:r>
        <w:rPr>
          <w:rFonts w:ascii="Calibri" w:cs="Calibri" w:eastAsia="Calibri" w:hAnsi="Calibri"/>
          <w:sz w:val="22"/>
          <w:szCs w:val="22"/>
          <w:color w:val="auto"/>
        </w:rPr>
        <w:t>Over the last 20 years, Economic Proft per diluted share has grown at a compounded annual rate of 22.4% while Economic Proft has grown at a compounded annual rate of 15.2%. Last year, Economic Proft per diluted share declined 42.8% while Economic Proft declined 45.3%.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8" w:right="339" w:bottom="1440" w:gutter="0" w:footer="0" w:header="0"/>
        </w:sectPr>
      </w:pPr>
    </w:p>
    <w:bookmarkStart w:id="30" w:name="page31"/>
    <w:bookmarkEnd w:id="30"/>
    <w:p>
      <w:pPr>
        <w:spacing w:after="0"/>
        <w:rPr>
          <w:sz w:val="20"/>
          <w:szCs w:val="20"/>
          <w:color w:val="auto"/>
        </w:rPr>
      </w:pPr>
      <w:r>
        <w:rPr>
          <w:rFonts w:ascii="Calibri" w:cs="Calibri" w:eastAsia="Calibri" w:hAnsi="Calibri"/>
          <w:sz w:val="22"/>
          <w:szCs w:val="22"/>
          <w:b w:val="1"/>
          <w:bCs w:val="1"/>
          <w:color w:val="ED7D31"/>
        </w:rPr>
        <w:t>EXHIBIT A</w:t>
      </w:r>
    </w:p>
    <w:p>
      <w:pPr>
        <w:spacing w:after="0" w:line="229" w:lineRule="auto"/>
        <w:rPr>
          <w:sz w:val="20"/>
          <w:szCs w:val="20"/>
          <w:color w:val="auto"/>
        </w:rPr>
      </w:pPr>
      <w:r>
        <w:rPr>
          <w:rFonts w:ascii="Calibri" w:cs="Calibri" w:eastAsia="Calibri" w:hAnsi="Calibri"/>
          <w:sz w:val="22"/>
          <w:szCs w:val="22"/>
          <w:b w:val="1"/>
          <w:bCs w:val="1"/>
          <w:color w:val="5B9BD5"/>
        </w:rPr>
        <w:t>Reconciliaton of GAAP Financial Results to Non-GAAP Measures</w:t>
      </w:r>
    </w:p>
    <w:p>
      <w:pPr>
        <w:spacing w:after="0" w:line="126" w:lineRule="exact"/>
        <w:rPr>
          <w:sz w:val="20"/>
          <w:szCs w:val="20"/>
          <w:color w:val="auto"/>
        </w:rPr>
      </w:pPr>
    </w:p>
    <w:p>
      <w:pPr>
        <w:ind w:left="60"/>
        <w:spacing w:after="0"/>
        <w:rPr>
          <w:sz w:val="20"/>
          <w:szCs w:val="20"/>
          <w:color w:val="auto"/>
        </w:rPr>
      </w:pPr>
      <w:r>
        <w:rPr>
          <w:rFonts w:ascii="Calibri" w:cs="Calibri" w:eastAsia="Calibri" w:hAnsi="Calibri"/>
          <w:sz w:val="14"/>
          <w:szCs w:val="14"/>
          <w:color w:val="auto"/>
        </w:rPr>
        <w:t>($ in millions)</w:t>
      </w:r>
    </w:p>
    <w:p>
      <w:pPr>
        <w:ind w:left="3800"/>
        <w:spacing w:after="0" w:line="199" w:lineRule="auto"/>
        <w:tabs>
          <w:tab w:leader="none" w:pos="5140" w:val="left"/>
          <w:tab w:leader="none" w:pos="7720" w:val="left"/>
          <w:tab w:leader="none" w:pos="8900" w:val="left"/>
        </w:tabs>
        <w:rPr>
          <w:sz w:val="20"/>
          <w:szCs w:val="20"/>
          <w:color w:val="auto"/>
        </w:rPr>
      </w:pPr>
      <w:r>
        <w:rPr>
          <w:rFonts w:ascii="Calibri" w:cs="Calibri" w:eastAsia="Calibri" w:hAnsi="Calibri"/>
          <w:sz w:val="14"/>
          <w:szCs w:val="14"/>
          <w:b w:val="1"/>
          <w:bCs w:val="1"/>
          <w:color w:val="auto"/>
        </w:rPr>
        <w:t>Floatng yield</w:t>
      </w:r>
      <w:r>
        <w:rPr>
          <w:sz w:val="20"/>
          <w:szCs w:val="20"/>
          <w:color w:val="auto"/>
        </w:rPr>
        <w:tab/>
      </w:r>
      <w:r>
        <w:rPr>
          <w:rFonts w:ascii="Calibri" w:cs="Calibri" w:eastAsia="Calibri" w:hAnsi="Calibri"/>
          <w:sz w:val="14"/>
          <w:szCs w:val="14"/>
          <w:b w:val="1"/>
          <w:bCs w:val="1"/>
          <w:color w:val="auto"/>
        </w:rPr>
        <w:t>Income tax</w:t>
      </w:r>
      <w:r>
        <w:rPr>
          <w:sz w:val="20"/>
          <w:szCs w:val="20"/>
          <w:color w:val="auto"/>
        </w:rPr>
        <w:tab/>
      </w:r>
      <w:r>
        <w:rPr>
          <w:rFonts w:ascii="Calibri" w:cs="Calibri" w:eastAsia="Calibri" w:hAnsi="Calibri"/>
          <w:sz w:val="14"/>
          <w:szCs w:val="14"/>
          <w:b w:val="1"/>
          <w:bCs w:val="1"/>
          <w:color w:val="auto"/>
        </w:rPr>
        <w:t>Adjusted net</w:t>
      </w:r>
      <w:r>
        <w:rPr>
          <w:sz w:val="20"/>
          <w:szCs w:val="20"/>
          <w:color w:val="auto"/>
        </w:rPr>
        <w:tab/>
      </w:r>
      <w:r>
        <w:rPr>
          <w:rFonts w:ascii="Calibri" w:cs="Calibri" w:eastAsia="Calibri" w:hAnsi="Calibri"/>
          <w:sz w:val="14"/>
          <w:szCs w:val="14"/>
          <w:b w:val="1"/>
          <w:bCs w:val="1"/>
          <w:color w:val="auto"/>
        </w:rPr>
        <w:t>Imputed cost of</w:t>
      </w:r>
    </w:p>
    <w:p>
      <w:pPr>
        <w:jc w:val="right"/>
        <w:ind w:right="60"/>
        <w:spacing w:after="0" w:line="208" w:lineRule="auto"/>
        <w:tabs>
          <w:tab w:leader="none" w:pos="7240" w:val="left"/>
          <w:tab w:leader="none" w:pos="5960" w:val="left"/>
          <w:tab w:leader="none" w:pos="4860" w:val="left"/>
          <w:tab w:leader="none" w:pos="3200" w:val="left"/>
          <w:tab w:leader="none" w:pos="1900" w:val="left"/>
          <w:tab w:leader="none" w:pos="900" w:val="left"/>
        </w:tabs>
        <w:rPr>
          <w:sz w:val="20"/>
          <w:szCs w:val="20"/>
          <w:color w:val="auto"/>
        </w:rPr>
      </w:pPr>
      <w:r>
        <w:rPr>
          <w:rFonts w:ascii="Calibri" w:cs="Calibri" w:eastAsia="Calibri" w:hAnsi="Calibri"/>
          <w:sz w:val="14"/>
          <w:szCs w:val="14"/>
          <w:b w:val="1"/>
          <w:bCs w:val="1"/>
          <w:color w:val="auto"/>
        </w:rPr>
        <w:t>GAAP net income</w:t>
      </w:r>
      <w:r>
        <w:rPr>
          <w:sz w:val="20"/>
          <w:szCs w:val="20"/>
          <w:color w:val="auto"/>
        </w:rPr>
        <w:tab/>
      </w:r>
      <w:r>
        <w:rPr>
          <w:rFonts w:ascii="Calibri" w:cs="Calibri" w:eastAsia="Calibri" w:hAnsi="Calibri"/>
          <w:sz w:val="14"/>
          <w:szCs w:val="14"/>
          <w:b w:val="1"/>
          <w:bCs w:val="1"/>
          <w:color w:val="auto"/>
        </w:rPr>
        <w:t>adjustment</w:t>
      </w:r>
      <w:r>
        <w:rPr>
          <w:sz w:val="20"/>
          <w:szCs w:val="20"/>
          <w:color w:val="auto"/>
        </w:rPr>
        <w:tab/>
      </w:r>
      <w:r>
        <w:rPr>
          <w:rFonts w:ascii="Calibri" w:cs="Calibri" w:eastAsia="Calibri" w:hAnsi="Calibri"/>
          <w:sz w:val="14"/>
          <w:szCs w:val="14"/>
          <w:b w:val="1"/>
          <w:bCs w:val="1"/>
          <w:color w:val="auto"/>
        </w:rPr>
        <w:t>adjustment</w:t>
      </w:r>
      <w:r>
        <w:rPr>
          <w:sz w:val="20"/>
          <w:szCs w:val="20"/>
          <w:color w:val="auto"/>
        </w:rPr>
        <w:tab/>
      </w:r>
      <w:r>
        <w:rPr>
          <w:rFonts w:ascii="Calibri" w:cs="Calibri" w:eastAsia="Calibri" w:hAnsi="Calibri"/>
          <w:sz w:val="14"/>
          <w:szCs w:val="14"/>
          <w:b w:val="1"/>
          <w:bCs w:val="1"/>
          <w:color w:val="auto"/>
        </w:rPr>
        <w:t>Other adjustments</w:t>
      </w:r>
      <w:r>
        <w:rPr>
          <w:sz w:val="20"/>
          <w:szCs w:val="20"/>
          <w:color w:val="auto"/>
        </w:rPr>
        <w:tab/>
      </w:r>
      <w:r>
        <w:rPr>
          <w:rFonts w:ascii="Calibri" w:cs="Calibri" w:eastAsia="Calibri" w:hAnsi="Calibri"/>
          <w:sz w:val="14"/>
          <w:szCs w:val="14"/>
          <w:b w:val="1"/>
          <w:bCs w:val="1"/>
          <w:color w:val="auto"/>
        </w:rPr>
        <w:t>income</w:t>
      </w:r>
      <w:r>
        <w:rPr>
          <w:sz w:val="20"/>
          <w:szCs w:val="20"/>
          <w:color w:val="auto"/>
        </w:rPr>
        <w:tab/>
      </w:r>
      <w:r>
        <w:rPr>
          <w:rFonts w:ascii="Calibri" w:cs="Calibri" w:eastAsia="Calibri" w:hAnsi="Calibri"/>
          <w:sz w:val="14"/>
          <w:szCs w:val="14"/>
          <w:b w:val="1"/>
          <w:bCs w:val="1"/>
          <w:color w:val="auto"/>
        </w:rPr>
        <w:t>equity</w:t>
      </w:r>
      <w:r>
        <w:rPr>
          <w:sz w:val="20"/>
          <w:szCs w:val="20"/>
          <w:color w:val="auto"/>
        </w:rPr>
        <w:tab/>
      </w:r>
      <w:r>
        <w:rPr>
          <w:rFonts w:ascii="Calibri" w:cs="Calibri" w:eastAsia="Calibri" w:hAnsi="Calibri"/>
          <w:sz w:val="14"/>
          <w:szCs w:val="14"/>
          <w:b w:val="1"/>
          <w:bCs w:val="1"/>
          <w:color w:val="auto"/>
        </w:rPr>
        <w:t>Economic Proft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80"/>
          </w:cols>
          <w:pgMar w:left="320" w:top="1072" w:right="399" w:bottom="1440" w:gutter="0" w:footer="0" w:header="0"/>
        </w:sectPr>
      </w:pP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2004</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57.3</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(0.1)</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2005</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72.6</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(2.2)</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2006</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58.6</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0.4</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2007</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54.9</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3.6</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2008</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67.2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13.1</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2009</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146.3</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(19.6)</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2010</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170.1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0.5</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2011</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188.0</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7.1</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2012</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219.7</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2013</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253.1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(2.5)</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2014</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266.2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(6.0)</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2015</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299.7</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12.9</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2016</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332.8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28.1</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2017</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470.2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34.1</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2018</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574.0</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(24.4)</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2019</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656.1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0.2</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2020</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421.0</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259.2</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2021</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958.3</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(142.0)</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2022</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535.8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174.2</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340" w:type="dxa"/>
            <w:vAlign w:val="bottom"/>
          </w:tcPr>
          <w:p>
            <w:pPr>
              <w:jc w:val="right"/>
              <w:ind w:right="890"/>
              <w:spacing w:after="0"/>
              <w:rPr>
                <w:sz w:val="20"/>
                <w:szCs w:val="20"/>
                <w:color w:val="auto"/>
              </w:rPr>
            </w:pPr>
            <w:r>
              <w:rPr>
                <w:rFonts w:ascii="Calibri" w:cs="Calibri" w:eastAsia="Calibri" w:hAnsi="Calibri"/>
                <w:sz w:val="18"/>
                <w:szCs w:val="18"/>
                <w:i w:val="1"/>
                <w:iCs w:val="1"/>
                <w:color w:val="auto"/>
                <w:w w:val="93"/>
              </w:rPr>
              <w:t>2023</w:t>
            </w:r>
          </w:p>
        </w:tc>
        <w:tc>
          <w:tcPr>
            <w:tcW w:w="13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286.1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256.8</w:t>
            </w:r>
          </w:p>
        </w:tc>
        <w:tc>
          <w:tcPr>
            <w:tcW w:w="18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(1.8)</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(3.2)</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52.2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(34.4)</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17.8</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0.1</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(7.3)</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63.2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(34.5)</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28.7</w:t>
            </w:r>
          </w:p>
        </w:tc>
      </w:tr>
      <w:tr>
        <w:trPr>
          <w:trHeight w:val="23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(1.7)</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4.4</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61.7</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(29.6)</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32.1</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(1.2)</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4.4</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61.7</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(27.2)</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34.5</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0.4</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82.8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(35.8)</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47.0</w:t>
            </w:r>
          </w:p>
        </w:tc>
      </w:tr>
      <w:tr>
        <w:trPr>
          <w:trHeight w:val="23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(1.8)</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125.0</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(45.9)</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79.1</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(10.4)</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0.3</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160.5</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(47.8)</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112.7</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(1.3)</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0.3</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194.1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(51.0)</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143.1</w:t>
            </w:r>
          </w:p>
        </w:tc>
      </w:tr>
      <w:tr>
        <w:trPr>
          <w:trHeight w:val="23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(3.5)</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216.2</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(56.6)</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159.6</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(2.3)</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248.3</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(75.1)</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173.2</w:t>
            </w:r>
          </w:p>
        </w:tc>
      </w:tr>
      <w:tr>
        <w:trPr>
          <w:trHeight w:val="23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(1.0)</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12.5</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271.7</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(87.5)</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184.2</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(0.8)</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(2.0)</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309.8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(93.2)</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216.6</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1.8</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360.6</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(113.8)</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246.8</w:t>
            </w:r>
          </w:p>
        </w:tc>
      </w:tr>
      <w:tr>
        <w:trPr>
          <w:trHeight w:val="230"/>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w w:val="92"/>
              </w:rPr>
              <w:t>(102.4)</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399.8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(142.8)</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257.0</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7.4</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(2.5)</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554.5</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(214.1)</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340.4</w:t>
            </w:r>
          </w:p>
        </w:tc>
      </w:tr>
      <w:tr>
        <w:trPr>
          <w:trHeight w:val="230"/>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2.9</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(0.8)</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658.4</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(225.7)</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432.7</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2.1</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4.0</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686.3</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(215.0)</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471.3</w:t>
            </w:r>
          </w:p>
        </w:tc>
      </w:tr>
      <w:tr>
        <w:trPr>
          <w:trHeight w:val="229"/>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12.6</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826.8</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(252.7)</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574.1</w:t>
            </w:r>
          </w:p>
        </w:tc>
      </w:tr>
      <w:tr>
        <w:trPr>
          <w:trHeight w:val="230"/>
        </w:trPr>
        <w:tc>
          <w:tcPr>
            <w:tcW w:w="58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12.2</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(2.1)</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720.1</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(243.5)</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476.6</w:t>
            </w:r>
          </w:p>
        </w:tc>
      </w:tr>
      <w:tr>
        <w:trPr>
          <w:trHeight w:val="229"/>
        </w:trPr>
        <w:tc>
          <w:tcPr>
            <w:tcW w:w="580" w:type="dxa"/>
            <w:vAlign w:val="bottom"/>
          </w:tcPr>
          <w:p>
            <w:pPr>
              <w:jc w:val="right"/>
              <w:spacing w:after="0"/>
              <w:rPr>
                <w:sz w:val="20"/>
                <w:szCs w:val="20"/>
                <w:color w:val="auto"/>
              </w:rPr>
            </w:pPr>
            <w:r>
              <w:rPr>
                <w:rFonts w:ascii="Calibri" w:cs="Calibri" w:eastAsia="Calibri" w:hAnsi="Calibri"/>
                <w:sz w:val="18"/>
                <w:szCs w:val="18"/>
                <w:i w:val="1"/>
                <w:iCs w:val="1"/>
                <w:color w:val="auto"/>
              </w:rPr>
              <w:t>(3.1)</w:t>
            </w:r>
          </w:p>
        </w:tc>
        <w:tc>
          <w:tcPr>
            <w:tcW w:w="56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i w:val="1"/>
                <w:iCs w:val="1"/>
                <w:color w:val="auto"/>
              </w:rPr>
              <w:t>(4.2)</w:t>
            </w:r>
          </w:p>
        </w:tc>
        <w:tc>
          <w:tcPr>
            <w:tcW w:w="460" w:type="dxa"/>
            <w:vAlign w:val="bottom"/>
          </w:tcPr>
          <w:p>
            <w:pPr>
              <w:jc w:val="right"/>
              <w:ind w:right="190"/>
              <w:spacing w:after="0"/>
              <w:rPr>
                <w:sz w:val="20"/>
                <w:szCs w:val="20"/>
                <w:color w:val="auto"/>
              </w:rPr>
            </w:pPr>
            <w:r>
              <w:rPr>
                <w:rFonts w:ascii="Calibri" w:cs="Calibri" w:eastAsia="Calibri" w:hAnsi="Calibri"/>
                <w:sz w:val="18"/>
                <w:szCs w:val="18"/>
                <w:i w:val="1"/>
                <w:iCs w:val="1"/>
                <w:color w:val="auto"/>
              </w:rPr>
              <w:t>$</w:t>
            </w:r>
          </w:p>
        </w:tc>
        <w:tc>
          <w:tcPr>
            <w:tcW w:w="78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535.6</w:t>
            </w:r>
          </w:p>
        </w:tc>
        <w:tc>
          <w:tcPr>
            <w:tcW w:w="460" w:type="dxa"/>
            <w:vAlign w:val="bottom"/>
          </w:tcPr>
          <w:p>
            <w:pPr>
              <w:jc w:val="right"/>
              <w:ind w:right="170"/>
              <w:spacing w:after="0"/>
              <w:rPr>
                <w:sz w:val="20"/>
                <w:szCs w:val="20"/>
                <w:color w:val="auto"/>
              </w:rPr>
            </w:pPr>
            <w:r>
              <w:rPr>
                <w:rFonts w:ascii="Calibri" w:cs="Calibri" w:eastAsia="Calibri" w:hAnsi="Calibri"/>
                <w:sz w:val="18"/>
                <w:szCs w:val="18"/>
                <w:i w:val="1"/>
                <w:iCs w:val="1"/>
                <w:color w:val="auto"/>
              </w:rPr>
              <w:t>$</w:t>
            </w:r>
          </w:p>
        </w:tc>
        <w:tc>
          <w:tcPr>
            <w:tcW w:w="840" w:type="dxa"/>
            <w:vAlign w:val="bottom"/>
          </w:tcPr>
          <w:p>
            <w:pPr>
              <w:jc w:val="right"/>
              <w:spacing w:after="0"/>
              <w:rPr>
                <w:sz w:val="20"/>
                <w:szCs w:val="20"/>
                <w:color w:val="auto"/>
              </w:rPr>
            </w:pPr>
            <w:r>
              <w:rPr>
                <w:rFonts w:ascii="Calibri" w:cs="Calibri" w:eastAsia="Calibri" w:hAnsi="Calibri"/>
                <w:sz w:val="18"/>
                <w:szCs w:val="18"/>
                <w:i w:val="1"/>
                <w:iCs w:val="1"/>
                <w:color w:val="auto"/>
              </w:rPr>
              <w:t>(275.1)</w:t>
            </w:r>
          </w:p>
        </w:tc>
        <w:tc>
          <w:tcPr>
            <w:tcW w:w="460" w:type="dxa"/>
            <w:vAlign w:val="bottom"/>
          </w:tcPr>
          <w:p>
            <w:pPr>
              <w:jc w:val="right"/>
              <w:ind w:right="210"/>
              <w:spacing w:after="0"/>
              <w:rPr>
                <w:sz w:val="20"/>
                <w:szCs w:val="20"/>
                <w:color w:val="auto"/>
              </w:rPr>
            </w:pPr>
            <w:r>
              <w:rPr>
                <w:rFonts w:ascii="Calibri" w:cs="Calibri" w:eastAsia="Calibri" w:hAnsi="Calibri"/>
                <w:sz w:val="18"/>
                <w:szCs w:val="18"/>
                <w:i w:val="1"/>
                <w:i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i w:val="1"/>
                <w:iCs w:val="1"/>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-2607945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-2315845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-2024380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-1733550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-1442085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-1150620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-858520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-567055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-276225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520"/>
            <w:col w:w="5640"/>
          </w:cols>
          <w:pgMar w:left="320" w:top="107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320" w:top="1072" w:right="399" w:bottom="1440" w:gutter="0" w:footer="0" w:header="0"/>
          <w:type w:val="continuous"/>
        </w:sectPr>
      </w:pPr>
    </w:p>
    <w:bookmarkStart w:id="31" w:name="page32"/>
    <w:bookmarkEnd w:id="31"/>
    <w:p>
      <w:pPr>
        <w:ind w:left="20"/>
        <w:spacing w:after="0"/>
        <w:rPr>
          <w:sz w:val="20"/>
          <w:szCs w:val="20"/>
          <w:color w:val="auto"/>
        </w:rPr>
      </w:pPr>
      <w:r>
        <w:rPr>
          <w:rFonts w:ascii="Calibri" w:cs="Calibri" w:eastAsia="Calibri" w:hAnsi="Calibri"/>
          <w:sz w:val="14"/>
          <w:szCs w:val="14"/>
          <w:color w:val="auto"/>
        </w:rPr>
        <w:t>($ in millions)</w:t>
      </w:r>
    </w:p>
    <w:p>
      <w:pPr>
        <w:spacing w:after="0" w:line="238" w:lineRule="exact"/>
        <w:rPr>
          <w:sz w:val="20"/>
          <w:szCs w:val="20"/>
          <w:color w:val="auto"/>
        </w:rPr>
      </w:pPr>
    </w:p>
    <w:p>
      <w:pPr>
        <w:jc w:val="right"/>
        <w:ind w:right="160"/>
        <w:spacing w:after="0"/>
        <w:tabs>
          <w:tab w:leader="none" w:pos="5560" w:val="left"/>
          <w:tab w:leader="none" w:pos="3920" w:val="left"/>
          <w:tab w:leader="none" w:pos="1020" w:val="left"/>
        </w:tabs>
        <w:rPr>
          <w:sz w:val="20"/>
          <w:szCs w:val="20"/>
          <w:color w:val="auto"/>
        </w:rPr>
      </w:pPr>
      <w:r>
        <w:rPr>
          <w:rFonts w:ascii="Calibri" w:cs="Calibri" w:eastAsia="Calibri" w:hAnsi="Calibri"/>
          <w:sz w:val="14"/>
          <w:szCs w:val="14"/>
          <w:b w:val="1"/>
          <w:bCs w:val="1"/>
          <w:color w:val="auto"/>
        </w:rPr>
        <w:t>GAAP average capital</w:t>
      </w:r>
      <w:r>
        <w:rPr>
          <w:sz w:val="20"/>
          <w:szCs w:val="20"/>
          <w:color w:val="auto"/>
        </w:rPr>
        <w:tab/>
      </w:r>
      <w:r>
        <w:rPr>
          <w:rFonts w:ascii="Calibri" w:cs="Calibri" w:eastAsia="Calibri" w:hAnsi="Calibri"/>
          <w:sz w:val="14"/>
          <w:szCs w:val="14"/>
          <w:b w:val="1"/>
          <w:bCs w:val="1"/>
          <w:color w:val="auto"/>
        </w:rPr>
        <w:t>Floatng yield</w:t>
      </w:r>
      <w:r>
        <w:rPr>
          <w:sz w:val="20"/>
          <w:szCs w:val="20"/>
          <w:color w:val="auto"/>
        </w:rPr>
        <w:tab/>
      </w:r>
      <w:r>
        <w:rPr>
          <w:rFonts w:ascii="Calibri" w:cs="Calibri" w:eastAsia="Calibri" w:hAnsi="Calibri"/>
          <w:sz w:val="14"/>
          <w:szCs w:val="14"/>
          <w:b w:val="1"/>
          <w:bCs w:val="1"/>
          <w:color w:val="auto"/>
        </w:rPr>
        <w:t>Income tax</w:t>
      </w:r>
      <w:r>
        <w:rPr>
          <w:sz w:val="20"/>
          <w:szCs w:val="20"/>
          <w:color w:val="auto"/>
        </w:rPr>
        <w:tab/>
      </w:r>
      <w:r>
        <w:rPr>
          <w:rFonts w:ascii="Calibri" w:cs="Calibri" w:eastAsia="Calibri" w:hAnsi="Calibri"/>
          <w:sz w:val="14"/>
          <w:szCs w:val="14"/>
          <w:b w:val="1"/>
          <w:bCs w:val="1"/>
          <w:color w:val="auto"/>
        </w:rPr>
        <w:t>Adjusted average</w:t>
      </w:r>
    </w:p>
    <w:p>
      <w:pPr>
        <w:ind w:left="4000"/>
        <w:spacing w:after="0" w:line="222" w:lineRule="auto"/>
        <w:tabs>
          <w:tab w:leader="none" w:pos="5460" w:val="left"/>
          <w:tab w:leader="none" w:pos="7020" w:val="left"/>
          <w:tab w:leader="none" w:pos="8320" w:val="left"/>
          <w:tab w:leader="none" w:pos="10000" w:val="left"/>
        </w:tabs>
        <w:rPr>
          <w:sz w:val="20"/>
          <w:szCs w:val="20"/>
          <w:color w:val="auto"/>
        </w:rPr>
      </w:pPr>
      <w:r>
        <w:rPr>
          <w:rFonts w:ascii="Calibri" w:cs="Calibri" w:eastAsia="Calibri" w:hAnsi="Calibri"/>
          <w:sz w:val="14"/>
          <w:szCs w:val="14"/>
          <w:b w:val="1"/>
          <w:bCs w:val="1"/>
          <w:color w:val="auto"/>
        </w:rPr>
        <w:t>invested</w:t>
      </w:r>
      <w:r>
        <w:rPr>
          <w:rFonts w:ascii="Calibri" w:cs="Calibri" w:eastAsia="Calibri" w:hAnsi="Calibri"/>
          <w:sz w:val="18"/>
          <w:szCs w:val="18"/>
          <w:b w:val="1"/>
          <w:bCs w:val="1"/>
          <w:color w:val="auto"/>
          <w:vertAlign w:val="superscript"/>
        </w:rPr>
        <w:t>1</w:t>
      </w:r>
      <w:r>
        <w:rPr>
          <w:sz w:val="20"/>
          <w:szCs w:val="20"/>
          <w:color w:val="auto"/>
        </w:rPr>
        <w:tab/>
      </w:r>
      <w:r>
        <w:rPr>
          <w:rFonts w:ascii="Calibri" w:cs="Calibri" w:eastAsia="Calibri" w:hAnsi="Calibri"/>
          <w:sz w:val="14"/>
          <w:szCs w:val="14"/>
          <w:b w:val="1"/>
          <w:bCs w:val="1"/>
          <w:color w:val="auto"/>
        </w:rPr>
        <w:t>adjustment</w:t>
      </w:r>
      <w:r>
        <w:rPr>
          <w:sz w:val="20"/>
          <w:szCs w:val="20"/>
          <w:color w:val="auto"/>
        </w:rPr>
        <w:tab/>
      </w:r>
      <w:r>
        <w:rPr>
          <w:rFonts w:ascii="Calibri" w:cs="Calibri" w:eastAsia="Calibri" w:hAnsi="Calibri"/>
          <w:sz w:val="14"/>
          <w:szCs w:val="14"/>
          <w:b w:val="1"/>
          <w:bCs w:val="1"/>
          <w:color w:val="auto"/>
        </w:rPr>
        <w:t>adjustment</w:t>
      </w:r>
      <w:r>
        <w:rPr>
          <w:sz w:val="20"/>
          <w:szCs w:val="20"/>
          <w:color w:val="auto"/>
        </w:rPr>
        <w:tab/>
      </w:r>
      <w:r>
        <w:rPr>
          <w:rFonts w:ascii="Calibri" w:cs="Calibri" w:eastAsia="Calibri" w:hAnsi="Calibri"/>
          <w:sz w:val="14"/>
          <w:szCs w:val="14"/>
          <w:b w:val="1"/>
          <w:bCs w:val="1"/>
          <w:color w:val="auto"/>
        </w:rPr>
        <w:t>Other adjustments</w:t>
      </w:r>
      <w:r>
        <w:rPr>
          <w:rFonts w:ascii="Calibri" w:cs="Calibri" w:eastAsia="Calibri" w:hAnsi="Calibri"/>
          <w:sz w:val="18"/>
          <w:szCs w:val="18"/>
          <w:b w:val="1"/>
          <w:bCs w:val="1"/>
          <w:color w:val="auto"/>
          <w:vertAlign w:val="superscript"/>
        </w:rPr>
        <w:t>2</w:t>
      </w:r>
      <w:r>
        <w:rPr>
          <w:sz w:val="20"/>
          <w:szCs w:val="20"/>
          <w:color w:val="auto"/>
        </w:rPr>
        <w:tab/>
      </w:r>
      <w:r>
        <w:rPr>
          <w:rFonts w:ascii="Calibri" w:cs="Calibri" w:eastAsia="Calibri" w:hAnsi="Calibri"/>
          <w:sz w:val="14"/>
          <w:szCs w:val="14"/>
          <w:b w:val="1"/>
          <w:bCs w:val="1"/>
          <w:color w:val="auto"/>
        </w:rPr>
        <w:t>capital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60"/>
          </w:cols>
          <w:pgMar w:left="360" w:top="1123" w:right="379" w:bottom="1440" w:gutter="0" w:footer="0" w:header="0"/>
        </w:sectPr>
      </w:pP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2004</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476.5</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2005</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519.4</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2006</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548.0</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2007</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706.1</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2008</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960.7</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2009</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983.6</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2010</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1,057.3</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2011</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1,346.0</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2012</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1,715.3</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2013</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2,024.5</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2014</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2,324.8</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2015</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2,792.8</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2016</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3,513.1</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2017</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4,200.2</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2018</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5,425.8</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2019</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6,399.2</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2020</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6,874.7</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2021</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6,914.1</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2022</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6,302.3</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1960" w:type="dxa"/>
            <w:vAlign w:val="bottom"/>
          </w:tcPr>
          <w:p>
            <w:pPr>
              <w:jc w:val="right"/>
              <w:ind w:right="1510"/>
              <w:spacing w:after="0"/>
              <w:rPr>
                <w:sz w:val="20"/>
                <w:szCs w:val="20"/>
                <w:color w:val="auto"/>
              </w:rPr>
            </w:pPr>
            <w:r>
              <w:rPr>
                <w:rFonts w:ascii="Calibri" w:cs="Calibri" w:eastAsia="Calibri" w:hAnsi="Calibri"/>
                <w:sz w:val="18"/>
                <w:szCs w:val="18"/>
                <w:i w:val="1"/>
                <w:iCs w:val="1"/>
                <w:color w:val="auto"/>
                <w:w w:val="93"/>
              </w:rPr>
              <w:t>2023</w:t>
            </w:r>
          </w:p>
        </w:tc>
        <w:tc>
          <w:tcPr>
            <w:tcW w:w="2040" w:type="dxa"/>
            <w:vAlign w:val="bottom"/>
          </w:tcPr>
          <w:p>
            <w:pPr>
              <w:jc w:val="right"/>
              <w:ind w:right="27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6,508.6</w:t>
            </w:r>
          </w:p>
        </w:tc>
        <w:tc>
          <w:tcPr>
            <w:tcW w:w="20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-2607945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-2315845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-2024380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-1732915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-1442085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-1150620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-858520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-567055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-275590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8.7</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7.5</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5.5</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8.2</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13.8</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13.2</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5.2</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9.4</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11.1</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9.9</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6.7</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7.0</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i w:val="1"/>
                <w:iCs w:val="1"/>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29.6</w:t>
            </w:r>
          </w:p>
        </w:tc>
        <w:tc>
          <w:tcPr>
            <w:tcW w:w="580" w:type="dxa"/>
            <w:vAlign w:val="bottom"/>
          </w:tcPr>
          <w:p>
            <w:pPr>
              <w:jc w:val="right"/>
              <w:ind w:right="290"/>
              <w:spacing w:after="0"/>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51.6</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(4.1)</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80.8</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(117.8)</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66.2</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(118.5)</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w w:val="92"/>
              </w:rPr>
              <w:t>287.6</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(118.5)</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30"/>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w w:val="92"/>
              </w:rPr>
              <w:t>243.0</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(118.5)</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w w:val="92"/>
              </w:rPr>
              <w:t>250.8</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(118.5)</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r>
        <w:trPr>
          <w:trHeight w:val="229"/>
        </w:trPr>
        <w:tc>
          <w:tcPr>
            <w:tcW w:w="500" w:type="dxa"/>
            <w:vAlign w:val="bottom"/>
          </w:tcPr>
          <w:p>
            <w:pPr>
              <w:jc w:val="right"/>
              <w:ind w:right="10"/>
              <w:spacing w:after="0"/>
              <w:rPr>
                <w:sz w:val="20"/>
                <w:szCs w:val="20"/>
                <w:color w:val="auto"/>
              </w:rPr>
            </w:pPr>
            <w:r>
              <w:rPr>
                <w:rFonts w:ascii="Calibri" w:cs="Calibri" w:eastAsia="Calibri" w:hAnsi="Calibri"/>
                <w:sz w:val="18"/>
                <w:szCs w:val="18"/>
                <w:i w:val="1"/>
                <w:iCs w:val="1"/>
                <w:color w:val="auto"/>
                <w:w w:val="92"/>
              </w:rPr>
              <w:t>490.7</w:t>
            </w:r>
          </w:p>
        </w:tc>
        <w:tc>
          <w:tcPr>
            <w:tcW w:w="580" w:type="dxa"/>
            <w:vAlign w:val="bottom"/>
          </w:tcPr>
          <w:p>
            <w:pPr>
              <w:jc w:val="right"/>
              <w:ind w:right="290"/>
              <w:spacing w:after="0"/>
              <w:rPr>
                <w:sz w:val="20"/>
                <w:szCs w:val="20"/>
                <w:color w:val="auto"/>
              </w:rPr>
            </w:pPr>
            <w:r>
              <w:rPr>
                <w:rFonts w:ascii="Calibri" w:cs="Calibri" w:eastAsia="Calibri" w:hAnsi="Calibri"/>
                <w:sz w:val="18"/>
                <w:szCs w:val="18"/>
                <w:i w:val="1"/>
                <w:iCs w:val="1"/>
                <w:color w:val="auto"/>
              </w:rPr>
              <w:t>$</w:t>
            </w:r>
          </w:p>
        </w:tc>
        <w:tc>
          <w:tcPr>
            <w:tcW w:w="1000" w:type="dxa"/>
            <w:vAlign w:val="bottom"/>
          </w:tcPr>
          <w:p>
            <w:pPr>
              <w:jc w:val="right"/>
              <w:ind w:right="10"/>
              <w:spacing w:after="0"/>
              <w:rPr>
                <w:sz w:val="20"/>
                <w:szCs w:val="20"/>
                <w:color w:val="auto"/>
              </w:rPr>
            </w:pPr>
            <w:r>
              <w:rPr>
                <w:rFonts w:ascii="Calibri" w:cs="Calibri" w:eastAsia="Calibri" w:hAnsi="Calibri"/>
                <w:sz w:val="18"/>
                <w:szCs w:val="18"/>
                <w:i w:val="1"/>
                <w:iCs w:val="1"/>
                <w:color w:val="auto"/>
              </w:rPr>
              <w:t>(118.5)</w:t>
            </w:r>
          </w:p>
        </w:tc>
        <w:tc>
          <w:tcPr>
            <w:tcW w:w="160" w:type="dxa"/>
            <w:vAlign w:val="bottom"/>
          </w:tcPr>
          <w:p>
            <w:pPr>
              <w:jc w:val="right"/>
              <w:spacing w:after="0"/>
              <w:rPr>
                <w:sz w:val="20"/>
                <w:szCs w:val="20"/>
                <w:color w:val="auto"/>
              </w:rPr>
            </w:pPr>
            <w:r>
              <w:rPr>
                <w:rFonts w:ascii="Calibri" w:cs="Calibri" w:eastAsia="Calibri" w:hAnsi="Calibri"/>
                <w:sz w:val="18"/>
                <w:szCs w:val="18"/>
                <w:i w:val="1"/>
                <w:iCs w:val="1"/>
                <w:color w:val="auto"/>
              </w:rPr>
              <w:t>$</w:t>
            </w: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(1.5)</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(3.5)</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(5.0)</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(4.2)</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0.5</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1.9</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11.7</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15.7</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16.4</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color w:val="auto"/>
        </w:rPr>
        <w:t>14.8</w:t>
      </w:r>
      <w:r>
        <w:rPr>
          <w:sz w:val="20"/>
          <w:szCs w:val="20"/>
          <w:color w:val="auto"/>
        </w:rPr>
        <w:tab/>
      </w:r>
      <w:r>
        <w:rPr>
          <w:rFonts w:ascii="Calibri" w:cs="Calibri" w:eastAsia="Calibri" w:hAnsi="Calibri"/>
          <w:sz w:val="18"/>
          <w:szCs w:val="18"/>
          <w:i w:val="1"/>
          <w:iCs w:val="1"/>
          <w:color w:val="auto"/>
        </w:rPr>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6.6</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32.1</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29.3</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28.7</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32.1</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25.3</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32.2</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39.8</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31.5</w:t>
        <w:tab/>
        <w:t>$</w:t>
      </w:r>
    </w:p>
    <w:p>
      <w:pPr>
        <w:spacing w:after="0" w:line="10" w:lineRule="exact"/>
        <w:rPr>
          <w:sz w:val="20"/>
          <w:szCs w:val="20"/>
          <w:color w:val="auto"/>
        </w:rPr>
      </w:pPr>
    </w:p>
    <w:p>
      <w:pPr>
        <w:jc w:val="right"/>
        <w:spacing w:after="0"/>
        <w:tabs>
          <w:tab w:leader="none" w:pos="80" w:val="left"/>
        </w:tabs>
        <w:rPr>
          <w:sz w:val="20"/>
          <w:szCs w:val="20"/>
          <w:color w:val="auto"/>
        </w:rPr>
      </w:pPr>
      <w:r>
        <w:rPr>
          <w:rFonts w:ascii="Calibri" w:cs="Calibri" w:eastAsia="Calibri" w:hAnsi="Calibri"/>
          <w:sz w:val="18"/>
          <w:szCs w:val="18"/>
          <w:i w:val="1"/>
          <w:iCs w:val="1"/>
          <w:color w:val="auto"/>
        </w:rPr>
        <w:t>29.0</w:t>
        <w:tab/>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483.7</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523.4</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548.5</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710.1</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975.0</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i w:val="1"/>
          <w:iCs w:val="1"/>
          <w:color w:val="auto"/>
        </w:rPr>
        <w:t>998.7</w:t>
      </w:r>
    </w:p>
    <w:p>
      <w:pPr>
        <w:spacing w:after="0" w:line="15"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1,074.2</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1,371.1</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1,742.8</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2,049.2</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2,338.1</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2,831.9</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3,572.0</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4,276.4</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5,420.9</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6,372.2</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7,076.0</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7,078.4</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6,466.1</w:t>
      </w:r>
    </w:p>
    <w:p>
      <w:pPr>
        <w:spacing w:after="0" w:line="22" w:lineRule="exact"/>
        <w:rPr>
          <w:sz w:val="20"/>
          <w:szCs w:val="20"/>
          <w:color w:val="auto"/>
        </w:rPr>
      </w:pPr>
    </w:p>
    <w:p>
      <w:pPr>
        <w:jc w:val="right"/>
        <w:ind w:right="20"/>
        <w:spacing w:after="0"/>
        <w:rPr>
          <w:sz w:val="20"/>
          <w:szCs w:val="20"/>
          <w:color w:val="auto"/>
        </w:rPr>
      </w:pPr>
      <w:r>
        <w:rPr>
          <w:rFonts w:ascii="Calibri" w:cs="Calibri" w:eastAsia="Calibri" w:hAnsi="Calibri"/>
          <w:sz w:val="17"/>
          <w:szCs w:val="17"/>
          <w:i w:val="1"/>
          <w:iCs w:val="1"/>
          <w:color w:val="auto"/>
        </w:rPr>
        <w:t>6,909.8</w:t>
      </w:r>
    </w:p>
    <w:p>
      <w:pPr>
        <w:spacing w:after="0" w:line="146" w:lineRule="exact"/>
        <w:rPr>
          <w:sz w:val="20"/>
          <w:szCs w:val="20"/>
          <w:color w:val="auto"/>
        </w:rPr>
      </w:pPr>
    </w:p>
    <w:p>
      <w:pPr>
        <w:sectPr>
          <w:pgSz w:w="11900" w:h="16838" w:orient="portrait"/>
          <w:cols w:equalWidth="0" w:num="4">
            <w:col w:w="5360" w:space="720"/>
            <w:col w:w="2460" w:space="720"/>
            <w:col w:w="620" w:space="720"/>
            <w:col w:w="560"/>
          </w:cols>
          <w:pgMar w:left="360" w:top="1123" w:right="379" w:bottom="1440" w:gutter="0" w:footer="0" w:header="0"/>
          <w:type w:val="continuous"/>
        </w:sectPr>
      </w:pPr>
    </w:p>
    <w:p>
      <w:pPr>
        <w:spacing w:after="0"/>
        <w:rPr>
          <w:sz w:val="20"/>
          <w:szCs w:val="20"/>
          <w:color w:val="auto"/>
        </w:rPr>
      </w:pPr>
      <w:r>
        <w:rPr>
          <w:rFonts w:ascii="Calibri" w:cs="Calibri" w:eastAsia="Calibri" w:hAnsi="Calibri"/>
          <w:sz w:val="18"/>
          <w:szCs w:val="18"/>
          <w:color w:val="auto"/>
          <w:vertAlign w:val="superscript"/>
        </w:rPr>
        <w:t>1</w:t>
      </w:r>
      <w:r>
        <w:rPr>
          <w:rFonts w:ascii="Calibri" w:cs="Calibri" w:eastAsia="Calibri" w:hAnsi="Calibri"/>
          <w:sz w:val="14"/>
          <w:szCs w:val="14"/>
          <w:color w:val="auto"/>
        </w:rPr>
        <w:t>Average capital invested is defned as average debt plus average shareholders’ equity.</w:t>
      </w:r>
    </w:p>
    <w:p>
      <w:pPr>
        <w:jc w:val="both"/>
        <w:ind w:left="40" w:hanging="40"/>
        <w:spacing w:after="0" w:line="217" w:lineRule="auto"/>
        <w:rPr>
          <w:sz w:val="20"/>
          <w:szCs w:val="20"/>
          <w:color w:val="auto"/>
        </w:rPr>
      </w:pPr>
      <w:r>
        <w:rPr>
          <w:rFonts w:ascii="Calibri" w:cs="Calibri" w:eastAsia="Calibri" w:hAnsi="Calibri"/>
          <w:sz w:val="18"/>
          <w:szCs w:val="18"/>
          <w:color w:val="auto"/>
          <w:vertAlign w:val="superscript"/>
        </w:rPr>
        <w:t>2</w:t>
      </w:r>
      <w:r>
        <w:rPr>
          <w:rFonts w:ascii="Calibri" w:cs="Calibri" w:eastAsia="Calibri" w:hAnsi="Calibri"/>
          <w:sz w:val="14"/>
          <w:szCs w:val="14"/>
          <w:color w:val="auto"/>
        </w:rPr>
        <w:t>Other adjustments include the deferred debt issuance adjustment, which reverses the impact of the reclassifcaton of deferred debt issuance costs from other assets to GAAP average debt as a result of the adopton by the Financial Accountng Standards Board of Accountng Standards Update (ASU) No. 2015-03, as amended by ASU No. 2015-05. The net efect of this adjustment is to report adjusted average capital invested on the same basis as reported in historical shareholder leters.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60" w:top="1123" w:right="37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GAAP return on</w:t>
            </w:r>
          </w:p>
        </w:tc>
        <w:tc>
          <w:tcPr>
            <w:tcW w:w="1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Floatng yield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92"/>
              <w:spacing w:after="0"/>
              <w:rPr>
                <w:sz w:val="20"/>
                <w:szCs w:val="20"/>
                <w:color w:val="auto"/>
              </w:rPr>
            </w:pPr>
            <w:r>
              <w:rPr>
                <w:rFonts w:ascii="Calibri" w:cs="Calibri" w:eastAsia="Calibri" w:hAnsi="Calibri"/>
                <w:sz w:val="14"/>
                <w:szCs w:val="14"/>
                <w:b w:val="1"/>
                <w:bCs w:val="1"/>
                <w:color w:val="auto"/>
              </w:rPr>
              <w:t>Adjusted return on</w:t>
            </w:r>
          </w:p>
        </w:tc>
      </w:tr>
      <w:tr>
        <w:trPr>
          <w:trHeight w:val="222"/>
        </w:trPr>
        <w:tc>
          <w:tcPr>
            <w:tcW w:w="330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capital</w:t>
            </w:r>
            <w:r>
              <w:rPr>
                <w:rFonts w:ascii="Calibri" w:cs="Calibri" w:eastAsia="Calibri" w:hAnsi="Calibri"/>
                <w:sz w:val="18"/>
                <w:szCs w:val="18"/>
                <w:b w:val="1"/>
                <w:bCs w:val="1"/>
                <w:color w:val="auto"/>
                <w:vertAlign w:val="superscript"/>
              </w:rPr>
              <w:t>1</w:t>
            </w:r>
          </w:p>
        </w:tc>
        <w:tc>
          <w:tcPr>
            <w:tcW w:w="16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adjustment</w:t>
            </w:r>
          </w:p>
        </w:tc>
        <w:tc>
          <w:tcPr>
            <w:tcW w:w="162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Income tax adjustment</w:t>
            </w:r>
          </w:p>
        </w:tc>
        <w:tc>
          <w:tcPr>
            <w:tcW w:w="1640" w:type="dxa"/>
            <w:vAlign w:val="bottom"/>
            <w:gridSpan w:val="2"/>
          </w:tcPr>
          <w:p>
            <w:pPr>
              <w:ind w:left="180"/>
              <w:spacing w:after="0"/>
              <w:rPr>
                <w:sz w:val="20"/>
                <w:szCs w:val="20"/>
                <w:color w:val="auto"/>
              </w:rPr>
            </w:pPr>
            <w:r>
              <w:rPr>
                <w:rFonts w:ascii="Calibri" w:cs="Calibri" w:eastAsia="Calibri" w:hAnsi="Calibri"/>
                <w:sz w:val="14"/>
                <w:szCs w:val="14"/>
                <w:b w:val="1"/>
                <w:bCs w:val="1"/>
                <w:color w:val="auto"/>
              </w:rPr>
              <w:t>Other adjustments</w:t>
            </w:r>
            <w:r>
              <w:rPr>
                <w:rFonts w:ascii="Calibri" w:cs="Calibri" w:eastAsia="Calibri" w:hAnsi="Calibri"/>
                <w:sz w:val="18"/>
                <w:szCs w:val="18"/>
                <w:b w:val="1"/>
                <w:bCs w:val="1"/>
                <w:color w:val="auto"/>
                <w:vertAlign w:val="superscript"/>
              </w:rPr>
              <w:t>2</w:t>
            </w:r>
          </w:p>
        </w:tc>
        <w:tc>
          <w:tcPr>
            <w:tcW w:w="1480" w:type="dxa"/>
            <w:vAlign w:val="bottom"/>
          </w:tcPr>
          <w:p>
            <w:pPr>
              <w:jc w:val="right"/>
              <w:ind w:right="452"/>
              <w:spacing w:after="0"/>
              <w:rPr>
                <w:sz w:val="20"/>
                <w:szCs w:val="20"/>
                <w:color w:val="auto"/>
              </w:rPr>
            </w:pPr>
            <w:r>
              <w:rPr>
                <w:rFonts w:ascii="Calibri" w:cs="Calibri" w:eastAsia="Calibri" w:hAnsi="Calibri"/>
                <w:sz w:val="14"/>
                <w:szCs w:val="14"/>
                <w:b w:val="1"/>
                <w:bCs w:val="1"/>
                <w:color w:val="auto"/>
              </w:rPr>
              <w:t>capital</w:t>
            </w:r>
          </w:p>
        </w:tc>
      </w:tr>
      <w:tr>
        <w:trPr>
          <w:trHeight w:val="35"/>
        </w:trPr>
        <w:tc>
          <w:tcPr>
            <w:tcW w:w="33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23"/>
        </w:trPr>
        <w:tc>
          <w:tcPr>
            <w:tcW w:w="3300" w:type="dxa"/>
            <w:vAlign w:val="bottom"/>
            <w:shd w:val="clear" w:color="auto" w:fill="CCEEFF"/>
          </w:tcPr>
          <w:p>
            <w:pPr>
              <w:jc w:val="right"/>
              <w:ind w:right="2790"/>
              <w:spacing w:after="0" w:line="199" w:lineRule="exact"/>
              <w:rPr>
                <w:sz w:val="20"/>
                <w:szCs w:val="20"/>
                <w:color w:val="auto"/>
              </w:rPr>
            </w:pPr>
            <w:r>
              <w:rPr>
                <w:rFonts w:ascii="Calibri" w:cs="Calibri" w:eastAsia="Calibri" w:hAnsi="Calibri"/>
                <w:sz w:val="18"/>
                <w:szCs w:val="18"/>
                <w:i w:val="1"/>
                <w:iCs w:val="1"/>
                <w:color w:val="auto"/>
              </w:rPr>
              <w:t>2004</w:t>
            </w:r>
          </w:p>
        </w:tc>
        <w:tc>
          <w:tcPr>
            <w:tcW w:w="1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13.5 %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-0.3 %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-0.6 %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12.3 %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2005</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15.6 %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-0.6 %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13.7 %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2006</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13.3 %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13.9 %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2007</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11.0 %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11.9 %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2008</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9.8 %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11.3 %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2009</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17.0 %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14.6 %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2010</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18.9 %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17.7 %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2011</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16.7 %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16.8 %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2012</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15.1 %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14.7 %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2013</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14.5 %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14.1 %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2014</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13.1 %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13.2 %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2015</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12.5 %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12.7 %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2016</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11.3 %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0.7 %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2017</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13.0 %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-2.3 %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11.2 %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2018</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12.8 %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-0.6 %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12.5 %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2019</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12.6 %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12.7 %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2020</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8.3 %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3.3 %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11.8 %</w:t>
            </w:r>
          </w:p>
        </w:tc>
      </w:tr>
      <w:tr>
        <w:trPr>
          <w:trHeight w:val="222"/>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2021</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15.7 %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-2.5 %</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c>
          <w:tcPr>
            <w:tcW w:w="120" w:type="dxa"/>
            <w:vAlign w:val="bottom"/>
          </w:tcPr>
          <w:p>
            <w:pPr>
              <w:spacing w:after="0"/>
              <w:rPr>
                <w:sz w:val="19"/>
                <w:szCs w:val="19"/>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13.5 %</w:t>
            </w:r>
          </w:p>
        </w:tc>
      </w:tr>
      <w:tr>
        <w:trPr>
          <w:trHeight w:val="237"/>
        </w:trPr>
        <w:tc>
          <w:tcPr>
            <w:tcW w:w="3300" w:type="dxa"/>
            <w:vAlign w:val="bottom"/>
            <w:shd w:val="clear" w:color="auto" w:fill="CCEEFF"/>
          </w:tcPr>
          <w:p>
            <w:pPr>
              <w:jc w:val="right"/>
              <w:ind w:right="2790"/>
              <w:spacing w:after="0"/>
              <w:rPr>
                <w:sz w:val="20"/>
                <w:szCs w:val="20"/>
                <w:color w:val="auto"/>
              </w:rPr>
            </w:pPr>
            <w:r>
              <w:rPr>
                <w:rFonts w:ascii="Calibri" w:cs="Calibri" w:eastAsia="Calibri" w:hAnsi="Calibri"/>
                <w:sz w:val="18"/>
                <w:szCs w:val="18"/>
                <w:i w:val="1"/>
                <w:iCs w:val="1"/>
                <w:color w:val="auto"/>
              </w:rPr>
              <w:t>2022</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10.6 %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13.2 %</w:t>
            </w:r>
          </w:p>
        </w:tc>
      </w:tr>
      <w:tr>
        <w:trPr>
          <w:trHeight w:val="215"/>
        </w:trPr>
        <w:tc>
          <w:tcPr>
            <w:tcW w:w="3300" w:type="dxa"/>
            <w:vAlign w:val="bottom"/>
          </w:tcPr>
          <w:p>
            <w:pPr>
              <w:jc w:val="right"/>
              <w:ind w:right="2790"/>
              <w:spacing w:after="0" w:line="215" w:lineRule="exact"/>
              <w:rPr>
                <w:sz w:val="20"/>
                <w:szCs w:val="20"/>
                <w:color w:val="auto"/>
              </w:rPr>
            </w:pPr>
            <w:r>
              <w:rPr>
                <w:rFonts w:ascii="Calibri" w:cs="Calibri" w:eastAsia="Calibri" w:hAnsi="Calibri"/>
                <w:sz w:val="18"/>
                <w:szCs w:val="18"/>
                <w:i w:val="1"/>
                <w:iCs w:val="1"/>
                <w:color w:val="auto"/>
              </w:rPr>
              <w:t>2023</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7.6 %</w:t>
            </w:r>
          </w:p>
        </w:tc>
        <w:tc>
          <w:tcPr>
            <w:tcW w:w="1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3.0 %</w:t>
            </w:r>
          </w:p>
        </w:tc>
        <w:tc>
          <w:tcPr>
            <w:tcW w:w="1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10.8 %</w:t>
            </w:r>
          </w:p>
        </w:tc>
      </w:tr>
    </w:tbl>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vertAlign w:val="superscript"/>
        </w:rPr>
        <w:t>1</w:t>
      </w:r>
      <w:r>
        <w:rPr>
          <w:rFonts w:ascii="Calibri" w:cs="Calibri" w:eastAsia="Calibri" w:hAnsi="Calibri"/>
          <w:sz w:val="14"/>
          <w:szCs w:val="14"/>
          <w:color w:val="auto"/>
        </w:rPr>
        <w:t>Return on capital is defned as net income plus afer-tax interest expense divided by average capital.</w:t>
      </w:r>
    </w:p>
    <w:p>
      <w:pPr>
        <w:spacing w:after="0" w:line="41" w:lineRule="exact"/>
        <w:rPr>
          <w:sz w:val="20"/>
          <w:szCs w:val="20"/>
          <w:color w:val="auto"/>
        </w:rPr>
      </w:pPr>
    </w:p>
    <w:p>
      <w:pPr>
        <w:ind w:left="80" w:right="40" w:hanging="40"/>
        <w:spacing w:after="0" w:line="225" w:lineRule="auto"/>
        <w:rPr>
          <w:sz w:val="20"/>
          <w:szCs w:val="20"/>
          <w:color w:val="auto"/>
        </w:rPr>
      </w:pPr>
      <w:r>
        <w:rPr>
          <w:rFonts w:ascii="Calibri" w:cs="Calibri" w:eastAsia="Calibri" w:hAnsi="Calibri"/>
          <w:sz w:val="18"/>
          <w:szCs w:val="18"/>
          <w:color w:val="auto"/>
          <w:vertAlign w:val="superscript"/>
        </w:rPr>
        <w:t>2</w:t>
      </w:r>
      <w:r>
        <w:rPr>
          <w:rFonts w:ascii="Calibri" w:cs="Calibri" w:eastAsia="Calibri" w:hAnsi="Calibri"/>
          <w:sz w:val="14"/>
          <w:szCs w:val="14"/>
          <w:color w:val="auto"/>
        </w:rPr>
        <w:t>Other adjustments include the deferred debt issuance adjustment, which reverses the impact of the reclassifcaton of deferred debt issuance costs from other assets to GAAP average debt as a result of the adopton by the Financial Accountng Standards Board of ASU No. 2015-03, as amended by ASU No. 2015-05. The net efect of this adjustment is to report adjusted return on capital on the same basis as reported in historical shareholder leters.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GAAP weighted</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alibri" w:cs="Calibri" w:eastAsia="Calibri" w:hAnsi="Calibri"/>
                <w:sz w:val="14"/>
                <w:szCs w:val="14"/>
                <w:b w:val="1"/>
                <w:bCs w:val="1"/>
                <w:color w:val="auto"/>
              </w:rPr>
              <w:t>Adjusted weighted</w:t>
            </w:r>
          </w:p>
        </w:tc>
      </w:tr>
      <w:tr>
        <w:trPr>
          <w:trHeight w:val="136"/>
        </w:trPr>
        <w:tc>
          <w:tcPr>
            <w:tcW w:w="3820" w:type="dxa"/>
            <w:vAlign w:val="bottom"/>
          </w:tcPr>
          <w:p>
            <w:pPr>
              <w:spacing w:after="0"/>
              <w:rPr>
                <w:sz w:val="11"/>
                <w:szCs w:val="11"/>
                <w:color w:val="auto"/>
              </w:rPr>
            </w:pPr>
          </w:p>
        </w:tc>
        <w:tc>
          <w:tcPr>
            <w:tcW w:w="1500" w:type="dxa"/>
            <w:vAlign w:val="bottom"/>
            <w:gridSpan w:val="2"/>
          </w:tcPr>
          <w:p>
            <w:pPr>
              <w:jc w:val="center"/>
              <w:ind w:right="120"/>
              <w:spacing w:after="0" w:line="136" w:lineRule="exact"/>
              <w:rPr>
                <w:sz w:val="20"/>
                <w:szCs w:val="20"/>
                <w:color w:val="auto"/>
              </w:rPr>
            </w:pPr>
            <w:r>
              <w:rPr>
                <w:rFonts w:ascii="Calibri" w:cs="Calibri" w:eastAsia="Calibri" w:hAnsi="Calibri"/>
                <w:sz w:val="14"/>
                <w:szCs w:val="14"/>
                <w:b w:val="1"/>
                <w:bCs w:val="1"/>
                <w:color w:val="auto"/>
              </w:rPr>
              <w:t>average cost of</w:t>
            </w:r>
          </w:p>
        </w:tc>
        <w:tc>
          <w:tcPr>
            <w:tcW w:w="1500" w:type="dxa"/>
            <w:vAlign w:val="bottom"/>
            <w:gridSpan w:val="2"/>
          </w:tcPr>
          <w:p>
            <w:pPr>
              <w:jc w:val="center"/>
              <w:ind w:right="140"/>
              <w:spacing w:after="0" w:line="136" w:lineRule="exact"/>
              <w:rPr>
                <w:sz w:val="20"/>
                <w:szCs w:val="20"/>
                <w:color w:val="auto"/>
              </w:rPr>
            </w:pPr>
            <w:r>
              <w:rPr>
                <w:rFonts w:ascii="Calibri" w:cs="Calibri" w:eastAsia="Calibri" w:hAnsi="Calibri"/>
                <w:sz w:val="14"/>
                <w:szCs w:val="14"/>
                <w:b w:val="1"/>
                <w:bCs w:val="1"/>
                <w:color w:val="auto"/>
              </w:rPr>
              <w:t>Floatng yield</w:t>
            </w:r>
          </w:p>
        </w:tc>
        <w:tc>
          <w:tcPr>
            <w:tcW w:w="1520" w:type="dxa"/>
            <w:vAlign w:val="bottom"/>
            <w:gridSpan w:val="2"/>
          </w:tcPr>
          <w:p>
            <w:pPr>
              <w:ind w:left="380"/>
              <w:spacing w:after="0" w:line="136" w:lineRule="exact"/>
              <w:rPr>
                <w:sz w:val="20"/>
                <w:szCs w:val="20"/>
                <w:color w:val="auto"/>
              </w:rPr>
            </w:pPr>
            <w:r>
              <w:rPr>
                <w:rFonts w:ascii="Calibri" w:cs="Calibri" w:eastAsia="Calibri" w:hAnsi="Calibri"/>
                <w:sz w:val="14"/>
                <w:szCs w:val="14"/>
                <w:b w:val="1"/>
                <w:bCs w:val="1"/>
                <w:color w:val="auto"/>
              </w:rPr>
              <w:t>Income tax</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6" w:lineRule="exact"/>
              <w:rPr>
                <w:sz w:val="20"/>
                <w:szCs w:val="20"/>
                <w:color w:val="auto"/>
              </w:rPr>
            </w:pPr>
            <w:r>
              <w:rPr>
                <w:rFonts w:ascii="Calibri" w:cs="Calibri" w:eastAsia="Calibri" w:hAnsi="Calibri"/>
                <w:sz w:val="14"/>
                <w:szCs w:val="14"/>
                <w:b w:val="1"/>
                <w:bCs w:val="1"/>
                <w:color w:val="auto"/>
              </w:rPr>
              <w:t>average cost of</w:t>
            </w:r>
          </w:p>
        </w:tc>
      </w:tr>
      <w:tr>
        <w:trPr>
          <w:trHeight w:val="222"/>
        </w:trPr>
        <w:tc>
          <w:tcPr>
            <w:tcW w:w="38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capital</w:t>
            </w:r>
            <w:r>
              <w:rPr>
                <w:rFonts w:ascii="Calibri" w:cs="Calibri" w:eastAsia="Calibri" w:hAnsi="Calibri"/>
                <w:sz w:val="18"/>
                <w:szCs w:val="18"/>
                <w:b w:val="1"/>
                <w:bCs w:val="1"/>
                <w:color w:val="auto"/>
                <w:vertAlign w:val="superscript"/>
              </w:rPr>
              <w:t>1</w:t>
            </w:r>
          </w:p>
        </w:tc>
        <w:tc>
          <w:tcPr>
            <w:tcW w:w="15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adjustment</w:t>
            </w:r>
          </w:p>
        </w:tc>
        <w:tc>
          <w:tcPr>
            <w:tcW w:w="1520" w:type="dxa"/>
            <w:vAlign w:val="bottom"/>
            <w:gridSpan w:val="2"/>
          </w:tcPr>
          <w:p>
            <w:pPr>
              <w:ind w:left="360"/>
              <w:spacing w:after="0"/>
              <w:rPr>
                <w:sz w:val="20"/>
                <w:szCs w:val="20"/>
                <w:color w:val="auto"/>
              </w:rPr>
            </w:pPr>
            <w:r>
              <w:rPr>
                <w:rFonts w:ascii="Calibri" w:cs="Calibri" w:eastAsia="Calibri" w:hAnsi="Calibri"/>
                <w:sz w:val="14"/>
                <w:szCs w:val="14"/>
                <w:b w:val="1"/>
                <w:bCs w:val="1"/>
                <w:color w:val="auto"/>
              </w:rPr>
              <w:t>adjustment</w:t>
            </w:r>
          </w:p>
        </w:tc>
        <w:tc>
          <w:tcPr>
            <w:tcW w:w="152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Other adjustments</w:t>
            </w:r>
            <w:r>
              <w:rPr>
                <w:rFonts w:ascii="Calibri" w:cs="Calibri" w:eastAsia="Calibri" w:hAnsi="Calibri"/>
                <w:sz w:val="18"/>
                <w:szCs w:val="18"/>
                <w:b w:val="1"/>
                <w:bCs w:val="1"/>
                <w:color w:val="auto"/>
                <w:vertAlign w:val="superscript"/>
              </w:rPr>
              <w:t>2</w:t>
            </w:r>
          </w:p>
        </w:tc>
        <w:tc>
          <w:tcPr>
            <w:tcW w:w="1380" w:type="dxa"/>
            <w:vAlign w:val="bottom"/>
          </w:tcPr>
          <w:p>
            <w:pPr>
              <w:jc w:val="center"/>
              <w:spacing w:after="0"/>
              <w:rPr>
                <w:sz w:val="20"/>
                <w:szCs w:val="20"/>
                <w:color w:val="auto"/>
              </w:rPr>
            </w:pPr>
            <w:r>
              <w:rPr>
                <w:rFonts w:ascii="Calibri" w:cs="Calibri" w:eastAsia="Calibri" w:hAnsi="Calibri"/>
                <w:sz w:val="14"/>
                <w:szCs w:val="14"/>
                <w:b w:val="1"/>
                <w:bCs w:val="1"/>
                <w:color w:val="auto"/>
              </w:rPr>
              <w:t>capital</w:t>
            </w:r>
            <w:r>
              <w:rPr>
                <w:rFonts w:ascii="Calibri" w:cs="Calibri" w:eastAsia="Calibri" w:hAnsi="Calibri"/>
                <w:sz w:val="18"/>
                <w:szCs w:val="18"/>
                <w:b w:val="1"/>
                <w:bCs w:val="1"/>
                <w:color w:val="auto"/>
                <w:vertAlign w:val="superscript"/>
              </w:rPr>
              <w:t>3</w:t>
            </w:r>
          </w:p>
        </w:tc>
      </w:tr>
      <w:tr>
        <w:trPr>
          <w:trHeight w:val="35"/>
        </w:trPr>
        <w:tc>
          <w:tcPr>
            <w:tcW w:w="38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3"/>
        </w:trPr>
        <w:tc>
          <w:tcPr>
            <w:tcW w:w="3820" w:type="dxa"/>
            <w:vAlign w:val="bottom"/>
            <w:shd w:val="clear" w:color="auto" w:fill="CCEEFF"/>
          </w:tcPr>
          <w:p>
            <w:pPr>
              <w:jc w:val="right"/>
              <w:ind w:right="3310"/>
              <w:spacing w:after="0" w:line="199" w:lineRule="exact"/>
              <w:rPr>
                <w:sz w:val="20"/>
                <w:szCs w:val="20"/>
                <w:color w:val="auto"/>
              </w:rPr>
            </w:pPr>
            <w:r>
              <w:rPr>
                <w:rFonts w:ascii="Calibri" w:cs="Calibri" w:eastAsia="Calibri" w:hAnsi="Calibri"/>
                <w:sz w:val="18"/>
                <w:szCs w:val="18"/>
                <w:i w:val="1"/>
                <w:iCs w:val="1"/>
                <w:color w:val="auto"/>
              </w:rPr>
              <w:t>2004</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8.6 %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8.6 %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2005</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8.3 %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8.3 %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2006</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8.1 %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2007</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2008</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6.4 %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6.4 %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2009</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2010</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7.3 %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7.2 %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2011</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6.5 %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6.4 %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2012</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5.5 %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2013</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5.7 %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5.7 %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2014</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5.2 %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2015</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5.0 %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2016</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4.9 %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5.0 %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2017</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5.1 %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5.2 %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2018</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6.3 %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6.2 %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2019</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6.0 %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2020</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5.2 %</w:t>
            </w:r>
          </w:p>
        </w:tc>
      </w:tr>
      <w:tr>
        <w:trPr>
          <w:trHeight w:val="222"/>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2021</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5.3 %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5.4 %</w:t>
            </w:r>
          </w:p>
        </w:tc>
      </w:tr>
      <w:tr>
        <w:trPr>
          <w:trHeight w:val="237"/>
        </w:trPr>
        <w:tc>
          <w:tcPr>
            <w:tcW w:w="3820" w:type="dxa"/>
            <w:vAlign w:val="bottom"/>
            <w:shd w:val="clear" w:color="auto" w:fill="CCEEFF"/>
          </w:tcPr>
          <w:p>
            <w:pPr>
              <w:jc w:val="right"/>
              <w:ind w:right="3310"/>
              <w:spacing w:after="0"/>
              <w:rPr>
                <w:sz w:val="20"/>
                <w:szCs w:val="20"/>
                <w:color w:val="auto"/>
              </w:rPr>
            </w:pPr>
            <w:r>
              <w:rPr>
                <w:rFonts w:ascii="Calibri" w:cs="Calibri" w:eastAsia="Calibri" w:hAnsi="Calibri"/>
                <w:sz w:val="18"/>
                <w:szCs w:val="18"/>
                <w:i w:val="1"/>
                <w:iCs w:val="1"/>
                <w:color w:val="auto"/>
              </w:rPr>
              <w:t>2022</w:t>
            </w: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0.4 %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5.8 %</w:t>
            </w:r>
          </w:p>
        </w:tc>
      </w:tr>
      <w:tr>
        <w:trPr>
          <w:trHeight w:val="215"/>
        </w:trPr>
        <w:tc>
          <w:tcPr>
            <w:tcW w:w="3820" w:type="dxa"/>
            <w:vAlign w:val="bottom"/>
          </w:tcPr>
          <w:p>
            <w:pPr>
              <w:jc w:val="right"/>
              <w:ind w:right="3310"/>
              <w:spacing w:after="0" w:line="215" w:lineRule="exact"/>
              <w:rPr>
                <w:sz w:val="20"/>
                <w:szCs w:val="20"/>
                <w:color w:val="auto"/>
              </w:rPr>
            </w:pPr>
            <w:r>
              <w:rPr>
                <w:rFonts w:ascii="Calibri" w:cs="Calibri" w:eastAsia="Calibri" w:hAnsi="Calibri"/>
                <w:sz w:val="18"/>
                <w:szCs w:val="18"/>
                <w:i w:val="1"/>
                <w:iCs w:val="1"/>
                <w:color w:val="auto"/>
              </w:rPr>
              <w:t>2023</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6.7 %</w:t>
            </w:r>
          </w:p>
        </w:tc>
        <w:tc>
          <w:tcPr>
            <w:tcW w:w="12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0.4 %</w:t>
            </w:r>
          </w:p>
        </w:tc>
        <w:tc>
          <w:tcPr>
            <w:tcW w:w="12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-0.1 %</w:t>
            </w:r>
          </w:p>
        </w:tc>
        <w:tc>
          <w:tcPr>
            <w:tcW w:w="12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0.0 %</w:t>
            </w:r>
          </w:p>
        </w:tc>
        <w:tc>
          <w:tcPr>
            <w:tcW w:w="12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7.0 %</w:t>
            </w:r>
          </w:p>
        </w:tc>
      </w:tr>
    </w:tbl>
    <w:p>
      <w:pPr>
        <w:spacing w:after="0" w:line="318" w:lineRule="exact"/>
        <w:rPr>
          <w:sz w:val="20"/>
          <w:szCs w:val="20"/>
          <w:color w:val="auto"/>
        </w:rPr>
      </w:pPr>
    </w:p>
    <w:p>
      <w:pPr>
        <w:ind w:left="80" w:right="60" w:hanging="40"/>
        <w:spacing w:after="0" w:line="219" w:lineRule="auto"/>
        <w:rPr>
          <w:sz w:val="20"/>
          <w:szCs w:val="20"/>
          <w:color w:val="auto"/>
        </w:rPr>
      </w:pPr>
      <w:r>
        <w:rPr>
          <w:rFonts w:ascii="Calibri" w:cs="Calibri" w:eastAsia="Calibri" w:hAnsi="Calibri"/>
          <w:sz w:val="18"/>
          <w:szCs w:val="18"/>
          <w:color w:val="auto"/>
          <w:vertAlign w:val="superscript"/>
        </w:rPr>
        <w:t>1</w:t>
      </w:r>
      <w:r>
        <w:rPr>
          <w:rFonts w:ascii="Calibri" w:cs="Calibri" w:eastAsia="Calibri" w:hAnsi="Calibri"/>
          <w:sz w:val="14"/>
          <w:szCs w:val="14"/>
          <w:color w:val="auto"/>
        </w:rPr>
        <w:t>The weighted average cost of capital includes both a cost of equity and a cost of debt. The cost of equity capital is determined based on a formula that considers the risk of the business and the risk associated with our use of debt. The formula utlized for determining the cost of equity capital is as follows: (the average 30-year Treasury rate + 5%) + [(1 – tax rate) x (the average 30-year Treasury rate + 5% – pre-tax average cost-of-debt rate) x average debt / (average equity + average debt x tax rate)].</w:t>
      </w:r>
    </w:p>
    <w:p>
      <w:pPr>
        <w:spacing w:after="0" w:line="1" w:lineRule="exact"/>
        <w:rPr>
          <w:sz w:val="20"/>
          <w:szCs w:val="20"/>
          <w:color w:val="auto"/>
        </w:rPr>
      </w:pPr>
    </w:p>
    <w:p>
      <w:pPr>
        <w:ind w:left="80" w:right="40" w:hanging="40"/>
        <w:spacing w:after="0" w:line="225" w:lineRule="auto"/>
        <w:rPr>
          <w:sz w:val="20"/>
          <w:szCs w:val="20"/>
          <w:color w:val="auto"/>
        </w:rPr>
      </w:pPr>
      <w:r>
        <w:rPr>
          <w:rFonts w:ascii="Calibri" w:cs="Calibri" w:eastAsia="Calibri" w:hAnsi="Calibri"/>
          <w:sz w:val="18"/>
          <w:szCs w:val="18"/>
          <w:color w:val="auto"/>
          <w:vertAlign w:val="superscript"/>
        </w:rPr>
        <w:t>2</w:t>
      </w:r>
      <w:r>
        <w:rPr>
          <w:rFonts w:ascii="Calibri" w:cs="Calibri" w:eastAsia="Calibri" w:hAnsi="Calibri"/>
          <w:sz w:val="14"/>
          <w:szCs w:val="14"/>
          <w:color w:val="auto"/>
        </w:rPr>
        <w:t>Other adjustments include the deferred debt issuance adjustment, which reverses the impact of the reclassifcaton of deferred debt issuance costs from other assets to GAAP average debt as a result of the adopton by the Financial Accountng Standards Board of ASU No. 2015-03, as amended by ASU No. 2015-05. The net efect of this adjustment is to report adjusted weighted average cost of capital on the same basis as reported in historical shareholder leters.</w:t>
      </w:r>
    </w:p>
    <w:p>
      <w:pPr>
        <w:ind w:left="80" w:right="360" w:hanging="40"/>
        <w:spacing w:after="0" w:line="207" w:lineRule="auto"/>
        <w:rPr>
          <w:sz w:val="20"/>
          <w:szCs w:val="20"/>
          <w:color w:val="auto"/>
        </w:rPr>
      </w:pPr>
      <w:r>
        <w:rPr>
          <w:rFonts w:ascii="Calibri" w:cs="Calibri" w:eastAsia="Calibri" w:hAnsi="Calibri"/>
          <w:sz w:val="18"/>
          <w:szCs w:val="18"/>
          <w:color w:val="auto"/>
          <w:vertAlign w:val="superscript"/>
        </w:rPr>
        <w:t>3</w:t>
      </w:r>
      <w:r>
        <w:rPr>
          <w:rFonts w:ascii="Calibri" w:cs="Calibri" w:eastAsia="Calibri" w:hAnsi="Calibri"/>
          <w:sz w:val="14"/>
          <w:szCs w:val="14"/>
          <w:color w:val="auto"/>
        </w:rPr>
        <w:t>The adjusted weighted average cost of capital includes both a cost of adjusted equity and a cost of debt. The cost of adjusted equity capital is calculated using the same formula as above except that adjusted average equity is used in the calculaton instead of average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0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GAAP net income per</w:t>
            </w:r>
          </w:p>
        </w:tc>
        <w:tc>
          <w:tcPr>
            <w:tcW w:w="1880" w:type="dxa"/>
            <w:vAlign w:val="bottom"/>
            <w:gridSpan w:val="3"/>
          </w:tcPr>
          <w:p>
            <w:pPr>
              <w:jc w:val="center"/>
              <w:ind w:right="80"/>
              <w:spacing w:after="0"/>
              <w:rPr>
                <w:sz w:val="20"/>
                <w:szCs w:val="20"/>
                <w:color w:val="auto"/>
              </w:rPr>
            </w:pPr>
            <w:r>
              <w:rPr>
                <w:rFonts w:ascii="Calibri" w:cs="Calibri" w:eastAsia="Calibri" w:hAnsi="Calibri"/>
                <w:sz w:val="14"/>
                <w:szCs w:val="14"/>
                <w:b w:val="1"/>
                <w:bCs w:val="1"/>
                <w:color w:val="auto"/>
              </w:rPr>
              <w:t>Non-GAAP adjustments per</w:t>
            </w:r>
          </w:p>
        </w:tc>
        <w:tc>
          <w:tcPr>
            <w:tcW w:w="12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Adjusted net income per</w:t>
            </w:r>
          </w:p>
        </w:tc>
        <w:tc>
          <w:tcPr>
            <w:tcW w:w="1860" w:type="dxa"/>
            <w:vAlign w:val="bottom"/>
            <w:gridSpan w:val="3"/>
          </w:tcPr>
          <w:p>
            <w:pPr>
              <w:jc w:val="center"/>
              <w:ind w:right="80"/>
              <w:spacing w:after="0"/>
              <w:rPr>
                <w:sz w:val="20"/>
                <w:szCs w:val="20"/>
                <w:color w:val="auto"/>
              </w:rPr>
            </w:pPr>
            <w:r>
              <w:rPr>
                <w:rFonts w:ascii="Calibri" w:cs="Calibri" w:eastAsia="Calibri" w:hAnsi="Calibri"/>
                <w:sz w:val="14"/>
                <w:szCs w:val="14"/>
                <w:b w:val="1"/>
                <w:bCs w:val="1"/>
                <w:color w:val="auto"/>
              </w:rPr>
              <w:t>Imputed cost of equity per</w:t>
            </w:r>
          </w:p>
        </w:tc>
        <w:tc>
          <w:tcPr>
            <w:tcW w:w="17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Economic Proft per diluted</w:t>
            </w:r>
          </w:p>
        </w:tc>
      </w:tr>
      <w:tr>
        <w:trPr>
          <w:trHeight w:val="210"/>
        </w:trPr>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diluted share</w:t>
            </w:r>
          </w:p>
        </w:tc>
        <w:tc>
          <w:tcPr>
            <w:tcW w:w="300" w:type="dxa"/>
            <w:vAlign w:val="bottom"/>
          </w:tcPr>
          <w:p>
            <w:pPr>
              <w:spacing w:after="0"/>
              <w:rPr>
                <w:sz w:val="18"/>
                <w:szCs w:val="18"/>
                <w:color w:val="auto"/>
              </w:rPr>
            </w:pPr>
          </w:p>
        </w:tc>
        <w:tc>
          <w:tcPr>
            <w:tcW w:w="1580" w:type="dxa"/>
            <w:vAlign w:val="bottom"/>
            <w:gridSpan w:val="2"/>
          </w:tcPr>
          <w:p>
            <w:pPr>
              <w:jc w:val="center"/>
              <w:ind w:right="400"/>
              <w:spacing w:after="0" w:line="210" w:lineRule="exact"/>
              <w:rPr>
                <w:sz w:val="20"/>
                <w:szCs w:val="20"/>
                <w:color w:val="auto"/>
              </w:rPr>
            </w:pPr>
            <w:r>
              <w:rPr>
                <w:rFonts w:ascii="Calibri" w:cs="Calibri" w:eastAsia="Calibri" w:hAnsi="Calibri"/>
                <w:sz w:val="14"/>
                <w:szCs w:val="14"/>
                <w:b w:val="1"/>
                <w:bCs w:val="1"/>
                <w:color w:val="auto"/>
                <w:w w:val="99"/>
              </w:rPr>
              <w:t>diluted share</w:t>
            </w:r>
            <w:r>
              <w:rPr>
                <w:rFonts w:ascii="Calibri" w:cs="Calibri" w:eastAsia="Calibri" w:hAnsi="Calibri"/>
                <w:sz w:val="18"/>
                <w:szCs w:val="18"/>
                <w:b w:val="1"/>
                <w:bCs w:val="1"/>
                <w:color w:val="auto"/>
                <w:w w:val="99"/>
                <w:vertAlign w:val="superscript"/>
              </w:rPr>
              <w:t>1</w:t>
            </w:r>
          </w:p>
        </w:tc>
        <w:tc>
          <w:tcPr>
            <w:tcW w:w="12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diluted share</w:t>
            </w:r>
          </w:p>
        </w:tc>
        <w:tc>
          <w:tcPr>
            <w:tcW w:w="30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diluted share</w:t>
            </w:r>
          </w:p>
        </w:tc>
        <w:tc>
          <w:tcPr>
            <w:tcW w:w="42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share</w:t>
            </w:r>
          </w:p>
        </w:tc>
      </w:tr>
      <w:tr>
        <w:trPr>
          <w:trHeight w:val="223"/>
        </w:trPr>
        <w:tc>
          <w:tcPr>
            <w:tcW w:w="1860" w:type="dxa"/>
            <w:vAlign w:val="bottom"/>
            <w:tcBorders>
              <w:top w:val="single" w:sz="8" w:color="CCEEFF"/>
            </w:tcBorders>
            <w:shd w:val="clear" w:color="auto" w:fill="CCEEFF"/>
          </w:tcPr>
          <w:p>
            <w:pPr>
              <w:jc w:val="right"/>
              <w:ind w:right="1350"/>
              <w:spacing w:after="0" w:line="199" w:lineRule="exact"/>
              <w:rPr>
                <w:sz w:val="20"/>
                <w:szCs w:val="20"/>
                <w:color w:val="auto"/>
              </w:rPr>
            </w:pPr>
            <w:r>
              <w:rPr>
                <w:rFonts w:ascii="Calibri" w:cs="Calibri" w:eastAsia="Calibri" w:hAnsi="Calibri"/>
                <w:sz w:val="18"/>
                <w:szCs w:val="18"/>
                <w:i w:val="1"/>
                <w:iCs w:val="1"/>
                <w:color w:val="auto"/>
              </w:rPr>
              <w:t>2004</w:t>
            </w: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(0.84)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0.43</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2005</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1.85</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(0.24)</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1.61</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(0.88)</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0.73</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2006</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0.91</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2007</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1.76</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0.22</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1.98</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(0.87)</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1.11</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2008</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2.66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1.51</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2009</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4.62</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(0.67)</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3.95</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(1.45)</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2.50</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2010</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3.76</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2011</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7.07</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0.23</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7.30</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(1.92)</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5.38</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2012</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(2.22)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6.23</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2013</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10.54</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(0.20)</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10.34</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(3.13)</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7.21</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2014</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8.25</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2015</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14.28</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0.49</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14.77</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(4.45)</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10.32</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2016</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16.31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12.09</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2017</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24.04</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(3.60)</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20.44</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(7.30)</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13.14</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2018</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29.39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28.39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(10.96)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17.43</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2019</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34.57</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0.13</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34.70</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(11.90)</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22.80</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2020</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23.47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14.79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38.26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(11.98)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26.28</w:t>
            </w:r>
          </w:p>
        </w:tc>
      </w:tr>
      <w:tr>
        <w:trPr>
          <w:trHeight w:val="222"/>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2021</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59.52</w:t>
            </w:r>
          </w:p>
        </w:tc>
        <w:tc>
          <w:tcPr>
            <w:tcW w:w="100" w:type="dxa"/>
            <w:vAlign w:val="bottom"/>
          </w:tcPr>
          <w:p>
            <w:pPr>
              <w:spacing w:after="0"/>
              <w:rPr>
                <w:sz w:val="19"/>
                <w:szCs w:val="19"/>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(8.17)</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51.35</w:t>
            </w:r>
          </w:p>
        </w:tc>
        <w:tc>
          <w:tcPr>
            <w:tcW w:w="100" w:type="dxa"/>
            <w:vAlign w:val="bottom"/>
          </w:tcPr>
          <w:p>
            <w:pPr>
              <w:spacing w:after="0"/>
              <w:rPr>
                <w:sz w:val="19"/>
                <w:szCs w:val="19"/>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(15.69)</w:t>
            </w:r>
          </w:p>
        </w:tc>
        <w:tc>
          <w:tcPr>
            <w:tcW w:w="100" w:type="dxa"/>
            <w:vAlign w:val="bottom"/>
          </w:tcPr>
          <w:p>
            <w:pPr>
              <w:spacing w:after="0"/>
              <w:rPr>
                <w:sz w:val="19"/>
                <w:szCs w:val="19"/>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35.66</w:t>
            </w:r>
          </w:p>
        </w:tc>
      </w:tr>
      <w:tr>
        <w:trPr>
          <w:trHeight w:val="237"/>
        </w:trPr>
        <w:tc>
          <w:tcPr>
            <w:tcW w:w="1860" w:type="dxa"/>
            <w:vAlign w:val="bottom"/>
            <w:shd w:val="clear" w:color="auto" w:fill="CCEEFF"/>
          </w:tcPr>
          <w:p>
            <w:pPr>
              <w:jc w:val="right"/>
              <w:ind w:right="1350"/>
              <w:spacing w:after="0"/>
              <w:rPr>
                <w:sz w:val="20"/>
                <w:szCs w:val="20"/>
                <w:color w:val="auto"/>
              </w:rPr>
            </w:pPr>
            <w:r>
              <w:rPr>
                <w:rFonts w:ascii="Calibri" w:cs="Calibri" w:eastAsia="Calibri" w:hAnsi="Calibri"/>
                <w:sz w:val="18"/>
                <w:szCs w:val="18"/>
                <w:i w:val="1"/>
                <w:iCs w:val="1"/>
                <w:color w:val="auto"/>
              </w:rPr>
              <w:t>2022</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39.32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Calibri" w:cs="Calibri" w:eastAsia="Calibri" w:hAnsi="Calibri"/>
                <w:sz w:val="18"/>
                <w:szCs w:val="18"/>
                <w:i w:val="1"/>
                <w:iCs w:val="1"/>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13.53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w w:val="87"/>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52.85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Calibri" w:cs="Calibri" w:eastAsia="Calibri" w:hAnsi="Calibri"/>
                <w:sz w:val="18"/>
                <w:szCs w:val="18"/>
                <w:i w:val="1"/>
                <w:iCs w:val="1"/>
                <w:color w:val="auto"/>
                <w:w w:val="87"/>
              </w:rPr>
              <w:t>$</w:t>
            </w: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(17.87)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Calibri" w:cs="Calibri" w:eastAsia="Calibri" w:hAnsi="Calibri"/>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34.98</w:t>
            </w:r>
          </w:p>
        </w:tc>
      </w:tr>
      <w:tr>
        <w:trPr>
          <w:trHeight w:val="215"/>
        </w:trPr>
        <w:tc>
          <w:tcPr>
            <w:tcW w:w="1860" w:type="dxa"/>
            <w:vAlign w:val="bottom"/>
          </w:tcPr>
          <w:p>
            <w:pPr>
              <w:jc w:val="right"/>
              <w:ind w:right="1350"/>
              <w:spacing w:after="0" w:line="215" w:lineRule="exact"/>
              <w:rPr>
                <w:sz w:val="20"/>
                <w:szCs w:val="20"/>
                <w:color w:val="auto"/>
              </w:rPr>
            </w:pPr>
            <w:r>
              <w:rPr>
                <w:rFonts w:ascii="Calibri" w:cs="Calibri" w:eastAsia="Calibri" w:hAnsi="Calibri"/>
                <w:sz w:val="18"/>
                <w:szCs w:val="18"/>
                <w:i w:val="1"/>
                <w:iCs w:val="1"/>
                <w:color w:val="auto"/>
              </w:rPr>
              <w:t>2023</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21.99</w:t>
            </w:r>
          </w:p>
        </w:tc>
        <w:tc>
          <w:tcPr>
            <w:tcW w:w="100" w:type="dxa"/>
            <w:vAlign w:val="bottom"/>
          </w:tcPr>
          <w:p>
            <w:pPr>
              <w:spacing w:after="0"/>
              <w:rPr>
                <w:sz w:val="18"/>
                <w:szCs w:val="18"/>
                <w:color w:val="auto"/>
              </w:rPr>
            </w:pPr>
          </w:p>
        </w:tc>
        <w:tc>
          <w:tcPr>
            <w:tcW w:w="300" w:type="dxa"/>
            <w:vAlign w:val="bottom"/>
          </w:tcPr>
          <w:p>
            <w:pPr>
              <w:jc w:val="right"/>
              <w:ind w:right="91"/>
              <w:spacing w:after="0" w:line="215" w:lineRule="exact"/>
              <w:rPr>
                <w:sz w:val="20"/>
                <w:szCs w:val="20"/>
                <w:color w:val="auto"/>
              </w:rPr>
            </w:pPr>
            <w:r>
              <w:rPr>
                <w:rFonts w:ascii="Calibri" w:cs="Calibri" w:eastAsia="Calibri" w:hAnsi="Calibri"/>
                <w:sz w:val="18"/>
                <w:szCs w:val="18"/>
                <w:i w:val="1"/>
                <w:iCs w:val="1"/>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19.18</w:t>
            </w:r>
          </w:p>
        </w:tc>
        <w:tc>
          <w:tcPr>
            <w:tcW w:w="10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w w:val="87"/>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41.17</w:t>
            </w:r>
          </w:p>
        </w:tc>
        <w:tc>
          <w:tcPr>
            <w:tcW w:w="100" w:type="dxa"/>
            <w:vAlign w:val="bottom"/>
          </w:tcPr>
          <w:p>
            <w:pPr>
              <w:spacing w:after="0"/>
              <w:rPr>
                <w:sz w:val="18"/>
                <w:szCs w:val="18"/>
                <w:color w:val="auto"/>
              </w:rPr>
            </w:pPr>
          </w:p>
        </w:tc>
        <w:tc>
          <w:tcPr>
            <w:tcW w:w="300" w:type="dxa"/>
            <w:vAlign w:val="bottom"/>
          </w:tcPr>
          <w:p>
            <w:pPr>
              <w:jc w:val="right"/>
              <w:ind w:right="111"/>
              <w:spacing w:after="0" w:line="215" w:lineRule="exact"/>
              <w:rPr>
                <w:sz w:val="20"/>
                <w:szCs w:val="20"/>
                <w:color w:val="auto"/>
              </w:rPr>
            </w:pPr>
            <w:r>
              <w:rPr>
                <w:rFonts w:ascii="Calibri" w:cs="Calibri" w:eastAsia="Calibri" w:hAnsi="Calibri"/>
                <w:sz w:val="18"/>
                <w:szCs w:val="18"/>
                <w:i w:val="1"/>
                <w:iCs w:val="1"/>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(21.15)</w:t>
            </w:r>
          </w:p>
        </w:tc>
        <w:tc>
          <w:tcPr>
            <w:tcW w:w="100" w:type="dxa"/>
            <w:vAlign w:val="bottom"/>
          </w:tcPr>
          <w:p>
            <w:pPr>
              <w:spacing w:after="0"/>
              <w:rPr>
                <w:sz w:val="18"/>
                <w:szCs w:val="18"/>
                <w:color w:val="auto"/>
              </w:rPr>
            </w:pPr>
          </w:p>
        </w:tc>
        <w:tc>
          <w:tcPr>
            <w:tcW w:w="420" w:type="dxa"/>
            <w:vAlign w:val="bottom"/>
          </w:tcPr>
          <w:p>
            <w:pPr>
              <w:jc w:val="right"/>
              <w:ind w:right="211"/>
              <w:spacing w:after="0" w:line="215" w:lineRule="exact"/>
              <w:rPr>
                <w:sz w:val="20"/>
                <w:szCs w:val="20"/>
                <w:color w:val="auto"/>
              </w:rPr>
            </w:pPr>
            <w:r>
              <w:rPr>
                <w:rFonts w:ascii="Calibri" w:cs="Calibri" w:eastAsia="Calibri" w:hAnsi="Calibri"/>
                <w:sz w:val="18"/>
                <w:szCs w:val="18"/>
                <w:i w:val="1"/>
                <w:iCs w:val="1"/>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i w:val="1"/>
                <w:iCs w:val="1"/>
                <w:color w:val="auto"/>
              </w:rPr>
              <w:t>20.02</w:t>
            </w:r>
          </w:p>
        </w:tc>
      </w:tr>
    </w:tbl>
    <w:p>
      <w:pPr>
        <w:spacing w:after="0" w:line="262" w:lineRule="exact"/>
        <w:rPr>
          <w:sz w:val="20"/>
          <w:szCs w:val="20"/>
          <w:color w:val="auto"/>
        </w:rPr>
      </w:pPr>
    </w:p>
    <w:p>
      <w:pPr>
        <w:ind w:left="80" w:hanging="72"/>
        <w:spacing w:after="0"/>
        <w:tabs>
          <w:tab w:leader="none" w:pos="80" w:val="left"/>
        </w:tabs>
        <w:numPr>
          <w:ilvl w:val="0"/>
          <w:numId w:val="13"/>
        </w:numPr>
        <w:rPr>
          <w:rFonts w:ascii="Calibri" w:cs="Calibri" w:eastAsia="Calibri" w:hAnsi="Calibri"/>
          <w:sz w:val="19"/>
          <w:szCs w:val="19"/>
          <w:color w:val="auto"/>
          <w:vertAlign w:val="superscript"/>
        </w:rPr>
      </w:pPr>
      <w:r>
        <w:rPr>
          <w:rFonts w:ascii="Calibri" w:cs="Calibri" w:eastAsia="Calibri" w:hAnsi="Calibri"/>
          <w:sz w:val="14"/>
          <w:szCs w:val="14"/>
          <w:color w:val="auto"/>
        </w:rPr>
        <w:t>Non-GAAP adjustments per share include a summaton of adjustments made to calculate adjusted net income per share. See page 21 for additonal detail on these adjustments.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100"/>
      </w:cols>
      <w:pgMar w:left="360" w:top="109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2024-04-03T15:25:53Z</dcterms:created>
  <dcterms:modified xsi:type="dcterms:W3CDTF">2024-04-03T15:25:53Z</dcterms:modified>
</cp:coreProperties>
</file>