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FORM 8-K</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May 20, 2020</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43"/>
          <w:szCs w:val="43"/>
          <w:u w:val="single" w:color="auto"/>
          <w:color w:val="auto"/>
        </w:rPr>
        <w:t>CREDIT ACCEPTANCE CORPORATION</w:t>
      </w:r>
    </w:p>
    <w:p>
      <w:pPr>
        <w:spacing w:after="0" w:line="38" w:lineRule="exact"/>
        <w:rPr>
          <w:sz w:val="24"/>
          <w:szCs w:val="24"/>
          <w:color w:val="auto"/>
        </w:rPr>
      </w:pPr>
    </w:p>
    <w:tbl>
      <w:tblPr>
        <w:tblLayout w:type="fixed"/>
        <w:tblInd w:w="10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4320" w:type="dxa"/>
            <w:vAlign w:val="bottom"/>
            <w:gridSpan w:val="5"/>
          </w:tcPr>
          <w:p>
            <w:pPr>
              <w:ind w:left="180"/>
              <w:spacing w:after="0"/>
              <w:rPr>
                <w:sz w:val="20"/>
                <w:szCs w:val="20"/>
                <w:color w:val="auto"/>
              </w:rPr>
            </w:pPr>
            <w:r>
              <w:rPr>
                <w:rFonts w:ascii="Arial" w:cs="Arial" w:eastAsia="Arial" w:hAnsi="Arial"/>
                <w:sz w:val="18"/>
                <w:szCs w:val="18"/>
                <w:color w:val="auto"/>
              </w:rPr>
              <w:t>(Exact name of registrant as specified in its charter)</w:t>
            </w:r>
          </w:p>
        </w:tc>
        <w:tc>
          <w:tcPr>
            <w:tcW w:w="3320" w:type="dxa"/>
            <w:vAlign w:val="bottom"/>
          </w:tcPr>
          <w:p>
            <w:pPr>
              <w:spacing w:after="0"/>
              <w:rPr>
                <w:sz w:val="20"/>
                <w:szCs w:val="20"/>
                <w:color w:val="auto"/>
              </w:rPr>
            </w:pPr>
          </w:p>
        </w:tc>
      </w:tr>
      <w:tr>
        <w:trPr>
          <w:trHeight w:val="699"/>
        </w:trPr>
        <w:tc>
          <w:tcPr>
            <w:tcW w:w="3480" w:type="dxa"/>
            <w:vAlign w:val="bottom"/>
          </w:tcPr>
          <w:p>
            <w:pPr>
              <w:jc w:val="center"/>
              <w:ind w:left="497"/>
              <w:spacing w:after="0"/>
              <w:rPr>
                <w:sz w:val="20"/>
                <w:szCs w:val="20"/>
                <w:color w:val="auto"/>
              </w:rPr>
            </w:pPr>
            <w:r>
              <w:rPr>
                <w:rFonts w:ascii="Arial" w:cs="Arial" w:eastAsia="Arial" w:hAnsi="Arial"/>
                <w:sz w:val="18"/>
                <w:szCs w:val="18"/>
                <w:color w:val="auto"/>
                <w:w w:val="97"/>
              </w:rPr>
              <w:t>Michigan</w:t>
            </w:r>
          </w:p>
        </w:tc>
        <w:tc>
          <w:tcPr>
            <w:tcW w:w="3520" w:type="dxa"/>
            <w:vAlign w:val="bottom"/>
            <w:gridSpan w:val="3"/>
          </w:tcPr>
          <w:p>
            <w:pPr>
              <w:jc w:val="right"/>
              <w:ind w:right="888"/>
              <w:spacing w:after="0"/>
              <w:rPr>
                <w:sz w:val="20"/>
                <w:szCs w:val="20"/>
                <w:color w:val="auto"/>
              </w:rPr>
            </w:pPr>
            <w:r>
              <w:rPr>
                <w:rFonts w:ascii="Arial" w:cs="Arial" w:eastAsia="Arial" w:hAnsi="Arial"/>
                <w:sz w:val="18"/>
                <w:szCs w:val="18"/>
                <w:color w:val="auto"/>
              </w:rPr>
              <w:t>000-20202</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20" w:type="dxa"/>
            <w:vAlign w:val="bottom"/>
          </w:tcPr>
          <w:p>
            <w:pPr>
              <w:jc w:val="center"/>
              <w:ind w:right="459"/>
              <w:spacing w:after="0"/>
              <w:rPr>
                <w:sz w:val="20"/>
                <w:szCs w:val="20"/>
                <w:color w:val="auto"/>
              </w:rPr>
            </w:pPr>
            <w:r>
              <w:rPr>
                <w:rFonts w:ascii="Arial" w:cs="Arial" w:eastAsia="Arial" w:hAnsi="Arial"/>
                <w:sz w:val="18"/>
                <w:szCs w:val="18"/>
                <w:color w:val="auto"/>
                <w:w w:val="89"/>
              </w:rPr>
              <w:t>38-1999511</w:t>
            </w:r>
          </w:p>
        </w:tc>
      </w:tr>
      <w:tr>
        <w:trPr>
          <w:trHeight w:val="54"/>
        </w:trPr>
        <w:tc>
          <w:tcPr>
            <w:tcW w:w="34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7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r>
      <w:tr>
        <w:trPr>
          <w:trHeight w:val="184"/>
        </w:trPr>
        <w:tc>
          <w:tcPr>
            <w:tcW w:w="3480" w:type="dxa"/>
            <w:vAlign w:val="bottom"/>
          </w:tcPr>
          <w:p>
            <w:pPr>
              <w:jc w:val="center"/>
              <w:ind w:left="497"/>
              <w:spacing w:after="0"/>
              <w:rPr>
                <w:sz w:val="20"/>
                <w:szCs w:val="20"/>
                <w:color w:val="auto"/>
              </w:rPr>
            </w:pPr>
            <w:r>
              <w:rPr>
                <w:rFonts w:ascii="Arial" w:cs="Arial" w:eastAsia="Arial" w:hAnsi="Arial"/>
                <w:sz w:val="14"/>
                <w:szCs w:val="14"/>
                <w:color w:val="auto"/>
                <w:w w:val="95"/>
              </w:rPr>
              <w:t>(State or other jurisdiction of incorporation)</w:t>
            </w: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60" w:type="dxa"/>
            <w:vAlign w:val="bottom"/>
            <w:gridSpan w:val="3"/>
          </w:tcPr>
          <w:p>
            <w:pPr>
              <w:jc w:val="center"/>
              <w:ind w:right="740"/>
              <w:spacing w:after="0"/>
              <w:rPr>
                <w:sz w:val="20"/>
                <w:szCs w:val="20"/>
                <w:color w:val="auto"/>
              </w:rPr>
            </w:pPr>
            <w:r>
              <w:rPr>
                <w:rFonts w:ascii="Arial" w:cs="Arial" w:eastAsia="Arial" w:hAnsi="Arial"/>
                <w:sz w:val="14"/>
                <w:szCs w:val="14"/>
                <w:color w:val="auto"/>
                <w:w w:val="94"/>
              </w:rPr>
              <w:t>(Commission File Number)</w:t>
            </w:r>
          </w:p>
        </w:tc>
        <w:tc>
          <w:tcPr>
            <w:tcW w:w="3320" w:type="dxa"/>
            <w:vAlign w:val="bottom"/>
          </w:tcPr>
          <w:p>
            <w:pPr>
              <w:jc w:val="center"/>
              <w:ind w:right="459"/>
              <w:spacing w:after="0"/>
              <w:rPr>
                <w:sz w:val="20"/>
                <w:szCs w:val="20"/>
                <w:color w:val="auto"/>
              </w:rPr>
            </w:pPr>
            <w:r>
              <w:rPr>
                <w:rFonts w:ascii="Arial" w:cs="Arial" w:eastAsia="Arial" w:hAnsi="Arial"/>
                <w:sz w:val="14"/>
                <w:szCs w:val="14"/>
                <w:color w:val="auto"/>
                <w:w w:val="97"/>
              </w:rPr>
              <w:t>(IRS Employer Identification No.)</w:t>
            </w:r>
          </w:p>
        </w:tc>
      </w:tr>
      <w:tr>
        <w:trPr>
          <w:trHeight w:val="606"/>
        </w:trPr>
        <w:tc>
          <w:tcPr>
            <w:tcW w:w="3480" w:type="dxa"/>
            <w:vAlign w:val="bottom"/>
          </w:tcPr>
          <w:p>
            <w:pPr>
              <w:jc w:val="center"/>
              <w:ind w:left="577"/>
              <w:spacing w:after="0"/>
              <w:rPr>
                <w:sz w:val="20"/>
                <w:szCs w:val="20"/>
                <w:color w:val="auto"/>
              </w:rPr>
            </w:pPr>
            <w:r>
              <w:rPr>
                <w:rFonts w:ascii="Arial" w:cs="Arial" w:eastAsia="Arial" w:hAnsi="Arial"/>
                <w:sz w:val="18"/>
                <w:szCs w:val="18"/>
                <w:color w:val="auto"/>
                <w:w w:val="90"/>
              </w:rPr>
              <w:t>25505 West Twelve Mile Road</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97"/>
        </w:trPr>
        <w:tc>
          <w:tcPr>
            <w:tcW w:w="3480" w:type="dxa"/>
            <w:vAlign w:val="bottom"/>
          </w:tcPr>
          <w:p>
            <w:pPr>
              <w:jc w:val="center"/>
              <w:ind w:left="617"/>
              <w:spacing w:after="0"/>
              <w:rPr>
                <w:sz w:val="20"/>
                <w:szCs w:val="20"/>
                <w:color w:val="auto"/>
              </w:rPr>
            </w:pPr>
            <w:r>
              <w:rPr>
                <w:rFonts w:ascii="Arial" w:cs="Arial" w:eastAsia="Arial" w:hAnsi="Arial"/>
                <w:sz w:val="18"/>
                <w:szCs w:val="18"/>
                <w:color w:val="auto"/>
                <w:w w:val="97"/>
              </w:rPr>
              <w:t>Southfield, Michigan</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20" w:type="dxa"/>
            <w:vAlign w:val="bottom"/>
          </w:tcPr>
          <w:p>
            <w:pPr>
              <w:jc w:val="center"/>
              <w:ind w:right="459"/>
              <w:spacing w:after="0"/>
              <w:rPr>
                <w:sz w:val="20"/>
                <w:szCs w:val="20"/>
                <w:color w:val="auto"/>
              </w:rPr>
            </w:pPr>
            <w:r>
              <w:rPr>
                <w:rFonts w:ascii="Arial" w:cs="Arial" w:eastAsia="Arial" w:hAnsi="Arial"/>
                <w:sz w:val="18"/>
                <w:szCs w:val="18"/>
                <w:color w:val="auto"/>
                <w:w w:val="89"/>
              </w:rPr>
              <w:t>48034-8339</w:t>
            </w:r>
          </w:p>
        </w:tc>
      </w:tr>
      <w:tr>
        <w:trPr>
          <w:trHeight w:val="54"/>
        </w:trPr>
        <w:tc>
          <w:tcPr>
            <w:tcW w:w="34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r>
      <w:tr>
        <w:trPr>
          <w:trHeight w:val="184"/>
        </w:trPr>
        <w:tc>
          <w:tcPr>
            <w:tcW w:w="3480" w:type="dxa"/>
            <w:vAlign w:val="bottom"/>
          </w:tcPr>
          <w:p>
            <w:pPr>
              <w:jc w:val="center"/>
              <w:ind w:left="557"/>
              <w:spacing w:after="0"/>
              <w:rPr>
                <w:sz w:val="20"/>
                <w:szCs w:val="20"/>
                <w:color w:val="auto"/>
              </w:rPr>
            </w:pPr>
            <w:r>
              <w:rPr>
                <w:rFonts w:ascii="Arial" w:cs="Arial" w:eastAsia="Arial" w:hAnsi="Arial"/>
                <w:sz w:val="14"/>
                <w:szCs w:val="14"/>
                <w:color w:val="auto"/>
                <w:w w:val="95"/>
              </w:rPr>
              <w:t>(Address of principal executive offices)</w:t>
            </w: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320" w:type="dxa"/>
            <w:vAlign w:val="bottom"/>
          </w:tcPr>
          <w:p>
            <w:pPr>
              <w:jc w:val="center"/>
              <w:ind w:right="459"/>
              <w:spacing w:after="0"/>
              <w:rPr>
                <w:sz w:val="20"/>
                <w:szCs w:val="20"/>
                <w:color w:val="auto"/>
              </w:rPr>
            </w:pPr>
            <w:r>
              <w:rPr>
                <w:rFonts w:ascii="Arial" w:cs="Arial" w:eastAsia="Arial" w:hAnsi="Arial"/>
                <w:sz w:val="14"/>
                <w:szCs w:val="14"/>
                <w:color w:val="auto"/>
                <w:w w:val="93"/>
              </w:rPr>
              <w:t>(Zip Code)</w:t>
            </w:r>
          </w:p>
        </w:tc>
      </w:tr>
    </w:tbl>
    <w:p>
      <w:pPr>
        <w:spacing w:after="0" w:line="3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(248) 353-2700</w:t>
      </w:r>
    </w:p>
    <w:p>
      <w:pPr>
        <w:spacing w:after="0" w:line="27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1590675</wp:posOffset>
            </wp:positionH>
            <wp:positionV relativeFrom="paragraph">
              <wp:posOffset>48895</wp:posOffset>
            </wp:positionV>
            <wp:extent cx="39776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77640" cy="8890"/>
                    </a:xfrm>
                    <a:prstGeom prst="rect">
                      <a:avLst/>
                    </a:prstGeom>
                    <a:noFill/>
                  </pic:spPr>
                </pic:pic>
              </a:graphicData>
            </a:graphic>
          </wp:anchor>
        </w:drawing>
      </w:r>
    </w:p>
    <w:p>
      <w:pPr>
        <w:spacing w:after="0" w:line="7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80"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7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Title of each class</w:t>
            </w:r>
          </w:p>
        </w:tc>
        <w:tc>
          <w:tcPr>
            <w:tcW w:w="2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Trading symbol(s)</w:t>
            </w:r>
          </w:p>
        </w:tc>
        <w:tc>
          <w:tcPr>
            <w:tcW w:w="4480" w:type="dxa"/>
            <w:vAlign w:val="bottom"/>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47"/>
        </w:trPr>
        <w:tc>
          <w:tcPr>
            <w:tcW w:w="46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r>
      <w:tr>
        <w:trPr>
          <w:trHeight w:val="237"/>
        </w:trPr>
        <w:tc>
          <w:tcPr>
            <w:tcW w:w="47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Common Stock, $.01 par value</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CACC</w:t>
            </w:r>
          </w:p>
        </w:tc>
        <w:tc>
          <w:tcPr>
            <w:tcW w:w="4480" w:type="dxa"/>
            <w:vAlign w:val="bottom"/>
          </w:tcPr>
          <w:p>
            <w:pPr>
              <w:jc w:val="center"/>
              <w:spacing w:after="0"/>
              <w:rPr>
                <w:sz w:val="20"/>
                <w:szCs w:val="20"/>
                <w:color w:val="auto"/>
              </w:rPr>
            </w:pPr>
            <w:r>
              <w:rPr>
                <w:rFonts w:ascii="Arial" w:cs="Arial" w:eastAsia="Arial" w:hAnsi="Arial"/>
                <w:sz w:val="18"/>
                <w:szCs w:val="18"/>
                <w:color w:val="auto"/>
                <w:w w:val="90"/>
              </w:rPr>
              <w:t>The Nasdaq Stock Market</w:t>
            </w:r>
          </w:p>
        </w:tc>
      </w:tr>
    </w:tbl>
    <w:p>
      <w:pPr>
        <w:spacing w:after="0" w:line="26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1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 230.405 of this chapter) or Rule 12b-2 of the Securities Exchange Act of 1934 (§ 240.12b-2 of this chapter).</w:t>
      </w:r>
    </w:p>
    <w:p>
      <w:pPr>
        <w:spacing w:after="0" w:line="138"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240"/>
          </w:cols>
          <w:pgMar w:left="320" w:top="109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Credit Acceptance Corporation is furnishing materials, included as Exhibit 99.1 to this report and incorporated herein by reference, which were prepared for inclusion on its investor relations website. Credit Acceptance Corporation is not undertaking to update these materials. This report should not be deemed an admission as to the materiality of any information contained in these materials.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furnished in this report shall not be deemed “filed” for purposes of Section 18 of the Securities Exchange Act of 1934, as amended, or otherwise subject to the liabilities of that Section, nor shall such information be deemed incorporated by reference in any filing under the Securities Act of 1933, as amended.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954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43"/>
        </w:trPr>
        <w:tc>
          <w:tcPr>
            <w:tcW w:w="1140" w:type="dxa"/>
            <w:vAlign w:val="bottom"/>
            <w:tcBorders>
              <w:top w:val="single" w:sz="8" w:color="auto"/>
            </w:tcBorders>
          </w:tcPr>
          <w:p>
            <w:pPr>
              <w:jc w:val="center"/>
              <w:ind w:right="536"/>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99.1</w:t>
              </w:r>
            </w:hyperlink>
          </w:p>
        </w:tc>
        <w:tc>
          <w:tcPr>
            <w:tcW w:w="560" w:type="dxa"/>
            <w:vAlign w:val="bottom"/>
          </w:tcPr>
          <w:p>
            <w:pPr>
              <w:spacing w:after="0"/>
              <w:rPr>
                <w:sz w:val="21"/>
                <w:szCs w:val="21"/>
                <w:color w:val="auto"/>
              </w:rPr>
            </w:pPr>
          </w:p>
        </w:tc>
        <w:tc>
          <w:tcPr>
            <w:tcW w:w="95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Shareholder Letter added to website on or about May 20, 2020.</w:t>
            </w:r>
          </w:p>
        </w:tc>
      </w:tr>
      <w:tr>
        <w:trPr>
          <w:trHeight w:val="270"/>
        </w:trPr>
        <w:tc>
          <w:tcPr>
            <w:tcW w:w="1140" w:type="dxa"/>
            <w:vAlign w:val="bottom"/>
          </w:tcPr>
          <w:p>
            <w:pPr>
              <w:jc w:val="right"/>
              <w:ind w:right="576"/>
              <w:spacing w:after="0"/>
              <w:rPr>
                <w:sz w:val="20"/>
                <w:szCs w:val="20"/>
                <w:color w:val="auto"/>
              </w:rPr>
            </w:pPr>
            <w:r>
              <w:rPr>
                <w:rFonts w:ascii="Arial" w:cs="Arial" w:eastAsia="Arial" w:hAnsi="Arial"/>
                <w:sz w:val="18"/>
                <w:szCs w:val="18"/>
                <w:color w:val="auto"/>
              </w:rPr>
              <w:t>104</w:t>
            </w:r>
          </w:p>
        </w:tc>
        <w:tc>
          <w:tcPr>
            <w:tcW w:w="560" w:type="dxa"/>
            <w:vAlign w:val="bottom"/>
          </w:tcPr>
          <w:p>
            <w:pPr>
              <w:spacing w:after="0"/>
              <w:rPr>
                <w:sz w:val="23"/>
                <w:szCs w:val="23"/>
                <w:color w:val="auto"/>
              </w:rPr>
            </w:pPr>
          </w:p>
        </w:tc>
        <w:tc>
          <w:tcPr>
            <w:tcW w:w="9540" w:type="dxa"/>
            <w:vAlign w:val="bottom"/>
          </w:tcPr>
          <w:p>
            <w:pPr>
              <w:ind w:left="20"/>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Current Report on Form 8-K, including Exhibit 99.1, contain forward-looking statements. These forward-looking statements are subject to risks and uncertainties and include information about our expectations and possible or assumed future results of operations. When we use any of the words "may," "will," "should," "believe," "expect," "anticipate," "assume," "forecast," "estimate," "intend," "plan," “target” or similar expressions, we are making forward-looking statements.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claim the protection of the safe harbor for forward-looking statements contained in the Private Securities Litigation Reform Act of 1995 for all of our forward-looking statements. These forward-looking statements represent our outlook only as of the date of this report. While we believe that our forward-looking statements are reasonable, actual results could differ materially since the statements are based on our current expectations, which are subject to risks and uncertainties. Factors that might cause such a difference include, but are not limited to, the factors set forth in Item 1A of our Form 10-K for the year ended December 31, 2019, filed with the Securities and Exchange Commission on February 11, 2020, our Form 8-K filed with the Securities and Exchange Commission on April 20, 2020, other risk factors discussed herein or listed from time to time in our reports filed with the Securities and Exchange Commission and the following:</w:t>
      </w:r>
    </w:p>
    <w:p>
      <w:pPr>
        <w:spacing w:after="0" w:line="195" w:lineRule="exact"/>
        <w:rPr>
          <w:sz w:val="20"/>
          <w:szCs w:val="20"/>
          <w:color w:val="auto"/>
        </w:rPr>
      </w:pPr>
    </w:p>
    <w:p>
      <w:pPr>
        <w:ind w:left="660" w:hanging="328"/>
        <w:spacing w:after="0" w:line="25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inability to accurately forecast and estimate the amount and timing of future collections could have a material adverse effect on results of operations.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be unable to execute our business strategy due to current economic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be unable to continue to access or renew funding sources and obtain capital needed to maintain and grow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terms of our debt limit how we conduct our business.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violation of the terms of our asset-backed secured financing facilities or revolving secured warehouse facilities could have a material adverse impact on our operations.</w:t>
      </w:r>
    </w:p>
    <w:p>
      <w:pPr>
        <w:ind w:left="660" w:hanging="328"/>
        <w:spacing w:after="0" w:line="281"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conditions of the U.S. and international capital markets may adversely affect lenders with which we have relationships, causing us to incur additional costs and reducing our sources of liquidity, which may adversely affect our financial position, liquidity and results of operations.</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substantial debt could negatively impact our business, prevent us from satisfying our debt obligations and adversely affect our financial condition.</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Due to competition from traditional financing sources and non-traditional lenders, we may not be able to compete successfully.</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may not be able to generate sufficient cash flows to service our outstanding debt and fund operations and may be forced to take other actions to satisfy our obligations under such debt.</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Interest rate fluctuations may adversely affect our borrowing costs, profitability and liquidity.</w:t>
      </w:r>
    </w:p>
    <w:p>
      <w:pPr>
        <w:sectPr>
          <w:pgSz w:w="11900" w:h="16838" w:orient="portrait"/>
          <w:cols w:equalWidth="0" w:num="1">
            <w:col w:w="11240"/>
          </w:cols>
          <w:pgMar w:left="320" w:top="985" w:right="339" w:bottom="1440" w:gutter="0" w:footer="0" w:header="0"/>
        </w:sectPr>
      </w:pPr>
    </w:p>
    <w:bookmarkStart w:id="2" w:name="page3"/>
    <w:bookmarkEnd w:id="2"/>
    <w:p>
      <w:pPr>
        <w:ind w:left="660" w:right="2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phaseout of the London Interbank Offered Rate (“LIBOR”), or the replacement of LIBOR with a different reference rate, could result in a material adverse effect on our business.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Reduction in our credit rating could increase the cost of our funding from, and restrict our access to, the capital markets and adversely affect our liquidity, financial condition and results of operations.</w:t>
      </w: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may incur substantially more debt and other liabilities. This could exacerbate further the risks associated with our current debt levels.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regulation to which we are or may become subject could result in a material adverse effect on our business.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changes in economic conditions, the automobile or finance industries, or the non-prime consumer market could adversely affect our financial position, liquidity and results of operations, the ability of key vendors that we depend on to supply us with services, and our ability to enter into future financing transactions.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Litigation we are involved in from time to time may adversely affect our financial condition, results of operations and cash flows.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laws and the resolution of uncertain income tax matters could have a material adverse effect on our results of operations and cash flows from operations.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technology could have a material adverse effect on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use of electronic contracts could impact our ability to perfect our ownership or security interest in Consumer Loans.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third parties to administer our ancillary product offerings could adversely affect our business and financial results.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dependent on our senior management and the loss of any of these individuals or an inability to hire additional team members could adversely affect our ability to operate profitably.</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reputation is a key asset to our business, and our business may be affected by how we are perceived in the marketplace.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concentration of our dealers in several states could adversely affect us.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properly safeguard confidential consumer and team member information could subject us to liability, decrease our profitability and damage our reputation.</w:t>
      </w: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small number of our shareholders have the ability to significantly influence matters requiring shareholder approval and such shareholders have interests which may conflict with the interests of our other security holders.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our outsourced business functions could adversely affect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retain foreign information technology personnel could be hindered by immigration restrictions.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Natural disasters, acts of war, terrorist attacks and threats or the escalation of military activity in response to these attacks or otherwise may negatively affect our business, financial condition and results of operations.</w:t>
      </w:r>
    </w:p>
    <w:p>
      <w:pPr>
        <w:jc w:val="both"/>
        <w:ind w:left="66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current outbreak of COVID-19 has adversely impacted our business, and the continuance of this pandemic, or any future outbreak of any contagious diseases or other public health emergency, could materially and adversely affect our business, financial condition, liquidity and results of operations.</w:t>
      </w:r>
    </w:p>
    <w:p>
      <w:pPr>
        <w:spacing w:after="0" w:line="19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Other factors not currently anticipated by management may also materially and adversely affect our business, financial condition and results of operations. We do not undertake, and expressly disclaim any obligation, to update or alter our statements whether as a result of new information, future events or otherwise, except as required by applicable law.</w:t>
      </w:r>
    </w:p>
    <w:p>
      <w:pPr>
        <w:sectPr>
          <w:pgSz w:w="11900" w:h="16838" w:orient="portrait"/>
          <w:cols w:equalWidth="0" w:num="1">
            <w:col w:w="11240"/>
          </w:cols>
          <w:pgMar w:left="320" w:top="989"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2"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CREDIT ACCEPTANCE CORPORATION</w:t>
      </w:r>
    </w:p>
    <w:p>
      <w:pPr>
        <w:spacing w:after="0" w:line="360" w:lineRule="exact"/>
        <w:rPr>
          <w:sz w:val="20"/>
          <w:szCs w:val="20"/>
          <w:color w:val="auto"/>
        </w:rPr>
      </w:pPr>
    </w:p>
    <w:p>
      <w:pPr>
        <w:ind w:left="100"/>
        <w:spacing w:after="0"/>
        <w:tabs>
          <w:tab w:leader="none" w:pos="4640" w:val="left"/>
          <w:tab w:leader="none" w:pos="5320" w:val="left"/>
        </w:tabs>
        <w:rPr>
          <w:sz w:val="20"/>
          <w:szCs w:val="20"/>
          <w:color w:val="auto"/>
        </w:rPr>
      </w:pPr>
      <w:r>
        <w:rPr>
          <w:rFonts w:ascii="Arial" w:cs="Arial" w:eastAsia="Arial" w:hAnsi="Arial"/>
          <w:sz w:val="18"/>
          <w:szCs w:val="18"/>
          <w:color w:val="auto"/>
        </w:rPr>
        <w:t>Date: May 20,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S.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31750</wp:posOffset>
            </wp:positionV>
            <wp:extent cx="28886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5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Kenneth S. Booth</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985"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003066"/>
        </w:rPr>
        <w:t>SHAREHOLDER LETTER</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003066"/>
        </w:rPr>
        <w:t>A message from our Chief Executive Officer</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003066"/>
        </w:rPr>
        <w:t>COVID-19</w:t>
      </w:r>
    </w:p>
    <w:p>
      <w:pPr>
        <w:spacing w:after="0" w:line="226" w:lineRule="exact"/>
        <w:rPr>
          <w:sz w:val="20"/>
          <w:szCs w:val="20"/>
          <w:color w:val="auto"/>
        </w:rPr>
      </w:pPr>
    </w:p>
    <w:p>
      <w:pPr>
        <w:ind w:right="100"/>
        <w:spacing w:after="0" w:line="261" w:lineRule="auto"/>
        <w:rPr>
          <w:sz w:val="20"/>
          <w:szCs w:val="20"/>
          <w:color w:val="auto"/>
        </w:rPr>
      </w:pPr>
      <w:r>
        <w:rPr>
          <w:rFonts w:ascii="Arial" w:cs="Arial" w:eastAsia="Arial" w:hAnsi="Arial"/>
          <w:sz w:val="21"/>
          <w:szCs w:val="21"/>
          <w:color w:val="auto"/>
        </w:rPr>
        <w:t>This year’s letter was nearly complete when I started to take notice of a new virus that had been causing considerable damage in China and was starting to spread to other countries. At that time, experts were not overly concerned about the impact in the United States but by late February, we were starting to prepare a contingency plan just in case, hoping that plan would not be necessary. The new virus began to spread rapidly in the United States soon after and we began to implement our plan. By March 17, almost all of our team members were working from home, many for the first time. After spending March and April in crisis mode, I am now getting back to finishing this letter.</w:t>
      </w:r>
    </w:p>
    <w:p>
      <w:pPr>
        <w:spacing w:after="0" w:line="179" w:lineRule="exact"/>
        <w:rPr>
          <w:sz w:val="20"/>
          <w:szCs w:val="20"/>
          <w:color w:val="auto"/>
        </w:rPr>
      </w:pPr>
    </w:p>
    <w:p>
      <w:pPr>
        <w:spacing w:after="0" w:line="258" w:lineRule="auto"/>
        <w:rPr>
          <w:sz w:val="20"/>
          <w:szCs w:val="20"/>
          <w:color w:val="auto"/>
        </w:rPr>
      </w:pPr>
      <w:r>
        <w:rPr>
          <w:rFonts w:ascii="Arial" w:cs="Arial" w:eastAsia="Arial" w:hAnsi="Arial"/>
          <w:sz w:val="21"/>
          <w:szCs w:val="21"/>
          <w:color w:val="auto"/>
        </w:rPr>
        <w:t>In some respects, our business is well suited to survive an event like this. First, our revenue is generated from our loan portfolio, which includes new loans as well as those originated in the past that still have a balance outstanding. Should new loan originations sharply decline as a result of this crisis, our revenue would not decline in the same proportion immediately, but would instead decline gradually over time. This consistent revenue stream helps us to avoid making drastic reductions in expenses that could be damaging to our business and culture long term. Second, we have historically been conservative. We have kept our profit margins strong and have used a modest amount of debt to fund our loan originations. Having strong profit margins and using debt modestly means we have what we believe to be a large margin of safety. We can absorb a much greater decline in our critical business metrics as compared to many other companies and still live to fight another day. Finally, we have an important product and an amazing culture. Our people are our biggest strength and this has never been more evident than during this challenging period.</w:t>
      </w:r>
    </w:p>
    <w:p>
      <w:pPr>
        <w:spacing w:after="0" w:line="185" w:lineRule="exact"/>
        <w:rPr>
          <w:sz w:val="20"/>
          <w:szCs w:val="20"/>
          <w:color w:val="auto"/>
        </w:rPr>
      </w:pPr>
    </w:p>
    <w:p>
      <w:pPr>
        <w:ind w:right="20"/>
        <w:spacing w:after="0" w:line="247" w:lineRule="auto"/>
        <w:rPr>
          <w:sz w:val="20"/>
          <w:szCs w:val="20"/>
          <w:color w:val="auto"/>
        </w:rPr>
      </w:pPr>
      <w:r>
        <w:rPr>
          <w:rFonts w:ascii="Arial" w:cs="Arial" w:eastAsia="Arial" w:hAnsi="Arial"/>
          <w:sz w:val="22"/>
          <w:szCs w:val="22"/>
          <w:color w:val="auto"/>
        </w:rPr>
        <w:t>However, this crisis also presents significant challenges. Our customers are individuals who are considered to be high risk from a credit perspective; many of them have been severely impacted or are likely to be impacted in the future by this crisis. Our future profitability is largely a function of how much cash we collect from our loan portfolio, an amount we do not know with certainty, even in the best of times. The COVID crisis makes our prediction of loan cash flows even more uncertain. While our experience during the 2007-2009 financial crisis provides us with some relevant experience, there can be no assurance the impact of this crisis will mirror that one.</w:t>
      </w:r>
    </w:p>
    <w:p>
      <w:pPr>
        <w:spacing w:after="0" w:line="193" w:lineRule="exact"/>
        <w:rPr>
          <w:sz w:val="20"/>
          <w:szCs w:val="20"/>
          <w:color w:val="auto"/>
        </w:rPr>
      </w:pPr>
    </w:p>
    <w:p>
      <w:pPr>
        <w:ind w:right="40"/>
        <w:spacing w:after="0" w:line="302" w:lineRule="auto"/>
        <w:rPr>
          <w:sz w:val="20"/>
          <w:szCs w:val="20"/>
          <w:color w:val="auto"/>
        </w:rPr>
      </w:pPr>
      <w:r>
        <w:rPr>
          <w:rFonts w:ascii="Arial" w:cs="Arial" w:eastAsia="Arial" w:hAnsi="Arial"/>
          <w:sz w:val="19"/>
          <w:szCs w:val="19"/>
          <w:color w:val="auto"/>
        </w:rPr>
        <w:t>As I detail below, prior to the COVID-19 outbreak, our biggest challenge was a difficult competitive environment. The impact of the competitive environment can be seen in every operational and financial metric presented in this letter. As I do every year, I will discuss our long history and show how we have responded to the many challenges we have faced over the years. But, although we have a long history of meeting challenges successfully, the current crisis will very likely be the toughest one yet.</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320" w:top="126" w:right="37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003066"/>
        </w:rPr>
        <w:t>GAAP Results</w:t>
      </w:r>
    </w:p>
    <w:p>
      <w:pPr>
        <w:spacing w:after="0" w:line="255" w:lineRule="exact"/>
        <w:rPr>
          <w:sz w:val="20"/>
          <w:szCs w:val="20"/>
          <w:color w:val="auto"/>
        </w:rPr>
      </w:pPr>
    </w:p>
    <w:p>
      <w:pPr>
        <w:jc w:val="both"/>
        <w:ind w:right="240"/>
        <w:spacing w:after="0" w:line="234" w:lineRule="auto"/>
        <w:rPr>
          <w:sz w:val="20"/>
          <w:szCs w:val="20"/>
          <w:color w:val="auto"/>
        </w:rPr>
      </w:pPr>
      <w:r>
        <w:rPr>
          <w:rFonts w:ascii="Arial" w:cs="Arial" w:eastAsia="Arial" w:hAnsi="Arial"/>
          <w:sz w:val="22"/>
          <w:szCs w:val="22"/>
          <w:color w:val="auto"/>
        </w:rPr>
        <w:t>During 2019, we completed our 27</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full year as a public company. Over those 27 years, GAAP net income per share (diluted) has grown at a compounded annual rate of 21.0%, with an average annual return on equity of 23.5%. We have done even better over the last 18 years: GAAP net income per share (diluted) has grown at a compounded annual rate of 25.6%, with an average annual return on equity of 28.4%.</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auto"/>
        </w:rPr>
        <w:t>Last year, GAAP net income per share (diluted) grew 17.6% to $34.57, with a return on equity of 29.8%.</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The table below summarizes our GAAP results for 1992–2019:</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288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GAAP net income per share (diluted)</w:t>
            </w:r>
          </w:p>
        </w:tc>
        <w:tc>
          <w:tcPr>
            <w:tcW w:w="2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Year-to-year change in GAAP net income</w:t>
            </w:r>
          </w:p>
        </w:tc>
        <w:tc>
          <w:tcPr>
            <w:tcW w:w="2860" w:type="dxa"/>
            <w:vAlign w:val="bottom"/>
            <w:vMerge w:val="restart"/>
          </w:tcPr>
          <w:p>
            <w:pPr>
              <w:jc w:val="right"/>
              <w:ind w:right="771"/>
              <w:spacing w:after="0"/>
              <w:rPr>
                <w:sz w:val="20"/>
                <w:szCs w:val="20"/>
                <w:color w:val="auto"/>
              </w:rPr>
            </w:pPr>
            <w:r>
              <w:rPr>
                <w:rFonts w:ascii="Arial" w:cs="Arial" w:eastAsia="Arial" w:hAnsi="Arial"/>
                <w:sz w:val="14"/>
                <w:szCs w:val="14"/>
                <w:b w:val="1"/>
                <w:bCs w:val="1"/>
                <w:color w:val="auto"/>
              </w:rPr>
              <w:t>Return on equity</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86"/>
        </w:trPr>
        <w:tc>
          <w:tcPr>
            <w:tcW w:w="2520" w:type="dxa"/>
            <w:vAlign w:val="bottom"/>
          </w:tcPr>
          <w:p>
            <w:pPr>
              <w:spacing w:after="0"/>
              <w:rPr>
                <w:sz w:val="16"/>
                <w:szCs w:val="16"/>
                <w:color w:val="auto"/>
              </w:rPr>
            </w:pPr>
          </w:p>
        </w:tc>
        <w:tc>
          <w:tcPr>
            <w:tcW w:w="2880" w:type="dxa"/>
            <w:vAlign w:val="bottom"/>
            <w:gridSpan w:val="3"/>
            <w:vMerge w:val="continue"/>
          </w:tcPr>
          <w:p>
            <w:pPr>
              <w:spacing w:after="0"/>
              <w:rPr>
                <w:sz w:val="16"/>
                <w:szCs w:val="16"/>
                <w:color w:val="auto"/>
              </w:rPr>
            </w:pPr>
          </w:p>
        </w:tc>
        <w:tc>
          <w:tcPr>
            <w:tcW w:w="29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per share</w:t>
            </w:r>
          </w:p>
        </w:tc>
        <w:tc>
          <w:tcPr>
            <w:tcW w:w="2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25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1992</w:t>
            </w:r>
          </w:p>
        </w:tc>
        <w:tc>
          <w:tcPr>
            <w:tcW w:w="1520" w:type="dxa"/>
            <w:vAlign w:val="bottom"/>
            <w:tcBorders>
              <w:bottom w:val="single" w:sz="8" w:color="CCEEFF"/>
            </w:tcBorders>
            <w:shd w:val="clear" w:color="auto" w:fill="CCEEFF"/>
          </w:tcPr>
          <w:p>
            <w:pPr>
              <w:jc w:val="right"/>
              <w:ind w:right="1311"/>
              <w:spacing w:after="0"/>
              <w:rPr>
                <w:sz w:val="20"/>
                <w:szCs w:val="20"/>
                <w:color w:val="auto"/>
              </w:rPr>
            </w:pPr>
            <w:r>
              <w:rPr>
                <w:rFonts w:ascii="Arial" w:cs="Arial" w:eastAsia="Arial" w:hAnsi="Arial"/>
                <w:sz w:val="18"/>
                <w:szCs w:val="18"/>
                <w:i w:val="1"/>
                <w:iCs w:val="1"/>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0.20</w:t>
            </w:r>
          </w:p>
        </w:tc>
        <w:tc>
          <w:tcPr>
            <w:tcW w:w="120" w:type="dxa"/>
            <w:vAlign w:val="bottom"/>
            <w:tcBorders>
              <w:bottom w:val="single" w:sz="8" w:color="CCEEFF"/>
            </w:tcBorders>
            <w:shd w:val="clear" w:color="auto" w:fill="CCEEFF"/>
          </w:tcPr>
          <w:p>
            <w:pPr>
              <w:spacing w:after="0"/>
              <w:rPr>
                <w:sz w:val="23"/>
                <w:szCs w:val="23"/>
                <w:color w:val="auto"/>
              </w:rPr>
            </w:pPr>
          </w:p>
        </w:tc>
        <w:tc>
          <w:tcPr>
            <w:tcW w:w="28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24.1 %</w:t>
            </w:r>
          </w:p>
        </w:tc>
        <w:tc>
          <w:tcPr>
            <w:tcW w:w="0" w:type="dxa"/>
            <w:vAlign w:val="bottom"/>
          </w:tcPr>
          <w:p>
            <w:pPr>
              <w:spacing w:after="0"/>
              <w:rPr>
                <w:sz w:val="1"/>
                <w:szCs w:val="1"/>
                <w:color w:val="auto"/>
              </w:rPr>
            </w:pPr>
          </w:p>
        </w:tc>
      </w:tr>
      <w:tr>
        <w:trPr>
          <w:trHeight w:val="243"/>
        </w:trPr>
        <w:tc>
          <w:tcPr>
            <w:tcW w:w="2520" w:type="dxa"/>
            <w:vAlign w:val="bottom"/>
          </w:tcPr>
          <w:p>
            <w:pPr>
              <w:ind w:left="80"/>
              <w:spacing w:after="0"/>
              <w:rPr>
                <w:sz w:val="20"/>
                <w:szCs w:val="20"/>
                <w:color w:val="auto"/>
              </w:rPr>
            </w:pPr>
            <w:r>
              <w:rPr>
                <w:rFonts w:ascii="Arial" w:cs="Arial" w:eastAsia="Arial" w:hAnsi="Arial"/>
                <w:sz w:val="18"/>
                <w:szCs w:val="18"/>
                <w:i w:val="1"/>
                <w:iCs w:val="1"/>
                <w:color w:val="auto"/>
              </w:rPr>
              <w:t>1993</w:t>
            </w:r>
          </w:p>
        </w:tc>
        <w:tc>
          <w:tcPr>
            <w:tcW w:w="1520" w:type="dxa"/>
            <w:vAlign w:val="bottom"/>
          </w:tcPr>
          <w:p>
            <w:pPr>
              <w:jc w:val="right"/>
              <w:ind w:right="1311"/>
              <w:spacing w:after="0"/>
              <w:rPr>
                <w:sz w:val="20"/>
                <w:szCs w:val="20"/>
                <w:color w:val="auto"/>
              </w:rPr>
            </w:pPr>
            <w:r>
              <w:rPr>
                <w:rFonts w:ascii="Arial" w:cs="Arial" w:eastAsia="Arial" w:hAnsi="Arial"/>
                <w:sz w:val="18"/>
                <w:szCs w:val="18"/>
                <w:i w:val="1"/>
                <w:iCs w:val="1"/>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i w:val="1"/>
                <w:iCs w:val="1"/>
                <w:color w:val="auto"/>
              </w:rPr>
              <w:t>0.29</w:t>
            </w:r>
          </w:p>
        </w:tc>
        <w:tc>
          <w:tcPr>
            <w:tcW w:w="120" w:type="dxa"/>
            <w:vAlign w:val="bottom"/>
          </w:tcPr>
          <w:p>
            <w:pPr>
              <w:spacing w:after="0"/>
              <w:rPr>
                <w:sz w:val="21"/>
                <w:szCs w:val="21"/>
                <w:color w:val="auto"/>
              </w:rPr>
            </w:pPr>
          </w:p>
        </w:tc>
        <w:tc>
          <w:tcPr>
            <w:tcW w:w="2860" w:type="dxa"/>
            <w:vAlign w:val="bottom"/>
          </w:tcPr>
          <w:p>
            <w:pPr>
              <w:jc w:val="right"/>
              <w:spacing w:after="0"/>
              <w:rPr>
                <w:sz w:val="20"/>
                <w:szCs w:val="20"/>
                <w:color w:val="auto"/>
              </w:rPr>
            </w:pPr>
            <w:r>
              <w:rPr>
                <w:rFonts w:ascii="Arial" w:cs="Arial" w:eastAsia="Arial" w:hAnsi="Arial"/>
                <w:sz w:val="18"/>
                <w:szCs w:val="18"/>
                <w:i w:val="1"/>
                <w:iCs w:val="1"/>
                <w:color w:val="auto"/>
              </w:rPr>
              <w:t>45.0 %</w:t>
            </w:r>
          </w:p>
        </w:tc>
        <w:tc>
          <w:tcPr>
            <w:tcW w:w="120" w:type="dxa"/>
            <w:vAlign w:val="bottom"/>
          </w:tcPr>
          <w:p>
            <w:pPr>
              <w:spacing w:after="0"/>
              <w:rPr>
                <w:sz w:val="21"/>
                <w:szCs w:val="21"/>
                <w:color w:val="auto"/>
              </w:rPr>
            </w:pPr>
          </w:p>
        </w:tc>
        <w:tc>
          <w:tcPr>
            <w:tcW w:w="2860" w:type="dxa"/>
            <w:vAlign w:val="bottom"/>
          </w:tcPr>
          <w:p>
            <w:pPr>
              <w:jc w:val="right"/>
              <w:spacing w:after="0"/>
              <w:rPr>
                <w:sz w:val="20"/>
                <w:szCs w:val="20"/>
                <w:color w:val="auto"/>
              </w:rPr>
            </w:pPr>
            <w:r>
              <w:rPr>
                <w:rFonts w:ascii="Arial" w:cs="Arial" w:eastAsia="Arial" w:hAnsi="Arial"/>
                <w:sz w:val="18"/>
                <w:szCs w:val="18"/>
                <w:i w:val="1"/>
                <w:iCs w:val="1"/>
                <w:color w:val="auto"/>
              </w:rPr>
              <w:t>25.6 %</w:t>
            </w:r>
          </w:p>
        </w:tc>
        <w:tc>
          <w:tcPr>
            <w:tcW w:w="0" w:type="dxa"/>
            <w:vAlign w:val="bottom"/>
          </w:tcPr>
          <w:p>
            <w:pPr>
              <w:spacing w:after="0"/>
              <w:rPr>
                <w:sz w:val="1"/>
                <w:szCs w:val="1"/>
                <w:color w:val="auto"/>
              </w:rPr>
            </w:pPr>
          </w:p>
        </w:tc>
      </w:tr>
      <w:tr>
        <w:trPr>
          <w:trHeight w:val="54"/>
        </w:trPr>
        <w:tc>
          <w:tcPr>
            <w:tcW w:w="25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25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1994</w:t>
            </w:r>
          </w:p>
        </w:tc>
        <w:tc>
          <w:tcPr>
            <w:tcW w:w="1520" w:type="dxa"/>
            <w:vAlign w:val="bottom"/>
            <w:tcBorders>
              <w:bottom w:val="single" w:sz="8" w:color="CCEEFF"/>
            </w:tcBorders>
            <w:shd w:val="clear" w:color="auto" w:fill="CCEEFF"/>
          </w:tcPr>
          <w:p>
            <w:pPr>
              <w:jc w:val="right"/>
              <w:ind w:right="1311"/>
              <w:spacing w:after="0"/>
              <w:rPr>
                <w:sz w:val="20"/>
                <w:szCs w:val="20"/>
                <w:color w:val="auto"/>
              </w:rPr>
            </w:pPr>
            <w:r>
              <w:rPr>
                <w:rFonts w:ascii="Arial" w:cs="Arial" w:eastAsia="Arial" w:hAnsi="Arial"/>
                <w:sz w:val="18"/>
                <w:szCs w:val="18"/>
                <w:i w:val="1"/>
                <w:iCs w:val="1"/>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0.49</w:t>
            </w:r>
          </w:p>
        </w:tc>
        <w:tc>
          <w:tcPr>
            <w:tcW w:w="120" w:type="dxa"/>
            <w:vAlign w:val="bottom"/>
            <w:tcBorders>
              <w:bottom w:val="single" w:sz="8" w:color="CCEEFF"/>
            </w:tcBorders>
            <w:shd w:val="clear" w:color="auto" w:fill="CCEEFF"/>
          </w:tcPr>
          <w:p>
            <w:pPr>
              <w:spacing w:after="0"/>
              <w:rPr>
                <w:sz w:val="24"/>
                <w:szCs w:val="24"/>
                <w:color w:val="auto"/>
              </w:rPr>
            </w:pPr>
          </w:p>
        </w:tc>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69.0 %</w:t>
            </w:r>
          </w:p>
        </w:tc>
        <w:tc>
          <w:tcPr>
            <w:tcW w:w="120" w:type="dxa"/>
            <w:vAlign w:val="bottom"/>
            <w:tcBorders>
              <w:bottom w:val="single" w:sz="8" w:color="CCEEFF"/>
            </w:tcBorders>
            <w:shd w:val="clear" w:color="auto" w:fill="CCEEFF"/>
          </w:tcPr>
          <w:p>
            <w:pPr>
              <w:spacing w:after="0"/>
              <w:rPr>
                <w:sz w:val="24"/>
                <w:szCs w:val="24"/>
                <w:color w:val="auto"/>
              </w:rPr>
            </w:pPr>
          </w:p>
        </w:tc>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31.5 %</w:t>
            </w:r>
          </w:p>
        </w:tc>
        <w:tc>
          <w:tcPr>
            <w:tcW w:w="0" w:type="dxa"/>
            <w:vAlign w:val="bottom"/>
          </w:tcPr>
          <w:p>
            <w:pPr>
              <w:spacing w:after="0"/>
              <w:rPr>
                <w:sz w:val="1"/>
                <w:szCs w:val="1"/>
                <w:color w:val="auto"/>
              </w:rPr>
            </w:pPr>
          </w:p>
        </w:tc>
      </w:tr>
      <w:tr>
        <w:trPr>
          <w:trHeight w:val="243"/>
        </w:trPr>
        <w:tc>
          <w:tcPr>
            <w:tcW w:w="2520" w:type="dxa"/>
            <w:vAlign w:val="bottom"/>
          </w:tcPr>
          <w:p>
            <w:pPr>
              <w:ind w:left="80"/>
              <w:spacing w:after="0"/>
              <w:rPr>
                <w:sz w:val="20"/>
                <w:szCs w:val="20"/>
                <w:color w:val="auto"/>
              </w:rPr>
            </w:pPr>
            <w:r>
              <w:rPr>
                <w:rFonts w:ascii="Arial" w:cs="Arial" w:eastAsia="Arial" w:hAnsi="Arial"/>
                <w:sz w:val="18"/>
                <w:szCs w:val="18"/>
                <w:i w:val="1"/>
                <w:iCs w:val="1"/>
                <w:color w:val="auto"/>
              </w:rPr>
              <w:t>1995</w:t>
            </w:r>
          </w:p>
        </w:tc>
        <w:tc>
          <w:tcPr>
            <w:tcW w:w="1520" w:type="dxa"/>
            <w:vAlign w:val="bottom"/>
          </w:tcPr>
          <w:p>
            <w:pPr>
              <w:jc w:val="right"/>
              <w:ind w:right="1311"/>
              <w:spacing w:after="0"/>
              <w:rPr>
                <w:sz w:val="20"/>
                <w:szCs w:val="20"/>
                <w:color w:val="auto"/>
              </w:rPr>
            </w:pPr>
            <w:r>
              <w:rPr>
                <w:rFonts w:ascii="Arial" w:cs="Arial" w:eastAsia="Arial" w:hAnsi="Arial"/>
                <w:sz w:val="18"/>
                <w:szCs w:val="18"/>
                <w:i w:val="1"/>
                <w:iCs w:val="1"/>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i w:val="1"/>
                <w:iCs w:val="1"/>
                <w:color w:val="auto"/>
              </w:rPr>
              <w:t>0.68</w:t>
            </w:r>
          </w:p>
        </w:tc>
        <w:tc>
          <w:tcPr>
            <w:tcW w:w="120" w:type="dxa"/>
            <w:vAlign w:val="bottom"/>
          </w:tcPr>
          <w:p>
            <w:pPr>
              <w:spacing w:after="0"/>
              <w:rPr>
                <w:sz w:val="21"/>
                <w:szCs w:val="21"/>
                <w:color w:val="auto"/>
              </w:rPr>
            </w:pPr>
          </w:p>
        </w:tc>
        <w:tc>
          <w:tcPr>
            <w:tcW w:w="2860" w:type="dxa"/>
            <w:vAlign w:val="bottom"/>
          </w:tcPr>
          <w:p>
            <w:pPr>
              <w:jc w:val="right"/>
              <w:spacing w:after="0"/>
              <w:rPr>
                <w:sz w:val="20"/>
                <w:szCs w:val="20"/>
                <w:color w:val="auto"/>
              </w:rPr>
            </w:pPr>
            <w:r>
              <w:rPr>
                <w:rFonts w:ascii="Arial" w:cs="Arial" w:eastAsia="Arial" w:hAnsi="Arial"/>
                <w:sz w:val="18"/>
                <w:szCs w:val="18"/>
                <w:i w:val="1"/>
                <w:iCs w:val="1"/>
                <w:color w:val="auto"/>
              </w:rPr>
              <w:t>38.8 %</w:t>
            </w:r>
          </w:p>
        </w:tc>
        <w:tc>
          <w:tcPr>
            <w:tcW w:w="120" w:type="dxa"/>
            <w:vAlign w:val="bottom"/>
          </w:tcPr>
          <w:p>
            <w:pPr>
              <w:spacing w:after="0"/>
              <w:rPr>
                <w:sz w:val="21"/>
                <w:szCs w:val="21"/>
                <w:color w:val="auto"/>
              </w:rPr>
            </w:pPr>
          </w:p>
        </w:tc>
        <w:tc>
          <w:tcPr>
            <w:tcW w:w="2860" w:type="dxa"/>
            <w:vAlign w:val="bottom"/>
          </w:tcPr>
          <w:p>
            <w:pPr>
              <w:jc w:val="right"/>
              <w:spacing w:after="0"/>
              <w:rPr>
                <w:sz w:val="20"/>
                <w:szCs w:val="20"/>
                <w:color w:val="auto"/>
              </w:rPr>
            </w:pPr>
            <w:r>
              <w:rPr>
                <w:rFonts w:ascii="Arial" w:cs="Arial" w:eastAsia="Arial" w:hAnsi="Arial"/>
                <w:sz w:val="18"/>
                <w:szCs w:val="18"/>
                <w:i w:val="1"/>
                <w:iCs w:val="1"/>
                <w:color w:val="auto"/>
              </w:rPr>
              <w:t>21.5 %</w:t>
            </w:r>
          </w:p>
        </w:tc>
        <w:tc>
          <w:tcPr>
            <w:tcW w:w="0" w:type="dxa"/>
            <w:vAlign w:val="bottom"/>
          </w:tcPr>
          <w:p>
            <w:pPr>
              <w:spacing w:after="0"/>
              <w:rPr>
                <w:sz w:val="1"/>
                <w:szCs w:val="1"/>
                <w:color w:val="auto"/>
              </w:rPr>
            </w:pPr>
          </w:p>
        </w:tc>
      </w:tr>
      <w:tr>
        <w:trPr>
          <w:trHeight w:val="54"/>
        </w:trPr>
        <w:tc>
          <w:tcPr>
            <w:tcW w:w="25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25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1996</w:t>
            </w:r>
          </w:p>
        </w:tc>
        <w:tc>
          <w:tcPr>
            <w:tcW w:w="1520" w:type="dxa"/>
            <w:vAlign w:val="bottom"/>
            <w:tcBorders>
              <w:bottom w:val="single" w:sz="8" w:color="CCEEFF"/>
            </w:tcBorders>
            <w:shd w:val="clear" w:color="auto" w:fill="CCEEFF"/>
          </w:tcPr>
          <w:p>
            <w:pPr>
              <w:jc w:val="right"/>
              <w:ind w:right="1311"/>
              <w:spacing w:after="0"/>
              <w:rPr>
                <w:sz w:val="20"/>
                <w:szCs w:val="20"/>
                <w:color w:val="auto"/>
              </w:rPr>
            </w:pPr>
            <w:r>
              <w:rPr>
                <w:rFonts w:ascii="Arial" w:cs="Arial" w:eastAsia="Arial" w:hAnsi="Arial"/>
                <w:sz w:val="18"/>
                <w:szCs w:val="18"/>
                <w:i w:val="1"/>
                <w:iCs w:val="1"/>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0.89</w:t>
            </w:r>
          </w:p>
        </w:tc>
        <w:tc>
          <w:tcPr>
            <w:tcW w:w="120" w:type="dxa"/>
            <w:vAlign w:val="bottom"/>
            <w:tcBorders>
              <w:bottom w:val="single" w:sz="8" w:color="CCEEFF"/>
            </w:tcBorders>
            <w:shd w:val="clear" w:color="auto" w:fill="CCEEFF"/>
          </w:tcPr>
          <w:p>
            <w:pPr>
              <w:spacing w:after="0"/>
              <w:rPr>
                <w:sz w:val="24"/>
                <w:szCs w:val="24"/>
                <w:color w:val="auto"/>
              </w:rPr>
            </w:pPr>
          </w:p>
        </w:tc>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30.9 %</w:t>
            </w:r>
          </w:p>
        </w:tc>
        <w:tc>
          <w:tcPr>
            <w:tcW w:w="120" w:type="dxa"/>
            <w:vAlign w:val="bottom"/>
            <w:tcBorders>
              <w:bottom w:val="single" w:sz="8" w:color="CCEEFF"/>
            </w:tcBorders>
            <w:shd w:val="clear" w:color="auto" w:fill="CCEEFF"/>
          </w:tcPr>
          <w:p>
            <w:pPr>
              <w:spacing w:after="0"/>
              <w:rPr>
                <w:sz w:val="24"/>
                <w:szCs w:val="24"/>
                <w:color w:val="auto"/>
              </w:rPr>
            </w:pPr>
          </w:p>
        </w:tc>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18.7 %</w:t>
            </w:r>
          </w:p>
        </w:tc>
        <w:tc>
          <w:tcPr>
            <w:tcW w:w="0" w:type="dxa"/>
            <w:vAlign w:val="bottom"/>
          </w:tcPr>
          <w:p>
            <w:pPr>
              <w:spacing w:after="0"/>
              <w:rPr>
                <w:sz w:val="1"/>
                <w:szCs w:val="1"/>
                <w:color w:val="auto"/>
              </w:rPr>
            </w:pPr>
          </w:p>
        </w:tc>
      </w:tr>
      <w:tr>
        <w:trPr>
          <w:trHeight w:val="243"/>
        </w:trPr>
        <w:tc>
          <w:tcPr>
            <w:tcW w:w="2520" w:type="dxa"/>
            <w:vAlign w:val="bottom"/>
          </w:tcPr>
          <w:p>
            <w:pPr>
              <w:ind w:left="80"/>
              <w:spacing w:after="0"/>
              <w:rPr>
                <w:sz w:val="20"/>
                <w:szCs w:val="20"/>
                <w:color w:val="auto"/>
              </w:rPr>
            </w:pPr>
            <w:r>
              <w:rPr>
                <w:rFonts w:ascii="Arial" w:cs="Arial" w:eastAsia="Arial" w:hAnsi="Arial"/>
                <w:sz w:val="18"/>
                <w:szCs w:val="18"/>
                <w:i w:val="1"/>
                <w:iCs w:val="1"/>
                <w:color w:val="auto"/>
              </w:rPr>
              <w:t>1997</w:t>
            </w:r>
          </w:p>
        </w:tc>
        <w:tc>
          <w:tcPr>
            <w:tcW w:w="1520" w:type="dxa"/>
            <w:vAlign w:val="bottom"/>
          </w:tcPr>
          <w:p>
            <w:pPr>
              <w:jc w:val="right"/>
              <w:ind w:right="1311"/>
              <w:spacing w:after="0"/>
              <w:rPr>
                <w:sz w:val="20"/>
                <w:szCs w:val="20"/>
                <w:color w:val="auto"/>
              </w:rPr>
            </w:pPr>
            <w:r>
              <w:rPr>
                <w:rFonts w:ascii="Arial" w:cs="Arial" w:eastAsia="Arial" w:hAnsi="Arial"/>
                <w:sz w:val="18"/>
                <w:szCs w:val="18"/>
                <w:i w:val="1"/>
                <w:iCs w:val="1"/>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i w:val="1"/>
                <w:iCs w:val="1"/>
                <w:color w:val="auto"/>
              </w:rPr>
              <w:t>0.03</w:t>
            </w:r>
          </w:p>
        </w:tc>
        <w:tc>
          <w:tcPr>
            <w:tcW w:w="120" w:type="dxa"/>
            <w:vAlign w:val="bottom"/>
          </w:tcPr>
          <w:p>
            <w:pPr>
              <w:spacing w:after="0"/>
              <w:rPr>
                <w:sz w:val="21"/>
                <w:szCs w:val="21"/>
                <w:color w:val="auto"/>
              </w:rPr>
            </w:pPr>
          </w:p>
        </w:tc>
        <w:tc>
          <w:tcPr>
            <w:tcW w:w="2860" w:type="dxa"/>
            <w:vAlign w:val="bottom"/>
          </w:tcPr>
          <w:p>
            <w:pPr>
              <w:jc w:val="right"/>
              <w:spacing w:after="0"/>
              <w:rPr>
                <w:sz w:val="20"/>
                <w:szCs w:val="20"/>
                <w:color w:val="auto"/>
              </w:rPr>
            </w:pPr>
            <w:r>
              <w:rPr>
                <w:rFonts w:ascii="Arial" w:cs="Arial" w:eastAsia="Arial" w:hAnsi="Arial"/>
                <w:sz w:val="18"/>
                <w:szCs w:val="18"/>
                <w:i w:val="1"/>
                <w:iCs w:val="1"/>
                <w:color w:val="auto"/>
              </w:rPr>
              <w:t>-96.6 %</w:t>
            </w:r>
          </w:p>
        </w:tc>
        <w:tc>
          <w:tcPr>
            <w:tcW w:w="120" w:type="dxa"/>
            <w:vAlign w:val="bottom"/>
          </w:tcPr>
          <w:p>
            <w:pPr>
              <w:spacing w:after="0"/>
              <w:rPr>
                <w:sz w:val="21"/>
                <w:szCs w:val="21"/>
                <w:color w:val="auto"/>
              </w:rPr>
            </w:pPr>
          </w:p>
        </w:tc>
        <w:tc>
          <w:tcPr>
            <w:tcW w:w="2860" w:type="dxa"/>
            <w:vAlign w:val="bottom"/>
          </w:tcPr>
          <w:p>
            <w:pPr>
              <w:jc w:val="right"/>
              <w:spacing w:after="0"/>
              <w:rPr>
                <w:sz w:val="20"/>
                <w:szCs w:val="20"/>
                <w:color w:val="auto"/>
              </w:rPr>
            </w:pPr>
            <w:r>
              <w:rPr>
                <w:rFonts w:ascii="Arial" w:cs="Arial" w:eastAsia="Arial" w:hAnsi="Arial"/>
                <w:sz w:val="18"/>
                <w:szCs w:val="18"/>
                <w:i w:val="1"/>
                <w:iCs w:val="1"/>
                <w:color w:val="auto"/>
              </w:rPr>
              <w:t>0.6 %</w:t>
            </w:r>
          </w:p>
        </w:tc>
        <w:tc>
          <w:tcPr>
            <w:tcW w:w="0" w:type="dxa"/>
            <w:vAlign w:val="bottom"/>
          </w:tcPr>
          <w:p>
            <w:pPr>
              <w:spacing w:after="0"/>
              <w:rPr>
                <w:sz w:val="1"/>
                <w:szCs w:val="1"/>
                <w:color w:val="auto"/>
              </w:rPr>
            </w:pPr>
          </w:p>
        </w:tc>
      </w:tr>
      <w:tr>
        <w:trPr>
          <w:trHeight w:val="54"/>
        </w:trPr>
        <w:tc>
          <w:tcPr>
            <w:tcW w:w="25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25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1998</w:t>
            </w:r>
          </w:p>
        </w:tc>
        <w:tc>
          <w:tcPr>
            <w:tcW w:w="1520" w:type="dxa"/>
            <w:vAlign w:val="bottom"/>
            <w:tcBorders>
              <w:bottom w:val="single" w:sz="8" w:color="CCEEFF"/>
            </w:tcBorders>
            <w:shd w:val="clear" w:color="auto" w:fill="CCEEFF"/>
          </w:tcPr>
          <w:p>
            <w:pPr>
              <w:jc w:val="right"/>
              <w:ind w:right="1311"/>
              <w:spacing w:after="0"/>
              <w:rPr>
                <w:sz w:val="20"/>
                <w:szCs w:val="20"/>
                <w:color w:val="auto"/>
              </w:rPr>
            </w:pPr>
            <w:r>
              <w:rPr>
                <w:rFonts w:ascii="Arial" w:cs="Arial" w:eastAsia="Arial" w:hAnsi="Arial"/>
                <w:sz w:val="18"/>
                <w:szCs w:val="18"/>
                <w:i w:val="1"/>
                <w:iCs w:val="1"/>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0.53</w:t>
            </w:r>
          </w:p>
        </w:tc>
        <w:tc>
          <w:tcPr>
            <w:tcW w:w="120" w:type="dxa"/>
            <w:vAlign w:val="bottom"/>
            <w:tcBorders>
              <w:bottom w:val="single" w:sz="8" w:color="CCEEFF"/>
            </w:tcBorders>
            <w:shd w:val="clear" w:color="auto" w:fill="CCEEFF"/>
          </w:tcPr>
          <w:p>
            <w:pPr>
              <w:spacing w:after="0"/>
              <w:rPr>
                <w:sz w:val="24"/>
                <w:szCs w:val="24"/>
                <w:color w:val="auto"/>
              </w:rPr>
            </w:pPr>
          </w:p>
        </w:tc>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1,666.7 %</w:t>
            </w:r>
          </w:p>
        </w:tc>
        <w:tc>
          <w:tcPr>
            <w:tcW w:w="120" w:type="dxa"/>
            <w:vAlign w:val="bottom"/>
            <w:tcBorders>
              <w:bottom w:val="single" w:sz="8" w:color="CCEEFF"/>
            </w:tcBorders>
            <w:shd w:val="clear" w:color="auto" w:fill="CCEEFF"/>
          </w:tcPr>
          <w:p>
            <w:pPr>
              <w:spacing w:after="0"/>
              <w:rPr>
                <w:sz w:val="24"/>
                <w:szCs w:val="24"/>
                <w:color w:val="auto"/>
              </w:rPr>
            </w:pPr>
          </w:p>
        </w:tc>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9.5 %</w:t>
            </w:r>
          </w:p>
        </w:tc>
        <w:tc>
          <w:tcPr>
            <w:tcW w:w="0" w:type="dxa"/>
            <w:vAlign w:val="bottom"/>
          </w:tcPr>
          <w:p>
            <w:pPr>
              <w:spacing w:after="0"/>
              <w:rPr>
                <w:sz w:val="1"/>
                <w:szCs w:val="1"/>
                <w:color w:val="auto"/>
              </w:rPr>
            </w:pPr>
          </w:p>
        </w:tc>
      </w:tr>
      <w:tr>
        <w:trPr>
          <w:trHeight w:val="243"/>
        </w:trPr>
        <w:tc>
          <w:tcPr>
            <w:tcW w:w="2520" w:type="dxa"/>
            <w:vAlign w:val="bottom"/>
          </w:tcPr>
          <w:p>
            <w:pPr>
              <w:ind w:left="80"/>
              <w:spacing w:after="0"/>
              <w:rPr>
                <w:sz w:val="20"/>
                <w:szCs w:val="20"/>
                <w:color w:val="auto"/>
              </w:rPr>
            </w:pPr>
            <w:r>
              <w:rPr>
                <w:rFonts w:ascii="Arial" w:cs="Arial" w:eastAsia="Arial" w:hAnsi="Arial"/>
                <w:sz w:val="18"/>
                <w:szCs w:val="18"/>
                <w:i w:val="1"/>
                <w:iCs w:val="1"/>
                <w:color w:val="auto"/>
              </w:rPr>
              <w:t>1999</w:t>
            </w:r>
          </w:p>
        </w:tc>
        <w:tc>
          <w:tcPr>
            <w:tcW w:w="1520" w:type="dxa"/>
            <w:vAlign w:val="bottom"/>
          </w:tcPr>
          <w:p>
            <w:pPr>
              <w:jc w:val="right"/>
              <w:ind w:right="1311"/>
              <w:spacing w:after="0"/>
              <w:rPr>
                <w:sz w:val="20"/>
                <w:szCs w:val="20"/>
                <w:color w:val="auto"/>
              </w:rPr>
            </w:pPr>
            <w:r>
              <w:rPr>
                <w:rFonts w:ascii="Arial" w:cs="Arial" w:eastAsia="Arial" w:hAnsi="Arial"/>
                <w:sz w:val="18"/>
                <w:szCs w:val="18"/>
                <w:i w:val="1"/>
                <w:i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(0.27)</w:t>
            </w:r>
          </w:p>
        </w:tc>
        <w:tc>
          <w:tcPr>
            <w:tcW w:w="120" w:type="dxa"/>
            <w:vAlign w:val="bottom"/>
          </w:tcPr>
          <w:p>
            <w:pPr>
              <w:spacing w:after="0"/>
              <w:rPr>
                <w:sz w:val="21"/>
                <w:szCs w:val="21"/>
                <w:color w:val="auto"/>
              </w:rPr>
            </w:pPr>
          </w:p>
        </w:tc>
        <w:tc>
          <w:tcPr>
            <w:tcW w:w="2860" w:type="dxa"/>
            <w:vAlign w:val="bottom"/>
          </w:tcPr>
          <w:p>
            <w:pPr>
              <w:jc w:val="right"/>
              <w:spacing w:after="0"/>
              <w:rPr>
                <w:sz w:val="20"/>
                <w:szCs w:val="20"/>
                <w:color w:val="auto"/>
              </w:rPr>
            </w:pPr>
            <w:r>
              <w:rPr>
                <w:rFonts w:ascii="Arial" w:cs="Arial" w:eastAsia="Arial" w:hAnsi="Arial"/>
                <w:sz w:val="18"/>
                <w:szCs w:val="18"/>
                <w:i w:val="1"/>
                <w:iCs w:val="1"/>
                <w:color w:val="auto"/>
              </w:rPr>
              <w:t>-150.9 %</w:t>
            </w:r>
          </w:p>
        </w:tc>
        <w:tc>
          <w:tcPr>
            <w:tcW w:w="120" w:type="dxa"/>
            <w:vAlign w:val="bottom"/>
          </w:tcPr>
          <w:p>
            <w:pPr>
              <w:spacing w:after="0"/>
              <w:rPr>
                <w:sz w:val="21"/>
                <w:szCs w:val="21"/>
                <w:color w:val="auto"/>
              </w:rPr>
            </w:pPr>
          </w:p>
        </w:tc>
        <w:tc>
          <w:tcPr>
            <w:tcW w:w="2860" w:type="dxa"/>
            <w:vAlign w:val="bottom"/>
          </w:tcPr>
          <w:p>
            <w:pPr>
              <w:jc w:val="right"/>
              <w:spacing w:after="0"/>
              <w:rPr>
                <w:sz w:val="20"/>
                <w:szCs w:val="20"/>
                <w:color w:val="auto"/>
              </w:rPr>
            </w:pPr>
            <w:r>
              <w:rPr>
                <w:rFonts w:ascii="Arial" w:cs="Arial" w:eastAsia="Arial" w:hAnsi="Arial"/>
                <w:sz w:val="18"/>
                <w:szCs w:val="18"/>
                <w:i w:val="1"/>
                <w:iCs w:val="1"/>
                <w:color w:val="auto"/>
              </w:rPr>
              <w:t>-3.9 %</w:t>
            </w:r>
          </w:p>
        </w:tc>
        <w:tc>
          <w:tcPr>
            <w:tcW w:w="0" w:type="dxa"/>
            <w:vAlign w:val="bottom"/>
          </w:tcPr>
          <w:p>
            <w:pPr>
              <w:spacing w:after="0"/>
              <w:rPr>
                <w:sz w:val="1"/>
                <w:szCs w:val="1"/>
                <w:color w:val="auto"/>
              </w:rPr>
            </w:pPr>
          </w:p>
        </w:tc>
      </w:tr>
      <w:tr>
        <w:trPr>
          <w:trHeight w:val="54"/>
        </w:trPr>
        <w:tc>
          <w:tcPr>
            <w:tcW w:w="25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25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2000</w:t>
            </w:r>
          </w:p>
        </w:tc>
        <w:tc>
          <w:tcPr>
            <w:tcW w:w="1520" w:type="dxa"/>
            <w:vAlign w:val="bottom"/>
            <w:tcBorders>
              <w:bottom w:val="single" w:sz="8" w:color="CCEEFF"/>
            </w:tcBorders>
            <w:shd w:val="clear" w:color="auto" w:fill="CCEEFF"/>
          </w:tcPr>
          <w:p>
            <w:pPr>
              <w:jc w:val="right"/>
              <w:ind w:right="1311"/>
              <w:spacing w:after="0"/>
              <w:rPr>
                <w:sz w:val="20"/>
                <w:szCs w:val="20"/>
                <w:color w:val="auto"/>
              </w:rPr>
            </w:pPr>
            <w:r>
              <w:rPr>
                <w:rFonts w:ascii="Arial" w:cs="Arial" w:eastAsia="Arial" w:hAnsi="Arial"/>
                <w:sz w:val="18"/>
                <w:szCs w:val="18"/>
                <w:i w:val="1"/>
                <w:iCs w:val="1"/>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0.51</w:t>
            </w:r>
          </w:p>
        </w:tc>
        <w:tc>
          <w:tcPr>
            <w:tcW w:w="120" w:type="dxa"/>
            <w:vAlign w:val="bottom"/>
            <w:tcBorders>
              <w:bottom w:val="single" w:sz="8" w:color="CCEEFF"/>
            </w:tcBorders>
            <w:shd w:val="clear" w:color="auto" w:fill="CCEEFF"/>
          </w:tcPr>
          <w:p>
            <w:pPr>
              <w:spacing w:after="0"/>
              <w:rPr>
                <w:sz w:val="24"/>
                <w:szCs w:val="24"/>
                <w:color w:val="auto"/>
              </w:rPr>
            </w:pPr>
          </w:p>
        </w:tc>
        <w:tc>
          <w:tcPr>
            <w:tcW w:w="29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i w:val="1"/>
                <w:iCs w:val="1"/>
                <w:color w:val="auto"/>
              </w:rPr>
              <w:t>—</w:t>
            </w:r>
          </w:p>
        </w:tc>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9.1 %</w:t>
            </w:r>
          </w:p>
        </w:tc>
        <w:tc>
          <w:tcPr>
            <w:tcW w:w="0" w:type="dxa"/>
            <w:vAlign w:val="bottom"/>
          </w:tcPr>
          <w:p>
            <w:pPr>
              <w:spacing w:after="0"/>
              <w:rPr>
                <w:sz w:val="1"/>
                <w:szCs w:val="1"/>
                <w:color w:val="auto"/>
              </w:rPr>
            </w:pPr>
          </w:p>
        </w:tc>
      </w:tr>
      <w:tr>
        <w:trPr>
          <w:trHeight w:val="243"/>
        </w:trPr>
        <w:tc>
          <w:tcPr>
            <w:tcW w:w="2520" w:type="dxa"/>
            <w:vAlign w:val="bottom"/>
          </w:tcPr>
          <w:p>
            <w:pPr>
              <w:ind w:left="80"/>
              <w:spacing w:after="0"/>
              <w:rPr>
                <w:sz w:val="20"/>
                <w:szCs w:val="20"/>
                <w:color w:val="auto"/>
              </w:rPr>
            </w:pPr>
            <w:r>
              <w:rPr>
                <w:rFonts w:ascii="Arial" w:cs="Arial" w:eastAsia="Arial" w:hAnsi="Arial"/>
                <w:sz w:val="18"/>
                <w:szCs w:val="18"/>
                <w:i w:val="1"/>
                <w:iCs w:val="1"/>
                <w:color w:val="auto"/>
              </w:rPr>
              <w:t>2001</w:t>
            </w:r>
          </w:p>
        </w:tc>
        <w:tc>
          <w:tcPr>
            <w:tcW w:w="1520" w:type="dxa"/>
            <w:vAlign w:val="bottom"/>
          </w:tcPr>
          <w:p>
            <w:pPr>
              <w:jc w:val="right"/>
              <w:ind w:right="1311"/>
              <w:spacing w:after="0"/>
              <w:rPr>
                <w:sz w:val="20"/>
                <w:szCs w:val="20"/>
                <w:color w:val="auto"/>
              </w:rPr>
            </w:pPr>
            <w:r>
              <w:rPr>
                <w:rFonts w:ascii="Arial" w:cs="Arial" w:eastAsia="Arial" w:hAnsi="Arial"/>
                <w:sz w:val="18"/>
                <w:szCs w:val="18"/>
                <w:i w:val="1"/>
                <w:iCs w:val="1"/>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i w:val="1"/>
                <w:iCs w:val="1"/>
                <w:color w:val="auto"/>
              </w:rPr>
              <w:t>0.57</w:t>
            </w:r>
          </w:p>
        </w:tc>
        <w:tc>
          <w:tcPr>
            <w:tcW w:w="120" w:type="dxa"/>
            <w:vAlign w:val="bottom"/>
          </w:tcPr>
          <w:p>
            <w:pPr>
              <w:spacing w:after="0"/>
              <w:rPr>
                <w:sz w:val="21"/>
                <w:szCs w:val="21"/>
                <w:color w:val="auto"/>
              </w:rPr>
            </w:pPr>
          </w:p>
        </w:tc>
        <w:tc>
          <w:tcPr>
            <w:tcW w:w="2860" w:type="dxa"/>
            <w:vAlign w:val="bottom"/>
          </w:tcPr>
          <w:p>
            <w:pPr>
              <w:jc w:val="right"/>
              <w:spacing w:after="0"/>
              <w:rPr>
                <w:sz w:val="20"/>
                <w:szCs w:val="20"/>
                <w:color w:val="auto"/>
              </w:rPr>
            </w:pPr>
            <w:r>
              <w:rPr>
                <w:rFonts w:ascii="Arial" w:cs="Arial" w:eastAsia="Arial" w:hAnsi="Arial"/>
                <w:sz w:val="18"/>
                <w:szCs w:val="18"/>
                <w:i w:val="1"/>
                <w:iCs w:val="1"/>
                <w:color w:val="auto"/>
              </w:rPr>
              <w:t>11.8 %</w:t>
            </w:r>
          </w:p>
        </w:tc>
        <w:tc>
          <w:tcPr>
            <w:tcW w:w="120" w:type="dxa"/>
            <w:vAlign w:val="bottom"/>
          </w:tcPr>
          <w:p>
            <w:pPr>
              <w:spacing w:after="0"/>
              <w:rPr>
                <w:sz w:val="21"/>
                <w:szCs w:val="21"/>
                <w:color w:val="auto"/>
              </w:rPr>
            </w:pPr>
          </w:p>
        </w:tc>
        <w:tc>
          <w:tcPr>
            <w:tcW w:w="2860" w:type="dxa"/>
            <w:vAlign w:val="bottom"/>
          </w:tcPr>
          <w:p>
            <w:pPr>
              <w:jc w:val="right"/>
              <w:spacing w:after="0"/>
              <w:rPr>
                <w:sz w:val="20"/>
                <w:szCs w:val="20"/>
                <w:color w:val="auto"/>
              </w:rPr>
            </w:pPr>
            <w:r>
              <w:rPr>
                <w:rFonts w:ascii="Arial" w:cs="Arial" w:eastAsia="Arial" w:hAnsi="Arial"/>
                <w:sz w:val="18"/>
                <w:szCs w:val="18"/>
                <w:i w:val="1"/>
                <w:iCs w:val="1"/>
                <w:color w:val="auto"/>
              </w:rPr>
              <w:t>9.1 %</w:t>
            </w:r>
          </w:p>
        </w:tc>
        <w:tc>
          <w:tcPr>
            <w:tcW w:w="0" w:type="dxa"/>
            <w:vAlign w:val="bottom"/>
          </w:tcPr>
          <w:p>
            <w:pPr>
              <w:spacing w:after="0"/>
              <w:rPr>
                <w:sz w:val="1"/>
                <w:szCs w:val="1"/>
                <w:color w:val="auto"/>
              </w:rPr>
            </w:pPr>
          </w:p>
        </w:tc>
      </w:tr>
      <w:tr>
        <w:trPr>
          <w:trHeight w:val="54"/>
        </w:trPr>
        <w:tc>
          <w:tcPr>
            <w:tcW w:w="25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25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2002</w:t>
            </w:r>
          </w:p>
        </w:tc>
        <w:tc>
          <w:tcPr>
            <w:tcW w:w="1520" w:type="dxa"/>
            <w:vAlign w:val="bottom"/>
            <w:tcBorders>
              <w:bottom w:val="single" w:sz="8" w:color="CCEEFF"/>
            </w:tcBorders>
            <w:shd w:val="clear" w:color="auto" w:fill="CCEEFF"/>
          </w:tcPr>
          <w:p>
            <w:pPr>
              <w:jc w:val="right"/>
              <w:ind w:right="1311"/>
              <w:spacing w:after="0"/>
              <w:rPr>
                <w:sz w:val="20"/>
                <w:szCs w:val="20"/>
                <w:color w:val="auto"/>
              </w:rPr>
            </w:pPr>
            <w:r>
              <w:rPr>
                <w:rFonts w:ascii="Arial" w:cs="Arial" w:eastAsia="Arial" w:hAnsi="Arial"/>
                <w:sz w:val="18"/>
                <w:szCs w:val="18"/>
                <w:i w:val="1"/>
                <w:iCs w:val="1"/>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0.69</w:t>
            </w:r>
          </w:p>
        </w:tc>
        <w:tc>
          <w:tcPr>
            <w:tcW w:w="120" w:type="dxa"/>
            <w:vAlign w:val="bottom"/>
            <w:tcBorders>
              <w:bottom w:val="single" w:sz="8" w:color="CCEEFF"/>
            </w:tcBorders>
            <w:shd w:val="clear" w:color="auto" w:fill="CCEEFF"/>
          </w:tcPr>
          <w:p>
            <w:pPr>
              <w:spacing w:after="0"/>
              <w:rPr>
                <w:sz w:val="24"/>
                <w:szCs w:val="24"/>
                <w:color w:val="auto"/>
              </w:rPr>
            </w:pPr>
          </w:p>
        </w:tc>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21.1 %</w:t>
            </w:r>
          </w:p>
        </w:tc>
        <w:tc>
          <w:tcPr>
            <w:tcW w:w="120" w:type="dxa"/>
            <w:vAlign w:val="bottom"/>
            <w:tcBorders>
              <w:bottom w:val="single" w:sz="8" w:color="CCEEFF"/>
            </w:tcBorders>
            <w:shd w:val="clear" w:color="auto" w:fill="CCEEFF"/>
          </w:tcPr>
          <w:p>
            <w:pPr>
              <w:spacing w:after="0"/>
              <w:rPr>
                <w:sz w:val="24"/>
                <w:szCs w:val="24"/>
                <w:color w:val="auto"/>
              </w:rPr>
            </w:pPr>
          </w:p>
        </w:tc>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10.1 %</w:t>
            </w:r>
          </w:p>
        </w:tc>
        <w:tc>
          <w:tcPr>
            <w:tcW w:w="0" w:type="dxa"/>
            <w:vAlign w:val="bottom"/>
          </w:tcPr>
          <w:p>
            <w:pPr>
              <w:spacing w:after="0"/>
              <w:rPr>
                <w:sz w:val="1"/>
                <w:szCs w:val="1"/>
                <w:color w:val="auto"/>
              </w:rPr>
            </w:pPr>
          </w:p>
        </w:tc>
      </w:tr>
      <w:tr>
        <w:trPr>
          <w:trHeight w:val="243"/>
        </w:trPr>
        <w:tc>
          <w:tcPr>
            <w:tcW w:w="2520" w:type="dxa"/>
            <w:vAlign w:val="bottom"/>
          </w:tcPr>
          <w:p>
            <w:pPr>
              <w:ind w:left="80"/>
              <w:spacing w:after="0"/>
              <w:rPr>
                <w:sz w:val="20"/>
                <w:szCs w:val="20"/>
                <w:color w:val="auto"/>
              </w:rPr>
            </w:pPr>
            <w:r>
              <w:rPr>
                <w:rFonts w:ascii="Arial" w:cs="Arial" w:eastAsia="Arial" w:hAnsi="Arial"/>
                <w:sz w:val="18"/>
                <w:szCs w:val="18"/>
                <w:i w:val="1"/>
                <w:iCs w:val="1"/>
                <w:color w:val="auto"/>
              </w:rPr>
              <w:t>2003</w:t>
            </w:r>
          </w:p>
        </w:tc>
        <w:tc>
          <w:tcPr>
            <w:tcW w:w="1520" w:type="dxa"/>
            <w:vAlign w:val="bottom"/>
          </w:tcPr>
          <w:p>
            <w:pPr>
              <w:jc w:val="right"/>
              <w:ind w:right="1311"/>
              <w:spacing w:after="0"/>
              <w:rPr>
                <w:sz w:val="20"/>
                <w:szCs w:val="20"/>
                <w:color w:val="auto"/>
              </w:rPr>
            </w:pPr>
            <w:r>
              <w:rPr>
                <w:rFonts w:ascii="Arial" w:cs="Arial" w:eastAsia="Arial" w:hAnsi="Arial"/>
                <w:sz w:val="18"/>
                <w:szCs w:val="18"/>
                <w:i w:val="1"/>
                <w:iCs w:val="1"/>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i w:val="1"/>
                <w:iCs w:val="1"/>
                <w:color w:val="auto"/>
              </w:rPr>
              <w:t>0.57</w:t>
            </w:r>
          </w:p>
        </w:tc>
        <w:tc>
          <w:tcPr>
            <w:tcW w:w="120" w:type="dxa"/>
            <w:vAlign w:val="bottom"/>
          </w:tcPr>
          <w:p>
            <w:pPr>
              <w:spacing w:after="0"/>
              <w:rPr>
                <w:sz w:val="21"/>
                <w:szCs w:val="21"/>
                <w:color w:val="auto"/>
              </w:rPr>
            </w:pPr>
          </w:p>
        </w:tc>
        <w:tc>
          <w:tcPr>
            <w:tcW w:w="2860" w:type="dxa"/>
            <w:vAlign w:val="bottom"/>
          </w:tcPr>
          <w:p>
            <w:pPr>
              <w:jc w:val="right"/>
              <w:spacing w:after="0"/>
              <w:rPr>
                <w:sz w:val="20"/>
                <w:szCs w:val="20"/>
                <w:color w:val="auto"/>
              </w:rPr>
            </w:pPr>
            <w:r>
              <w:rPr>
                <w:rFonts w:ascii="Arial" w:cs="Arial" w:eastAsia="Arial" w:hAnsi="Arial"/>
                <w:sz w:val="18"/>
                <w:szCs w:val="18"/>
                <w:i w:val="1"/>
                <w:iCs w:val="1"/>
                <w:color w:val="auto"/>
              </w:rPr>
              <w:t>-17.4 %</w:t>
            </w:r>
          </w:p>
        </w:tc>
        <w:tc>
          <w:tcPr>
            <w:tcW w:w="120" w:type="dxa"/>
            <w:vAlign w:val="bottom"/>
          </w:tcPr>
          <w:p>
            <w:pPr>
              <w:spacing w:after="0"/>
              <w:rPr>
                <w:sz w:val="21"/>
                <w:szCs w:val="21"/>
                <w:color w:val="auto"/>
              </w:rPr>
            </w:pPr>
          </w:p>
        </w:tc>
        <w:tc>
          <w:tcPr>
            <w:tcW w:w="2860" w:type="dxa"/>
            <w:vAlign w:val="bottom"/>
          </w:tcPr>
          <w:p>
            <w:pPr>
              <w:jc w:val="right"/>
              <w:spacing w:after="0"/>
              <w:rPr>
                <w:sz w:val="20"/>
                <w:szCs w:val="20"/>
                <w:color w:val="auto"/>
              </w:rPr>
            </w:pPr>
            <w:r>
              <w:rPr>
                <w:rFonts w:ascii="Arial" w:cs="Arial" w:eastAsia="Arial" w:hAnsi="Arial"/>
                <w:sz w:val="18"/>
                <w:szCs w:val="18"/>
                <w:i w:val="1"/>
                <w:iCs w:val="1"/>
                <w:color w:val="auto"/>
              </w:rPr>
              <w:t>7.5 %</w:t>
            </w:r>
          </w:p>
        </w:tc>
        <w:tc>
          <w:tcPr>
            <w:tcW w:w="0" w:type="dxa"/>
            <w:vAlign w:val="bottom"/>
          </w:tcPr>
          <w:p>
            <w:pPr>
              <w:spacing w:after="0"/>
              <w:rPr>
                <w:sz w:val="1"/>
                <w:szCs w:val="1"/>
                <w:color w:val="auto"/>
              </w:rPr>
            </w:pPr>
          </w:p>
        </w:tc>
      </w:tr>
      <w:tr>
        <w:trPr>
          <w:trHeight w:val="54"/>
        </w:trPr>
        <w:tc>
          <w:tcPr>
            <w:tcW w:w="25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25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2004</w:t>
            </w:r>
          </w:p>
        </w:tc>
        <w:tc>
          <w:tcPr>
            <w:tcW w:w="1520" w:type="dxa"/>
            <w:vAlign w:val="bottom"/>
            <w:tcBorders>
              <w:bottom w:val="single" w:sz="8" w:color="CCEEFF"/>
            </w:tcBorders>
            <w:shd w:val="clear" w:color="auto" w:fill="CCEEFF"/>
          </w:tcPr>
          <w:p>
            <w:pPr>
              <w:jc w:val="right"/>
              <w:ind w:right="1311"/>
              <w:spacing w:after="0"/>
              <w:rPr>
                <w:sz w:val="20"/>
                <w:szCs w:val="20"/>
                <w:color w:val="auto"/>
              </w:rPr>
            </w:pPr>
            <w:r>
              <w:rPr>
                <w:rFonts w:ascii="Arial" w:cs="Arial" w:eastAsia="Arial" w:hAnsi="Arial"/>
                <w:sz w:val="18"/>
                <w:szCs w:val="18"/>
                <w:i w:val="1"/>
                <w:iCs w:val="1"/>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1.40</w:t>
            </w:r>
          </w:p>
        </w:tc>
        <w:tc>
          <w:tcPr>
            <w:tcW w:w="120" w:type="dxa"/>
            <w:vAlign w:val="bottom"/>
            <w:tcBorders>
              <w:bottom w:val="single" w:sz="8" w:color="CCEEFF"/>
            </w:tcBorders>
            <w:shd w:val="clear" w:color="auto" w:fill="CCEEFF"/>
          </w:tcPr>
          <w:p>
            <w:pPr>
              <w:spacing w:after="0"/>
              <w:rPr>
                <w:sz w:val="24"/>
                <w:szCs w:val="24"/>
                <w:color w:val="auto"/>
              </w:rPr>
            </w:pPr>
          </w:p>
        </w:tc>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145.6 %</w:t>
            </w:r>
          </w:p>
        </w:tc>
        <w:tc>
          <w:tcPr>
            <w:tcW w:w="120" w:type="dxa"/>
            <w:vAlign w:val="bottom"/>
            <w:tcBorders>
              <w:bottom w:val="single" w:sz="8" w:color="CCEEFF"/>
            </w:tcBorders>
            <w:shd w:val="clear" w:color="auto" w:fill="CCEEFF"/>
          </w:tcPr>
          <w:p>
            <w:pPr>
              <w:spacing w:after="0"/>
              <w:rPr>
                <w:sz w:val="24"/>
                <w:szCs w:val="24"/>
                <w:color w:val="auto"/>
              </w:rPr>
            </w:pPr>
          </w:p>
        </w:tc>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18.4 %</w:t>
            </w:r>
          </w:p>
        </w:tc>
        <w:tc>
          <w:tcPr>
            <w:tcW w:w="0" w:type="dxa"/>
            <w:vAlign w:val="bottom"/>
          </w:tcPr>
          <w:p>
            <w:pPr>
              <w:spacing w:after="0"/>
              <w:rPr>
                <w:sz w:val="1"/>
                <w:szCs w:val="1"/>
                <w:color w:val="auto"/>
              </w:rPr>
            </w:pPr>
          </w:p>
        </w:tc>
      </w:tr>
      <w:tr>
        <w:trPr>
          <w:trHeight w:val="243"/>
        </w:trPr>
        <w:tc>
          <w:tcPr>
            <w:tcW w:w="2520" w:type="dxa"/>
            <w:vAlign w:val="bottom"/>
          </w:tcPr>
          <w:p>
            <w:pPr>
              <w:ind w:left="80"/>
              <w:spacing w:after="0"/>
              <w:rPr>
                <w:sz w:val="20"/>
                <w:szCs w:val="20"/>
                <w:color w:val="auto"/>
              </w:rPr>
            </w:pPr>
            <w:r>
              <w:rPr>
                <w:rFonts w:ascii="Arial" w:cs="Arial" w:eastAsia="Arial" w:hAnsi="Arial"/>
                <w:sz w:val="18"/>
                <w:szCs w:val="18"/>
                <w:i w:val="1"/>
                <w:iCs w:val="1"/>
                <w:color w:val="auto"/>
              </w:rPr>
              <w:t>2005</w:t>
            </w:r>
          </w:p>
        </w:tc>
        <w:tc>
          <w:tcPr>
            <w:tcW w:w="1520" w:type="dxa"/>
            <w:vAlign w:val="bottom"/>
          </w:tcPr>
          <w:p>
            <w:pPr>
              <w:jc w:val="right"/>
              <w:ind w:right="1311"/>
              <w:spacing w:after="0"/>
              <w:rPr>
                <w:sz w:val="20"/>
                <w:szCs w:val="20"/>
                <w:color w:val="auto"/>
              </w:rPr>
            </w:pPr>
            <w:r>
              <w:rPr>
                <w:rFonts w:ascii="Arial" w:cs="Arial" w:eastAsia="Arial" w:hAnsi="Arial"/>
                <w:sz w:val="18"/>
                <w:szCs w:val="18"/>
                <w:i w:val="1"/>
                <w:iCs w:val="1"/>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i w:val="1"/>
                <w:iCs w:val="1"/>
                <w:color w:val="auto"/>
              </w:rPr>
              <w:t>1.85</w:t>
            </w:r>
          </w:p>
        </w:tc>
        <w:tc>
          <w:tcPr>
            <w:tcW w:w="120" w:type="dxa"/>
            <w:vAlign w:val="bottom"/>
          </w:tcPr>
          <w:p>
            <w:pPr>
              <w:spacing w:after="0"/>
              <w:rPr>
                <w:sz w:val="21"/>
                <w:szCs w:val="21"/>
                <w:color w:val="auto"/>
              </w:rPr>
            </w:pPr>
          </w:p>
        </w:tc>
        <w:tc>
          <w:tcPr>
            <w:tcW w:w="2860" w:type="dxa"/>
            <w:vAlign w:val="bottom"/>
          </w:tcPr>
          <w:p>
            <w:pPr>
              <w:jc w:val="right"/>
              <w:spacing w:after="0"/>
              <w:rPr>
                <w:sz w:val="20"/>
                <w:szCs w:val="20"/>
                <w:color w:val="auto"/>
              </w:rPr>
            </w:pPr>
            <w:r>
              <w:rPr>
                <w:rFonts w:ascii="Arial" w:cs="Arial" w:eastAsia="Arial" w:hAnsi="Arial"/>
                <w:sz w:val="18"/>
                <w:szCs w:val="18"/>
                <w:i w:val="1"/>
                <w:iCs w:val="1"/>
                <w:color w:val="auto"/>
              </w:rPr>
              <w:t>32.1 %</w:t>
            </w:r>
          </w:p>
        </w:tc>
        <w:tc>
          <w:tcPr>
            <w:tcW w:w="120" w:type="dxa"/>
            <w:vAlign w:val="bottom"/>
          </w:tcPr>
          <w:p>
            <w:pPr>
              <w:spacing w:after="0"/>
              <w:rPr>
                <w:sz w:val="21"/>
                <w:szCs w:val="21"/>
                <w:color w:val="auto"/>
              </w:rPr>
            </w:pPr>
          </w:p>
        </w:tc>
        <w:tc>
          <w:tcPr>
            <w:tcW w:w="2860" w:type="dxa"/>
            <w:vAlign w:val="bottom"/>
          </w:tcPr>
          <w:p>
            <w:pPr>
              <w:jc w:val="right"/>
              <w:spacing w:after="0"/>
              <w:rPr>
                <w:sz w:val="20"/>
                <w:szCs w:val="20"/>
                <w:color w:val="auto"/>
              </w:rPr>
            </w:pPr>
            <w:r>
              <w:rPr>
                <w:rFonts w:ascii="Arial" w:cs="Arial" w:eastAsia="Arial" w:hAnsi="Arial"/>
                <w:sz w:val="18"/>
                <w:szCs w:val="18"/>
                <w:i w:val="1"/>
                <w:iCs w:val="1"/>
                <w:color w:val="auto"/>
              </w:rPr>
              <w:t>21.8 %</w:t>
            </w:r>
          </w:p>
        </w:tc>
        <w:tc>
          <w:tcPr>
            <w:tcW w:w="0" w:type="dxa"/>
            <w:vAlign w:val="bottom"/>
          </w:tcPr>
          <w:p>
            <w:pPr>
              <w:spacing w:after="0"/>
              <w:rPr>
                <w:sz w:val="1"/>
                <w:szCs w:val="1"/>
                <w:color w:val="auto"/>
              </w:rPr>
            </w:pPr>
          </w:p>
        </w:tc>
      </w:tr>
      <w:tr>
        <w:trPr>
          <w:trHeight w:val="54"/>
        </w:trPr>
        <w:tc>
          <w:tcPr>
            <w:tcW w:w="25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25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2006</w:t>
            </w:r>
          </w:p>
        </w:tc>
        <w:tc>
          <w:tcPr>
            <w:tcW w:w="1520" w:type="dxa"/>
            <w:vAlign w:val="bottom"/>
            <w:tcBorders>
              <w:bottom w:val="single" w:sz="8" w:color="CCEEFF"/>
            </w:tcBorders>
            <w:shd w:val="clear" w:color="auto" w:fill="CCEEFF"/>
          </w:tcPr>
          <w:p>
            <w:pPr>
              <w:jc w:val="right"/>
              <w:ind w:right="1311"/>
              <w:spacing w:after="0"/>
              <w:rPr>
                <w:sz w:val="20"/>
                <w:szCs w:val="20"/>
                <w:color w:val="auto"/>
              </w:rPr>
            </w:pPr>
            <w:r>
              <w:rPr>
                <w:rFonts w:ascii="Arial" w:cs="Arial" w:eastAsia="Arial" w:hAnsi="Arial"/>
                <w:sz w:val="18"/>
                <w:szCs w:val="18"/>
                <w:i w:val="1"/>
                <w:iCs w:val="1"/>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1.66</w:t>
            </w:r>
          </w:p>
        </w:tc>
        <w:tc>
          <w:tcPr>
            <w:tcW w:w="120" w:type="dxa"/>
            <w:vAlign w:val="bottom"/>
            <w:tcBorders>
              <w:bottom w:val="single" w:sz="8" w:color="CCEEFF"/>
            </w:tcBorders>
            <w:shd w:val="clear" w:color="auto" w:fill="CCEEFF"/>
          </w:tcPr>
          <w:p>
            <w:pPr>
              <w:spacing w:after="0"/>
              <w:rPr>
                <w:sz w:val="24"/>
                <w:szCs w:val="24"/>
                <w:color w:val="auto"/>
              </w:rPr>
            </w:pPr>
          </w:p>
        </w:tc>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-10.3 %</w:t>
            </w:r>
          </w:p>
        </w:tc>
        <w:tc>
          <w:tcPr>
            <w:tcW w:w="120" w:type="dxa"/>
            <w:vAlign w:val="bottom"/>
            <w:tcBorders>
              <w:bottom w:val="single" w:sz="8" w:color="CCEEFF"/>
            </w:tcBorders>
            <w:shd w:val="clear" w:color="auto" w:fill="CCEEFF"/>
          </w:tcPr>
          <w:p>
            <w:pPr>
              <w:spacing w:after="0"/>
              <w:rPr>
                <w:sz w:val="24"/>
                <w:szCs w:val="24"/>
                <w:color w:val="auto"/>
              </w:rPr>
            </w:pPr>
          </w:p>
        </w:tc>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20.2 %</w:t>
            </w:r>
          </w:p>
        </w:tc>
        <w:tc>
          <w:tcPr>
            <w:tcW w:w="0" w:type="dxa"/>
            <w:vAlign w:val="bottom"/>
          </w:tcPr>
          <w:p>
            <w:pPr>
              <w:spacing w:after="0"/>
              <w:rPr>
                <w:sz w:val="1"/>
                <w:szCs w:val="1"/>
                <w:color w:val="auto"/>
              </w:rPr>
            </w:pPr>
          </w:p>
        </w:tc>
      </w:tr>
      <w:tr>
        <w:trPr>
          <w:trHeight w:val="243"/>
        </w:trPr>
        <w:tc>
          <w:tcPr>
            <w:tcW w:w="2520" w:type="dxa"/>
            <w:vAlign w:val="bottom"/>
          </w:tcPr>
          <w:p>
            <w:pPr>
              <w:ind w:left="80"/>
              <w:spacing w:after="0"/>
              <w:rPr>
                <w:sz w:val="20"/>
                <w:szCs w:val="20"/>
                <w:color w:val="auto"/>
              </w:rPr>
            </w:pPr>
            <w:r>
              <w:rPr>
                <w:rFonts w:ascii="Arial" w:cs="Arial" w:eastAsia="Arial" w:hAnsi="Arial"/>
                <w:sz w:val="18"/>
                <w:szCs w:val="18"/>
                <w:i w:val="1"/>
                <w:iCs w:val="1"/>
                <w:color w:val="auto"/>
              </w:rPr>
              <w:t>2007</w:t>
            </w:r>
          </w:p>
        </w:tc>
        <w:tc>
          <w:tcPr>
            <w:tcW w:w="1520" w:type="dxa"/>
            <w:vAlign w:val="bottom"/>
          </w:tcPr>
          <w:p>
            <w:pPr>
              <w:jc w:val="right"/>
              <w:ind w:right="1311"/>
              <w:spacing w:after="0"/>
              <w:rPr>
                <w:sz w:val="20"/>
                <w:szCs w:val="20"/>
                <w:color w:val="auto"/>
              </w:rPr>
            </w:pPr>
            <w:r>
              <w:rPr>
                <w:rFonts w:ascii="Arial" w:cs="Arial" w:eastAsia="Arial" w:hAnsi="Arial"/>
                <w:sz w:val="18"/>
                <w:szCs w:val="18"/>
                <w:i w:val="1"/>
                <w:iCs w:val="1"/>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i w:val="1"/>
                <w:iCs w:val="1"/>
                <w:color w:val="auto"/>
              </w:rPr>
              <w:t>1.76</w:t>
            </w:r>
          </w:p>
        </w:tc>
        <w:tc>
          <w:tcPr>
            <w:tcW w:w="120" w:type="dxa"/>
            <w:vAlign w:val="bottom"/>
          </w:tcPr>
          <w:p>
            <w:pPr>
              <w:spacing w:after="0"/>
              <w:rPr>
                <w:sz w:val="21"/>
                <w:szCs w:val="21"/>
                <w:color w:val="auto"/>
              </w:rPr>
            </w:pPr>
          </w:p>
        </w:tc>
        <w:tc>
          <w:tcPr>
            <w:tcW w:w="2860" w:type="dxa"/>
            <w:vAlign w:val="bottom"/>
          </w:tcPr>
          <w:p>
            <w:pPr>
              <w:jc w:val="right"/>
              <w:spacing w:after="0"/>
              <w:rPr>
                <w:sz w:val="20"/>
                <w:szCs w:val="20"/>
                <w:color w:val="auto"/>
              </w:rPr>
            </w:pPr>
            <w:r>
              <w:rPr>
                <w:rFonts w:ascii="Arial" w:cs="Arial" w:eastAsia="Arial" w:hAnsi="Arial"/>
                <w:sz w:val="18"/>
                <w:szCs w:val="18"/>
                <w:i w:val="1"/>
                <w:iCs w:val="1"/>
                <w:color w:val="auto"/>
              </w:rPr>
              <w:t>6.0 %</w:t>
            </w:r>
          </w:p>
        </w:tc>
        <w:tc>
          <w:tcPr>
            <w:tcW w:w="120" w:type="dxa"/>
            <w:vAlign w:val="bottom"/>
          </w:tcPr>
          <w:p>
            <w:pPr>
              <w:spacing w:after="0"/>
              <w:rPr>
                <w:sz w:val="21"/>
                <w:szCs w:val="21"/>
                <w:color w:val="auto"/>
              </w:rPr>
            </w:pPr>
          </w:p>
        </w:tc>
        <w:tc>
          <w:tcPr>
            <w:tcW w:w="2860" w:type="dxa"/>
            <w:vAlign w:val="bottom"/>
          </w:tcPr>
          <w:p>
            <w:pPr>
              <w:jc w:val="right"/>
              <w:spacing w:after="0"/>
              <w:rPr>
                <w:sz w:val="20"/>
                <w:szCs w:val="20"/>
                <w:color w:val="auto"/>
              </w:rPr>
            </w:pPr>
            <w:r>
              <w:rPr>
                <w:rFonts w:ascii="Arial" w:cs="Arial" w:eastAsia="Arial" w:hAnsi="Arial"/>
                <w:sz w:val="18"/>
                <w:szCs w:val="18"/>
                <w:i w:val="1"/>
                <w:iCs w:val="1"/>
                <w:color w:val="auto"/>
              </w:rPr>
              <w:t>23.1 %</w:t>
            </w:r>
          </w:p>
        </w:tc>
        <w:tc>
          <w:tcPr>
            <w:tcW w:w="0" w:type="dxa"/>
            <w:vAlign w:val="bottom"/>
          </w:tcPr>
          <w:p>
            <w:pPr>
              <w:spacing w:after="0"/>
              <w:rPr>
                <w:sz w:val="1"/>
                <w:szCs w:val="1"/>
                <w:color w:val="auto"/>
              </w:rPr>
            </w:pPr>
          </w:p>
        </w:tc>
      </w:tr>
      <w:tr>
        <w:trPr>
          <w:trHeight w:val="54"/>
        </w:trPr>
        <w:tc>
          <w:tcPr>
            <w:tcW w:w="25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25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2008</w:t>
            </w:r>
          </w:p>
        </w:tc>
        <w:tc>
          <w:tcPr>
            <w:tcW w:w="1520" w:type="dxa"/>
            <w:vAlign w:val="bottom"/>
            <w:tcBorders>
              <w:bottom w:val="single" w:sz="8" w:color="CCEEFF"/>
            </w:tcBorders>
            <w:shd w:val="clear" w:color="auto" w:fill="CCEEFF"/>
          </w:tcPr>
          <w:p>
            <w:pPr>
              <w:jc w:val="right"/>
              <w:ind w:right="1311"/>
              <w:spacing w:after="0"/>
              <w:rPr>
                <w:sz w:val="20"/>
                <w:szCs w:val="20"/>
                <w:color w:val="auto"/>
              </w:rPr>
            </w:pPr>
            <w:r>
              <w:rPr>
                <w:rFonts w:ascii="Arial" w:cs="Arial" w:eastAsia="Arial" w:hAnsi="Arial"/>
                <w:sz w:val="18"/>
                <w:szCs w:val="18"/>
                <w:i w:val="1"/>
                <w:iCs w:val="1"/>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2.16</w:t>
            </w:r>
          </w:p>
        </w:tc>
        <w:tc>
          <w:tcPr>
            <w:tcW w:w="120" w:type="dxa"/>
            <w:vAlign w:val="bottom"/>
            <w:tcBorders>
              <w:bottom w:val="single" w:sz="8" w:color="CCEEFF"/>
            </w:tcBorders>
            <w:shd w:val="clear" w:color="auto" w:fill="CCEEFF"/>
          </w:tcPr>
          <w:p>
            <w:pPr>
              <w:spacing w:after="0"/>
              <w:rPr>
                <w:sz w:val="24"/>
                <w:szCs w:val="24"/>
                <w:color w:val="auto"/>
              </w:rPr>
            </w:pPr>
          </w:p>
        </w:tc>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22.7 %</w:t>
            </w:r>
          </w:p>
        </w:tc>
        <w:tc>
          <w:tcPr>
            <w:tcW w:w="120" w:type="dxa"/>
            <w:vAlign w:val="bottom"/>
            <w:tcBorders>
              <w:bottom w:val="single" w:sz="8" w:color="CCEEFF"/>
            </w:tcBorders>
            <w:shd w:val="clear" w:color="auto" w:fill="CCEEFF"/>
          </w:tcPr>
          <w:p>
            <w:pPr>
              <w:spacing w:after="0"/>
              <w:rPr>
                <w:sz w:val="24"/>
                <w:szCs w:val="24"/>
                <w:color w:val="auto"/>
              </w:rPr>
            </w:pPr>
          </w:p>
        </w:tc>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22.2 %</w:t>
            </w:r>
          </w:p>
        </w:tc>
        <w:tc>
          <w:tcPr>
            <w:tcW w:w="0" w:type="dxa"/>
            <w:vAlign w:val="bottom"/>
          </w:tcPr>
          <w:p>
            <w:pPr>
              <w:spacing w:after="0"/>
              <w:rPr>
                <w:sz w:val="1"/>
                <w:szCs w:val="1"/>
                <w:color w:val="auto"/>
              </w:rPr>
            </w:pPr>
          </w:p>
        </w:tc>
      </w:tr>
      <w:tr>
        <w:trPr>
          <w:trHeight w:val="243"/>
        </w:trPr>
        <w:tc>
          <w:tcPr>
            <w:tcW w:w="2520" w:type="dxa"/>
            <w:vAlign w:val="bottom"/>
          </w:tcPr>
          <w:p>
            <w:pPr>
              <w:ind w:left="80"/>
              <w:spacing w:after="0"/>
              <w:rPr>
                <w:sz w:val="20"/>
                <w:szCs w:val="20"/>
                <w:color w:val="auto"/>
              </w:rPr>
            </w:pPr>
            <w:r>
              <w:rPr>
                <w:rFonts w:ascii="Arial" w:cs="Arial" w:eastAsia="Arial" w:hAnsi="Arial"/>
                <w:sz w:val="18"/>
                <w:szCs w:val="18"/>
                <w:i w:val="1"/>
                <w:iCs w:val="1"/>
                <w:color w:val="auto"/>
              </w:rPr>
              <w:t>2009</w:t>
            </w:r>
          </w:p>
        </w:tc>
        <w:tc>
          <w:tcPr>
            <w:tcW w:w="1520" w:type="dxa"/>
            <w:vAlign w:val="bottom"/>
          </w:tcPr>
          <w:p>
            <w:pPr>
              <w:jc w:val="right"/>
              <w:ind w:right="1311"/>
              <w:spacing w:after="0"/>
              <w:rPr>
                <w:sz w:val="20"/>
                <w:szCs w:val="20"/>
                <w:color w:val="auto"/>
              </w:rPr>
            </w:pPr>
            <w:r>
              <w:rPr>
                <w:rFonts w:ascii="Arial" w:cs="Arial" w:eastAsia="Arial" w:hAnsi="Arial"/>
                <w:sz w:val="18"/>
                <w:szCs w:val="18"/>
                <w:i w:val="1"/>
                <w:iCs w:val="1"/>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i w:val="1"/>
                <w:iCs w:val="1"/>
                <w:color w:val="auto"/>
              </w:rPr>
              <w:t>4.62</w:t>
            </w:r>
          </w:p>
        </w:tc>
        <w:tc>
          <w:tcPr>
            <w:tcW w:w="120" w:type="dxa"/>
            <w:vAlign w:val="bottom"/>
          </w:tcPr>
          <w:p>
            <w:pPr>
              <w:spacing w:after="0"/>
              <w:rPr>
                <w:sz w:val="21"/>
                <w:szCs w:val="21"/>
                <w:color w:val="auto"/>
              </w:rPr>
            </w:pPr>
          </w:p>
        </w:tc>
        <w:tc>
          <w:tcPr>
            <w:tcW w:w="2860" w:type="dxa"/>
            <w:vAlign w:val="bottom"/>
          </w:tcPr>
          <w:p>
            <w:pPr>
              <w:jc w:val="right"/>
              <w:spacing w:after="0"/>
              <w:rPr>
                <w:sz w:val="20"/>
                <w:szCs w:val="20"/>
                <w:color w:val="auto"/>
              </w:rPr>
            </w:pPr>
            <w:r>
              <w:rPr>
                <w:rFonts w:ascii="Arial" w:cs="Arial" w:eastAsia="Arial" w:hAnsi="Arial"/>
                <w:sz w:val="18"/>
                <w:szCs w:val="18"/>
                <w:i w:val="1"/>
                <w:iCs w:val="1"/>
                <w:color w:val="auto"/>
              </w:rPr>
              <w:t>113.9 %</w:t>
            </w:r>
          </w:p>
        </w:tc>
        <w:tc>
          <w:tcPr>
            <w:tcW w:w="120" w:type="dxa"/>
            <w:vAlign w:val="bottom"/>
          </w:tcPr>
          <w:p>
            <w:pPr>
              <w:spacing w:after="0"/>
              <w:rPr>
                <w:sz w:val="21"/>
                <w:szCs w:val="21"/>
                <w:color w:val="auto"/>
              </w:rPr>
            </w:pPr>
          </w:p>
        </w:tc>
        <w:tc>
          <w:tcPr>
            <w:tcW w:w="2860" w:type="dxa"/>
            <w:vAlign w:val="bottom"/>
          </w:tcPr>
          <w:p>
            <w:pPr>
              <w:jc w:val="right"/>
              <w:spacing w:after="0"/>
              <w:rPr>
                <w:sz w:val="20"/>
                <w:szCs w:val="20"/>
                <w:color w:val="auto"/>
              </w:rPr>
            </w:pPr>
            <w:r>
              <w:rPr>
                <w:rFonts w:ascii="Arial" w:cs="Arial" w:eastAsia="Arial" w:hAnsi="Arial"/>
                <w:sz w:val="18"/>
                <w:szCs w:val="18"/>
                <w:i w:val="1"/>
                <w:iCs w:val="1"/>
                <w:color w:val="auto"/>
              </w:rPr>
              <w:t>35.6 %</w:t>
            </w:r>
          </w:p>
        </w:tc>
        <w:tc>
          <w:tcPr>
            <w:tcW w:w="0" w:type="dxa"/>
            <w:vAlign w:val="bottom"/>
          </w:tcPr>
          <w:p>
            <w:pPr>
              <w:spacing w:after="0"/>
              <w:rPr>
                <w:sz w:val="1"/>
                <w:szCs w:val="1"/>
                <w:color w:val="auto"/>
              </w:rPr>
            </w:pPr>
          </w:p>
        </w:tc>
      </w:tr>
      <w:tr>
        <w:trPr>
          <w:trHeight w:val="54"/>
        </w:trPr>
        <w:tc>
          <w:tcPr>
            <w:tcW w:w="25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25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2010</w:t>
            </w:r>
          </w:p>
        </w:tc>
        <w:tc>
          <w:tcPr>
            <w:tcW w:w="1520" w:type="dxa"/>
            <w:vAlign w:val="bottom"/>
            <w:tcBorders>
              <w:bottom w:val="single" w:sz="8" w:color="CCEEFF"/>
            </w:tcBorders>
            <w:shd w:val="clear" w:color="auto" w:fill="CCEEFF"/>
          </w:tcPr>
          <w:p>
            <w:pPr>
              <w:jc w:val="right"/>
              <w:ind w:right="1311"/>
              <w:spacing w:after="0"/>
              <w:rPr>
                <w:sz w:val="20"/>
                <w:szCs w:val="20"/>
                <w:color w:val="auto"/>
              </w:rPr>
            </w:pPr>
            <w:r>
              <w:rPr>
                <w:rFonts w:ascii="Arial" w:cs="Arial" w:eastAsia="Arial" w:hAnsi="Arial"/>
                <w:sz w:val="18"/>
                <w:szCs w:val="18"/>
                <w:i w:val="1"/>
                <w:iCs w:val="1"/>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5.67</w:t>
            </w:r>
          </w:p>
        </w:tc>
        <w:tc>
          <w:tcPr>
            <w:tcW w:w="120" w:type="dxa"/>
            <w:vAlign w:val="bottom"/>
            <w:tcBorders>
              <w:bottom w:val="single" w:sz="8" w:color="CCEEFF"/>
            </w:tcBorders>
            <w:shd w:val="clear" w:color="auto" w:fill="CCEEFF"/>
          </w:tcPr>
          <w:p>
            <w:pPr>
              <w:spacing w:after="0"/>
              <w:rPr>
                <w:sz w:val="24"/>
                <w:szCs w:val="24"/>
                <w:color w:val="auto"/>
              </w:rPr>
            </w:pPr>
          </w:p>
        </w:tc>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22.7 %</w:t>
            </w:r>
          </w:p>
        </w:tc>
        <w:tc>
          <w:tcPr>
            <w:tcW w:w="120" w:type="dxa"/>
            <w:vAlign w:val="bottom"/>
            <w:tcBorders>
              <w:bottom w:val="single" w:sz="8" w:color="CCEEFF"/>
            </w:tcBorders>
            <w:shd w:val="clear" w:color="auto" w:fill="CCEEFF"/>
          </w:tcPr>
          <w:p>
            <w:pPr>
              <w:spacing w:after="0"/>
              <w:rPr>
                <w:sz w:val="24"/>
                <w:szCs w:val="24"/>
                <w:color w:val="auto"/>
              </w:rPr>
            </w:pPr>
          </w:p>
        </w:tc>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34.8 %</w:t>
            </w:r>
          </w:p>
        </w:tc>
        <w:tc>
          <w:tcPr>
            <w:tcW w:w="0" w:type="dxa"/>
            <w:vAlign w:val="bottom"/>
          </w:tcPr>
          <w:p>
            <w:pPr>
              <w:spacing w:after="0"/>
              <w:rPr>
                <w:sz w:val="1"/>
                <w:szCs w:val="1"/>
                <w:color w:val="auto"/>
              </w:rPr>
            </w:pPr>
          </w:p>
        </w:tc>
      </w:tr>
      <w:tr>
        <w:trPr>
          <w:trHeight w:val="243"/>
        </w:trPr>
        <w:tc>
          <w:tcPr>
            <w:tcW w:w="2520" w:type="dxa"/>
            <w:vAlign w:val="bottom"/>
          </w:tcPr>
          <w:p>
            <w:pPr>
              <w:ind w:left="80"/>
              <w:spacing w:after="0"/>
              <w:rPr>
                <w:sz w:val="20"/>
                <w:szCs w:val="20"/>
                <w:color w:val="auto"/>
              </w:rPr>
            </w:pPr>
            <w:r>
              <w:rPr>
                <w:rFonts w:ascii="Arial" w:cs="Arial" w:eastAsia="Arial" w:hAnsi="Arial"/>
                <w:sz w:val="18"/>
                <w:szCs w:val="18"/>
                <w:i w:val="1"/>
                <w:iCs w:val="1"/>
                <w:color w:val="auto"/>
              </w:rPr>
              <w:t>2011</w:t>
            </w:r>
          </w:p>
        </w:tc>
        <w:tc>
          <w:tcPr>
            <w:tcW w:w="1520" w:type="dxa"/>
            <w:vAlign w:val="bottom"/>
          </w:tcPr>
          <w:p>
            <w:pPr>
              <w:jc w:val="right"/>
              <w:ind w:right="1311"/>
              <w:spacing w:after="0"/>
              <w:rPr>
                <w:sz w:val="20"/>
                <w:szCs w:val="20"/>
                <w:color w:val="auto"/>
              </w:rPr>
            </w:pPr>
            <w:r>
              <w:rPr>
                <w:rFonts w:ascii="Arial" w:cs="Arial" w:eastAsia="Arial" w:hAnsi="Arial"/>
                <w:sz w:val="18"/>
                <w:szCs w:val="18"/>
                <w:i w:val="1"/>
                <w:iCs w:val="1"/>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i w:val="1"/>
                <w:iCs w:val="1"/>
                <w:color w:val="auto"/>
              </w:rPr>
              <w:t>7.07</w:t>
            </w:r>
          </w:p>
        </w:tc>
        <w:tc>
          <w:tcPr>
            <w:tcW w:w="120" w:type="dxa"/>
            <w:vAlign w:val="bottom"/>
          </w:tcPr>
          <w:p>
            <w:pPr>
              <w:spacing w:after="0"/>
              <w:rPr>
                <w:sz w:val="21"/>
                <w:szCs w:val="21"/>
                <w:color w:val="auto"/>
              </w:rPr>
            </w:pPr>
          </w:p>
        </w:tc>
        <w:tc>
          <w:tcPr>
            <w:tcW w:w="2860" w:type="dxa"/>
            <w:vAlign w:val="bottom"/>
          </w:tcPr>
          <w:p>
            <w:pPr>
              <w:jc w:val="right"/>
              <w:spacing w:after="0"/>
              <w:rPr>
                <w:sz w:val="20"/>
                <w:szCs w:val="20"/>
                <w:color w:val="auto"/>
              </w:rPr>
            </w:pPr>
            <w:r>
              <w:rPr>
                <w:rFonts w:ascii="Arial" w:cs="Arial" w:eastAsia="Arial" w:hAnsi="Arial"/>
                <w:sz w:val="18"/>
                <w:szCs w:val="18"/>
                <w:i w:val="1"/>
                <w:iCs w:val="1"/>
                <w:color w:val="auto"/>
              </w:rPr>
              <w:t>24.7 %</w:t>
            </w:r>
          </w:p>
        </w:tc>
        <w:tc>
          <w:tcPr>
            <w:tcW w:w="120" w:type="dxa"/>
            <w:vAlign w:val="bottom"/>
          </w:tcPr>
          <w:p>
            <w:pPr>
              <w:spacing w:after="0"/>
              <w:rPr>
                <w:sz w:val="21"/>
                <w:szCs w:val="21"/>
                <w:color w:val="auto"/>
              </w:rPr>
            </w:pPr>
          </w:p>
        </w:tc>
        <w:tc>
          <w:tcPr>
            <w:tcW w:w="2860" w:type="dxa"/>
            <w:vAlign w:val="bottom"/>
          </w:tcPr>
          <w:p>
            <w:pPr>
              <w:jc w:val="right"/>
              <w:spacing w:after="0"/>
              <w:rPr>
                <w:sz w:val="20"/>
                <w:szCs w:val="20"/>
                <w:color w:val="auto"/>
              </w:rPr>
            </w:pPr>
            <w:r>
              <w:rPr>
                <w:rFonts w:ascii="Arial" w:cs="Arial" w:eastAsia="Arial" w:hAnsi="Arial"/>
                <w:sz w:val="18"/>
                <w:szCs w:val="18"/>
                <w:i w:val="1"/>
                <w:iCs w:val="1"/>
                <w:color w:val="auto"/>
              </w:rPr>
              <w:t>40.0 %</w:t>
            </w:r>
          </w:p>
        </w:tc>
        <w:tc>
          <w:tcPr>
            <w:tcW w:w="0" w:type="dxa"/>
            <w:vAlign w:val="bottom"/>
          </w:tcPr>
          <w:p>
            <w:pPr>
              <w:spacing w:after="0"/>
              <w:rPr>
                <w:sz w:val="1"/>
                <w:szCs w:val="1"/>
                <w:color w:val="auto"/>
              </w:rPr>
            </w:pPr>
          </w:p>
        </w:tc>
      </w:tr>
      <w:tr>
        <w:trPr>
          <w:trHeight w:val="54"/>
        </w:trPr>
        <w:tc>
          <w:tcPr>
            <w:tcW w:w="25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25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2012</w:t>
            </w:r>
          </w:p>
        </w:tc>
        <w:tc>
          <w:tcPr>
            <w:tcW w:w="1520" w:type="dxa"/>
            <w:vAlign w:val="bottom"/>
            <w:tcBorders>
              <w:bottom w:val="single" w:sz="8" w:color="CCEEFF"/>
            </w:tcBorders>
            <w:shd w:val="clear" w:color="auto" w:fill="CCEEFF"/>
          </w:tcPr>
          <w:p>
            <w:pPr>
              <w:jc w:val="right"/>
              <w:ind w:right="1311"/>
              <w:spacing w:after="0"/>
              <w:rPr>
                <w:sz w:val="20"/>
                <w:szCs w:val="20"/>
                <w:color w:val="auto"/>
              </w:rPr>
            </w:pPr>
            <w:r>
              <w:rPr>
                <w:rFonts w:ascii="Arial" w:cs="Arial" w:eastAsia="Arial" w:hAnsi="Arial"/>
                <w:sz w:val="18"/>
                <w:szCs w:val="18"/>
                <w:i w:val="1"/>
                <w:iCs w:val="1"/>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8.58</w:t>
            </w:r>
          </w:p>
        </w:tc>
        <w:tc>
          <w:tcPr>
            <w:tcW w:w="120" w:type="dxa"/>
            <w:vAlign w:val="bottom"/>
            <w:tcBorders>
              <w:bottom w:val="single" w:sz="8" w:color="CCEEFF"/>
            </w:tcBorders>
            <w:shd w:val="clear" w:color="auto" w:fill="CCEEFF"/>
          </w:tcPr>
          <w:p>
            <w:pPr>
              <w:spacing w:after="0"/>
              <w:rPr>
                <w:sz w:val="24"/>
                <w:szCs w:val="24"/>
                <w:color w:val="auto"/>
              </w:rPr>
            </w:pPr>
          </w:p>
        </w:tc>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21.4 %</w:t>
            </w:r>
          </w:p>
        </w:tc>
        <w:tc>
          <w:tcPr>
            <w:tcW w:w="120" w:type="dxa"/>
            <w:vAlign w:val="bottom"/>
            <w:tcBorders>
              <w:bottom w:val="single" w:sz="8" w:color="CCEEFF"/>
            </w:tcBorders>
            <w:shd w:val="clear" w:color="auto" w:fill="CCEEFF"/>
          </w:tcPr>
          <w:p>
            <w:pPr>
              <w:spacing w:after="0"/>
              <w:rPr>
                <w:sz w:val="24"/>
                <w:szCs w:val="24"/>
                <w:color w:val="auto"/>
              </w:rPr>
            </w:pPr>
          </w:p>
        </w:tc>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37.8 %</w:t>
            </w:r>
          </w:p>
        </w:tc>
        <w:tc>
          <w:tcPr>
            <w:tcW w:w="0" w:type="dxa"/>
            <w:vAlign w:val="bottom"/>
          </w:tcPr>
          <w:p>
            <w:pPr>
              <w:spacing w:after="0"/>
              <w:rPr>
                <w:sz w:val="1"/>
                <w:szCs w:val="1"/>
                <w:color w:val="auto"/>
              </w:rPr>
            </w:pPr>
          </w:p>
        </w:tc>
      </w:tr>
      <w:tr>
        <w:trPr>
          <w:trHeight w:val="243"/>
        </w:trPr>
        <w:tc>
          <w:tcPr>
            <w:tcW w:w="2520" w:type="dxa"/>
            <w:vAlign w:val="bottom"/>
          </w:tcPr>
          <w:p>
            <w:pPr>
              <w:ind w:left="80"/>
              <w:spacing w:after="0"/>
              <w:rPr>
                <w:sz w:val="20"/>
                <w:szCs w:val="20"/>
                <w:color w:val="auto"/>
              </w:rPr>
            </w:pPr>
            <w:r>
              <w:rPr>
                <w:rFonts w:ascii="Arial" w:cs="Arial" w:eastAsia="Arial" w:hAnsi="Arial"/>
                <w:sz w:val="18"/>
                <w:szCs w:val="18"/>
                <w:i w:val="1"/>
                <w:iCs w:val="1"/>
                <w:color w:val="auto"/>
              </w:rPr>
              <w:t>2013</w:t>
            </w:r>
          </w:p>
        </w:tc>
        <w:tc>
          <w:tcPr>
            <w:tcW w:w="1520" w:type="dxa"/>
            <w:vAlign w:val="bottom"/>
          </w:tcPr>
          <w:p>
            <w:pPr>
              <w:jc w:val="right"/>
              <w:ind w:right="1311"/>
              <w:spacing w:after="0"/>
              <w:rPr>
                <w:sz w:val="20"/>
                <w:szCs w:val="20"/>
                <w:color w:val="auto"/>
              </w:rPr>
            </w:pPr>
            <w:r>
              <w:rPr>
                <w:rFonts w:ascii="Arial" w:cs="Arial" w:eastAsia="Arial" w:hAnsi="Arial"/>
                <w:sz w:val="18"/>
                <w:szCs w:val="18"/>
                <w:i w:val="1"/>
                <w:iCs w:val="1"/>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i w:val="1"/>
                <w:iCs w:val="1"/>
                <w:color w:val="auto"/>
              </w:rPr>
              <w:t>10.54</w:t>
            </w:r>
          </w:p>
        </w:tc>
        <w:tc>
          <w:tcPr>
            <w:tcW w:w="120" w:type="dxa"/>
            <w:vAlign w:val="bottom"/>
          </w:tcPr>
          <w:p>
            <w:pPr>
              <w:spacing w:after="0"/>
              <w:rPr>
                <w:sz w:val="21"/>
                <w:szCs w:val="21"/>
                <w:color w:val="auto"/>
              </w:rPr>
            </w:pPr>
          </w:p>
        </w:tc>
        <w:tc>
          <w:tcPr>
            <w:tcW w:w="2860" w:type="dxa"/>
            <w:vAlign w:val="bottom"/>
          </w:tcPr>
          <w:p>
            <w:pPr>
              <w:jc w:val="right"/>
              <w:spacing w:after="0"/>
              <w:rPr>
                <w:sz w:val="20"/>
                <w:szCs w:val="20"/>
                <w:color w:val="auto"/>
              </w:rPr>
            </w:pPr>
            <w:r>
              <w:rPr>
                <w:rFonts w:ascii="Arial" w:cs="Arial" w:eastAsia="Arial" w:hAnsi="Arial"/>
                <w:sz w:val="18"/>
                <w:szCs w:val="18"/>
                <w:i w:val="1"/>
                <w:iCs w:val="1"/>
                <w:color w:val="auto"/>
              </w:rPr>
              <w:t>22.8 %</w:t>
            </w:r>
          </w:p>
        </w:tc>
        <w:tc>
          <w:tcPr>
            <w:tcW w:w="120" w:type="dxa"/>
            <w:vAlign w:val="bottom"/>
          </w:tcPr>
          <w:p>
            <w:pPr>
              <w:spacing w:after="0"/>
              <w:rPr>
                <w:sz w:val="21"/>
                <w:szCs w:val="21"/>
                <w:color w:val="auto"/>
              </w:rPr>
            </w:pPr>
          </w:p>
        </w:tc>
        <w:tc>
          <w:tcPr>
            <w:tcW w:w="2860" w:type="dxa"/>
            <w:vAlign w:val="bottom"/>
          </w:tcPr>
          <w:p>
            <w:pPr>
              <w:jc w:val="right"/>
              <w:spacing w:after="0"/>
              <w:rPr>
                <w:sz w:val="20"/>
                <w:szCs w:val="20"/>
                <w:color w:val="auto"/>
              </w:rPr>
            </w:pPr>
            <w:r>
              <w:rPr>
                <w:rFonts w:ascii="Arial" w:cs="Arial" w:eastAsia="Arial" w:hAnsi="Arial"/>
                <w:sz w:val="18"/>
                <w:szCs w:val="18"/>
                <w:i w:val="1"/>
                <w:iCs w:val="1"/>
                <w:color w:val="auto"/>
              </w:rPr>
              <w:t>38.0 %</w:t>
            </w:r>
          </w:p>
        </w:tc>
        <w:tc>
          <w:tcPr>
            <w:tcW w:w="0" w:type="dxa"/>
            <w:vAlign w:val="bottom"/>
          </w:tcPr>
          <w:p>
            <w:pPr>
              <w:spacing w:after="0"/>
              <w:rPr>
                <w:sz w:val="1"/>
                <w:szCs w:val="1"/>
                <w:color w:val="auto"/>
              </w:rPr>
            </w:pPr>
          </w:p>
        </w:tc>
      </w:tr>
      <w:tr>
        <w:trPr>
          <w:trHeight w:val="54"/>
        </w:trPr>
        <w:tc>
          <w:tcPr>
            <w:tcW w:w="25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25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2014</w:t>
            </w:r>
          </w:p>
        </w:tc>
        <w:tc>
          <w:tcPr>
            <w:tcW w:w="1520" w:type="dxa"/>
            <w:vAlign w:val="bottom"/>
            <w:tcBorders>
              <w:bottom w:val="single" w:sz="8" w:color="CCEEFF"/>
            </w:tcBorders>
            <w:shd w:val="clear" w:color="auto" w:fill="CCEEFF"/>
          </w:tcPr>
          <w:p>
            <w:pPr>
              <w:jc w:val="right"/>
              <w:ind w:right="1311"/>
              <w:spacing w:after="0"/>
              <w:rPr>
                <w:sz w:val="20"/>
                <w:szCs w:val="20"/>
                <w:color w:val="auto"/>
              </w:rPr>
            </w:pPr>
            <w:r>
              <w:rPr>
                <w:rFonts w:ascii="Arial" w:cs="Arial" w:eastAsia="Arial" w:hAnsi="Arial"/>
                <w:sz w:val="18"/>
                <w:szCs w:val="18"/>
                <w:i w:val="1"/>
                <w:iCs w:val="1"/>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11.92</w:t>
            </w:r>
          </w:p>
        </w:tc>
        <w:tc>
          <w:tcPr>
            <w:tcW w:w="120" w:type="dxa"/>
            <w:vAlign w:val="bottom"/>
            <w:tcBorders>
              <w:bottom w:val="single" w:sz="8" w:color="CCEEFF"/>
            </w:tcBorders>
            <w:shd w:val="clear" w:color="auto" w:fill="CCEEFF"/>
          </w:tcPr>
          <w:p>
            <w:pPr>
              <w:spacing w:after="0"/>
              <w:rPr>
                <w:sz w:val="24"/>
                <w:szCs w:val="24"/>
                <w:color w:val="auto"/>
              </w:rPr>
            </w:pPr>
          </w:p>
        </w:tc>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13.1 %</w:t>
            </w:r>
          </w:p>
        </w:tc>
        <w:tc>
          <w:tcPr>
            <w:tcW w:w="120" w:type="dxa"/>
            <w:vAlign w:val="bottom"/>
            <w:tcBorders>
              <w:bottom w:val="single" w:sz="8" w:color="CCEEFF"/>
            </w:tcBorders>
            <w:shd w:val="clear" w:color="auto" w:fill="CCEEFF"/>
          </w:tcPr>
          <w:p>
            <w:pPr>
              <w:spacing w:after="0"/>
              <w:rPr>
                <w:sz w:val="24"/>
                <w:szCs w:val="24"/>
                <w:color w:val="auto"/>
              </w:rPr>
            </w:pPr>
          </w:p>
        </w:tc>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37.0 %</w:t>
            </w:r>
          </w:p>
        </w:tc>
        <w:tc>
          <w:tcPr>
            <w:tcW w:w="0" w:type="dxa"/>
            <w:vAlign w:val="bottom"/>
          </w:tcPr>
          <w:p>
            <w:pPr>
              <w:spacing w:after="0"/>
              <w:rPr>
                <w:sz w:val="1"/>
                <w:szCs w:val="1"/>
                <w:color w:val="auto"/>
              </w:rPr>
            </w:pPr>
          </w:p>
        </w:tc>
      </w:tr>
      <w:tr>
        <w:trPr>
          <w:trHeight w:val="243"/>
        </w:trPr>
        <w:tc>
          <w:tcPr>
            <w:tcW w:w="2520" w:type="dxa"/>
            <w:vAlign w:val="bottom"/>
          </w:tcPr>
          <w:p>
            <w:pPr>
              <w:ind w:left="80"/>
              <w:spacing w:after="0"/>
              <w:rPr>
                <w:sz w:val="20"/>
                <w:szCs w:val="20"/>
                <w:color w:val="auto"/>
              </w:rPr>
            </w:pPr>
            <w:r>
              <w:rPr>
                <w:rFonts w:ascii="Arial" w:cs="Arial" w:eastAsia="Arial" w:hAnsi="Arial"/>
                <w:sz w:val="18"/>
                <w:szCs w:val="18"/>
                <w:i w:val="1"/>
                <w:iCs w:val="1"/>
                <w:color w:val="auto"/>
              </w:rPr>
              <w:t>2015</w:t>
            </w:r>
          </w:p>
        </w:tc>
        <w:tc>
          <w:tcPr>
            <w:tcW w:w="1520" w:type="dxa"/>
            <w:vAlign w:val="bottom"/>
          </w:tcPr>
          <w:p>
            <w:pPr>
              <w:jc w:val="right"/>
              <w:ind w:right="1311"/>
              <w:spacing w:after="0"/>
              <w:rPr>
                <w:sz w:val="20"/>
                <w:szCs w:val="20"/>
                <w:color w:val="auto"/>
              </w:rPr>
            </w:pPr>
            <w:r>
              <w:rPr>
                <w:rFonts w:ascii="Arial" w:cs="Arial" w:eastAsia="Arial" w:hAnsi="Arial"/>
                <w:sz w:val="18"/>
                <w:szCs w:val="18"/>
                <w:i w:val="1"/>
                <w:iCs w:val="1"/>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i w:val="1"/>
                <w:iCs w:val="1"/>
                <w:color w:val="auto"/>
              </w:rPr>
              <w:t>14.28</w:t>
            </w:r>
          </w:p>
        </w:tc>
        <w:tc>
          <w:tcPr>
            <w:tcW w:w="120" w:type="dxa"/>
            <w:vAlign w:val="bottom"/>
          </w:tcPr>
          <w:p>
            <w:pPr>
              <w:spacing w:after="0"/>
              <w:rPr>
                <w:sz w:val="21"/>
                <w:szCs w:val="21"/>
                <w:color w:val="auto"/>
              </w:rPr>
            </w:pPr>
          </w:p>
        </w:tc>
        <w:tc>
          <w:tcPr>
            <w:tcW w:w="2860" w:type="dxa"/>
            <w:vAlign w:val="bottom"/>
          </w:tcPr>
          <w:p>
            <w:pPr>
              <w:jc w:val="right"/>
              <w:spacing w:after="0"/>
              <w:rPr>
                <w:sz w:val="20"/>
                <w:szCs w:val="20"/>
                <w:color w:val="auto"/>
              </w:rPr>
            </w:pPr>
            <w:r>
              <w:rPr>
                <w:rFonts w:ascii="Arial" w:cs="Arial" w:eastAsia="Arial" w:hAnsi="Arial"/>
                <w:sz w:val="18"/>
                <w:szCs w:val="18"/>
                <w:i w:val="1"/>
                <w:iCs w:val="1"/>
                <w:color w:val="auto"/>
              </w:rPr>
              <w:t>19.8 %</w:t>
            </w:r>
          </w:p>
        </w:tc>
        <w:tc>
          <w:tcPr>
            <w:tcW w:w="120" w:type="dxa"/>
            <w:vAlign w:val="bottom"/>
          </w:tcPr>
          <w:p>
            <w:pPr>
              <w:spacing w:after="0"/>
              <w:rPr>
                <w:sz w:val="21"/>
                <w:szCs w:val="21"/>
                <w:color w:val="auto"/>
              </w:rPr>
            </w:pPr>
          </w:p>
        </w:tc>
        <w:tc>
          <w:tcPr>
            <w:tcW w:w="2860" w:type="dxa"/>
            <w:vAlign w:val="bottom"/>
          </w:tcPr>
          <w:p>
            <w:pPr>
              <w:jc w:val="right"/>
              <w:spacing w:after="0"/>
              <w:rPr>
                <w:sz w:val="20"/>
                <w:szCs w:val="20"/>
                <w:color w:val="auto"/>
              </w:rPr>
            </w:pPr>
            <w:r>
              <w:rPr>
                <w:rFonts w:ascii="Arial" w:cs="Arial" w:eastAsia="Arial" w:hAnsi="Arial"/>
                <w:sz w:val="18"/>
                <w:szCs w:val="18"/>
                <w:i w:val="1"/>
                <w:iCs w:val="1"/>
                <w:color w:val="auto"/>
              </w:rPr>
              <w:t>35.4 %</w:t>
            </w:r>
          </w:p>
        </w:tc>
        <w:tc>
          <w:tcPr>
            <w:tcW w:w="0" w:type="dxa"/>
            <w:vAlign w:val="bottom"/>
          </w:tcPr>
          <w:p>
            <w:pPr>
              <w:spacing w:after="0"/>
              <w:rPr>
                <w:sz w:val="1"/>
                <w:szCs w:val="1"/>
                <w:color w:val="auto"/>
              </w:rPr>
            </w:pPr>
          </w:p>
        </w:tc>
      </w:tr>
      <w:tr>
        <w:trPr>
          <w:trHeight w:val="54"/>
        </w:trPr>
        <w:tc>
          <w:tcPr>
            <w:tcW w:w="25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25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2016</w:t>
            </w:r>
          </w:p>
        </w:tc>
        <w:tc>
          <w:tcPr>
            <w:tcW w:w="1520" w:type="dxa"/>
            <w:vAlign w:val="bottom"/>
            <w:tcBorders>
              <w:bottom w:val="single" w:sz="8" w:color="CCEEFF"/>
            </w:tcBorders>
            <w:shd w:val="clear" w:color="auto" w:fill="CCEEFF"/>
          </w:tcPr>
          <w:p>
            <w:pPr>
              <w:jc w:val="right"/>
              <w:ind w:right="1311"/>
              <w:spacing w:after="0"/>
              <w:rPr>
                <w:sz w:val="20"/>
                <w:szCs w:val="20"/>
                <w:color w:val="auto"/>
              </w:rPr>
            </w:pPr>
            <w:r>
              <w:rPr>
                <w:rFonts w:ascii="Arial" w:cs="Arial" w:eastAsia="Arial" w:hAnsi="Arial"/>
                <w:sz w:val="18"/>
                <w:szCs w:val="18"/>
                <w:i w:val="1"/>
                <w:iCs w:val="1"/>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16.31</w:t>
            </w:r>
          </w:p>
        </w:tc>
        <w:tc>
          <w:tcPr>
            <w:tcW w:w="120" w:type="dxa"/>
            <w:vAlign w:val="bottom"/>
            <w:tcBorders>
              <w:bottom w:val="single" w:sz="8" w:color="CCEEFF"/>
            </w:tcBorders>
            <w:shd w:val="clear" w:color="auto" w:fill="CCEEFF"/>
          </w:tcPr>
          <w:p>
            <w:pPr>
              <w:spacing w:after="0"/>
              <w:rPr>
                <w:sz w:val="24"/>
                <w:szCs w:val="24"/>
                <w:color w:val="auto"/>
              </w:rPr>
            </w:pPr>
          </w:p>
        </w:tc>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14.2 %</w:t>
            </w:r>
          </w:p>
        </w:tc>
        <w:tc>
          <w:tcPr>
            <w:tcW w:w="120" w:type="dxa"/>
            <w:vAlign w:val="bottom"/>
            <w:tcBorders>
              <w:bottom w:val="single" w:sz="8" w:color="CCEEFF"/>
            </w:tcBorders>
            <w:shd w:val="clear" w:color="auto" w:fill="CCEEFF"/>
          </w:tcPr>
          <w:p>
            <w:pPr>
              <w:spacing w:after="0"/>
              <w:rPr>
                <w:sz w:val="24"/>
                <w:szCs w:val="24"/>
                <w:color w:val="auto"/>
              </w:rPr>
            </w:pPr>
          </w:p>
        </w:tc>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31.1 %</w:t>
            </w:r>
          </w:p>
        </w:tc>
        <w:tc>
          <w:tcPr>
            <w:tcW w:w="0" w:type="dxa"/>
            <w:vAlign w:val="bottom"/>
          </w:tcPr>
          <w:p>
            <w:pPr>
              <w:spacing w:after="0"/>
              <w:rPr>
                <w:sz w:val="1"/>
                <w:szCs w:val="1"/>
                <w:color w:val="auto"/>
              </w:rPr>
            </w:pPr>
          </w:p>
        </w:tc>
      </w:tr>
      <w:tr>
        <w:trPr>
          <w:trHeight w:val="243"/>
        </w:trPr>
        <w:tc>
          <w:tcPr>
            <w:tcW w:w="2520" w:type="dxa"/>
            <w:vAlign w:val="bottom"/>
          </w:tcPr>
          <w:p>
            <w:pPr>
              <w:ind w:left="80"/>
              <w:spacing w:after="0"/>
              <w:rPr>
                <w:sz w:val="20"/>
                <w:szCs w:val="20"/>
                <w:color w:val="auto"/>
              </w:rPr>
            </w:pPr>
            <w:r>
              <w:rPr>
                <w:rFonts w:ascii="Arial" w:cs="Arial" w:eastAsia="Arial" w:hAnsi="Arial"/>
                <w:sz w:val="18"/>
                <w:szCs w:val="18"/>
                <w:i w:val="1"/>
                <w:iCs w:val="1"/>
                <w:color w:val="auto"/>
              </w:rPr>
              <w:t>2017</w:t>
            </w:r>
          </w:p>
        </w:tc>
        <w:tc>
          <w:tcPr>
            <w:tcW w:w="1520" w:type="dxa"/>
            <w:vAlign w:val="bottom"/>
          </w:tcPr>
          <w:p>
            <w:pPr>
              <w:jc w:val="right"/>
              <w:ind w:right="1311"/>
              <w:spacing w:after="0"/>
              <w:rPr>
                <w:sz w:val="20"/>
                <w:szCs w:val="20"/>
                <w:color w:val="auto"/>
              </w:rPr>
            </w:pPr>
            <w:r>
              <w:rPr>
                <w:rFonts w:ascii="Arial" w:cs="Arial" w:eastAsia="Arial" w:hAnsi="Arial"/>
                <w:sz w:val="18"/>
                <w:szCs w:val="18"/>
                <w:i w:val="1"/>
                <w:iCs w:val="1"/>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i w:val="1"/>
                <w:iCs w:val="1"/>
                <w:color w:val="auto"/>
              </w:rPr>
              <w:t>24.04</w:t>
            </w:r>
          </w:p>
        </w:tc>
        <w:tc>
          <w:tcPr>
            <w:tcW w:w="120" w:type="dxa"/>
            <w:vAlign w:val="bottom"/>
          </w:tcPr>
          <w:p>
            <w:pPr>
              <w:spacing w:after="0"/>
              <w:rPr>
                <w:sz w:val="21"/>
                <w:szCs w:val="21"/>
                <w:color w:val="auto"/>
              </w:rPr>
            </w:pPr>
          </w:p>
        </w:tc>
        <w:tc>
          <w:tcPr>
            <w:tcW w:w="2860" w:type="dxa"/>
            <w:vAlign w:val="bottom"/>
          </w:tcPr>
          <w:p>
            <w:pPr>
              <w:jc w:val="right"/>
              <w:spacing w:after="0"/>
              <w:rPr>
                <w:sz w:val="20"/>
                <w:szCs w:val="20"/>
                <w:color w:val="auto"/>
              </w:rPr>
            </w:pPr>
            <w:r>
              <w:rPr>
                <w:rFonts w:ascii="Arial" w:cs="Arial" w:eastAsia="Arial" w:hAnsi="Arial"/>
                <w:sz w:val="18"/>
                <w:szCs w:val="18"/>
                <w:i w:val="1"/>
                <w:iCs w:val="1"/>
                <w:color w:val="auto"/>
              </w:rPr>
              <w:t>47.4 %</w:t>
            </w:r>
          </w:p>
        </w:tc>
        <w:tc>
          <w:tcPr>
            <w:tcW w:w="120" w:type="dxa"/>
            <w:vAlign w:val="bottom"/>
          </w:tcPr>
          <w:p>
            <w:pPr>
              <w:spacing w:after="0"/>
              <w:rPr>
                <w:sz w:val="21"/>
                <w:szCs w:val="21"/>
                <w:color w:val="auto"/>
              </w:rPr>
            </w:pPr>
          </w:p>
        </w:tc>
        <w:tc>
          <w:tcPr>
            <w:tcW w:w="2860" w:type="dxa"/>
            <w:vAlign w:val="bottom"/>
          </w:tcPr>
          <w:p>
            <w:pPr>
              <w:jc w:val="right"/>
              <w:spacing w:after="0"/>
              <w:rPr>
                <w:sz w:val="20"/>
                <w:szCs w:val="20"/>
                <w:color w:val="auto"/>
              </w:rPr>
            </w:pPr>
            <w:r>
              <w:rPr>
                <w:rFonts w:ascii="Arial" w:cs="Arial" w:eastAsia="Arial" w:hAnsi="Arial"/>
                <w:sz w:val="18"/>
                <w:szCs w:val="18"/>
                <w:i w:val="1"/>
                <w:iCs w:val="1"/>
                <w:color w:val="auto"/>
              </w:rPr>
              <w:t>36.9 %</w:t>
            </w:r>
          </w:p>
        </w:tc>
        <w:tc>
          <w:tcPr>
            <w:tcW w:w="0" w:type="dxa"/>
            <w:vAlign w:val="bottom"/>
          </w:tcPr>
          <w:p>
            <w:pPr>
              <w:spacing w:after="0"/>
              <w:rPr>
                <w:sz w:val="1"/>
                <w:szCs w:val="1"/>
                <w:color w:val="auto"/>
              </w:rPr>
            </w:pPr>
          </w:p>
        </w:tc>
      </w:tr>
      <w:tr>
        <w:trPr>
          <w:trHeight w:val="54"/>
        </w:trPr>
        <w:tc>
          <w:tcPr>
            <w:tcW w:w="25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25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2018</w:t>
            </w:r>
          </w:p>
        </w:tc>
        <w:tc>
          <w:tcPr>
            <w:tcW w:w="1520" w:type="dxa"/>
            <w:vAlign w:val="bottom"/>
            <w:tcBorders>
              <w:bottom w:val="single" w:sz="8" w:color="CCEEFF"/>
            </w:tcBorders>
            <w:shd w:val="clear" w:color="auto" w:fill="CCEEFF"/>
          </w:tcPr>
          <w:p>
            <w:pPr>
              <w:jc w:val="right"/>
              <w:ind w:right="1311"/>
              <w:spacing w:after="0"/>
              <w:rPr>
                <w:sz w:val="20"/>
                <w:szCs w:val="20"/>
                <w:color w:val="auto"/>
              </w:rPr>
            </w:pPr>
            <w:r>
              <w:rPr>
                <w:rFonts w:ascii="Arial" w:cs="Arial" w:eastAsia="Arial" w:hAnsi="Arial"/>
                <w:sz w:val="18"/>
                <w:szCs w:val="18"/>
                <w:i w:val="1"/>
                <w:iCs w:val="1"/>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29.39</w:t>
            </w:r>
          </w:p>
        </w:tc>
        <w:tc>
          <w:tcPr>
            <w:tcW w:w="120" w:type="dxa"/>
            <w:vAlign w:val="bottom"/>
            <w:tcBorders>
              <w:bottom w:val="single" w:sz="8" w:color="CCEEFF"/>
            </w:tcBorders>
            <w:shd w:val="clear" w:color="auto" w:fill="CCEEFF"/>
          </w:tcPr>
          <w:p>
            <w:pPr>
              <w:spacing w:after="0"/>
              <w:rPr>
                <w:sz w:val="24"/>
                <w:szCs w:val="24"/>
                <w:color w:val="auto"/>
              </w:rPr>
            </w:pPr>
          </w:p>
        </w:tc>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22.3 %</w:t>
            </w:r>
          </w:p>
        </w:tc>
        <w:tc>
          <w:tcPr>
            <w:tcW w:w="120" w:type="dxa"/>
            <w:vAlign w:val="bottom"/>
            <w:tcBorders>
              <w:bottom w:val="single" w:sz="8" w:color="CCEEFF"/>
            </w:tcBorders>
            <w:shd w:val="clear" w:color="auto" w:fill="CCEEFF"/>
          </w:tcPr>
          <w:p>
            <w:pPr>
              <w:spacing w:after="0"/>
              <w:rPr>
                <w:sz w:val="24"/>
                <w:szCs w:val="24"/>
                <w:color w:val="auto"/>
              </w:rPr>
            </w:pPr>
          </w:p>
        </w:tc>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31.7 %</w:t>
            </w:r>
          </w:p>
        </w:tc>
        <w:tc>
          <w:tcPr>
            <w:tcW w:w="0" w:type="dxa"/>
            <w:vAlign w:val="bottom"/>
          </w:tcPr>
          <w:p>
            <w:pPr>
              <w:spacing w:after="0"/>
              <w:rPr>
                <w:sz w:val="1"/>
                <w:szCs w:val="1"/>
                <w:color w:val="auto"/>
              </w:rPr>
            </w:pPr>
          </w:p>
        </w:tc>
      </w:tr>
      <w:tr>
        <w:trPr>
          <w:trHeight w:val="243"/>
        </w:trPr>
        <w:tc>
          <w:tcPr>
            <w:tcW w:w="2520" w:type="dxa"/>
            <w:vAlign w:val="bottom"/>
          </w:tcPr>
          <w:p>
            <w:pPr>
              <w:ind w:left="80"/>
              <w:spacing w:after="0"/>
              <w:rPr>
                <w:sz w:val="20"/>
                <w:szCs w:val="20"/>
                <w:color w:val="auto"/>
              </w:rPr>
            </w:pPr>
            <w:r>
              <w:rPr>
                <w:rFonts w:ascii="Arial" w:cs="Arial" w:eastAsia="Arial" w:hAnsi="Arial"/>
                <w:sz w:val="18"/>
                <w:szCs w:val="18"/>
                <w:i w:val="1"/>
                <w:iCs w:val="1"/>
                <w:color w:val="auto"/>
              </w:rPr>
              <w:t>2019</w:t>
            </w:r>
          </w:p>
        </w:tc>
        <w:tc>
          <w:tcPr>
            <w:tcW w:w="1520" w:type="dxa"/>
            <w:vAlign w:val="bottom"/>
          </w:tcPr>
          <w:p>
            <w:pPr>
              <w:jc w:val="right"/>
              <w:ind w:right="1311"/>
              <w:spacing w:after="0"/>
              <w:rPr>
                <w:sz w:val="20"/>
                <w:szCs w:val="20"/>
                <w:color w:val="auto"/>
              </w:rPr>
            </w:pPr>
            <w:r>
              <w:rPr>
                <w:rFonts w:ascii="Arial" w:cs="Arial" w:eastAsia="Arial" w:hAnsi="Arial"/>
                <w:sz w:val="18"/>
                <w:szCs w:val="18"/>
                <w:i w:val="1"/>
                <w:iCs w:val="1"/>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i w:val="1"/>
                <w:iCs w:val="1"/>
                <w:color w:val="auto"/>
              </w:rPr>
              <w:t>34.57</w:t>
            </w:r>
          </w:p>
        </w:tc>
        <w:tc>
          <w:tcPr>
            <w:tcW w:w="120" w:type="dxa"/>
            <w:vAlign w:val="bottom"/>
          </w:tcPr>
          <w:p>
            <w:pPr>
              <w:spacing w:after="0"/>
              <w:rPr>
                <w:sz w:val="21"/>
                <w:szCs w:val="21"/>
                <w:color w:val="auto"/>
              </w:rPr>
            </w:pPr>
          </w:p>
        </w:tc>
        <w:tc>
          <w:tcPr>
            <w:tcW w:w="2860" w:type="dxa"/>
            <w:vAlign w:val="bottom"/>
          </w:tcPr>
          <w:p>
            <w:pPr>
              <w:jc w:val="right"/>
              <w:spacing w:after="0"/>
              <w:rPr>
                <w:sz w:val="20"/>
                <w:szCs w:val="20"/>
                <w:color w:val="auto"/>
              </w:rPr>
            </w:pPr>
            <w:r>
              <w:rPr>
                <w:rFonts w:ascii="Arial" w:cs="Arial" w:eastAsia="Arial" w:hAnsi="Arial"/>
                <w:sz w:val="18"/>
                <w:szCs w:val="18"/>
                <w:i w:val="1"/>
                <w:iCs w:val="1"/>
                <w:color w:val="auto"/>
              </w:rPr>
              <w:t>17.6 %</w:t>
            </w:r>
          </w:p>
        </w:tc>
        <w:tc>
          <w:tcPr>
            <w:tcW w:w="120" w:type="dxa"/>
            <w:vAlign w:val="bottom"/>
          </w:tcPr>
          <w:p>
            <w:pPr>
              <w:spacing w:after="0"/>
              <w:rPr>
                <w:sz w:val="21"/>
                <w:szCs w:val="21"/>
                <w:color w:val="auto"/>
              </w:rPr>
            </w:pPr>
          </w:p>
        </w:tc>
        <w:tc>
          <w:tcPr>
            <w:tcW w:w="2860" w:type="dxa"/>
            <w:vAlign w:val="bottom"/>
          </w:tcPr>
          <w:p>
            <w:pPr>
              <w:jc w:val="right"/>
              <w:spacing w:after="0"/>
              <w:rPr>
                <w:sz w:val="20"/>
                <w:szCs w:val="20"/>
                <w:color w:val="auto"/>
              </w:rPr>
            </w:pPr>
            <w:r>
              <w:rPr>
                <w:rFonts w:ascii="Arial" w:cs="Arial" w:eastAsia="Arial" w:hAnsi="Arial"/>
                <w:sz w:val="18"/>
                <w:szCs w:val="18"/>
                <w:i w:val="1"/>
                <w:iCs w:val="1"/>
                <w:color w:val="auto"/>
              </w:rPr>
              <w:t>29.8 %</w:t>
            </w:r>
          </w:p>
        </w:tc>
        <w:tc>
          <w:tcPr>
            <w:tcW w:w="0" w:type="dxa"/>
            <w:vAlign w:val="bottom"/>
          </w:tcPr>
          <w:p>
            <w:pPr>
              <w:spacing w:after="0"/>
              <w:rPr>
                <w:sz w:val="1"/>
                <w:szCs w:val="1"/>
                <w:color w:val="auto"/>
              </w:rPr>
            </w:pPr>
          </w:p>
        </w:tc>
      </w:tr>
      <w:tr>
        <w:trPr>
          <w:trHeight w:val="455"/>
        </w:trPr>
        <w:tc>
          <w:tcPr>
            <w:tcW w:w="4040" w:type="dxa"/>
            <w:vAlign w:val="bottom"/>
            <w:gridSpan w:val="2"/>
          </w:tcPr>
          <w:p>
            <w:pPr>
              <w:ind w:left="80"/>
              <w:spacing w:after="0"/>
              <w:rPr>
                <w:sz w:val="20"/>
                <w:szCs w:val="20"/>
                <w:color w:val="auto"/>
              </w:rPr>
            </w:pPr>
            <w:r>
              <w:rPr>
                <w:rFonts w:ascii="Arial" w:cs="Arial" w:eastAsia="Arial" w:hAnsi="Arial"/>
                <w:sz w:val="18"/>
                <w:szCs w:val="18"/>
                <w:i w:val="1"/>
                <w:iCs w:val="1"/>
                <w:color w:val="auto"/>
              </w:rPr>
              <w:t>Compound annual growth rate 1992</w:t>
            </w:r>
            <w:r>
              <w:rPr>
                <w:rFonts w:ascii="Arial" w:cs="Arial" w:eastAsia="Arial" w:hAnsi="Arial"/>
                <w:sz w:val="21"/>
                <w:szCs w:val="21"/>
                <w:color w:val="auto"/>
              </w:rPr>
              <w:t>–</w:t>
            </w:r>
            <w:r>
              <w:rPr>
                <w:rFonts w:ascii="Arial" w:cs="Arial" w:eastAsia="Arial" w:hAnsi="Arial"/>
                <w:sz w:val="18"/>
                <w:szCs w:val="18"/>
                <w:i w:val="1"/>
                <w:iCs w:val="1"/>
                <w:color w:val="auto"/>
              </w:rPr>
              <w:t>2019</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tcPr>
          <w:p>
            <w:pPr>
              <w:jc w:val="right"/>
              <w:spacing w:after="0"/>
              <w:rPr>
                <w:sz w:val="20"/>
                <w:szCs w:val="20"/>
                <w:color w:val="auto"/>
              </w:rPr>
            </w:pPr>
            <w:r>
              <w:rPr>
                <w:rFonts w:ascii="Arial" w:cs="Arial" w:eastAsia="Arial" w:hAnsi="Arial"/>
                <w:sz w:val="18"/>
                <w:szCs w:val="18"/>
                <w:i w:val="1"/>
                <w:iCs w:val="1"/>
                <w:color w:val="auto"/>
              </w:rPr>
              <w:t>21.0 %</w:t>
            </w:r>
          </w:p>
        </w:tc>
        <w:tc>
          <w:tcPr>
            <w:tcW w:w="1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40" w:type="dxa"/>
            <w:vAlign w:val="bottom"/>
            <w:gridSpan w:val="2"/>
          </w:tcPr>
          <w:p>
            <w:pPr>
              <w:ind w:left="80"/>
              <w:spacing w:after="0"/>
              <w:rPr>
                <w:sz w:val="20"/>
                <w:szCs w:val="20"/>
                <w:color w:val="auto"/>
              </w:rPr>
            </w:pPr>
            <w:r>
              <w:rPr>
                <w:rFonts w:ascii="Arial" w:cs="Arial" w:eastAsia="Arial" w:hAnsi="Arial"/>
                <w:sz w:val="18"/>
                <w:szCs w:val="18"/>
                <w:i w:val="1"/>
                <w:iCs w:val="1"/>
                <w:color w:val="auto"/>
              </w:rPr>
              <w:t>Average annual return on equity 1992</w:t>
            </w:r>
            <w:r>
              <w:rPr>
                <w:rFonts w:ascii="Arial" w:cs="Arial" w:eastAsia="Arial" w:hAnsi="Arial"/>
                <w:sz w:val="21"/>
                <w:szCs w:val="21"/>
                <w:color w:val="auto"/>
              </w:rPr>
              <w:t>–</w:t>
            </w:r>
            <w:r>
              <w:rPr>
                <w:rFonts w:ascii="Arial" w:cs="Arial" w:eastAsia="Arial" w:hAnsi="Arial"/>
                <w:sz w:val="18"/>
                <w:szCs w:val="18"/>
                <w:i w:val="1"/>
                <w:iCs w:val="1"/>
                <w:color w:val="auto"/>
              </w:rPr>
              <w:t>2019</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tcPr>
          <w:p>
            <w:pPr>
              <w:jc w:val="right"/>
              <w:spacing w:after="0"/>
              <w:rPr>
                <w:sz w:val="20"/>
                <w:szCs w:val="20"/>
                <w:color w:val="auto"/>
              </w:rPr>
            </w:pPr>
            <w:r>
              <w:rPr>
                <w:rFonts w:ascii="Arial" w:cs="Arial" w:eastAsia="Arial" w:hAnsi="Arial"/>
                <w:sz w:val="18"/>
                <w:szCs w:val="18"/>
                <w:i w:val="1"/>
                <w:iCs w:val="1"/>
                <w:color w:val="auto"/>
              </w:rPr>
              <w:t>23.5 %</w:t>
            </w:r>
          </w:p>
        </w:tc>
        <w:tc>
          <w:tcPr>
            <w:tcW w:w="0" w:type="dxa"/>
            <w:vAlign w:val="bottom"/>
          </w:tcPr>
          <w:p>
            <w:pPr>
              <w:spacing w:after="0"/>
              <w:rPr>
                <w:sz w:val="1"/>
                <w:szCs w:val="1"/>
                <w:color w:val="auto"/>
              </w:rPr>
            </w:pPr>
          </w:p>
        </w:tc>
      </w:tr>
    </w:tbl>
    <w:p>
      <w:pPr>
        <w:spacing w:after="0" w:line="3"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4"/>
          <w:szCs w:val="14"/>
          <w:color w:val="auto"/>
        </w:rPr>
        <w:t>Return on equity is defined as GAAP net income for the applicable period divided by average shareholders’ equity for such period.</w:t>
      </w:r>
    </w:p>
    <w:p>
      <w:pPr>
        <w:spacing w:after="0" w:line="14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342"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003066"/>
        </w:rPr>
        <w:t>BACKGROUND</w:t>
      </w:r>
    </w:p>
    <w:p>
      <w:pPr>
        <w:spacing w:after="0" w:line="226" w:lineRule="exact"/>
        <w:rPr>
          <w:sz w:val="20"/>
          <w:szCs w:val="20"/>
          <w:color w:val="auto"/>
        </w:rPr>
      </w:pPr>
    </w:p>
    <w:p>
      <w:pPr>
        <w:ind w:right="40"/>
        <w:spacing w:after="0" w:line="265" w:lineRule="auto"/>
        <w:rPr>
          <w:sz w:val="20"/>
          <w:szCs w:val="20"/>
          <w:color w:val="auto"/>
        </w:rPr>
      </w:pPr>
      <w:r>
        <w:rPr>
          <w:rFonts w:ascii="Arial" w:cs="Arial" w:eastAsia="Arial" w:hAnsi="Arial"/>
          <w:sz w:val="21"/>
          <w:szCs w:val="21"/>
          <w:color w:val="auto"/>
        </w:rPr>
        <w:t>Credit Acceptance works with car dealers nationwide to enable them to sell vehicles to consumers who wish to finance their vehicle purchase. We allow the dealer to finance any customer, regardless of his or her credit history. This gives the dealer the ability to sell a vehicle to a customer that, without us, the dealer may have to turn away. The incremental sale creates incremental profit for the dealer, and the potential for incremental repeat and referral business.</w:t>
      </w:r>
    </w:p>
    <w:p>
      <w:pPr>
        <w:spacing w:after="0" w:line="216" w:lineRule="exact"/>
        <w:rPr>
          <w:sz w:val="20"/>
          <w:szCs w:val="20"/>
          <w:color w:val="auto"/>
        </w:rPr>
      </w:pPr>
    </w:p>
    <w:p>
      <w:pPr>
        <w:ind w:right="400"/>
        <w:spacing w:after="0" w:line="253" w:lineRule="auto"/>
        <w:rPr>
          <w:sz w:val="20"/>
          <w:szCs w:val="20"/>
          <w:color w:val="auto"/>
        </w:rPr>
      </w:pPr>
      <w:r>
        <w:rPr>
          <w:rFonts w:ascii="Arial" w:cs="Arial" w:eastAsia="Arial" w:hAnsi="Arial"/>
          <w:sz w:val="22"/>
          <w:szCs w:val="22"/>
          <w:color w:val="auto"/>
        </w:rPr>
        <w:t>The benefit of our program from the customer’s perspective is also significant. We provide an opportunity for our customers, many of whom have been turned down for financing from other lenders, to purchase a vehicle and establish or reestablish a positive credit history, thereby moving their financial lives in a positive direction.</w:t>
      </w:r>
    </w:p>
    <w:p>
      <w:pPr>
        <w:spacing w:after="0" w:line="226" w:lineRule="exact"/>
        <w:rPr>
          <w:sz w:val="20"/>
          <w:szCs w:val="20"/>
          <w:color w:val="auto"/>
        </w:rPr>
      </w:pPr>
    </w:p>
    <w:p>
      <w:pPr>
        <w:spacing w:after="0" w:line="248" w:lineRule="auto"/>
        <w:rPr>
          <w:sz w:val="20"/>
          <w:szCs w:val="20"/>
          <w:color w:val="auto"/>
        </w:rPr>
      </w:pPr>
      <w:r>
        <w:rPr>
          <w:rFonts w:ascii="Arial" w:cs="Arial" w:eastAsia="Arial" w:hAnsi="Arial"/>
          <w:sz w:val="22"/>
          <w:szCs w:val="22"/>
          <w:color w:val="auto"/>
        </w:rPr>
        <w:t>Our company, like most of our competitors, is an indirect auto finance company, which means the financing contract is originated by the auto dealer and immediately assigned to us in exchange for compensation. The transaction between the dealer and the consumer is technically not a loan, but instead something called a retail installment contract. However, for simplicity and to conform to the language we use in our disclosures, I will refer in this letter to retail installment contracts as loans and to indirect auto finance companies as lenders.</w:t>
      </w:r>
    </w:p>
    <w:p>
      <w:pPr>
        <w:spacing w:after="0" w:line="232" w:lineRule="exact"/>
        <w:rPr>
          <w:sz w:val="20"/>
          <w:szCs w:val="20"/>
          <w:color w:val="auto"/>
        </w:rPr>
      </w:pPr>
    </w:p>
    <w:p>
      <w:pPr>
        <w:ind w:right="40"/>
        <w:spacing w:after="0" w:line="290" w:lineRule="auto"/>
        <w:rPr>
          <w:sz w:val="20"/>
          <w:szCs w:val="20"/>
          <w:color w:val="auto"/>
        </w:rPr>
      </w:pPr>
      <w:r>
        <w:rPr>
          <w:rFonts w:ascii="Arial" w:cs="Arial" w:eastAsia="Arial" w:hAnsi="Arial"/>
          <w:sz w:val="19"/>
          <w:szCs w:val="19"/>
          <w:color w:val="auto"/>
        </w:rPr>
        <w:t>The auto finance market is large and fragmented, with over $1.2 trillion in outstanding balances as of December 31, 2019. We compete with banks, credit unions, auto finance companies affiliated with auto manufacturers, and independent auto finance companies. Our approach to the market is unique for two reasons. First, every customer, regardless of credit history, is offered an opportunity to purchase a vehicle. Second, for most of the vehicle sales we finance, the dealer shares in the cash flows from the loan. (Dealers are compensated by receiving 80% of all net collections throughout the life of a loan.) This is a critical element of our success as it creates an alignment of interests. The dealer benefits if the loan is repaid and the customer’s credit is reestablished. Therefore, the dealer has an incentive to sell a vehicle at a price the customer can afford and a vehicle that will last the term of the loan. In addition, the dealer has an incentive to help the customer after the sale if there are issues with the vehicle.</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003066"/>
        </w:rPr>
        <w:t>HISTORY</w:t>
      </w:r>
    </w:p>
    <w:p>
      <w:pPr>
        <w:spacing w:after="0" w:line="266" w:lineRule="exact"/>
        <w:rPr>
          <w:sz w:val="20"/>
          <w:szCs w:val="20"/>
          <w:color w:val="auto"/>
        </w:rPr>
      </w:pPr>
    </w:p>
    <w:p>
      <w:pPr>
        <w:spacing w:after="0" w:line="263" w:lineRule="auto"/>
        <w:rPr>
          <w:sz w:val="20"/>
          <w:szCs w:val="20"/>
          <w:color w:val="auto"/>
        </w:rPr>
      </w:pPr>
      <w:r>
        <w:rPr>
          <w:rFonts w:ascii="Arial" w:cs="Arial" w:eastAsia="Arial" w:hAnsi="Arial"/>
          <w:sz w:val="21"/>
          <w:szCs w:val="21"/>
          <w:color w:val="auto"/>
        </w:rPr>
        <w:t>Credit Acceptance was founded in 1972 by our former Chairman of the Board, Don Foss. From 1972 through the early 1990s, there were very few companies attempting to serve the market segment that Don had identified. As a result, during this period we had an almost unlimited opportunity to write new business at very high levels of profitability. Following our initial public stock offering in June of 1992, our business grew rapidly. Over the next four years, earnings per share (diluted) grew at a compounded annual rate of 45.2% per year, from $0.20 in 1992 to $0.89 in 1996.</w:t>
      </w: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342" w:right="379" w:bottom="1440" w:gutter="0" w:footer="0" w:header="0"/>
        </w:sectPr>
      </w:pPr>
    </w:p>
    <w:bookmarkStart w:id="7" w:name="page8"/>
    <w:bookmarkEnd w:id="7"/>
    <w:p>
      <w:pPr>
        <w:ind w:right="280"/>
        <w:spacing w:after="0" w:line="263" w:lineRule="auto"/>
        <w:rPr>
          <w:sz w:val="20"/>
          <w:szCs w:val="20"/>
          <w:color w:val="auto"/>
        </w:rPr>
      </w:pPr>
      <w:r>
        <w:rPr>
          <w:rFonts w:ascii="Arial" w:cs="Arial" w:eastAsia="Arial" w:hAnsi="Arial"/>
          <w:sz w:val="21"/>
          <w:szCs w:val="21"/>
          <w:color w:val="auto"/>
        </w:rPr>
        <w:t>But our reported results during this period did not reflect the true economic performance of our business, which was rapidly deteriorating. Following our initial public offering, we began to see a dramatic increase in competition, in part inspired by our prior success. In 1993 and 1994, the loans we were originating were still very profitable. But by the end of 1995, this was no longer true. Because we did not have the right tools in place to monitor the profitability of the loans we were originating, we continued to grow rapidly in 1995, 1996 and most of 1997.</w:t>
      </w:r>
    </w:p>
    <w:p>
      <w:pPr>
        <w:spacing w:after="0" w:line="216" w:lineRule="exact"/>
        <w:rPr>
          <w:sz w:val="20"/>
          <w:szCs w:val="20"/>
          <w:color w:val="auto"/>
        </w:rPr>
      </w:pPr>
    </w:p>
    <w:p>
      <w:pPr>
        <w:ind w:right="20"/>
        <w:spacing w:after="0" w:line="289" w:lineRule="auto"/>
        <w:rPr>
          <w:sz w:val="20"/>
          <w:szCs w:val="20"/>
          <w:color w:val="auto"/>
        </w:rPr>
      </w:pPr>
      <w:r>
        <w:rPr>
          <w:rFonts w:ascii="Arial" w:cs="Arial" w:eastAsia="Arial" w:hAnsi="Arial"/>
          <w:sz w:val="19"/>
          <w:szCs w:val="19"/>
          <w:color w:val="auto"/>
        </w:rPr>
        <w:t>During the third quarter of 1997, we installed a new system that provided us with the data we needed to begin forecasting the future cash flows expected from each loan. While our initial efforts at forecasting were not perfect, obtaining this new capability was a key milestone in our history. But before we could take full advantage of it, we first had to repair the damage caused by our prior mistakes. In the third quarter of 1997, we recorded a $60.0 million charge to reflect our revised estimate of the cash flows our loan portfolio would generate. The charge caused a loss of $27.7 million for the quarter. I and Doug Busk, who is still a key member of our leadership team, traveled all over the country meeting with lenders and rating agencies to explain what had occurred and plead for mercy. It was a humbling experience and one I promised myself I would not repeat. While our lenders agreed to waive our covenant violations, it was clear the period of easily accessible capital had come to an end. Our share price, which had peaked at $28.75 per share in October of 1995, had fallen to a low of $3.00 per share in October of 1997.</w:t>
      </w:r>
    </w:p>
    <w:p>
      <w:pPr>
        <w:spacing w:after="0" w:line="197" w:lineRule="exact"/>
        <w:rPr>
          <w:sz w:val="20"/>
          <w:szCs w:val="20"/>
          <w:color w:val="auto"/>
        </w:rPr>
      </w:pPr>
    </w:p>
    <w:p>
      <w:pPr>
        <w:ind w:right="200"/>
        <w:spacing w:after="0" w:line="297" w:lineRule="auto"/>
        <w:rPr>
          <w:sz w:val="20"/>
          <w:szCs w:val="20"/>
          <w:color w:val="auto"/>
        </w:rPr>
      </w:pPr>
      <w:r>
        <w:rPr>
          <w:rFonts w:ascii="Arial" w:cs="Arial" w:eastAsia="Arial" w:hAnsi="Arial"/>
          <w:sz w:val="19"/>
          <w:szCs w:val="19"/>
          <w:color w:val="auto"/>
        </w:rPr>
        <w:t>We spent much of 1998 and 1999 reducing our debt balances and using the insights we had learned from our new system to invest our existing capital in loans that would be more profitable. We eliminated unprofitable dealer relationships and began to establish advance rates on new loans that reflected the cash flows we were forecasting from those loans. (An advance is the amount paid to dealers when loans are originated.) We made steady progress, greatly assisted by the fact that many of our competitors had made even worse mistakes and were forced to exit our market entirely.</w:t>
      </w:r>
    </w:p>
    <w:p>
      <w:pPr>
        <w:spacing w:after="0" w:line="187" w:lineRule="exact"/>
        <w:rPr>
          <w:sz w:val="20"/>
          <w:szCs w:val="20"/>
          <w:color w:val="auto"/>
        </w:rPr>
      </w:pPr>
    </w:p>
    <w:p>
      <w:pPr>
        <w:spacing w:after="0" w:line="294" w:lineRule="auto"/>
        <w:rPr>
          <w:sz w:val="20"/>
          <w:szCs w:val="20"/>
          <w:color w:val="auto"/>
        </w:rPr>
      </w:pPr>
      <w:r>
        <w:rPr>
          <w:rFonts w:ascii="Arial" w:cs="Arial" w:eastAsia="Arial" w:hAnsi="Arial"/>
          <w:sz w:val="19"/>
          <w:szCs w:val="19"/>
          <w:color w:val="auto"/>
        </w:rPr>
        <w:t>Our mistakes from the past, however, were not yet behind us, and in 1999 we recorded an additional $60.8 million charge reflecting even lower estimated cash flows for loans originated in 1995</w:t>
      </w:r>
      <w:r>
        <w:rPr>
          <w:rFonts w:ascii="Arial" w:cs="Arial" w:eastAsia="Arial" w:hAnsi="Arial"/>
          <w:sz w:val="17"/>
          <w:szCs w:val="17"/>
          <w:color w:val="auto"/>
        </w:rPr>
        <w:t>–</w:t>
      </w:r>
      <w:r>
        <w:rPr>
          <w:rFonts w:ascii="Arial" w:cs="Arial" w:eastAsia="Arial" w:hAnsi="Arial"/>
          <w:sz w:val="19"/>
          <w:szCs w:val="19"/>
          <w:color w:val="auto"/>
        </w:rPr>
        <w:t>1997 than we had recorded previously. This charge caused a loss for the third quarter of 1999 of $33.6 million and a loss of $12.6 million for the year, a result which would have been worse if not for a $10.0 million after-tax gain from the sale of a credit reporting business we had acquired in 1996. The loss made 1999 the only unprofitable year in our history. While this disappointing result made our job of obtaining additional capital more difficult, this obstacle was less important than it had been in 1997. We had repaid a significant portion of our debt and were more focused on investing the capital we did have at a higher rate of return.</w:t>
      </w: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60"/>
          </w:cols>
          <w:pgMar w:left="320" w:top="348" w:right="419" w:bottom="1440" w:gutter="0" w:footer="0" w:header="0"/>
        </w:sectPr>
      </w:pPr>
    </w:p>
    <w:bookmarkStart w:id="8" w:name="page9"/>
    <w:bookmarkEnd w:id="8"/>
    <w:p>
      <w:pPr>
        <w:ind w:right="20"/>
        <w:spacing w:after="0" w:line="286" w:lineRule="auto"/>
        <w:rPr>
          <w:sz w:val="20"/>
          <w:szCs w:val="20"/>
          <w:color w:val="auto"/>
        </w:rPr>
      </w:pPr>
      <w:r>
        <w:rPr>
          <w:rFonts w:ascii="Arial" w:cs="Arial" w:eastAsia="Arial" w:hAnsi="Arial"/>
          <w:sz w:val="19"/>
          <w:szCs w:val="19"/>
          <w:color w:val="auto"/>
        </w:rPr>
        <w:t>Another important milestone occurred in 1999. Tom Tryforos joined our Board. My relationship with Tom goes back to the early 1990s. Tom invested in Credit Acceptance shortly after our initial public offering and shrewdly sold his investment as competition in our market began to intensify. He was able to exit with a nice profit on his investment. I spent a fair amount of time in investor relations during this period and, although I was inexperienced, I was smart enough to recognize that Tom was different from any other investor I had met. He had an annoying knack of asking questions that I realized were of critical importance but that I had never thought to ask myself. I lost contact with him for a few years after he sold his position, but he resurfaced again in 1997 after our share price had dropped. He had decided to reinvest, and I began speaking to him on a regular basis. I took the opportunity to learn as much as I could from Tom, and his influence made a significant difference not only in my career but also in the Company’s success in the years that followed. The Company’s relationship with Tom was formalized in July of 1999, when he joined our Board. Not only was Tom still asking all the right questions, but he was now helping us find the answers. One of the first changes he made as a Board member was to establish a minimum required return on capital. The message was clear: If we couldn’t earn more than our cost of capital, we needed to give that capital back to shareholders. This message got our attention, since at the time we weren’t meeting his minimum requirement.</w:t>
      </w:r>
    </w:p>
    <w:p>
      <w:pPr>
        <w:spacing w:after="0" w:line="206" w:lineRule="exact"/>
        <w:rPr>
          <w:sz w:val="20"/>
          <w:szCs w:val="20"/>
          <w:color w:val="auto"/>
        </w:rPr>
      </w:pPr>
    </w:p>
    <w:p>
      <w:pPr>
        <w:spacing w:after="0" w:line="259" w:lineRule="auto"/>
        <w:rPr>
          <w:sz w:val="20"/>
          <w:szCs w:val="20"/>
          <w:color w:val="auto"/>
        </w:rPr>
      </w:pPr>
      <w:r>
        <w:rPr>
          <w:rFonts w:ascii="Arial" w:cs="Arial" w:eastAsia="Arial" w:hAnsi="Arial"/>
          <w:sz w:val="21"/>
          <w:szCs w:val="21"/>
          <w:color w:val="auto"/>
        </w:rPr>
        <w:t>In 2000, we continued to focus on improving our return on capital. By the end of 2000, we had undergone a dramatic transformation. From 1992 until 1997, the amount of capital we required increased at a remarkable rate. At year-end 1992, we had had $42 million in capital invested. By year-end 1997, that number had grown to $641 million. Over that same period, we had gone from writing loans that produced returns on capital in excess of 20% to writing those that barely earned a return at all. By the end of 2000, invested capital had declined to $414 million, but for the first time in many years, the return on capital of the loans we originated during the year exceeded our cost of capital. By only investing our capital when we could earn an appropriate return, we went from consuming capital rapidly to generating excess capital, which we used to continue repaying outstanding debt. After showing a loss of $12.6 million in 1999, or $0.27 per share (diluted), we reported earnings for 2000 of $22.5 million, or $0.51 a share (diluted).</w:t>
      </w:r>
    </w:p>
    <w:p>
      <w:pPr>
        <w:spacing w:after="0" w:line="220" w:lineRule="exact"/>
        <w:rPr>
          <w:sz w:val="20"/>
          <w:szCs w:val="20"/>
          <w:color w:val="auto"/>
        </w:rPr>
      </w:pPr>
    </w:p>
    <w:p>
      <w:pPr>
        <w:ind w:right="60"/>
        <w:spacing w:after="0" w:line="302" w:lineRule="auto"/>
        <w:rPr>
          <w:sz w:val="20"/>
          <w:szCs w:val="20"/>
          <w:color w:val="auto"/>
        </w:rPr>
      </w:pPr>
      <w:r>
        <w:rPr>
          <w:rFonts w:ascii="Arial" w:cs="Arial" w:eastAsia="Arial" w:hAnsi="Arial"/>
          <w:sz w:val="19"/>
          <w:szCs w:val="19"/>
          <w:color w:val="auto"/>
        </w:rPr>
        <w:t>With Tom’s help, we found another important way to use our capital: We began to repurchase our shares. From August of 1999, when our share repurchase program began, through the end of 2000, we repurchased over 3.8 million shares of stock at an average price of $5.24. Based on our share price today, the shares we repurchased for just over $20 million during that period are now worth over $1.3 billion. Tom earned his Board fees that year, which at the time were $1,500 per quarter.</w:t>
      </w:r>
    </w:p>
    <w:p>
      <w:pPr>
        <w:spacing w:after="0" w:line="183" w:lineRule="exact"/>
        <w:rPr>
          <w:sz w:val="20"/>
          <w:szCs w:val="20"/>
          <w:color w:val="auto"/>
        </w:rPr>
      </w:pPr>
    </w:p>
    <w:p>
      <w:pPr>
        <w:ind w:right="20"/>
        <w:spacing w:after="0" w:line="292" w:lineRule="auto"/>
        <w:rPr>
          <w:sz w:val="20"/>
          <w:szCs w:val="20"/>
          <w:color w:val="auto"/>
        </w:rPr>
      </w:pPr>
      <w:r>
        <w:rPr>
          <w:rFonts w:ascii="Arial" w:cs="Arial" w:eastAsia="Arial" w:hAnsi="Arial"/>
          <w:sz w:val="19"/>
          <w:szCs w:val="19"/>
          <w:color w:val="auto"/>
        </w:rPr>
        <w:t>In 2001, we began to grow our loan volumes again. By this time, we had transformed our sales force from a small team located at our headquarters to a much larger, field-based team located in the markets we served. During that year, we implemented our Internet-based loan origination system, called CAPS, which enabled us to greatly simplify our program and make it easier for dealers to use. CAPS allowed us to implement even more precise pricing based on the individual characteristics of each application we received, and allowed us to provide offers to the dealer much faster. Perhaps most important, CAPS made it easier for us to experiment, and we began piloting different requirements for new loans, including writing longer-term loans than we had previously. In 2001, we grew loans receivable by 21.8% and we reported earnings of $24.7 million, or $0.57 a share.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348" w:right="359" w:bottom="1440" w:gutter="0" w:footer="0" w:header="0"/>
        </w:sectPr>
      </w:pPr>
    </w:p>
    <w:bookmarkStart w:id="9" w:name="page10"/>
    <w:bookmarkEnd w:id="9"/>
    <w:p>
      <w:pPr>
        <w:spacing w:after="0" w:line="258" w:lineRule="auto"/>
        <w:rPr>
          <w:sz w:val="20"/>
          <w:szCs w:val="20"/>
          <w:color w:val="auto"/>
        </w:rPr>
      </w:pPr>
      <w:r>
        <w:rPr>
          <w:rFonts w:ascii="Arial" w:cs="Arial" w:eastAsia="Arial" w:hAnsi="Arial"/>
          <w:sz w:val="21"/>
          <w:szCs w:val="21"/>
          <w:color w:val="auto"/>
        </w:rPr>
        <w:t xml:space="preserve">I was named CEO in January of 2002. Over the next 18 years, GAAP net income per share (diluted) increased at a compounded annual rate of 25.6%. We faced challenges during this period, many of which related to the impact of competitive and economic cycles. I will discuss these cycles in more detail in the next section. But over the last 18 years, we succeeded in spite of the challenges. We continued to focus on investing our capital wisely, and consistently earned a return on capital well above its cost, even in years when our loans performed worse than we expected. We gave even more attention to our core business, exiting several non-core businesses that we had started prior to 2002. We continued to use excess capital to repurchase stock, buying approximately 30.5 million shares from 2001 to 2019. But mostly, we focused on applying the many lessons we had learned over the years to improve our product and our culture. Today, we have a product that provides enormous benefits to our dealers and our customers, and a culture that attracts talented people to our company and enables them to perform to their potential. Our work environment has been recognized for each of the last seven years by </w:t>
      </w:r>
      <w:r>
        <w:rPr>
          <w:rFonts w:ascii="Arial" w:cs="Arial" w:eastAsia="Arial" w:hAnsi="Arial"/>
          <w:sz w:val="21"/>
          <w:szCs w:val="21"/>
          <w:i w:val="1"/>
          <w:iCs w:val="1"/>
          <w:color w:val="auto"/>
        </w:rPr>
        <w:t>Fortune</w:t>
      </w:r>
      <w:r>
        <w:rPr>
          <w:rFonts w:ascii="Arial" w:cs="Arial" w:eastAsia="Arial" w:hAnsi="Arial"/>
          <w:sz w:val="21"/>
          <w:szCs w:val="21"/>
          <w:color w:val="auto"/>
        </w:rPr>
        <w:t xml:space="preserve"> magazine in its annual list of 100 Best Companies to Work For.</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003066"/>
        </w:rPr>
        <w:t>IMPACT OF BUSINESS CYCLES ON OUR PERFORMANCE</w:t>
      </w:r>
    </w:p>
    <w:p>
      <w:pPr>
        <w:spacing w:after="0" w:line="226" w:lineRule="exact"/>
        <w:rPr>
          <w:sz w:val="20"/>
          <w:szCs w:val="20"/>
          <w:color w:val="auto"/>
        </w:rPr>
      </w:pPr>
    </w:p>
    <w:p>
      <w:pPr>
        <w:ind w:right="560"/>
        <w:spacing w:after="0" w:line="287" w:lineRule="auto"/>
        <w:rPr>
          <w:sz w:val="20"/>
          <w:szCs w:val="20"/>
          <w:color w:val="auto"/>
        </w:rPr>
      </w:pPr>
      <w:r>
        <w:rPr>
          <w:rFonts w:ascii="Arial" w:cs="Arial" w:eastAsia="Arial" w:hAnsi="Arial"/>
          <w:sz w:val="21"/>
          <w:szCs w:val="21"/>
          <w:color w:val="auto"/>
        </w:rPr>
        <w:t>It is important for shareholders to understand the impact of the external environment on our performance. Both competitive cycles and economic cycles have affected our results historically and are likely to do so in the future.</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Competitive cycles</w:t>
      </w:r>
    </w:p>
    <w:p>
      <w:pPr>
        <w:spacing w:after="0" w:line="220" w:lineRule="exact"/>
        <w:rPr>
          <w:sz w:val="20"/>
          <w:szCs w:val="20"/>
          <w:color w:val="auto"/>
        </w:rPr>
      </w:pPr>
    </w:p>
    <w:p>
      <w:pPr>
        <w:ind w:right="40"/>
        <w:spacing w:after="0" w:line="248" w:lineRule="auto"/>
        <w:rPr>
          <w:sz w:val="20"/>
          <w:szCs w:val="20"/>
          <w:color w:val="auto"/>
        </w:rPr>
      </w:pPr>
      <w:r>
        <w:rPr>
          <w:rFonts w:ascii="Arial" w:cs="Arial" w:eastAsia="Arial" w:hAnsi="Arial"/>
          <w:sz w:val="22"/>
          <w:szCs w:val="22"/>
          <w:color w:val="auto"/>
        </w:rPr>
        <w:t>We have gone through several cycles of competition. From 1972 through the early 1990s, we had very little competition. This changed following our initial public offering in 1992, as I described earlier. In late 1997, competition retreated when capital became unavailable. But competition started to return in 2003. The environment became increasingly difficult as it became easier for competitors to obtain capital. The cycle came to a halt toward the end of 2007, when capital markets tightened as result of the financial crisis.</w:t>
      </w:r>
    </w:p>
    <w:p>
      <w:pPr>
        <w:spacing w:after="0" w:line="192" w:lineRule="exact"/>
        <w:rPr>
          <w:sz w:val="20"/>
          <w:szCs w:val="20"/>
          <w:color w:val="auto"/>
        </w:rPr>
      </w:pPr>
    </w:p>
    <w:p>
      <w:pPr>
        <w:jc w:val="both"/>
        <w:ind w:right="260"/>
        <w:spacing w:after="0" w:line="319" w:lineRule="auto"/>
        <w:rPr>
          <w:sz w:val="20"/>
          <w:szCs w:val="20"/>
          <w:color w:val="auto"/>
        </w:rPr>
      </w:pPr>
      <w:r>
        <w:rPr>
          <w:rFonts w:ascii="Arial" w:cs="Arial" w:eastAsia="Arial" w:hAnsi="Arial"/>
          <w:sz w:val="19"/>
          <w:szCs w:val="19"/>
          <w:color w:val="auto"/>
        </w:rPr>
        <w:t>In contrast to the poor results we delivered during the first cycle, we produced very good ones during the 2003</w:t>
      </w:r>
      <w:r>
        <w:rPr>
          <w:rFonts w:ascii="Arial" w:cs="Arial" w:eastAsia="Arial" w:hAnsi="Arial"/>
          <w:sz w:val="17"/>
          <w:szCs w:val="17"/>
          <w:color w:val="auto"/>
        </w:rPr>
        <w:t>–</w:t>
      </w:r>
      <w:r>
        <w:rPr>
          <w:rFonts w:ascii="Arial" w:cs="Arial" w:eastAsia="Arial" w:hAnsi="Arial"/>
          <w:sz w:val="19"/>
          <w:szCs w:val="19"/>
          <w:color w:val="auto"/>
        </w:rPr>
        <w:t>2007 cycle. We had improved many important aspects of our business between the first and second cycles, including our ability to predict loan performance, deploy risk-adjusted pricing, monitor loan performance and execute key functions consistently.</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348" w:right="339" w:bottom="1440" w:gutter="0" w:footer="0" w:header="0"/>
        </w:sectPr>
      </w:pPr>
    </w:p>
    <w:bookmarkStart w:id="10" w:name="page11"/>
    <w:bookmarkEnd w:id="10"/>
    <w:p>
      <w:pPr>
        <w:ind w:right="20"/>
        <w:spacing w:after="0" w:line="248" w:lineRule="auto"/>
        <w:rPr>
          <w:sz w:val="20"/>
          <w:szCs w:val="20"/>
          <w:color w:val="auto"/>
        </w:rPr>
      </w:pPr>
      <w:r>
        <w:rPr>
          <w:rFonts w:ascii="Arial" w:cs="Arial" w:eastAsia="Arial" w:hAnsi="Arial"/>
          <w:sz w:val="22"/>
          <w:szCs w:val="22"/>
          <w:color w:val="auto"/>
        </w:rPr>
        <w:t>As a result of the increasingly difficult competitive environment, and our reluctance to increase the money we advanced to dealers for the loans (since larger advances would have diminished our margin of safety), volume per dealer declined 41.7% from 2003 to 2007. In order to grow, we focused on increasing the number of active dealers. This strategy was successful—the number of active dealers in 2007 was triple the number in 2003, and GAAP net income per share (diluted) more than tripled, to $1.76 in 2007 from $0.57 in 2003.</w:t>
      </w:r>
    </w:p>
    <w:p>
      <w:pPr>
        <w:spacing w:after="0" w:line="192" w:lineRule="exact"/>
        <w:rPr>
          <w:sz w:val="20"/>
          <w:szCs w:val="20"/>
          <w:color w:val="auto"/>
        </w:rPr>
      </w:pPr>
    </w:p>
    <w:p>
      <w:pPr>
        <w:spacing w:after="0" w:line="248" w:lineRule="auto"/>
        <w:rPr>
          <w:sz w:val="20"/>
          <w:szCs w:val="20"/>
          <w:color w:val="auto"/>
        </w:rPr>
      </w:pPr>
      <w:r>
        <w:rPr>
          <w:rFonts w:ascii="Arial" w:cs="Arial" w:eastAsia="Arial" w:hAnsi="Arial"/>
          <w:sz w:val="22"/>
          <w:szCs w:val="22"/>
          <w:color w:val="auto"/>
        </w:rPr>
        <w:t>The cycle ended in late 2007. In contrast to the first cycle, which ended when capital providers understandably lost confidence in the industry as a result of poor financial results, this cycle ended for reasons that had little to do with anything that occurred in our industry. Instead, this cycle ended as a result of the financial crisis triggered by the collapse of the housing market. Capital again began to retreat from our industry, and many of our competitors either exited the market entirely or dramatically reduced originations. Competition began to return to our market in 2010, but the environment nevertheless remained favorable in that year and in 2011. As a result, we made considerable progress during the 2007</w:t>
      </w:r>
      <w:r>
        <w:rPr>
          <w:rFonts w:ascii="Arial" w:cs="Arial" w:eastAsia="Arial" w:hAnsi="Arial"/>
          <w:sz w:val="19"/>
          <w:szCs w:val="19"/>
          <w:color w:val="auto"/>
        </w:rPr>
        <w:t>–</w:t>
      </w:r>
      <w:r>
        <w:rPr>
          <w:rFonts w:ascii="Arial" w:cs="Arial" w:eastAsia="Arial" w:hAnsi="Arial"/>
          <w:sz w:val="22"/>
          <w:szCs w:val="22"/>
          <w:color w:val="auto"/>
        </w:rPr>
        <w:t>2011 period. The following table compares the results from each of the two periods: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Active dealers</w:t>
            </w:r>
          </w:p>
        </w:tc>
        <w:tc>
          <w:tcPr>
            <w:tcW w:w="1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440" w:type="dxa"/>
            <w:vAlign w:val="bottom"/>
            <w:tcBorders>
              <w:bottom w:val="single" w:sz="8" w:color="auto"/>
            </w:tcBorders>
            <w:gridSpan w:val="6"/>
          </w:tcPr>
          <w:p>
            <w:pPr>
              <w:jc w:val="right"/>
              <w:ind w:right="1079"/>
              <w:spacing w:after="0"/>
              <w:rPr>
                <w:sz w:val="20"/>
                <w:szCs w:val="20"/>
                <w:color w:val="auto"/>
              </w:rPr>
            </w:pPr>
            <w:r>
              <w:rPr>
                <w:rFonts w:ascii="Arial" w:cs="Arial" w:eastAsia="Arial" w:hAnsi="Arial"/>
                <w:sz w:val="14"/>
                <w:szCs w:val="14"/>
                <w:b w:val="1"/>
                <w:bCs w:val="1"/>
                <w:color w:val="auto"/>
              </w:rPr>
              <w:t>GAAP net income per share (diluted)</w:t>
            </w:r>
          </w:p>
        </w:tc>
        <w:tc>
          <w:tcPr>
            <w:tcW w:w="0" w:type="dxa"/>
            <w:vAlign w:val="bottom"/>
          </w:tcPr>
          <w:p>
            <w:pPr>
              <w:spacing w:after="0"/>
              <w:rPr>
                <w:sz w:val="1"/>
                <w:szCs w:val="1"/>
                <w:color w:val="auto"/>
              </w:rPr>
            </w:pPr>
          </w:p>
        </w:tc>
      </w:tr>
      <w:tr>
        <w:trPr>
          <w:trHeight w:val="152"/>
        </w:trPr>
        <w:tc>
          <w:tcPr>
            <w:tcW w:w="178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Period</w:t>
            </w:r>
          </w:p>
        </w:tc>
        <w:tc>
          <w:tcPr>
            <w:tcW w:w="100" w:type="dxa"/>
            <w:vAlign w:val="bottom"/>
            <w:vMerge w:val="restart"/>
          </w:tcPr>
          <w:p>
            <w:pPr>
              <w:spacing w:after="0"/>
              <w:rPr>
                <w:sz w:val="13"/>
                <w:szCs w:val="13"/>
                <w:color w:val="auto"/>
              </w:rPr>
            </w:pPr>
          </w:p>
        </w:tc>
        <w:tc>
          <w:tcPr>
            <w:tcW w:w="144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Start of period</w:t>
            </w:r>
          </w:p>
        </w:tc>
        <w:tc>
          <w:tcPr>
            <w:tcW w:w="100" w:type="dxa"/>
            <w:vAlign w:val="bottom"/>
            <w:vMerge w:val="restart"/>
          </w:tcPr>
          <w:p>
            <w:pPr>
              <w:spacing w:after="0"/>
              <w:rPr>
                <w:sz w:val="13"/>
                <w:szCs w:val="13"/>
                <w:color w:val="auto"/>
              </w:rPr>
            </w:pPr>
          </w:p>
        </w:tc>
        <w:tc>
          <w:tcPr>
            <w:tcW w:w="144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End of period</w:t>
            </w:r>
          </w:p>
        </w:tc>
        <w:tc>
          <w:tcPr>
            <w:tcW w:w="120" w:type="dxa"/>
            <w:vAlign w:val="bottom"/>
            <w:vMerge w:val="restart"/>
          </w:tcPr>
          <w:p>
            <w:pPr>
              <w:spacing w:after="0"/>
              <w:rPr>
                <w:sz w:val="13"/>
                <w:szCs w:val="13"/>
                <w:color w:val="auto"/>
              </w:rPr>
            </w:pPr>
          </w:p>
        </w:tc>
        <w:tc>
          <w:tcPr>
            <w:tcW w:w="162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Compound annual</w:t>
            </w:r>
          </w:p>
        </w:tc>
        <w:tc>
          <w:tcPr>
            <w:tcW w:w="200" w:type="dxa"/>
            <w:vAlign w:val="bottom"/>
          </w:tcPr>
          <w:p>
            <w:pPr>
              <w:spacing w:after="0"/>
              <w:rPr>
                <w:sz w:val="13"/>
                <w:szCs w:val="13"/>
                <w:color w:val="auto"/>
              </w:rPr>
            </w:pPr>
          </w:p>
        </w:tc>
        <w:tc>
          <w:tcPr>
            <w:tcW w:w="126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Start of period</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End of period</w:t>
            </w:r>
          </w:p>
        </w:tc>
        <w:tc>
          <w:tcPr>
            <w:tcW w:w="120" w:type="dxa"/>
            <w:vAlign w:val="bottom"/>
            <w:vMerge w:val="restart"/>
          </w:tcPr>
          <w:p>
            <w:pPr>
              <w:spacing w:after="0"/>
              <w:rPr>
                <w:sz w:val="13"/>
                <w:szCs w:val="13"/>
                <w:color w:val="auto"/>
              </w:rPr>
            </w:pPr>
          </w:p>
        </w:tc>
        <w:tc>
          <w:tcPr>
            <w:tcW w:w="1520" w:type="dxa"/>
            <w:vAlign w:val="bottom"/>
          </w:tcPr>
          <w:p>
            <w:pPr>
              <w:jc w:val="right"/>
              <w:ind w:right="99"/>
              <w:spacing w:after="0" w:line="153" w:lineRule="exact"/>
              <w:rPr>
                <w:sz w:val="20"/>
                <w:szCs w:val="20"/>
                <w:color w:val="auto"/>
              </w:rPr>
            </w:pPr>
            <w:r>
              <w:rPr>
                <w:rFonts w:ascii="Arial" w:cs="Arial" w:eastAsia="Arial" w:hAnsi="Arial"/>
                <w:sz w:val="14"/>
                <w:szCs w:val="14"/>
                <w:b w:val="1"/>
                <w:bCs w:val="1"/>
                <w:color w:val="auto"/>
              </w:rPr>
              <w:t>Compound annual</w:t>
            </w:r>
          </w:p>
        </w:tc>
        <w:tc>
          <w:tcPr>
            <w:tcW w:w="0" w:type="dxa"/>
            <w:vAlign w:val="bottom"/>
          </w:tcPr>
          <w:p>
            <w:pPr>
              <w:spacing w:after="0"/>
              <w:rPr>
                <w:sz w:val="1"/>
                <w:szCs w:val="1"/>
                <w:color w:val="auto"/>
              </w:rPr>
            </w:pPr>
          </w:p>
        </w:tc>
      </w:tr>
      <w:tr>
        <w:trPr>
          <w:trHeight w:val="192"/>
        </w:trPr>
        <w:tc>
          <w:tcPr>
            <w:tcW w:w="1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growth rate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growth rate</w:t>
            </w:r>
          </w:p>
        </w:tc>
        <w:tc>
          <w:tcPr>
            <w:tcW w:w="0" w:type="dxa"/>
            <w:vAlign w:val="bottom"/>
          </w:tcPr>
          <w:p>
            <w:pPr>
              <w:spacing w:after="0"/>
              <w:rPr>
                <w:sz w:val="1"/>
                <w:szCs w:val="1"/>
                <w:color w:val="auto"/>
              </w:rPr>
            </w:pPr>
          </w:p>
        </w:tc>
      </w:tr>
      <w:tr>
        <w:trPr>
          <w:trHeight w:val="250"/>
        </w:trPr>
        <w:tc>
          <w:tcPr>
            <w:tcW w:w="1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2003</w:t>
            </w:r>
            <w:r>
              <w:rPr>
                <w:rFonts w:ascii="Arial" w:cs="Arial" w:eastAsia="Arial" w:hAnsi="Arial"/>
                <w:sz w:val="18"/>
                <w:szCs w:val="18"/>
                <w:color w:val="auto"/>
              </w:rPr>
              <w:t>–</w:t>
            </w:r>
            <w:r>
              <w:rPr>
                <w:rFonts w:ascii="Arial" w:cs="Arial" w:eastAsia="Arial" w:hAnsi="Arial"/>
                <w:sz w:val="18"/>
                <w:szCs w:val="18"/>
                <w:i w:val="1"/>
                <w:iCs w:val="1"/>
                <w:color w:val="auto"/>
              </w:rPr>
              <w:t>2007</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950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2,827</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i w:val="1"/>
                <w:iCs w:val="1"/>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i w:val="1"/>
                <w:iCs w:val="1"/>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32.6%</w:t>
            </w:r>
          </w:p>
        </w:tc>
        <w:tc>
          <w:tcPr>
            <w:tcW w:w="0" w:type="dxa"/>
            <w:vAlign w:val="bottom"/>
          </w:tcPr>
          <w:p>
            <w:pPr>
              <w:spacing w:after="0"/>
              <w:rPr>
                <w:sz w:val="1"/>
                <w:szCs w:val="1"/>
                <w:color w:val="auto"/>
              </w:rPr>
            </w:pPr>
          </w:p>
        </w:tc>
      </w:tr>
      <w:tr>
        <w:trPr>
          <w:trHeight w:val="243"/>
        </w:trPr>
        <w:tc>
          <w:tcPr>
            <w:tcW w:w="1880" w:type="dxa"/>
            <w:vAlign w:val="bottom"/>
            <w:gridSpan w:val="2"/>
          </w:tcPr>
          <w:p>
            <w:pPr>
              <w:ind w:left="40"/>
              <w:spacing w:after="0"/>
              <w:rPr>
                <w:sz w:val="20"/>
                <w:szCs w:val="20"/>
                <w:color w:val="auto"/>
              </w:rPr>
            </w:pPr>
            <w:r>
              <w:rPr>
                <w:rFonts w:ascii="Arial" w:cs="Arial" w:eastAsia="Arial" w:hAnsi="Arial"/>
                <w:sz w:val="18"/>
                <w:szCs w:val="18"/>
                <w:i w:val="1"/>
                <w:iCs w:val="1"/>
                <w:color w:val="auto"/>
              </w:rPr>
              <w:t>2007</w:t>
            </w:r>
            <w:r>
              <w:rPr>
                <w:rFonts w:ascii="Arial" w:cs="Arial" w:eastAsia="Arial" w:hAnsi="Arial"/>
                <w:sz w:val="18"/>
                <w:szCs w:val="18"/>
                <w:color w:val="auto"/>
              </w:rPr>
              <w:t>–</w:t>
            </w:r>
            <w:r>
              <w:rPr>
                <w:rFonts w:ascii="Arial" w:cs="Arial" w:eastAsia="Arial" w:hAnsi="Arial"/>
                <w:sz w:val="18"/>
                <w:szCs w:val="18"/>
                <w:i w:val="1"/>
                <w:iCs w:val="1"/>
                <w:color w:val="auto"/>
              </w:rPr>
              <w:t>2011</w:t>
            </w:r>
          </w:p>
        </w:tc>
        <w:tc>
          <w:tcPr>
            <w:tcW w:w="1440" w:type="dxa"/>
            <w:vAlign w:val="bottom"/>
          </w:tcPr>
          <w:p>
            <w:pPr>
              <w:jc w:val="right"/>
              <w:spacing w:after="0"/>
              <w:rPr>
                <w:sz w:val="20"/>
                <w:szCs w:val="20"/>
                <w:color w:val="auto"/>
              </w:rPr>
            </w:pPr>
            <w:r>
              <w:rPr>
                <w:rFonts w:ascii="Arial" w:cs="Arial" w:eastAsia="Arial" w:hAnsi="Arial"/>
                <w:sz w:val="18"/>
                <w:szCs w:val="18"/>
                <w:i w:val="1"/>
                <w:iCs w:val="1"/>
                <w:color w:val="auto"/>
              </w:rPr>
              <w:t>2,827</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i w:val="1"/>
                <w:iCs w:val="1"/>
                <w:color w:val="auto"/>
              </w:rPr>
              <w:t>3,998</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i w:val="1"/>
                <w:iCs w:val="1"/>
                <w:color w:val="auto"/>
              </w:rPr>
              <w:t>9.1%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260" w:type="dxa"/>
            <w:vAlign w:val="bottom"/>
          </w:tcPr>
          <w:p>
            <w:pPr>
              <w:jc w:val="right"/>
              <w:ind w:right="39"/>
              <w:spacing w:after="0"/>
              <w:rPr>
                <w:sz w:val="20"/>
                <w:szCs w:val="20"/>
                <w:color w:val="auto"/>
              </w:rPr>
            </w:pPr>
            <w:r>
              <w:rPr>
                <w:rFonts w:ascii="Arial" w:cs="Arial" w:eastAsia="Arial" w:hAnsi="Arial"/>
                <w:sz w:val="18"/>
                <w:szCs w:val="18"/>
                <w:i w:val="1"/>
                <w:iCs w:val="1"/>
                <w:color w:val="auto"/>
              </w:rPr>
              <w:t>1.76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240" w:type="dxa"/>
            <w:vAlign w:val="bottom"/>
          </w:tcPr>
          <w:p>
            <w:pPr>
              <w:jc w:val="right"/>
              <w:ind w:right="16"/>
              <w:spacing w:after="0"/>
              <w:rPr>
                <w:sz w:val="20"/>
                <w:szCs w:val="20"/>
                <w:color w:val="auto"/>
              </w:rPr>
            </w:pPr>
            <w:r>
              <w:rPr>
                <w:rFonts w:ascii="Arial" w:cs="Arial" w:eastAsia="Arial" w:hAnsi="Arial"/>
                <w:sz w:val="18"/>
                <w:szCs w:val="18"/>
                <w:i w:val="1"/>
                <w:iCs w:val="1"/>
                <w:color w:val="auto"/>
              </w:rPr>
              <w:t>7.07</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i w:val="1"/>
                <w:iCs w:val="1"/>
                <w:color w:val="auto"/>
              </w:rPr>
              <w:t>41.6%</w:t>
            </w:r>
          </w:p>
        </w:tc>
        <w:tc>
          <w:tcPr>
            <w:tcW w:w="0" w:type="dxa"/>
            <w:vAlign w:val="bottom"/>
          </w:tcPr>
          <w:p>
            <w:pPr>
              <w:spacing w:after="0"/>
              <w:rPr>
                <w:sz w:val="1"/>
                <w:szCs w:val="1"/>
                <w:color w:val="auto"/>
              </w:rPr>
            </w:pPr>
          </w:p>
        </w:tc>
      </w:tr>
    </w:tbl>
    <w:p>
      <w:pPr>
        <w:spacing w:after="0" w:line="141" w:lineRule="exact"/>
        <w:rPr>
          <w:sz w:val="20"/>
          <w:szCs w:val="20"/>
          <w:color w:val="auto"/>
        </w:rPr>
      </w:pPr>
    </w:p>
    <w:p>
      <w:pPr>
        <w:ind w:right="100"/>
        <w:spacing w:after="0" w:line="304" w:lineRule="auto"/>
        <w:rPr>
          <w:sz w:val="20"/>
          <w:szCs w:val="20"/>
          <w:color w:val="auto"/>
        </w:rPr>
      </w:pPr>
      <w:r>
        <w:rPr>
          <w:rFonts w:ascii="Arial" w:cs="Arial" w:eastAsia="Arial" w:hAnsi="Arial"/>
          <w:sz w:val="19"/>
          <w:szCs w:val="19"/>
          <w:color w:val="auto"/>
        </w:rPr>
        <w:t>Although we had success during both periods, GAAP net income per share grew more rapidly during the 2007</w:t>
      </w:r>
      <w:r>
        <w:rPr>
          <w:rFonts w:ascii="Arial" w:cs="Arial" w:eastAsia="Arial" w:hAnsi="Arial"/>
          <w:sz w:val="17"/>
          <w:szCs w:val="17"/>
          <w:color w:val="auto"/>
        </w:rPr>
        <w:t>–</w:t>
      </w:r>
      <w:r>
        <w:rPr>
          <w:rFonts w:ascii="Arial" w:cs="Arial" w:eastAsia="Arial" w:hAnsi="Arial"/>
          <w:sz w:val="19"/>
          <w:szCs w:val="19"/>
          <w:color w:val="auto"/>
        </w:rPr>
        <w:t>2011 period. While the number of active dealers grew more slowly than it had in 2003</w:t>
      </w:r>
      <w:r>
        <w:rPr>
          <w:rFonts w:ascii="Arial" w:cs="Arial" w:eastAsia="Arial" w:hAnsi="Arial"/>
          <w:sz w:val="17"/>
          <w:szCs w:val="17"/>
          <w:color w:val="auto"/>
        </w:rPr>
        <w:t>–</w:t>
      </w:r>
      <w:r>
        <w:rPr>
          <w:rFonts w:ascii="Arial" w:cs="Arial" w:eastAsia="Arial" w:hAnsi="Arial"/>
          <w:sz w:val="19"/>
          <w:szCs w:val="19"/>
          <w:color w:val="auto"/>
        </w:rPr>
        <w:t>2007, the lack of significant competition allowed us to reduce advance rates and dramatically improve per unit profitability. Our performance during this period was even more impressive when you consider it occurred in a difficult economic environment and during a period when we were capital-constrained because of the disruption the financial crisis had caused in the capital markets.</w:t>
      </w:r>
    </w:p>
    <w:p>
      <w:pPr>
        <w:spacing w:after="0" w:line="182" w:lineRule="exact"/>
        <w:rPr>
          <w:sz w:val="20"/>
          <w:szCs w:val="20"/>
          <w:color w:val="auto"/>
        </w:rPr>
      </w:pPr>
    </w:p>
    <w:p>
      <w:pPr>
        <w:ind w:right="200"/>
        <w:spacing w:after="0" w:line="250" w:lineRule="auto"/>
        <w:rPr>
          <w:sz w:val="20"/>
          <w:szCs w:val="20"/>
          <w:color w:val="auto"/>
        </w:rPr>
      </w:pPr>
      <w:r>
        <w:rPr>
          <w:rFonts w:ascii="Arial" w:cs="Arial" w:eastAsia="Arial" w:hAnsi="Arial"/>
          <w:sz w:val="22"/>
          <w:szCs w:val="22"/>
          <w:color w:val="auto"/>
        </w:rPr>
        <w:t>The favorable competitive environment began to change rapidly starting in 2012 as capital returned to our market. By 2013, the number of vehicles financed for customers with subprime credit scores—one indicator of the degree of competition—had surpassed the comparable number in 2007, the last year of the prior cycle. Since 2013, the competitive environment has continued to be difficult.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348" w:right="339" w:bottom="1440" w:gutter="0" w:footer="0" w:header="0"/>
        </w:sectPr>
      </w:pPr>
    </w:p>
    <w:bookmarkStart w:id="11" w:name="page12"/>
    <w:bookmarkEnd w:id="11"/>
    <w:p>
      <w:pPr>
        <w:ind w:right="80"/>
        <w:spacing w:after="0" w:line="288" w:lineRule="auto"/>
        <w:rPr>
          <w:sz w:val="20"/>
          <w:szCs w:val="20"/>
          <w:color w:val="auto"/>
        </w:rPr>
      </w:pPr>
      <w:r>
        <w:rPr>
          <w:rFonts w:ascii="Arial" w:cs="Arial" w:eastAsia="Arial" w:hAnsi="Arial"/>
          <w:sz w:val="19"/>
          <w:szCs w:val="19"/>
          <w:color w:val="auto"/>
        </w:rPr>
        <w:t>As we did in the 2003</w:t>
      </w:r>
      <w:r>
        <w:rPr>
          <w:rFonts w:ascii="Arial" w:cs="Arial" w:eastAsia="Arial" w:hAnsi="Arial"/>
          <w:sz w:val="17"/>
          <w:szCs w:val="17"/>
          <w:color w:val="auto"/>
        </w:rPr>
        <w:t>–</w:t>
      </w:r>
      <w:r>
        <w:rPr>
          <w:rFonts w:ascii="Arial" w:cs="Arial" w:eastAsia="Arial" w:hAnsi="Arial"/>
          <w:sz w:val="19"/>
          <w:szCs w:val="19"/>
          <w:color w:val="auto"/>
        </w:rPr>
        <w:t>2007 cycle, we have again focused on growing our profits by growing the number of active dealers. This strategy has become more difficult with time due to the challenge of increasing a larger active dealer base at the same rate. When the last cycle started, in 2003, we had only 950 active dealers. By 2011, the number had grown to 3,998. Despite the much larger dealer base, our strategy has again produced impressive growth in GAAP net income per share, although such growth has been slower in the 2011</w:t>
      </w:r>
      <w:r>
        <w:rPr>
          <w:rFonts w:ascii="Arial" w:cs="Arial" w:eastAsia="Arial" w:hAnsi="Arial"/>
          <w:sz w:val="17"/>
          <w:szCs w:val="17"/>
          <w:color w:val="auto"/>
        </w:rPr>
        <w:t>–</w:t>
      </w:r>
      <w:r>
        <w:rPr>
          <w:rFonts w:ascii="Arial" w:cs="Arial" w:eastAsia="Arial" w:hAnsi="Arial"/>
          <w:sz w:val="19"/>
          <w:szCs w:val="19"/>
          <w:color w:val="auto"/>
        </w:rPr>
        <w:t>2019 period than in the prior two periods. The table below updates the previous table with the results for</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2011</w:t>
      </w:r>
      <w:r>
        <w:rPr>
          <w:rFonts w:ascii="Arial" w:cs="Arial" w:eastAsia="Arial" w:hAnsi="Arial"/>
          <w:sz w:val="19"/>
          <w:szCs w:val="19"/>
          <w:color w:val="auto"/>
        </w:rPr>
        <w:t>–</w:t>
      </w:r>
      <w:r>
        <w:rPr>
          <w:rFonts w:ascii="Arial" w:cs="Arial" w:eastAsia="Arial" w:hAnsi="Arial"/>
          <w:sz w:val="22"/>
          <w:szCs w:val="22"/>
          <w:color w:val="auto"/>
        </w:rPr>
        <w:t>2019:</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Active dealers</w:t>
            </w:r>
          </w:p>
        </w:tc>
        <w:tc>
          <w:tcPr>
            <w:tcW w:w="1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440" w:type="dxa"/>
            <w:vAlign w:val="bottom"/>
            <w:tcBorders>
              <w:bottom w:val="single" w:sz="8" w:color="auto"/>
            </w:tcBorders>
            <w:gridSpan w:val="6"/>
          </w:tcPr>
          <w:p>
            <w:pPr>
              <w:jc w:val="right"/>
              <w:ind w:right="1077"/>
              <w:spacing w:after="0"/>
              <w:rPr>
                <w:sz w:val="20"/>
                <w:szCs w:val="20"/>
                <w:color w:val="auto"/>
              </w:rPr>
            </w:pPr>
            <w:r>
              <w:rPr>
                <w:rFonts w:ascii="Arial" w:cs="Arial" w:eastAsia="Arial" w:hAnsi="Arial"/>
                <w:sz w:val="14"/>
                <w:szCs w:val="14"/>
                <w:b w:val="1"/>
                <w:bCs w:val="1"/>
                <w:color w:val="auto"/>
              </w:rPr>
              <w:t>GAAP net income per share (diluted)</w:t>
            </w:r>
          </w:p>
        </w:tc>
        <w:tc>
          <w:tcPr>
            <w:tcW w:w="0" w:type="dxa"/>
            <w:vAlign w:val="bottom"/>
          </w:tcPr>
          <w:p>
            <w:pPr>
              <w:spacing w:after="0"/>
              <w:rPr>
                <w:sz w:val="1"/>
                <w:szCs w:val="1"/>
                <w:color w:val="auto"/>
              </w:rPr>
            </w:pPr>
          </w:p>
        </w:tc>
      </w:tr>
      <w:tr>
        <w:trPr>
          <w:trHeight w:val="152"/>
        </w:trPr>
        <w:tc>
          <w:tcPr>
            <w:tcW w:w="178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Period</w:t>
            </w:r>
          </w:p>
        </w:tc>
        <w:tc>
          <w:tcPr>
            <w:tcW w:w="100" w:type="dxa"/>
            <w:vAlign w:val="bottom"/>
            <w:vMerge w:val="restart"/>
          </w:tcPr>
          <w:p>
            <w:pPr>
              <w:spacing w:after="0"/>
              <w:rPr>
                <w:sz w:val="13"/>
                <w:szCs w:val="13"/>
                <w:color w:val="auto"/>
              </w:rPr>
            </w:pPr>
          </w:p>
        </w:tc>
        <w:tc>
          <w:tcPr>
            <w:tcW w:w="144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Start of period</w:t>
            </w:r>
          </w:p>
        </w:tc>
        <w:tc>
          <w:tcPr>
            <w:tcW w:w="100" w:type="dxa"/>
            <w:vAlign w:val="bottom"/>
            <w:vMerge w:val="restart"/>
          </w:tcPr>
          <w:p>
            <w:pPr>
              <w:spacing w:after="0"/>
              <w:rPr>
                <w:sz w:val="13"/>
                <w:szCs w:val="13"/>
                <w:color w:val="auto"/>
              </w:rPr>
            </w:pPr>
          </w:p>
        </w:tc>
        <w:tc>
          <w:tcPr>
            <w:tcW w:w="144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End of period</w:t>
            </w:r>
          </w:p>
        </w:tc>
        <w:tc>
          <w:tcPr>
            <w:tcW w:w="120" w:type="dxa"/>
            <w:vAlign w:val="bottom"/>
            <w:vMerge w:val="restart"/>
          </w:tcPr>
          <w:p>
            <w:pPr>
              <w:spacing w:after="0"/>
              <w:rPr>
                <w:sz w:val="13"/>
                <w:szCs w:val="13"/>
                <w:color w:val="auto"/>
              </w:rPr>
            </w:pPr>
          </w:p>
        </w:tc>
        <w:tc>
          <w:tcPr>
            <w:tcW w:w="162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Compound annual</w:t>
            </w:r>
          </w:p>
        </w:tc>
        <w:tc>
          <w:tcPr>
            <w:tcW w:w="200" w:type="dxa"/>
            <w:vAlign w:val="bottom"/>
          </w:tcPr>
          <w:p>
            <w:pPr>
              <w:spacing w:after="0"/>
              <w:rPr>
                <w:sz w:val="13"/>
                <w:szCs w:val="13"/>
                <w:color w:val="auto"/>
              </w:rPr>
            </w:pPr>
          </w:p>
        </w:tc>
        <w:tc>
          <w:tcPr>
            <w:tcW w:w="126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Start of period</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End of period</w:t>
            </w:r>
          </w:p>
        </w:tc>
        <w:tc>
          <w:tcPr>
            <w:tcW w:w="120" w:type="dxa"/>
            <w:vAlign w:val="bottom"/>
            <w:vMerge w:val="restart"/>
          </w:tcPr>
          <w:p>
            <w:pPr>
              <w:spacing w:after="0"/>
              <w:rPr>
                <w:sz w:val="13"/>
                <w:szCs w:val="13"/>
                <w:color w:val="auto"/>
              </w:rPr>
            </w:pPr>
          </w:p>
        </w:tc>
        <w:tc>
          <w:tcPr>
            <w:tcW w:w="1520" w:type="dxa"/>
            <w:vAlign w:val="bottom"/>
          </w:tcPr>
          <w:p>
            <w:pPr>
              <w:jc w:val="right"/>
              <w:ind w:right="97"/>
              <w:spacing w:after="0" w:line="153" w:lineRule="exact"/>
              <w:rPr>
                <w:sz w:val="20"/>
                <w:szCs w:val="20"/>
                <w:color w:val="auto"/>
              </w:rPr>
            </w:pPr>
            <w:r>
              <w:rPr>
                <w:rFonts w:ascii="Arial" w:cs="Arial" w:eastAsia="Arial" w:hAnsi="Arial"/>
                <w:sz w:val="14"/>
                <w:szCs w:val="14"/>
                <w:b w:val="1"/>
                <w:bCs w:val="1"/>
                <w:color w:val="auto"/>
              </w:rPr>
              <w:t>Compound annual</w:t>
            </w:r>
          </w:p>
        </w:tc>
        <w:tc>
          <w:tcPr>
            <w:tcW w:w="0" w:type="dxa"/>
            <w:vAlign w:val="bottom"/>
          </w:tcPr>
          <w:p>
            <w:pPr>
              <w:spacing w:after="0"/>
              <w:rPr>
                <w:sz w:val="1"/>
                <w:szCs w:val="1"/>
                <w:color w:val="auto"/>
              </w:rPr>
            </w:pPr>
          </w:p>
        </w:tc>
      </w:tr>
      <w:tr>
        <w:trPr>
          <w:trHeight w:val="192"/>
        </w:trPr>
        <w:tc>
          <w:tcPr>
            <w:tcW w:w="1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growth rate</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growth rate</w:t>
            </w:r>
          </w:p>
        </w:tc>
        <w:tc>
          <w:tcPr>
            <w:tcW w:w="0" w:type="dxa"/>
            <w:vAlign w:val="bottom"/>
          </w:tcPr>
          <w:p>
            <w:pPr>
              <w:spacing w:after="0"/>
              <w:rPr>
                <w:sz w:val="1"/>
                <w:szCs w:val="1"/>
                <w:color w:val="auto"/>
              </w:rPr>
            </w:pPr>
          </w:p>
        </w:tc>
      </w:tr>
      <w:tr>
        <w:trPr>
          <w:trHeight w:val="250"/>
        </w:trPr>
        <w:tc>
          <w:tcPr>
            <w:tcW w:w="1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2003</w:t>
            </w:r>
            <w:r>
              <w:rPr>
                <w:rFonts w:ascii="Arial" w:cs="Arial" w:eastAsia="Arial" w:hAnsi="Arial"/>
                <w:sz w:val="18"/>
                <w:szCs w:val="18"/>
                <w:color w:val="auto"/>
              </w:rPr>
              <w:t>–</w:t>
            </w:r>
            <w:r>
              <w:rPr>
                <w:rFonts w:ascii="Arial" w:cs="Arial" w:eastAsia="Arial" w:hAnsi="Arial"/>
                <w:sz w:val="18"/>
                <w:szCs w:val="18"/>
                <w:i w:val="1"/>
                <w:iCs w:val="1"/>
                <w:color w:val="auto"/>
              </w:rPr>
              <w:t>2007</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950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2,827</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i w:val="1"/>
                <w:iCs w:val="1"/>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i w:val="1"/>
                <w:iCs w:val="1"/>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32.6%</w:t>
            </w:r>
          </w:p>
        </w:tc>
        <w:tc>
          <w:tcPr>
            <w:tcW w:w="0" w:type="dxa"/>
            <w:vAlign w:val="bottom"/>
          </w:tcPr>
          <w:p>
            <w:pPr>
              <w:spacing w:after="0"/>
              <w:rPr>
                <w:sz w:val="1"/>
                <w:szCs w:val="1"/>
                <w:color w:val="auto"/>
              </w:rPr>
            </w:pPr>
          </w:p>
        </w:tc>
      </w:tr>
      <w:tr>
        <w:trPr>
          <w:trHeight w:val="243"/>
        </w:trPr>
        <w:tc>
          <w:tcPr>
            <w:tcW w:w="1880" w:type="dxa"/>
            <w:vAlign w:val="bottom"/>
            <w:gridSpan w:val="2"/>
          </w:tcPr>
          <w:p>
            <w:pPr>
              <w:ind w:left="40"/>
              <w:spacing w:after="0"/>
              <w:rPr>
                <w:sz w:val="20"/>
                <w:szCs w:val="20"/>
                <w:color w:val="auto"/>
              </w:rPr>
            </w:pPr>
            <w:r>
              <w:rPr>
                <w:rFonts w:ascii="Arial" w:cs="Arial" w:eastAsia="Arial" w:hAnsi="Arial"/>
                <w:sz w:val="18"/>
                <w:szCs w:val="18"/>
                <w:i w:val="1"/>
                <w:iCs w:val="1"/>
                <w:color w:val="auto"/>
              </w:rPr>
              <w:t>2007</w:t>
            </w:r>
            <w:r>
              <w:rPr>
                <w:rFonts w:ascii="Arial" w:cs="Arial" w:eastAsia="Arial" w:hAnsi="Arial"/>
                <w:sz w:val="18"/>
                <w:szCs w:val="18"/>
                <w:color w:val="auto"/>
              </w:rPr>
              <w:t>–</w:t>
            </w:r>
            <w:r>
              <w:rPr>
                <w:rFonts w:ascii="Arial" w:cs="Arial" w:eastAsia="Arial" w:hAnsi="Arial"/>
                <w:sz w:val="18"/>
                <w:szCs w:val="18"/>
                <w:i w:val="1"/>
                <w:iCs w:val="1"/>
                <w:color w:val="auto"/>
              </w:rPr>
              <w:t>2011</w:t>
            </w:r>
          </w:p>
        </w:tc>
        <w:tc>
          <w:tcPr>
            <w:tcW w:w="1440" w:type="dxa"/>
            <w:vAlign w:val="bottom"/>
          </w:tcPr>
          <w:p>
            <w:pPr>
              <w:jc w:val="right"/>
              <w:spacing w:after="0"/>
              <w:rPr>
                <w:sz w:val="20"/>
                <w:szCs w:val="20"/>
                <w:color w:val="auto"/>
              </w:rPr>
            </w:pPr>
            <w:r>
              <w:rPr>
                <w:rFonts w:ascii="Arial" w:cs="Arial" w:eastAsia="Arial" w:hAnsi="Arial"/>
                <w:sz w:val="18"/>
                <w:szCs w:val="18"/>
                <w:i w:val="1"/>
                <w:iCs w:val="1"/>
                <w:color w:val="auto"/>
              </w:rPr>
              <w:t>2,827</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i w:val="1"/>
                <w:iCs w:val="1"/>
                <w:color w:val="auto"/>
              </w:rPr>
              <w:t>3,998</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i w:val="1"/>
                <w:iCs w:val="1"/>
                <w:color w:val="auto"/>
              </w:rPr>
              <w:t>9.1%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260" w:type="dxa"/>
            <w:vAlign w:val="bottom"/>
          </w:tcPr>
          <w:p>
            <w:pPr>
              <w:jc w:val="right"/>
              <w:ind w:right="37"/>
              <w:spacing w:after="0"/>
              <w:rPr>
                <w:sz w:val="20"/>
                <w:szCs w:val="20"/>
                <w:color w:val="auto"/>
              </w:rPr>
            </w:pPr>
            <w:r>
              <w:rPr>
                <w:rFonts w:ascii="Arial" w:cs="Arial" w:eastAsia="Arial" w:hAnsi="Arial"/>
                <w:sz w:val="18"/>
                <w:szCs w:val="18"/>
                <w:i w:val="1"/>
                <w:iCs w:val="1"/>
                <w:color w:val="auto"/>
              </w:rPr>
              <w:t>1.76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240" w:type="dxa"/>
            <w:vAlign w:val="bottom"/>
          </w:tcPr>
          <w:p>
            <w:pPr>
              <w:jc w:val="right"/>
              <w:ind w:right="15"/>
              <w:spacing w:after="0"/>
              <w:rPr>
                <w:sz w:val="20"/>
                <w:szCs w:val="20"/>
                <w:color w:val="auto"/>
              </w:rPr>
            </w:pPr>
            <w:r>
              <w:rPr>
                <w:rFonts w:ascii="Arial" w:cs="Arial" w:eastAsia="Arial" w:hAnsi="Arial"/>
                <w:sz w:val="18"/>
                <w:szCs w:val="18"/>
                <w:i w:val="1"/>
                <w:iCs w:val="1"/>
                <w:color w:val="auto"/>
              </w:rPr>
              <w:t>7.07</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i w:val="1"/>
                <w:iCs w:val="1"/>
                <w:color w:val="auto"/>
              </w:rPr>
              <w:t>41.6%</w:t>
            </w:r>
          </w:p>
        </w:tc>
        <w:tc>
          <w:tcPr>
            <w:tcW w:w="0" w:type="dxa"/>
            <w:vAlign w:val="bottom"/>
          </w:tcPr>
          <w:p>
            <w:pPr>
              <w:spacing w:after="0"/>
              <w:rPr>
                <w:sz w:val="1"/>
                <w:szCs w:val="1"/>
                <w:color w:val="auto"/>
              </w:rPr>
            </w:pPr>
          </w:p>
        </w:tc>
      </w:tr>
      <w:tr>
        <w:trPr>
          <w:trHeight w:val="27"/>
        </w:trPr>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880" w:type="dxa"/>
            <w:vAlign w:val="bottom"/>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2011</w:t>
            </w:r>
            <w:r>
              <w:rPr>
                <w:rFonts w:ascii="Arial" w:cs="Arial" w:eastAsia="Arial" w:hAnsi="Arial"/>
                <w:sz w:val="18"/>
                <w:szCs w:val="18"/>
                <w:color w:val="auto"/>
              </w:rPr>
              <w:t>–</w:t>
            </w:r>
            <w:r>
              <w:rPr>
                <w:rFonts w:ascii="Arial" w:cs="Arial" w:eastAsia="Arial" w:hAnsi="Arial"/>
                <w:sz w:val="18"/>
                <w:szCs w:val="18"/>
                <w:i w:val="1"/>
                <w:iCs w:val="1"/>
                <w:color w:val="auto"/>
              </w:rPr>
              <w:t>2019</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3,998</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13,399</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16.3%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260" w:type="dxa"/>
            <w:vAlign w:val="bottom"/>
            <w:shd w:val="clear" w:color="auto" w:fill="CCEEFF"/>
          </w:tcPr>
          <w:p>
            <w:pPr>
              <w:jc w:val="right"/>
              <w:ind w:right="37"/>
              <w:spacing w:after="0"/>
              <w:rPr>
                <w:sz w:val="20"/>
                <w:szCs w:val="20"/>
                <w:color w:val="auto"/>
              </w:rPr>
            </w:pPr>
            <w:r>
              <w:rPr>
                <w:rFonts w:ascii="Arial" w:cs="Arial" w:eastAsia="Arial" w:hAnsi="Arial"/>
                <w:sz w:val="18"/>
                <w:szCs w:val="18"/>
                <w:i w:val="1"/>
                <w:iCs w:val="1"/>
                <w:color w:val="auto"/>
              </w:rPr>
              <w:t>7.07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i w:val="1"/>
                <w:iCs w:val="1"/>
                <w:color w:val="auto"/>
              </w:rPr>
              <w:t>34.57</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21.9%</w:t>
            </w:r>
          </w:p>
        </w:tc>
        <w:tc>
          <w:tcPr>
            <w:tcW w:w="0" w:type="dxa"/>
            <w:vAlign w:val="bottom"/>
          </w:tcPr>
          <w:p>
            <w:pPr>
              <w:spacing w:after="0"/>
              <w:rPr>
                <w:sz w:val="1"/>
                <w:szCs w:val="1"/>
                <w:color w:val="auto"/>
              </w:rPr>
            </w:pPr>
          </w:p>
        </w:tc>
      </w:tr>
      <w:tr>
        <w:trPr>
          <w:trHeight w:val="27"/>
        </w:trPr>
        <w:tc>
          <w:tcPr>
            <w:tcW w:w="1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ind w:right="160"/>
        <w:spacing w:after="0" w:line="250" w:lineRule="auto"/>
        <w:rPr>
          <w:sz w:val="20"/>
          <w:szCs w:val="20"/>
          <w:color w:val="auto"/>
        </w:rPr>
      </w:pPr>
      <w:r>
        <w:rPr>
          <w:rFonts w:ascii="Arial" w:cs="Arial" w:eastAsia="Arial" w:hAnsi="Arial"/>
          <w:sz w:val="22"/>
          <w:szCs w:val="22"/>
          <w:color w:val="auto"/>
        </w:rPr>
        <w:t>The current cycle has now lasted longer than either of the prior two cycles. The longer the cycle continues and the larger our active dealer base becomes, the more difficult it will be to grow active dealers. This is seen in our results for the last three years, when the number of active dealers grew at the single-digit rates of 9.6% in 2017, 8.5% in 2018 and 7.0% in 2019. I discuss this challenge in more detail in a later section.</w:t>
      </w:r>
    </w:p>
    <w:p>
      <w:pPr>
        <w:spacing w:after="0" w:line="228" w:lineRule="exact"/>
        <w:rPr>
          <w:sz w:val="20"/>
          <w:szCs w:val="20"/>
          <w:color w:val="auto"/>
        </w:rPr>
      </w:pPr>
    </w:p>
    <w:p>
      <w:pPr>
        <w:ind w:right="80"/>
        <w:spacing w:after="0" w:line="247" w:lineRule="auto"/>
        <w:rPr>
          <w:sz w:val="20"/>
          <w:szCs w:val="20"/>
          <w:color w:val="auto"/>
        </w:rPr>
      </w:pPr>
      <w:r>
        <w:rPr>
          <w:rFonts w:ascii="Arial" w:cs="Arial" w:eastAsia="Arial" w:hAnsi="Arial"/>
          <w:sz w:val="22"/>
          <w:szCs w:val="22"/>
          <w:color w:val="auto"/>
        </w:rPr>
        <w:t>In last year’s letter, I stated that it was hard to see anything on the horizon that would cause this current competitive cycle to end. It now seems likely that the COVID-19 crisis will have some impact on competition. The impact depends on the severity and duration of the crisis and the degree to which capital providers become more cautious about our industry. If the crisis has only a modest impact on loan performance, it seems reasonable to expect that capital will be available to support the industry and the difficult competitive environment will continue. If the impact is more severe, it is likely the competitive environment will become more favorable.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Economic cycles</w:t>
      </w:r>
    </w:p>
    <w:p>
      <w:pPr>
        <w:spacing w:after="0" w:line="220" w:lineRule="exact"/>
        <w:rPr>
          <w:sz w:val="20"/>
          <w:szCs w:val="20"/>
          <w:color w:val="auto"/>
        </w:rPr>
      </w:pPr>
    </w:p>
    <w:p>
      <w:pPr>
        <w:ind w:right="280"/>
        <w:spacing w:after="0" w:line="343" w:lineRule="auto"/>
        <w:rPr>
          <w:sz w:val="20"/>
          <w:szCs w:val="20"/>
          <w:color w:val="auto"/>
        </w:rPr>
      </w:pPr>
      <w:r>
        <w:rPr>
          <w:rFonts w:ascii="Arial" w:cs="Arial" w:eastAsia="Arial" w:hAnsi="Arial"/>
          <w:sz w:val="19"/>
          <w:szCs w:val="19"/>
          <w:color w:val="auto"/>
        </w:rPr>
        <w:t>Economic cycles affect our business as well. Increases in the unemployment rate put downward pressure on loan performance, and conditions in the capital markets make it more difficult to access the capital we need to fund our business.</w:t>
      </w:r>
    </w:p>
    <w:p>
      <w:pPr>
        <w:spacing w:after="0" w:line="104" w:lineRule="exact"/>
        <w:rPr>
          <w:sz w:val="20"/>
          <w:szCs w:val="20"/>
          <w:color w:val="auto"/>
        </w:rPr>
      </w:pPr>
    </w:p>
    <w:p>
      <w:pPr>
        <w:jc w:val="both"/>
        <w:ind w:right="40"/>
        <w:spacing w:after="0" w:line="319" w:lineRule="auto"/>
        <w:rPr>
          <w:sz w:val="20"/>
          <w:szCs w:val="20"/>
          <w:color w:val="auto"/>
        </w:rPr>
      </w:pPr>
      <w:r>
        <w:rPr>
          <w:rFonts w:ascii="Arial" w:cs="Arial" w:eastAsia="Arial" w:hAnsi="Arial"/>
          <w:sz w:val="19"/>
          <w:szCs w:val="19"/>
          <w:color w:val="auto"/>
        </w:rPr>
        <w:t>From 1972 through 1991, the United States experienced two significant increases in the unemployment rate. The first occurred in 1974</w:t>
      </w:r>
      <w:r>
        <w:rPr>
          <w:rFonts w:ascii="Arial" w:cs="Arial" w:eastAsia="Arial" w:hAnsi="Arial"/>
          <w:sz w:val="17"/>
          <w:szCs w:val="17"/>
          <w:color w:val="auto"/>
        </w:rPr>
        <w:t>–</w:t>
      </w:r>
      <w:r>
        <w:rPr>
          <w:rFonts w:ascii="Arial" w:cs="Arial" w:eastAsia="Arial" w:hAnsi="Arial"/>
          <w:sz w:val="19"/>
          <w:szCs w:val="19"/>
          <w:color w:val="auto"/>
        </w:rPr>
        <w:t>1975 and the second in 1980</w:t>
      </w:r>
      <w:r>
        <w:rPr>
          <w:rFonts w:ascii="Arial" w:cs="Arial" w:eastAsia="Arial" w:hAnsi="Arial"/>
          <w:sz w:val="17"/>
          <w:szCs w:val="17"/>
          <w:color w:val="auto"/>
        </w:rPr>
        <w:t>–</w:t>
      </w:r>
      <w:r>
        <w:rPr>
          <w:rFonts w:ascii="Arial" w:cs="Arial" w:eastAsia="Arial" w:hAnsi="Arial"/>
          <w:sz w:val="19"/>
          <w:szCs w:val="19"/>
          <w:color w:val="auto"/>
        </w:rPr>
        <w:t>1982. However, the information we accumulated during these periods was largely anecdotal, as we did not capture loan performance data during this early stage of the Company’s development.</w:t>
      </w:r>
    </w:p>
    <w:p>
      <w:pPr>
        <w:spacing w:after="0" w:line="128" w:lineRule="exact"/>
        <w:rPr>
          <w:sz w:val="20"/>
          <w:szCs w:val="20"/>
          <w:color w:val="auto"/>
        </w:rPr>
      </w:pPr>
    </w:p>
    <w:p>
      <w:pPr>
        <w:ind w:right="40"/>
        <w:spacing w:after="0" w:line="247" w:lineRule="auto"/>
        <w:rPr>
          <w:sz w:val="20"/>
          <w:szCs w:val="20"/>
          <w:color w:val="auto"/>
        </w:rPr>
      </w:pPr>
      <w:r>
        <w:rPr>
          <w:rFonts w:ascii="Arial" w:cs="Arial" w:eastAsia="Arial" w:hAnsi="Arial"/>
          <w:sz w:val="22"/>
          <w:szCs w:val="22"/>
          <w:color w:val="auto"/>
        </w:rPr>
        <w:t>We began to capture loan performance data in 1991 (although we did not have the tools to adequately assess this data until 1997). The period from 1991 through April of 2008 was a time of relatively stable unemployment levels. The only significant increase in unemployment rates occurred in 2001. But that was a year in which we made major changes to our origination systems and loan programs that made it harder for us to draw clear conclusions from what we observed. As a result, prior to the economic downturn that began to unfold in 2007, we had only a limited ability to predict the impact of sharply rising unemployment rates on our loan portfolio.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348" w:right="339" w:bottom="1440" w:gutter="0" w:footer="0" w:header="0"/>
        </w:sectPr>
      </w:pPr>
    </w:p>
    <w:bookmarkStart w:id="12" w:name="page13"/>
    <w:bookmarkEnd w:id="12"/>
    <w:p>
      <w:pPr>
        <w:jc w:val="both"/>
        <w:ind w:right="60"/>
        <w:spacing w:after="0" w:line="343" w:lineRule="auto"/>
        <w:rPr>
          <w:sz w:val="20"/>
          <w:szCs w:val="20"/>
          <w:color w:val="auto"/>
        </w:rPr>
      </w:pPr>
      <w:r>
        <w:rPr>
          <w:rFonts w:ascii="Arial" w:cs="Arial" w:eastAsia="Arial" w:hAnsi="Arial"/>
          <w:sz w:val="19"/>
          <w:szCs w:val="19"/>
          <w:color w:val="auto"/>
        </w:rPr>
        <w:t>One conclusion we did draw (from the limited information we had accumulated for the period 1972 through April 2008) was that our loans would likely perform better than many outside observers would expect. However, that conclusion was far from certain.</w:t>
      </w:r>
    </w:p>
    <w:p>
      <w:pPr>
        <w:spacing w:after="0" w:line="104" w:lineRule="exact"/>
        <w:rPr>
          <w:sz w:val="20"/>
          <w:szCs w:val="20"/>
          <w:color w:val="auto"/>
        </w:rPr>
      </w:pPr>
    </w:p>
    <w:p>
      <w:pPr>
        <w:ind w:right="60"/>
        <w:spacing w:after="0" w:line="294" w:lineRule="auto"/>
        <w:rPr>
          <w:sz w:val="20"/>
          <w:szCs w:val="20"/>
          <w:color w:val="auto"/>
        </w:rPr>
      </w:pPr>
      <w:r>
        <w:rPr>
          <w:rFonts w:ascii="Arial" w:cs="Arial" w:eastAsia="Arial" w:hAnsi="Arial"/>
          <w:sz w:val="19"/>
          <w:szCs w:val="19"/>
          <w:color w:val="auto"/>
        </w:rPr>
        <w:t>Adding to the difficulty was the fact that 2007 was also a period of intense competition within our industry. As I discuss in more detail in a later section, loans originated during highly competitive periods tend to perform worse. From April 2008 through October 2009, the national unemployment rate increased from 5.0% to 10.0%. This combination of events—intense competition, followed by severe economic deterioration—provided a perfect test of our business model, one that would confirm either our views or the views of skeptics. We believe that our financial results during the financial crisis demonstrate that we passed the test with flying colors. GAAP net income per share (diluted) rose 22.7% in 2008 and 113.9% in 2009.</w:t>
      </w:r>
    </w:p>
    <w:p>
      <w:pPr>
        <w:spacing w:after="0" w:line="149" w:lineRule="exact"/>
        <w:rPr>
          <w:sz w:val="20"/>
          <w:szCs w:val="20"/>
          <w:color w:val="auto"/>
        </w:rPr>
      </w:pPr>
    </w:p>
    <w:p>
      <w:pPr>
        <w:ind w:right="200"/>
        <w:spacing w:after="0" w:line="302" w:lineRule="auto"/>
        <w:rPr>
          <w:sz w:val="20"/>
          <w:szCs w:val="20"/>
          <w:color w:val="auto"/>
        </w:rPr>
      </w:pPr>
      <w:r>
        <w:rPr>
          <w:rFonts w:ascii="Arial" w:cs="Arial" w:eastAsia="Arial" w:hAnsi="Arial"/>
          <w:sz w:val="19"/>
          <w:szCs w:val="19"/>
          <w:color w:val="auto"/>
        </w:rPr>
        <w:t>We did experience deterioration in our loan performance, but it was modest. In contrast, many of our competitors experienced a much greater fall-off in their loan performance and reported poor financial results. Because our competitors have generally targeted low levels of per loan profitability and have used debt much more extensively than we have, adverse changes in the economic environment have historically had a much more damaging impact on their results than on ours.</w:t>
      </w:r>
    </w:p>
    <w:p>
      <w:pPr>
        <w:spacing w:after="0" w:line="142" w:lineRule="exact"/>
        <w:rPr>
          <w:sz w:val="20"/>
          <w:szCs w:val="20"/>
          <w:color w:val="auto"/>
        </w:rPr>
      </w:pPr>
    </w:p>
    <w:p>
      <w:pPr>
        <w:spacing w:after="0" w:line="263" w:lineRule="auto"/>
        <w:rPr>
          <w:sz w:val="20"/>
          <w:szCs w:val="20"/>
          <w:color w:val="auto"/>
        </w:rPr>
      </w:pPr>
      <w:r>
        <w:rPr>
          <w:rFonts w:ascii="Arial" w:cs="Arial" w:eastAsia="Arial" w:hAnsi="Arial"/>
          <w:sz w:val="21"/>
          <w:szCs w:val="21"/>
          <w:color w:val="auto"/>
        </w:rPr>
        <w:t>We are now in the early stages of another crisis. It is too early to say whether our results during this crisis will mirror those during the last one. It is reasonable to assume that loan performance will be negatively affected. If the impact is similar to that experienced during the 2007-2009 financial crisis, the damage to our future prospects and business value will be minimal. But this crisis is already much different from the last one. In the last eight weeks, over 36 million job losses have been reported, more than quadruple the number recorded during the entire 2007-2009 financial crisis.</w:t>
      </w:r>
    </w:p>
    <w:p>
      <w:pPr>
        <w:spacing w:after="0" w:line="175" w:lineRule="exact"/>
        <w:rPr>
          <w:sz w:val="20"/>
          <w:szCs w:val="20"/>
          <w:color w:val="auto"/>
        </w:rPr>
      </w:pPr>
    </w:p>
    <w:p>
      <w:pPr>
        <w:ind w:right="60"/>
        <w:spacing w:after="0" w:line="294" w:lineRule="auto"/>
        <w:rPr>
          <w:sz w:val="20"/>
          <w:szCs w:val="20"/>
          <w:color w:val="auto"/>
        </w:rPr>
      </w:pPr>
      <w:r>
        <w:rPr>
          <w:rFonts w:ascii="Arial" w:cs="Arial" w:eastAsia="Arial" w:hAnsi="Arial"/>
          <w:sz w:val="19"/>
          <w:szCs w:val="19"/>
          <w:color w:val="auto"/>
        </w:rPr>
        <w:t>Many are forecasting a national unemployment rate above 15%, a level not seen since the Great Depression. The federal government has responded with a multi-trillion-dollar stimulus package, which includes one-time payments to individuals and families and enhanced unemployment benefits. This stimulus package is likely to mitigate the impact of the crisis to some degree in the near term, but we don’t know if this support will continue after the current package ends. As a result, it may be difficult to assess the effect of this crisis on our loan portfolio until later this year. While a result similar to what occurred during the 2007-2009 financial crisis is possible, there are too many uncertainties at this point to predict that outcome.</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Access to capital</w:t>
      </w:r>
    </w:p>
    <w:p>
      <w:pPr>
        <w:spacing w:after="0" w:line="220" w:lineRule="exact"/>
        <w:rPr>
          <w:sz w:val="20"/>
          <w:szCs w:val="20"/>
          <w:color w:val="auto"/>
        </w:rPr>
      </w:pPr>
    </w:p>
    <w:p>
      <w:pPr>
        <w:ind w:right="60"/>
        <w:spacing w:after="0" w:line="312" w:lineRule="auto"/>
        <w:rPr>
          <w:sz w:val="20"/>
          <w:szCs w:val="20"/>
          <w:color w:val="auto"/>
        </w:rPr>
      </w:pPr>
      <w:r>
        <w:rPr>
          <w:rFonts w:ascii="Arial" w:cs="Arial" w:eastAsia="Arial" w:hAnsi="Arial"/>
          <w:sz w:val="19"/>
          <w:szCs w:val="19"/>
          <w:color w:val="auto"/>
        </w:rPr>
        <w:t>Besides impacting loan performance, the 2007-2009 financial crisis made it more difficult to access capital. The tightening of the capital markets began in mid-2007 and continued throughout 2008 and much of 2009. During 2008, we had enough success obtaining capital to be able to originate $786.4 million in new loans, an increase of 14.1% from 2007.</w:t>
      </w:r>
    </w:p>
    <w:p>
      <w:pPr>
        <w:spacing w:after="0" w:line="133" w:lineRule="exact"/>
        <w:rPr>
          <w:sz w:val="20"/>
          <w:szCs w:val="20"/>
          <w:color w:val="auto"/>
        </w:rPr>
      </w:pPr>
    </w:p>
    <w:p>
      <w:pPr>
        <w:ind w:right="220"/>
        <w:spacing w:after="0" w:line="312" w:lineRule="auto"/>
        <w:rPr>
          <w:sz w:val="20"/>
          <w:szCs w:val="20"/>
          <w:color w:val="auto"/>
        </w:rPr>
      </w:pPr>
      <w:r>
        <w:rPr>
          <w:rFonts w:ascii="Arial" w:cs="Arial" w:eastAsia="Arial" w:hAnsi="Arial"/>
          <w:sz w:val="19"/>
          <w:szCs w:val="19"/>
          <w:color w:val="auto"/>
        </w:rPr>
        <w:t>The capital markets became less accessible as 2008 progressed, however. As a result, we began to slow originations growth through pricing changes which began in March and continued throughout the remainder of 2008. During 2009, we continued to slow originations based on the capital we had available. We originated $619.4 million of new loans, 21.2% less than in 2008.</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348" w:right="339" w:bottom="1440" w:gutter="0" w:footer="0" w:header="0"/>
        </w:sectPr>
      </w:pPr>
    </w:p>
    <w:bookmarkStart w:id="13" w:name="page14"/>
    <w:bookmarkEnd w:id="13"/>
    <w:p>
      <w:pPr>
        <w:ind w:right="140"/>
        <w:spacing w:after="0" w:line="263" w:lineRule="auto"/>
        <w:rPr>
          <w:sz w:val="20"/>
          <w:szCs w:val="20"/>
          <w:color w:val="auto"/>
        </w:rPr>
      </w:pPr>
      <w:r>
        <w:rPr>
          <w:rFonts w:ascii="Arial" w:cs="Arial" w:eastAsia="Arial" w:hAnsi="Arial"/>
          <w:sz w:val="22"/>
          <w:szCs w:val="22"/>
          <w:color w:val="auto"/>
        </w:rPr>
        <w:t>While we would have preferred a higher level of originations, we did not have access to the new capital we would have required on terms that we found acceptable.</w:t>
      </w:r>
    </w:p>
    <w:p>
      <w:pPr>
        <w:spacing w:after="0" w:line="175"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Our access to capital improved at the end of 2009, and since that time capital has been readily available. Since 2009, we have taken several steps to improve our position: We have (1) completed six offerings of senior notes, two series of which are currently outstanding and which provide us with $800.0 million of long-term debt capital; (2) lengthened the terms of our asset-backed financings; (3) increased our revolving credit facilities from $540.0 million at the end of 2009 to $1.6 billion currently; and (4) lengthened the terms of these facilities so the earliest date they mature is August 2021. We maintain a considerable amount of available borrowing capacity under our revolving credit facilities at all times: As of the date of this letter, we have $1.0 billion of such unused capacity.</w:t>
      </w:r>
    </w:p>
    <w:p>
      <w:pPr>
        <w:spacing w:after="0" w:line="196" w:lineRule="exact"/>
        <w:rPr>
          <w:sz w:val="20"/>
          <w:szCs w:val="20"/>
          <w:color w:val="auto"/>
        </w:rPr>
      </w:pPr>
    </w:p>
    <w:p>
      <w:pPr>
        <w:ind w:right="20"/>
        <w:spacing w:after="0" w:line="253" w:lineRule="auto"/>
        <w:rPr>
          <w:sz w:val="20"/>
          <w:szCs w:val="20"/>
          <w:color w:val="auto"/>
        </w:rPr>
      </w:pPr>
      <w:r>
        <w:rPr>
          <w:rFonts w:ascii="Arial" w:cs="Arial" w:eastAsia="Arial" w:hAnsi="Arial"/>
          <w:sz w:val="22"/>
          <w:szCs w:val="22"/>
          <w:color w:val="auto"/>
        </w:rPr>
        <w:t>Lengthening the term of our debt facilities, issuing higher-cost long-term debt and keeping available a significant portion of our revolving credit facilities increase our funding costs and reduce short-term profitability. However, these steps greatly improve our ability to successfully navigate a crisis like the one we are now in.</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003066"/>
        </w:rPr>
        <w:t>ADJUSTED RESULTS</w:t>
      </w:r>
    </w:p>
    <w:p>
      <w:pPr>
        <w:spacing w:after="0" w:line="226" w:lineRule="exact"/>
        <w:rPr>
          <w:sz w:val="20"/>
          <w:szCs w:val="20"/>
          <w:color w:val="auto"/>
        </w:rPr>
      </w:pPr>
    </w:p>
    <w:p>
      <w:pPr>
        <w:ind w:right="240"/>
        <w:spacing w:after="0" w:line="259" w:lineRule="auto"/>
        <w:rPr>
          <w:sz w:val="20"/>
          <w:szCs w:val="20"/>
          <w:color w:val="auto"/>
        </w:rPr>
      </w:pPr>
      <w:r>
        <w:rPr>
          <w:rFonts w:ascii="Arial" w:cs="Arial" w:eastAsia="Arial" w:hAnsi="Arial"/>
          <w:sz w:val="21"/>
          <w:szCs w:val="21"/>
          <w:color w:val="auto"/>
        </w:rPr>
        <w:t>Our reported financial results include both GAAP and adjusted numbers. The adjusted results reflect the following: (1) adjustments to modify our GAAP-based finance charge revenue (“floating yield adjustment”), (2) adjustments to normalize tax rates and eliminate the one-time impact of the 2017 Tax Cuts and Jobs Act (“income tax adjustment”) and (3) adjustments to modify the GAAP treatment of certain debt refinancings (“senior notes adjustment”). We explain all three of these below. In addition, the adjusted results reflect (1) adjustments to make our program fee revenue comparable across time periods and (2) adjustments to eliminate non-recurring expenses and discontinued operations. These last two categories of adjustments are combined in the next two tables under the heading “other adjustments.” They have had no impact on results since 2012 and are explained in prior-year letters.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Floating yield adjustment</w:t>
      </w:r>
    </w:p>
    <w:p>
      <w:pPr>
        <w:spacing w:after="0" w:line="22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purpose of this adjustment is to modify the calculation of our GAAP-based finance charge revenue so that both favorable and unfavorable changes in expected cash flows from loans receivable are treated consistently. To make the adjustment understandable, we must first explain how GAAP requires us to account for finance charge revenue, which is our primary revenue source.</w:t>
      </w:r>
    </w:p>
    <w:p>
      <w:pPr>
        <w:spacing w:after="0" w:line="188" w:lineRule="exact"/>
        <w:rPr>
          <w:sz w:val="20"/>
          <w:szCs w:val="20"/>
          <w:color w:val="auto"/>
        </w:rPr>
      </w:pPr>
    </w:p>
    <w:p>
      <w:pPr>
        <w:ind w:right="40"/>
        <w:spacing w:after="0" w:line="253" w:lineRule="auto"/>
        <w:rPr>
          <w:sz w:val="20"/>
          <w:szCs w:val="20"/>
          <w:color w:val="auto"/>
        </w:rPr>
      </w:pPr>
      <w:r>
        <w:rPr>
          <w:rFonts w:ascii="Arial" w:cs="Arial" w:eastAsia="Arial" w:hAnsi="Arial"/>
          <w:sz w:val="22"/>
          <w:szCs w:val="22"/>
          <w:color w:val="auto"/>
        </w:rPr>
        <w:t>The automobile dealer receives two types of payments from us. The first payment is made at the time of origination. The remaining payments are remitted over time based on the performance of the loan. The amount we pay at the time of origination is called an advance; the portion paid over time is called dealer holdback.</w:t>
      </w:r>
    </w:p>
    <w:p>
      <w:pPr>
        <w:spacing w:after="0" w:line="185" w:lineRule="exact"/>
        <w:rPr>
          <w:sz w:val="20"/>
          <w:szCs w:val="20"/>
          <w:color w:val="auto"/>
        </w:rPr>
      </w:pPr>
    </w:p>
    <w:p>
      <w:pPr>
        <w:jc w:val="both"/>
        <w:ind w:right="100"/>
        <w:spacing w:after="0" w:line="253" w:lineRule="auto"/>
        <w:rPr>
          <w:sz w:val="20"/>
          <w:szCs w:val="20"/>
          <w:color w:val="auto"/>
        </w:rPr>
      </w:pPr>
      <w:r>
        <w:rPr>
          <w:rFonts w:ascii="Arial" w:cs="Arial" w:eastAsia="Arial" w:hAnsi="Arial"/>
          <w:sz w:val="22"/>
          <w:szCs w:val="22"/>
          <w:color w:val="auto"/>
        </w:rPr>
        <w:t>The finance charge revenue we will recognize over the life of the loan equals the cash we collect from the loan (i.e., repayments by the consumer), less the amounts we pay to the dealer (advance + dealer holdback). In other words, the finance charge revenue we will recognize over the life of</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348" w:right="339" w:bottom="1440" w:gutter="0" w:footer="0" w:header="0"/>
        </w:sectPr>
      </w:pPr>
    </w:p>
    <w:bookmarkStart w:id="14" w:name="page15"/>
    <w:bookmarkEnd w:id="14"/>
    <w:p>
      <w:pPr>
        <w:spacing w:after="0" w:line="253" w:lineRule="auto"/>
        <w:rPr>
          <w:sz w:val="20"/>
          <w:szCs w:val="20"/>
          <w:color w:val="auto"/>
        </w:rPr>
      </w:pPr>
      <w:r>
        <w:rPr>
          <w:rFonts w:ascii="Arial" w:cs="Arial" w:eastAsia="Arial" w:hAnsi="Arial"/>
          <w:sz w:val="22"/>
          <w:szCs w:val="22"/>
          <w:color w:val="auto"/>
        </w:rPr>
        <w:t>the loan equals the cash inflows from the loan less the cash outflows to acquire the loan. This amount, plus a modest amount of revenue from other sources, less our operating expenses, interest and taxes, is the sum that will ultimately be paid to shareholders or reinvested in new assets.</w:t>
      </w:r>
    </w:p>
    <w:p>
      <w:pPr>
        <w:spacing w:after="0" w:line="185" w:lineRule="exact"/>
        <w:rPr>
          <w:sz w:val="20"/>
          <w:szCs w:val="20"/>
          <w:color w:val="auto"/>
        </w:rPr>
      </w:pPr>
    </w:p>
    <w:p>
      <w:pPr>
        <w:jc w:val="both"/>
        <w:ind w:right="540"/>
        <w:spacing w:after="0" w:line="312" w:lineRule="auto"/>
        <w:rPr>
          <w:sz w:val="20"/>
          <w:szCs w:val="20"/>
          <w:color w:val="auto"/>
        </w:rPr>
      </w:pPr>
      <w:r>
        <w:rPr>
          <w:rFonts w:ascii="Arial" w:cs="Arial" w:eastAsia="Arial" w:hAnsi="Arial"/>
          <w:sz w:val="19"/>
          <w:szCs w:val="19"/>
          <w:color w:val="auto"/>
        </w:rPr>
        <w:t>Under our current GAAP accounting methodology, finance charge revenue is recognized on a level-yield basis. That is, the amount of loan revenue recognized in a given period, divided by the loan asset, is a constant percentage. Recognizing loan revenue on a level-yield basis is reasonable, conforms to industry practice, and matches the economics of the business.</w:t>
      </w:r>
    </w:p>
    <w:p>
      <w:pPr>
        <w:spacing w:after="0" w:line="174" w:lineRule="exact"/>
        <w:rPr>
          <w:sz w:val="20"/>
          <w:szCs w:val="20"/>
          <w:color w:val="auto"/>
        </w:rPr>
      </w:pPr>
    </w:p>
    <w:p>
      <w:pPr>
        <w:ind w:right="40"/>
        <w:spacing w:after="0" w:line="235" w:lineRule="auto"/>
        <w:rPr>
          <w:sz w:val="20"/>
          <w:szCs w:val="20"/>
          <w:color w:val="auto"/>
        </w:rPr>
      </w:pPr>
      <w:r>
        <w:rPr>
          <w:rFonts w:ascii="Arial" w:cs="Arial" w:eastAsia="Arial" w:hAnsi="Arial"/>
          <w:sz w:val="21"/>
          <w:szCs w:val="21"/>
          <w:color w:val="auto"/>
        </w:rPr>
        <w:t>Where GAAP diverges from economic reality is in the way it deals with changes in expected cash flows. The expected cash flows from a loan portfolio are not known with certainty. Instead, they are estimated. From an economic standpoint, if forecasted cash flows from one loan pool increase by $1,000 and forecasted cash flows from another loan pool decrease by $1,000, no change in our shareholders’ economic position has occurred.</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GAAP, however, requires the Company to record the $1,000 decrease as an expense in the current period (recorded as a provision for credit losses</w:t>
      </w:r>
      <w:r>
        <w:rPr>
          <w:rFonts w:ascii="Arial" w:cs="Arial" w:eastAsia="Arial" w:hAnsi="Arial"/>
          <w:sz w:val="27"/>
          <w:szCs w:val="27"/>
          <w:color w:val="auto"/>
          <w:vertAlign w:val="superscript"/>
        </w:rPr>
        <w:t>2</w:t>
      </w:r>
      <w:r>
        <w:rPr>
          <w:rFonts w:ascii="Arial" w:cs="Arial" w:eastAsia="Arial" w:hAnsi="Arial"/>
          <w:sz w:val="21"/>
          <w:szCs w:val="21"/>
          <w:color w:val="auto"/>
        </w:rPr>
        <w:t>), and to record the $1,000 favorable change as income over the remaining life of the loan pool.</w:t>
      </w:r>
    </w:p>
    <w:p>
      <w:pPr>
        <w:spacing w:after="0" w:line="201" w:lineRule="exact"/>
        <w:rPr>
          <w:sz w:val="20"/>
          <w:szCs w:val="20"/>
          <w:color w:val="auto"/>
        </w:rPr>
      </w:pPr>
    </w:p>
    <w:p>
      <w:pPr>
        <w:ind w:right="440"/>
        <w:spacing w:after="0" w:line="263" w:lineRule="auto"/>
        <w:rPr>
          <w:sz w:val="20"/>
          <w:szCs w:val="20"/>
          <w:color w:val="auto"/>
        </w:rPr>
      </w:pPr>
      <w:r>
        <w:rPr>
          <w:rFonts w:ascii="Arial" w:cs="Arial" w:eastAsia="Arial" w:hAnsi="Arial"/>
          <w:sz w:val="22"/>
          <w:szCs w:val="22"/>
          <w:color w:val="auto"/>
        </w:rPr>
        <w:t>For those relying on our GAAP financial statements, this disparate treatment has the effect of understating net income in the current period, and overstating it in future periods.</w:t>
      </w:r>
    </w:p>
    <w:p>
      <w:pPr>
        <w:spacing w:after="0" w:line="175" w:lineRule="exact"/>
        <w:rPr>
          <w:sz w:val="20"/>
          <w:szCs w:val="20"/>
          <w:color w:val="auto"/>
        </w:rPr>
      </w:pPr>
    </w:p>
    <w:p>
      <w:pPr>
        <w:ind w:right="240"/>
        <w:spacing w:after="0" w:line="302" w:lineRule="auto"/>
        <w:rPr>
          <w:sz w:val="20"/>
          <w:szCs w:val="20"/>
          <w:color w:val="auto"/>
        </w:rPr>
      </w:pPr>
      <w:r>
        <w:rPr>
          <w:rFonts w:ascii="Arial" w:cs="Arial" w:eastAsia="Arial" w:hAnsi="Arial"/>
          <w:sz w:val="19"/>
          <w:szCs w:val="19"/>
          <w:color w:val="auto"/>
        </w:rPr>
        <w:t>The floating yield adjustment reverses the GAAP-caused distortion by treating both favorable and unfavorable changes in expected cash flows consistently. That is, both types of changes are treated as adjustments to our loan yield over time. In addition, the floating yield adjustment has the benefit of simplifying our adjusted financial results by eliminating the provision for credit losses, which is both volatile and not well understood by analysts who cover our stock.</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Income tax adjustment</w:t>
      </w:r>
    </w:p>
    <w:p>
      <w:pPr>
        <w:spacing w:after="0" w:line="220" w:lineRule="exact"/>
        <w:rPr>
          <w:sz w:val="20"/>
          <w:szCs w:val="20"/>
          <w:color w:val="auto"/>
        </w:rPr>
      </w:pPr>
    </w:p>
    <w:p>
      <w:pPr>
        <w:ind w:right="40"/>
        <w:spacing w:after="0" w:line="294" w:lineRule="auto"/>
        <w:rPr>
          <w:sz w:val="20"/>
          <w:szCs w:val="20"/>
          <w:color w:val="auto"/>
        </w:rPr>
      </w:pPr>
      <w:r>
        <w:rPr>
          <w:rFonts w:ascii="Arial" w:cs="Arial" w:eastAsia="Arial" w:hAnsi="Arial"/>
          <w:sz w:val="19"/>
          <w:szCs w:val="19"/>
          <w:color w:val="auto"/>
        </w:rPr>
        <w:t>The purpose of this adjustment is to report adjusted results using a 37.0% income tax rate for 2001</w:t>
      </w:r>
      <w:r>
        <w:rPr>
          <w:rFonts w:ascii="Arial" w:cs="Arial" w:eastAsia="Arial" w:hAnsi="Arial"/>
          <w:sz w:val="17"/>
          <w:szCs w:val="17"/>
          <w:color w:val="auto"/>
        </w:rPr>
        <w:t>–</w:t>
      </w:r>
      <w:r>
        <w:rPr>
          <w:rFonts w:ascii="Arial" w:cs="Arial" w:eastAsia="Arial" w:hAnsi="Arial"/>
          <w:sz w:val="19"/>
          <w:szCs w:val="19"/>
          <w:color w:val="auto"/>
        </w:rPr>
        <w:t>2017 (37.0% was our long-term effective tax rate for those years), and a 23.0% income tax rate for 2018 and 2019. For most years, the required adjustment is modest. However, in 2017, our reported GAAP net income included $99.8 million attributable to a one-time benefit related to the enactment of the Tax Cuts and Jobs Act in December of 2017. As a result of the Act, which reduced our federal tax rate from 35.0% to 21.0%, we revalued our net deferred tax liability with a corresponding reduction to our income tax expense. The adjustment of $102.4 million shown in the table below for 2017 reverses the impact of the deferred tax liability revaluation and includes other adjustments necessary to record our income tax expense at 37.0% of our pre-tax earnings.</w:t>
      </w:r>
    </w:p>
    <w:p>
      <w:pPr>
        <w:spacing w:after="0" w:line="151" w:lineRule="exact"/>
        <w:rPr>
          <w:sz w:val="20"/>
          <w:szCs w:val="20"/>
          <w:color w:val="auto"/>
        </w:rPr>
      </w:pPr>
    </w:p>
    <w:p>
      <w:pPr>
        <w:ind w:right="540"/>
        <w:spacing w:after="0" w:line="287" w:lineRule="auto"/>
        <w:rPr>
          <w:sz w:val="20"/>
          <w:szCs w:val="20"/>
          <w:color w:val="auto"/>
        </w:rPr>
      </w:pPr>
      <w:r>
        <w:rPr>
          <w:rFonts w:ascii="Arial" w:cs="Arial" w:eastAsia="Arial" w:hAnsi="Arial"/>
          <w:sz w:val="21"/>
          <w:szCs w:val="21"/>
          <w:color w:val="auto"/>
        </w:rPr>
        <w:t>We believe the income tax adjustment provides a more accurate reflection of the performance of our business, since we are recognizing a provision for income taxes at the applicable long-term effective tax rate for the period.</w:t>
      </w:r>
    </w:p>
    <w:p>
      <w:pPr>
        <w:spacing w:after="0" w:line="124"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4"/>
          <w:szCs w:val="14"/>
          <w:color w:val="auto"/>
        </w:rPr>
        <w:t>This example assumes that the forecasted changes for these two loan pools exhibit the same cash flow timing.</w:t>
      </w:r>
    </w:p>
    <w:p>
      <w:pPr>
        <w:ind w:left="80" w:right="120" w:hanging="80"/>
        <w:spacing w:after="0" w:line="219" w:lineRule="auto"/>
        <w:rPr>
          <w:sz w:val="20"/>
          <w:szCs w:val="20"/>
          <w:color w:val="auto"/>
        </w:rPr>
      </w:pPr>
      <w:r>
        <w:rPr>
          <w:rFonts w:ascii="Arial" w:cs="Arial" w:eastAsia="Arial" w:hAnsi="Arial"/>
          <w:sz w:val="25"/>
          <w:szCs w:val="25"/>
          <w:color w:val="auto"/>
          <w:vertAlign w:val="superscript"/>
        </w:rPr>
        <w:t>2</w:t>
      </w:r>
      <w:r>
        <w:rPr>
          <w:rFonts w:ascii="Arial" w:cs="Arial" w:eastAsia="Arial" w:hAnsi="Arial"/>
          <w:sz w:val="14"/>
          <w:szCs w:val="14"/>
          <w:color w:val="auto"/>
        </w:rPr>
        <w:t>The amount of current-period provision expense recorded under GAAP is based on the present value of the decrease in forecasted cash flows, where the present value reflects both the amount and the timing of the forecasted change.</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80"/>
          </w:cols>
          <w:pgMar w:left="320" w:top="348" w:right="399" w:bottom="1440" w:gutter="0" w:footer="0" w:header="0"/>
        </w:sectPr>
      </w:pPr>
    </w:p>
    <w:bookmarkStart w:id="15" w:name="page16"/>
    <w:bookmarkEnd w:id="15"/>
    <w:p>
      <w:pPr>
        <w:spacing w:after="0"/>
        <w:rPr>
          <w:sz w:val="20"/>
          <w:szCs w:val="20"/>
          <w:color w:val="auto"/>
        </w:rPr>
      </w:pPr>
      <w:r>
        <w:rPr>
          <w:rFonts w:ascii="Arial" w:cs="Arial" w:eastAsia="Arial" w:hAnsi="Arial"/>
          <w:sz w:val="22"/>
          <w:szCs w:val="22"/>
          <w:u w:val="single" w:color="auto"/>
          <w:color w:val="auto"/>
        </w:rPr>
        <w:t>Senior notes adjustment</w:t>
      </w:r>
    </w:p>
    <w:p>
      <w:pPr>
        <w:spacing w:after="0" w:line="220"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In 2014 and 2019, we used the proceeds from senior note issuances to redeem previously issued senior notes. Under GAAP, we recorded expenses of $21.8 million in 2014 and $1.8 million in 2019 related to the redemptions. In addition, the redemptions resulted in additional interest expense caused by the lag between the issuance of the new notes and the extinguishment of the old ones in the amount of $1.4 million in 2014 and $0.3 million in 2019.</w:t>
      </w:r>
    </w:p>
    <w:p>
      <w:pPr>
        <w:spacing w:after="0" w:line="188" w:lineRule="exact"/>
        <w:rPr>
          <w:sz w:val="20"/>
          <w:szCs w:val="20"/>
          <w:color w:val="auto"/>
        </w:rPr>
      </w:pPr>
    </w:p>
    <w:p>
      <w:pPr>
        <w:jc w:val="both"/>
        <w:ind w:right="240"/>
        <w:spacing w:after="0" w:line="250" w:lineRule="auto"/>
        <w:rPr>
          <w:sz w:val="20"/>
          <w:szCs w:val="20"/>
          <w:color w:val="auto"/>
        </w:rPr>
      </w:pPr>
      <w:r>
        <w:rPr>
          <w:rFonts w:ascii="Arial" w:cs="Arial" w:eastAsia="Arial" w:hAnsi="Arial"/>
          <w:sz w:val="22"/>
          <w:szCs w:val="22"/>
          <w:color w:val="auto"/>
        </w:rPr>
        <w:t>Under our non-GAAP approach, we deferred the two items as debt-issuance costs, and are recognizing them ratably as interest expense over the term of the newly issued notes. The non-GAAP approach records the net benefit of the refinancing—i.e., the lower interest cost of the newly issued notes less the cost of paying off the previously outstanding notes early—over the period the newly issued notes are outstanding.</w:t>
      </w: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tables show net income and net income per share (diluted) for 2001–2019 after the four categories of adjustments:</w:t>
      </w:r>
    </w:p>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185"/>
        </w:trPr>
        <w:tc>
          <w:tcPr>
            <w:tcW w:w="940" w:type="dxa"/>
            <w:vAlign w:val="bottom"/>
          </w:tcPr>
          <w:p>
            <w:pPr>
              <w:spacing w:after="0"/>
              <w:rPr>
                <w:sz w:val="20"/>
                <w:szCs w:val="20"/>
                <w:color w:val="auto"/>
              </w:rPr>
            </w:pPr>
            <w:r>
              <w:rPr>
                <w:rFonts w:ascii="Arial" w:cs="Arial" w:eastAsia="Arial" w:hAnsi="Arial"/>
                <w:sz w:val="13"/>
                <w:szCs w:val="13"/>
                <w:color w:val="auto"/>
              </w:rPr>
              <w:t>($ in millions)</w:t>
            </w:r>
          </w:p>
        </w:tc>
        <w:tc>
          <w:tcPr>
            <w:tcW w:w="15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GAAP net income</w:t>
            </w:r>
          </w:p>
        </w:tc>
        <w:tc>
          <w:tcPr>
            <w:tcW w:w="1400" w:type="dxa"/>
            <w:vAlign w:val="bottom"/>
          </w:tcPr>
          <w:p>
            <w:pPr>
              <w:jc w:val="center"/>
              <w:ind w:right="8"/>
              <w:spacing w:after="0"/>
              <w:rPr>
                <w:sz w:val="20"/>
                <w:szCs w:val="20"/>
                <w:color w:val="auto"/>
              </w:rPr>
            </w:pPr>
            <w:r>
              <w:rPr>
                <w:rFonts w:ascii="Arial" w:cs="Arial" w:eastAsia="Arial" w:hAnsi="Arial"/>
                <w:sz w:val="14"/>
                <w:szCs w:val="14"/>
                <w:b w:val="1"/>
                <w:bCs w:val="1"/>
                <w:color w:val="auto"/>
                <w:w w:val="93"/>
              </w:rPr>
              <w:t>Floating yield</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9"/>
              </w:rPr>
              <w:t>Senior notes</w:t>
            </w:r>
          </w:p>
        </w:tc>
        <w:tc>
          <w:tcPr>
            <w:tcW w:w="1320" w:type="dxa"/>
            <w:vAlign w:val="bottom"/>
          </w:tcPr>
          <w:p>
            <w:pPr>
              <w:ind w:left="360"/>
              <w:spacing w:after="0"/>
              <w:rPr>
                <w:sz w:val="20"/>
                <w:szCs w:val="20"/>
                <w:color w:val="auto"/>
              </w:rPr>
            </w:pPr>
            <w:r>
              <w:rPr>
                <w:rFonts w:ascii="Arial" w:cs="Arial" w:eastAsia="Arial" w:hAnsi="Arial"/>
                <w:sz w:val="14"/>
                <w:szCs w:val="14"/>
                <w:b w:val="1"/>
                <w:bCs w:val="1"/>
                <w:color w:val="auto"/>
              </w:rPr>
              <w:t>Income tax</w:t>
            </w:r>
          </w:p>
        </w:tc>
        <w:tc>
          <w:tcPr>
            <w:tcW w:w="154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Other adjustments</w:t>
            </w:r>
          </w:p>
        </w:tc>
        <w:tc>
          <w:tcPr>
            <w:tcW w:w="15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Adjusted net income</w:t>
            </w:r>
          </w:p>
        </w:tc>
        <w:tc>
          <w:tcPr>
            <w:tcW w:w="136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90"/>
              </w:rPr>
              <w:t>Year-to-year change</w:t>
            </w:r>
          </w:p>
        </w:tc>
        <w:tc>
          <w:tcPr>
            <w:tcW w:w="0" w:type="dxa"/>
            <w:vAlign w:val="bottom"/>
          </w:tcPr>
          <w:p>
            <w:pPr>
              <w:spacing w:after="0"/>
              <w:rPr>
                <w:sz w:val="1"/>
                <w:szCs w:val="1"/>
                <w:color w:val="auto"/>
              </w:rPr>
            </w:pPr>
          </w:p>
        </w:tc>
      </w:tr>
      <w:tr>
        <w:trPr>
          <w:trHeight w:val="186"/>
        </w:trPr>
        <w:tc>
          <w:tcPr>
            <w:tcW w:w="94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140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adjustment</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adjustment</w:t>
            </w:r>
          </w:p>
        </w:tc>
        <w:tc>
          <w:tcPr>
            <w:tcW w:w="1320" w:type="dxa"/>
            <w:vAlign w:val="bottom"/>
          </w:tcPr>
          <w:p>
            <w:pPr>
              <w:ind w:left="360"/>
              <w:spacing w:after="0"/>
              <w:rPr>
                <w:sz w:val="20"/>
                <w:szCs w:val="20"/>
                <w:color w:val="auto"/>
              </w:rPr>
            </w:pPr>
            <w:r>
              <w:rPr>
                <w:rFonts w:ascii="Arial" w:cs="Arial" w:eastAsia="Arial" w:hAnsi="Arial"/>
                <w:sz w:val="14"/>
                <w:szCs w:val="14"/>
                <w:b w:val="1"/>
                <w:bCs w:val="1"/>
                <w:color w:val="auto"/>
              </w:rPr>
              <w:t>adjustment</w:t>
            </w:r>
          </w:p>
        </w:tc>
        <w:tc>
          <w:tcPr>
            <w:tcW w:w="154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974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ectPr>
          <w:pgSz w:w="11900" w:h="16838" w:orient="portrait"/>
          <w:cols w:equalWidth="0" w:num="1">
            <w:col w:w="11200"/>
          </w:cols>
          <w:pgMar w:left="320" w:top="348" w:right="379" w:bottom="1440" w:gutter="0" w:footer="0" w:header="0"/>
        </w:sectPr>
      </w:pPr>
    </w:p>
    <w:p>
      <w:pPr>
        <w:spacing w:after="0" w:line="29"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i w:val="1"/>
                <w:iCs w:val="1"/>
                <w:color w:val="auto"/>
              </w:rPr>
              <w:t>2001</w:t>
            </w:r>
          </w:p>
        </w:tc>
        <w:tc>
          <w:tcPr>
            <w:tcW w:w="800" w:type="dxa"/>
            <w:vAlign w:val="bottom"/>
          </w:tcPr>
          <w:p>
            <w:pPr>
              <w:jc w:val="right"/>
              <w:ind w:right="27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i w:val="1"/>
                <w:iCs w:val="1"/>
                <w:color w:val="auto"/>
              </w:rPr>
              <w:t>24.7</w:t>
            </w:r>
          </w:p>
        </w:tc>
        <w:tc>
          <w:tcPr>
            <w:tcW w:w="580" w:type="dxa"/>
            <w:vAlign w:val="bottom"/>
          </w:tcPr>
          <w:p>
            <w:pPr>
              <w:jc w:val="right"/>
              <w:ind w:right="29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i w:val="1"/>
                <w:iCs w:val="1"/>
                <w:color w:val="auto"/>
              </w:rPr>
              <w:t>1.2</w:t>
            </w:r>
          </w:p>
        </w:tc>
        <w:tc>
          <w:tcPr>
            <w:tcW w:w="580" w:type="dxa"/>
            <w:vAlign w:val="bottom"/>
          </w:tcPr>
          <w:p>
            <w:pPr>
              <w:jc w:val="right"/>
              <w:ind w:right="31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i w:val="1"/>
                <w:i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r>
        <w:trPr>
          <w:trHeight w:val="297"/>
        </w:trPr>
        <w:tc>
          <w:tcPr>
            <w:tcW w:w="700" w:type="dxa"/>
            <w:vAlign w:val="bottom"/>
          </w:tcPr>
          <w:p>
            <w:pPr>
              <w:spacing w:after="0"/>
              <w:rPr>
                <w:sz w:val="20"/>
                <w:szCs w:val="20"/>
                <w:color w:val="auto"/>
              </w:rPr>
            </w:pPr>
            <w:r>
              <w:rPr>
                <w:rFonts w:ascii="Arial" w:cs="Arial" w:eastAsia="Arial" w:hAnsi="Arial"/>
                <w:sz w:val="18"/>
                <w:szCs w:val="18"/>
                <w:i w:val="1"/>
                <w:iCs w:val="1"/>
                <w:color w:val="auto"/>
              </w:rPr>
              <w:t>2002</w:t>
            </w:r>
          </w:p>
        </w:tc>
        <w:tc>
          <w:tcPr>
            <w:tcW w:w="800" w:type="dxa"/>
            <w:vAlign w:val="bottom"/>
          </w:tcPr>
          <w:p>
            <w:pPr>
              <w:jc w:val="right"/>
              <w:ind w:right="27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i w:val="1"/>
                <w:iCs w:val="1"/>
                <w:color w:val="auto"/>
              </w:rPr>
              <w:t>29.8</w:t>
            </w:r>
          </w:p>
        </w:tc>
        <w:tc>
          <w:tcPr>
            <w:tcW w:w="580" w:type="dxa"/>
            <w:vAlign w:val="bottom"/>
          </w:tcPr>
          <w:p>
            <w:pPr>
              <w:jc w:val="right"/>
              <w:ind w:right="29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i w:val="1"/>
                <w:iCs w:val="1"/>
                <w:color w:val="auto"/>
              </w:rPr>
              <w:t>2.8</w:t>
            </w:r>
          </w:p>
        </w:tc>
        <w:tc>
          <w:tcPr>
            <w:tcW w:w="580" w:type="dxa"/>
            <w:vAlign w:val="bottom"/>
          </w:tcPr>
          <w:p>
            <w:pPr>
              <w:jc w:val="right"/>
              <w:ind w:right="31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i w:val="1"/>
                <w:i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r>
        <w:trPr>
          <w:trHeight w:val="297"/>
        </w:trPr>
        <w:tc>
          <w:tcPr>
            <w:tcW w:w="700" w:type="dxa"/>
            <w:vAlign w:val="bottom"/>
          </w:tcPr>
          <w:p>
            <w:pPr>
              <w:spacing w:after="0"/>
              <w:rPr>
                <w:sz w:val="20"/>
                <w:szCs w:val="20"/>
                <w:color w:val="auto"/>
              </w:rPr>
            </w:pPr>
            <w:r>
              <w:rPr>
                <w:rFonts w:ascii="Arial" w:cs="Arial" w:eastAsia="Arial" w:hAnsi="Arial"/>
                <w:sz w:val="18"/>
                <w:szCs w:val="18"/>
                <w:i w:val="1"/>
                <w:iCs w:val="1"/>
                <w:color w:val="auto"/>
              </w:rPr>
              <w:t>2003</w:t>
            </w:r>
          </w:p>
        </w:tc>
        <w:tc>
          <w:tcPr>
            <w:tcW w:w="800" w:type="dxa"/>
            <w:vAlign w:val="bottom"/>
          </w:tcPr>
          <w:p>
            <w:pPr>
              <w:jc w:val="right"/>
              <w:ind w:right="27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i w:val="1"/>
                <w:iCs w:val="1"/>
                <w:color w:val="auto"/>
              </w:rPr>
              <w:t>24.7</w:t>
            </w:r>
          </w:p>
        </w:tc>
        <w:tc>
          <w:tcPr>
            <w:tcW w:w="580" w:type="dxa"/>
            <w:vAlign w:val="bottom"/>
          </w:tcPr>
          <w:p>
            <w:pPr>
              <w:jc w:val="right"/>
              <w:ind w:right="29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i w:val="1"/>
                <w:iCs w:val="1"/>
                <w:color w:val="auto"/>
              </w:rPr>
              <w:t>1.4</w:t>
            </w:r>
          </w:p>
        </w:tc>
        <w:tc>
          <w:tcPr>
            <w:tcW w:w="580" w:type="dxa"/>
            <w:vAlign w:val="bottom"/>
          </w:tcPr>
          <w:p>
            <w:pPr>
              <w:jc w:val="right"/>
              <w:ind w:right="31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i w:val="1"/>
                <w:i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r>
        <w:trPr>
          <w:trHeight w:val="297"/>
        </w:trPr>
        <w:tc>
          <w:tcPr>
            <w:tcW w:w="700" w:type="dxa"/>
            <w:vAlign w:val="bottom"/>
          </w:tcPr>
          <w:p>
            <w:pPr>
              <w:spacing w:after="0"/>
              <w:rPr>
                <w:sz w:val="20"/>
                <w:szCs w:val="20"/>
                <w:color w:val="auto"/>
              </w:rPr>
            </w:pPr>
            <w:r>
              <w:rPr>
                <w:rFonts w:ascii="Arial" w:cs="Arial" w:eastAsia="Arial" w:hAnsi="Arial"/>
                <w:sz w:val="18"/>
                <w:szCs w:val="18"/>
                <w:i w:val="1"/>
                <w:iCs w:val="1"/>
                <w:color w:val="auto"/>
              </w:rPr>
              <w:t>2004</w:t>
            </w:r>
          </w:p>
        </w:tc>
        <w:tc>
          <w:tcPr>
            <w:tcW w:w="800" w:type="dxa"/>
            <w:vAlign w:val="bottom"/>
          </w:tcPr>
          <w:p>
            <w:pPr>
              <w:jc w:val="right"/>
              <w:ind w:right="27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i w:val="1"/>
                <w:iCs w:val="1"/>
                <w:color w:val="auto"/>
              </w:rPr>
              <w:t>57.3</w:t>
            </w:r>
          </w:p>
        </w:tc>
        <w:tc>
          <w:tcPr>
            <w:tcW w:w="580" w:type="dxa"/>
            <w:vAlign w:val="bottom"/>
          </w:tcPr>
          <w:p>
            <w:pPr>
              <w:jc w:val="right"/>
              <w:ind w:right="29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(0.1)</w:t>
            </w:r>
          </w:p>
        </w:tc>
        <w:tc>
          <w:tcPr>
            <w:tcW w:w="580" w:type="dxa"/>
            <w:vAlign w:val="bottom"/>
          </w:tcPr>
          <w:p>
            <w:pPr>
              <w:jc w:val="right"/>
              <w:ind w:right="31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i w:val="1"/>
                <w:i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r>
        <w:trPr>
          <w:trHeight w:val="297"/>
        </w:trPr>
        <w:tc>
          <w:tcPr>
            <w:tcW w:w="700" w:type="dxa"/>
            <w:vAlign w:val="bottom"/>
          </w:tcPr>
          <w:p>
            <w:pPr>
              <w:spacing w:after="0"/>
              <w:rPr>
                <w:sz w:val="20"/>
                <w:szCs w:val="20"/>
                <w:color w:val="auto"/>
              </w:rPr>
            </w:pPr>
            <w:r>
              <w:rPr>
                <w:rFonts w:ascii="Arial" w:cs="Arial" w:eastAsia="Arial" w:hAnsi="Arial"/>
                <w:sz w:val="18"/>
                <w:szCs w:val="18"/>
                <w:i w:val="1"/>
                <w:iCs w:val="1"/>
                <w:color w:val="auto"/>
              </w:rPr>
              <w:t>2005</w:t>
            </w:r>
          </w:p>
        </w:tc>
        <w:tc>
          <w:tcPr>
            <w:tcW w:w="800" w:type="dxa"/>
            <w:vAlign w:val="bottom"/>
          </w:tcPr>
          <w:p>
            <w:pPr>
              <w:jc w:val="right"/>
              <w:ind w:right="27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i w:val="1"/>
                <w:iCs w:val="1"/>
                <w:color w:val="auto"/>
              </w:rPr>
              <w:t>72.6</w:t>
            </w:r>
          </w:p>
        </w:tc>
        <w:tc>
          <w:tcPr>
            <w:tcW w:w="580" w:type="dxa"/>
            <w:vAlign w:val="bottom"/>
          </w:tcPr>
          <w:p>
            <w:pPr>
              <w:jc w:val="right"/>
              <w:ind w:right="29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(2.2)</w:t>
            </w:r>
          </w:p>
        </w:tc>
        <w:tc>
          <w:tcPr>
            <w:tcW w:w="580" w:type="dxa"/>
            <w:vAlign w:val="bottom"/>
          </w:tcPr>
          <w:p>
            <w:pPr>
              <w:jc w:val="right"/>
              <w:ind w:right="31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i w:val="1"/>
                <w:i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r>
        <w:trPr>
          <w:trHeight w:val="297"/>
        </w:trPr>
        <w:tc>
          <w:tcPr>
            <w:tcW w:w="700" w:type="dxa"/>
            <w:vAlign w:val="bottom"/>
          </w:tcPr>
          <w:p>
            <w:pPr>
              <w:spacing w:after="0"/>
              <w:rPr>
                <w:sz w:val="20"/>
                <w:szCs w:val="20"/>
                <w:color w:val="auto"/>
              </w:rPr>
            </w:pPr>
            <w:r>
              <w:rPr>
                <w:rFonts w:ascii="Arial" w:cs="Arial" w:eastAsia="Arial" w:hAnsi="Arial"/>
                <w:sz w:val="18"/>
                <w:szCs w:val="18"/>
                <w:i w:val="1"/>
                <w:iCs w:val="1"/>
                <w:color w:val="auto"/>
              </w:rPr>
              <w:t>2006</w:t>
            </w:r>
          </w:p>
        </w:tc>
        <w:tc>
          <w:tcPr>
            <w:tcW w:w="800" w:type="dxa"/>
            <w:vAlign w:val="bottom"/>
          </w:tcPr>
          <w:p>
            <w:pPr>
              <w:jc w:val="right"/>
              <w:ind w:right="27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i w:val="1"/>
                <w:iCs w:val="1"/>
                <w:color w:val="auto"/>
              </w:rPr>
              <w:t>58.6</w:t>
            </w:r>
          </w:p>
        </w:tc>
        <w:tc>
          <w:tcPr>
            <w:tcW w:w="580" w:type="dxa"/>
            <w:vAlign w:val="bottom"/>
          </w:tcPr>
          <w:p>
            <w:pPr>
              <w:jc w:val="right"/>
              <w:ind w:right="29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i w:val="1"/>
                <w:iCs w:val="1"/>
                <w:color w:val="auto"/>
              </w:rPr>
              <w:t>0.4</w:t>
            </w:r>
          </w:p>
        </w:tc>
        <w:tc>
          <w:tcPr>
            <w:tcW w:w="580" w:type="dxa"/>
            <w:vAlign w:val="bottom"/>
          </w:tcPr>
          <w:p>
            <w:pPr>
              <w:jc w:val="right"/>
              <w:ind w:right="31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i w:val="1"/>
                <w:i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r>
        <w:trPr>
          <w:trHeight w:val="297"/>
        </w:trPr>
        <w:tc>
          <w:tcPr>
            <w:tcW w:w="700" w:type="dxa"/>
            <w:vAlign w:val="bottom"/>
          </w:tcPr>
          <w:p>
            <w:pPr>
              <w:spacing w:after="0"/>
              <w:rPr>
                <w:sz w:val="20"/>
                <w:szCs w:val="20"/>
                <w:color w:val="auto"/>
              </w:rPr>
            </w:pPr>
            <w:r>
              <w:rPr>
                <w:rFonts w:ascii="Arial" w:cs="Arial" w:eastAsia="Arial" w:hAnsi="Arial"/>
                <w:sz w:val="18"/>
                <w:szCs w:val="18"/>
                <w:i w:val="1"/>
                <w:iCs w:val="1"/>
                <w:color w:val="auto"/>
              </w:rPr>
              <w:t>2007</w:t>
            </w:r>
          </w:p>
        </w:tc>
        <w:tc>
          <w:tcPr>
            <w:tcW w:w="800" w:type="dxa"/>
            <w:vAlign w:val="bottom"/>
          </w:tcPr>
          <w:p>
            <w:pPr>
              <w:jc w:val="right"/>
              <w:ind w:right="27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i w:val="1"/>
                <w:iCs w:val="1"/>
                <w:color w:val="auto"/>
              </w:rPr>
              <w:t>54.9</w:t>
            </w:r>
          </w:p>
        </w:tc>
        <w:tc>
          <w:tcPr>
            <w:tcW w:w="580" w:type="dxa"/>
            <w:vAlign w:val="bottom"/>
          </w:tcPr>
          <w:p>
            <w:pPr>
              <w:jc w:val="right"/>
              <w:ind w:right="29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i w:val="1"/>
                <w:iCs w:val="1"/>
                <w:color w:val="auto"/>
              </w:rPr>
              <w:t>3.6</w:t>
            </w:r>
          </w:p>
        </w:tc>
        <w:tc>
          <w:tcPr>
            <w:tcW w:w="580" w:type="dxa"/>
            <w:vAlign w:val="bottom"/>
          </w:tcPr>
          <w:p>
            <w:pPr>
              <w:jc w:val="right"/>
              <w:ind w:right="31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i w:val="1"/>
                <w:i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r>
        <w:trPr>
          <w:trHeight w:val="297"/>
        </w:trPr>
        <w:tc>
          <w:tcPr>
            <w:tcW w:w="700" w:type="dxa"/>
            <w:vAlign w:val="bottom"/>
          </w:tcPr>
          <w:p>
            <w:pPr>
              <w:spacing w:after="0"/>
              <w:rPr>
                <w:sz w:val="20"/>
                <w:szCs w:val="20"/>
                <w:color w:val="auto"/>
              </w:rPr>
            </w:pPr>
            <w:r>
              <w:rPr>
                <w:rFonts w:ascii="Arial" w:cs="Arial" w:eastAsia="Arial" w:hAnsi="Arial"/>
                <w:sz w:val="18"/>
                <w:szCs w:val="18"/>
                <w:i w:val="1"/>
                <w:iCs w:val="1"/>
                <w:color w:val="auto"/>
              </w:rPr>
              <w:t>2008</w:t>
            </w:r>
          </w:p>
        </w:tc>
        <w:tc>
          <w:tcPr>
            <w:tcW w:w="800" w:type="dxa"/>
            <w:vAlign w:val="bottom"/>
          </w:tcPr>
          <w:p>
            <w:pPr>
              <w:jc w:val="right"/>
              <w:ind w:right="27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i w:val="1"/>
                <w:iCs w:val="1"/>
                <w:color w:val="auto"/>
              </w:rPr>
              <w:t>67.2</w:t>
            </w:r>
          </w:p>
        </w:tc>
        <w:tc>
          <w:tcPr>
            <w:tcW w:w="580" w:type="dxa"/>
            <w:vAlign w:val="bottom"/>
          </w:tcPr>
          <w:p>
            <w:pPr>
              <w:jc w:val="right"/>
              <w:ind w:right="29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i w:val="1"/>
                <w:iCs w:val="1"/>
                <w:color w:val="auto"/>
              </w:rPr>
              <w:t>13.1</w:t>
            </w:r>
          </w:p>
        </w:tc>
        <w:tc>
          <w:tcPr>
            <w:tcW w:w="580" w:type="dxa"/>
            <w:vAlign w:val="bottom"/>
          </w:tcPr>
          <w:p>
            <w:pPr>
              <w:jc w:val="right"/>
              <w:ind w:right="31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i w:val="1"/>
                <w:i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r>
        <w:trPr>
          <w:trHeight w:val="297"/>
        </w:trPr>
        <w:tc>
          <w:tcPr>
            <w:tcW w:w="700" w:type="dxa"/>
            <w:vAlign w:val="bottom"/>
          </w:tcPr>
          <w:p>
            <w:pPr>
              <w:spacing w:after="0"/>
              <w:rPr>
                <w:sz w:val="20"/>
                <w:szCs w:val="20"/>
                <w:color w:val="auto"/>
              </w:rPr>
            </w:pPr>
            <w:r>
              <w:rPr>
                <w:rFonts w:ascii="Arial" w:cs="Arial" w:eastAsia="Arial" w:hAnsi="Arial"/>
                <w:sz w:val="18"/>
                <w:szCs w:val="18"/>
                <w:i w:val="1"/>
                <w:iCs w:val="1"/>
                <w:color w:val="auto"/>
              </w:rPr>
              <w:t>2009</w:t>
            </w:r>
          </w:p>
        </w:tc>
        <w:tc>
          <w:tcPr>
            <w:tcW w:w="800" w:type="dxa"/>
            <w:vAlign w:val="bottom"/>
          </w:tcPr>
          <w:p>
            <w:pPr>
              <w:jc w:val="right"/>
              <w:ind w:right="27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i w:val="1"/>
                <w:iCs w:val="1"/>
                <w:color w:val="auto"/>
              </w:rPr>
              <w:t>146.3</w:t>
            </w:r>
          </w:p>
        </w:tc>
        <w:tc>
          <w:tcPr>
            <w:tcW w:w="580" w:type="dxa"/>
            <w:vAlign w:val="bottom"/>
          </w:tcPr>
          <w:p>
            <w:pPr>
              <w:jc w:val="right"/>
              <w:ind w:right="29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(19.6)</w:t>
            </w:r>
          </w:p>
        </w:tc>
        <w:tc>
          <w:tcPr>
            <w:tcW w:w="580" w:type="dxa"/>
            <w:vAlign w:val="bottom"/>
          </w:tcPr>
          <w:p>
            <w:pPr>
              <w:jc w:val="right"/>
              <w:ind w:right="31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i w:val="1"/>
                <w:i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r>
        <w:trPr>
          <w:trHeight w:val="297"/>
        </w:trPr>
        <w:tc>
          <w:tcPr>
            <w:tcW w:w="700" w:type="dxa"/>
            <w:vAlign w:val="bottom"/>
          </w:tcPr>
          <w:p>
            <w:pPr>
              <w:spacing w:after="0"/>
              <w:rPr>
                <w:sz w:val="20"/>
                <w:szCs w:val="20"/>
                <w:color w:val="auto"/>
              </w:rPr>
            </w:pPr>
            <w:r>
              <w:rPr>
                <w:rFonts w:ascii="Arial" w:cs="Arial" w:eastAsia="Arial" w:hAnsi="Arial"/>
                <w:sz w:val="18"/>
                <w:szCs w:val="18"/>
                <w:i w:val="1"/>
                <w:iCs w:val="1"/>
                <w:color w:val="auto"/>
              </w:rPr>
              <w:t>2010</w:t>
            </w:r>
          </w:p>
        </w:tc>
        <w:tc>
          <w:tcPr>
            <w:tcW w:w="800" w:type="dxa"/>
            <w:vAlign w:val="bottom"/>
          </w:tcPr>
          <w:p>
            <w:pPr>
              <w:jc w:val="right"/>
              <w:ind w:right="27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i w:val="1"/>
                <w:iCs w:val="1"/>
                <w:color w:val="auto"/>
              </w:rPr>
              <w:t>170.1</w:t>
            </w:r>
          </w:p>
        </w:tc>
        <w:tc>
          <w:tcPr>
            <w:tcW w:w="580" w:type="dxa"/>
            <w:vAlign w:val="bottom"/>
          </w:tcPr>
          <w:p>
            <w:pPr>
              <w:jc w:val="right"/>
              <w:ind w:right="29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i w:val="1"/>
                <w:iCs w:val="1"/>
                <w:color w:val="auto"/>
              </w:rPr>
              <w:t>0.5</w:t>
            </w:r>
          </w:p>
        </w:tc>
        <w:tc>
          <w:tcPr>
            <w:tcW w:w="580" w:type="dxa"/>
            <w:vAlign w:val="bottom"/>
          </w:tcPr>
          <w:p>
            <w:pPr>
              <w:jc w:val="right"/>
              <w:ind w:right="31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i w:val="1"/>
                <w:i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r>
        <w:trPr>
          <w:trHeight w:val="297"/>
        </w:trPr>
        <w:tc>
          <w:tcPr>
            <w:tcW w:w="700" w:type="dxa"/>
            <w:vAlign w:val="bottom"/>
          </w:tcPr>
          <w:p>
            <w:pPr>
              <w:spacing w:after="0"/>
              <w:rPr>
                <w:sz w:val="20"/>
                <w:szCs w:val="20"/>
                <w:color w:val="auto"/>
              </w:rPr>
            </w:pPr>
            <w:r>
              <w:rPr>
                <w:rFonts w:ascii="Arial" w:cs="Arial" w:eastAsia="Arial" w:hAnsi="Arial"/>
                <w:sz w:val="18"/>
                <w:szCs w:val="18"/>
                <w:i w:val="1"/>
                <w:iCs w:val="1"/>
                <w:color w:val="auto"/>
              </w:rPr>
              <w:t>2011</w:t>
            </w:r>
          </w:p>
        </w:tc>
        <w:tc>
          <w:tcPr>
            <w:tcW w:w="800" w:type="dxa"/>
            <w:vAlign w:val="bottom"/>
          </w:tcPr>
          <w:p>
            <w:pPr>
              <w:jc w:val="right"/>
              <w:ind w:right="27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i w:val="1"/>
                <w:iCs w:val="1"/>
                <w:color w:val="auto"/>
              </w:rPr>
              <w:t>188.0</w:t>
            </w:r>
          </w:p>
        </w:tc>
        <w:tc>
          <w:tcPr>
            <w:tcW w:w="580" w:type="dxa"/>
            <w:vAlign w:val="bottom"/>
          </w:tcPr>
          <w:p>
            <w:pPr>
              <w:jc w:val="right"/>
              <w:ind w:right="29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i w:val="1"/>
                <w:iCs w:val="1"/>
                <w:color w:val="auto"/>
              </w:rPr>
              <w:t>7.1</w:t>
            </w:r>
          </w:p>
        </w:tc>
        <w:tc>
          <w:tcPr>
            <w:tcW w:w="580" w:type="dxa"/>
            <w:vAlign w:val="bottom"/>
          </w:tcPr>
          <w:p>
            <w:pPr>
              <w:jc w:val="right"/>
              <w:ind w:right="31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i w:val="1"/>
                <w:i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r>
        <w:trPr>
          <w:trHeight w:val="297"/>
        </w:trPr>
        <w:tc>
          <w:tcPr>
            <w:tcW w:w="700" w:type="dxa"/>
            <w:vAlign w:val="bottom"/>
          </w:tcPr>
          <w:p>
            <w:pPr>
              <w:spacing w:after="0"/>
              <w:rPr>
                <w:sz w:val="20"/>
                <w:szCs w:val="20"/>
                <w:color w:val="auto"/>
              </w:rPr>
            </w:pPr>
            <w:r>
              <w:rPr>
                <w:rFonts w:ascii="Arial" w:cs="Arial" w:eastAsia="Arial" w:hAnsi="Arial"/>
                <w:sz w:val="18"/>
                <w:szCs w:val="18"/>
                <w:i w:val="1"/>
                <w:iCs w:val="1"/>
                <w:color w:val="auto"/>
              </w:rPr>
              <w:t>2012</w:t>
            </w:r>
          </w:p>
        </w:tc>
        <w:tc>
          <w:tcPr>
            <w:tcW w:w="800" w:type="dxa"/>
            <w:vAlign w:val="bottom"/>
          </w:tcPr>
          <w:p>
            <w:pPr>
              <w:jc w:val="right"/>
              <w:ind w:right="27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i w:val="1"/>
                <w:iCs w:val="1"/>
                <w:color w:val="auto"/>
              </w:rPr>
              <w:t>219.7</w:t>
            </w:r>
          </w:p>
        </w:tc>
        <w:tc>
          <w:tcPr>
            <w:tcW w:w="580" w:type="dxa"/>
            <w:vAlign w:val="bottom"/>
          </w:tcPr>
          <w:p>
            <w:pPr>
              <w:jc w:val="right"/>
              <w:ind w:right="29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i w:val="1"/>
                <w:iCs w:val="1"/>
                <w:color w:val="auto"/>
              </w:rPr>
              <w:t>—</w:t>
            </w:r>
          </w:p>
        </w:tc>
        <w:tc>
          <w:tcPr>
            <w:tcW w:w="580" w:type="dxa"/>
            <w:vAlign w:val="bottom"/>
          </w:tcPr>
          <w:p>
            <w:pPr>
              <w:jc w:val="right"/>
              <w:ind w:right="31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i w:val="1"/>
                <w:i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r>
        <w:trPr>
          <w:trHeight w:val="297"/>
        </w:trPr>
        <w:tc>
          <w:tcPr>
            <w:tcW w:w="700" w:type="dxa"/>
            <w:vAlign w:val="bottom"/>
          </w:tcPr>
          <w:p>
            <w:pPr>
              <w:spacing w:after="0"/>
              <w:rPr>
                <w:sz w:val="20"/>
                <w:szCs w:val="20"/>
                <w:color w:val="auto"/>
              </w:rPr>
            </w:pPr>
            <w:r>
              <w:rPr>
                <w:rFonts w:ascii="Arial" w:cs="Arial" w:eastAsia="Arial" w:hAnsi="Arial"/>
                <w:sz w:val="18"/>
                <w:szCs w:val="18"/>
                <w:i w:val="1"/>
                <w:iCs w:val="1"/>
                <w:color w:val="auto"/>
              </w:rPr>
              <w:t>2013</w:t>
            </w:r>
          </w:p>
        </w:tc>
        <w:tc>
          <w:tcPr>
            <w:tcW w:w="800" w:type="dxa"/>
            <w:vAlign w:val="bottom"/>
          </w:tcPr>
          <w:p>
            <w:pPr>
              <w:jc w:val="right"/>
              <w:ind w:right="27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i w:val="1"/>
                <w:iCs w:val="1"/>
                <w:color w:val="auto"/>
              </w:rPr>
              <w:t>253.1</w:t>
            </w:r>
          </w:p>
        </w:tc>
        <w:tc>
          <w:tcPr>
            <w:tcW w:w="580" w:type="dxa"/>
            <w:vAlign w:val="bottom"/>
          </w:tcPr>
          <w:p>
            <w:pPr>
              <w:jc w:val="right"/>
              <w:ind w:right="29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(2.5)</w:t>
            </w:r>
          </w:p>
        </w:tc>
        <w:tc>
          <w:tcPr>
            <w:tcW w:w="580" w:type="dxa"/>
            <w:vAlign w:val="bottom"/>
          </w:tcPr>
          <w:p>
            <w:pPr>
              <w:jc w:val="right"/>
              <w:ind w:right="31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i w:val="1"/>
                <w:i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r>
        <w:trPr>
          <w:trHeight w:val="297"/>
        </w:trPr>
        <w:tc>
          <w:tcPr>
            <w:tcW w:w="700" w:type="dxa"/>
            <w:vAlign w:val="bottom"/>
          </w:tcPr>
          <w:p>
            <w:pPr>
              <w:spacing w:after="0"/>
              <w:rPr>
                <w:sz w:val="20"/>
                <w:szCs w:val="20"/>
                <w:color w:val="auto"/>
              </w:rPr>
            </w:pPr>
            <w:r>
              <w:rPr>
                <w:rFonts w:ascii="Arial" w:cs="Arial" w:eastAsia="Arial" w:hAnsi="Arial"/>
                <w:sz w:val="18"/>
                <w:szCs w:val="18"/>
                <w:i w:val="1"/>
                <w:iCs w:val="1"/>
                <w:color w:val="auto"/>
              </w:rPr>
              <w:t>2014</w:t>
            </w:r>
          </w:p>
        </w:tc>
        <w:tc>
          <w:tcPr>
            <w:tcW w:w="800" w:type="dxa"/>
            <w:vAlign w:val="bottom"/>
          </w:tcPr>
          <w:p>
            <w:pPr>
              <w:jc w:val="right"/>
              <w:ind w:right="27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i w:val="1"/>
                <w:iCs w:val="1"/>
                <w:color w:val="auto"/>
              </w:rPr>
              <w:t>266.2</w:t>
            </w:r>
          </w:p>
        </w:tc>
        <w:tc>
          <w:tcPr>
            <w:tcW w:w="580" w:type="dxa"/>
            <w:vAlign w:val="bottom"/>
          </w:tcPr>
          <w:p>
            <w:pPr>
              <w:jc w:val="right"/>
              <w:ind w:right="29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(6.0)</w:t>
            </w:r>
          </w:p>
        </w:tc>
        <w:tc>
          <w:tcPr>
            <w:tcW w:w="580" w:type="dxa"/>
            <w:vAlign w:val="bottom"/>
          </w:tcPr>
          <w:p>
            <w:pPr>
              <w:jc w:val="right"/>
              <w:ind w:right="31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70"/>
              <w:spacing w:after="0"/>
              <w:rPr>
                <w:sz w:val="20"/>
                <w:szCs w:val="20"/>
                <w:color w:val="auto"/>
              </w:rPr>
            </w:pPr>
            <w:r>
              <w:rPr>
                <w:rFonts w:ascii="Arial" w:cs="Arial" w:eastAsia="Arial" w:hAnsi="Arial"/>
                <w:sz w:val="18"/>
                <w:szCs w:val="18"/>
                <w:i w:val="1"/>
                <w:iCs w:val="1"/>
                <w:color w:val="auto"/>
              </w:rPr>
              <w:t>12.5</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r>
        <w:trPr>
          <w:trHeight w:val="297"/>
        </w:trPr>
        <w:tc>
          <w:tcPr>
            <w:tcW w:w="700" w:type="dxa"/>
            <w:vAlign w:val="bottom"/>
          </w:tcPr>
          <w:p>
            <w:pPr>
              <w:spacing w:after="0"/>
              <w:rPr>
                <w:sz w:val="20"/>
                <w:szCs w:val="20"/>
                <w:color w:val="auto"/>
              </w:rPr>
            </w:pPr>
            <w:r>
              <w:rPr>
                <w:rFonts w:ascii="Arial" w:cs="Arial" w:eastAsia="Arial" w:hAnsi="Arial"/>
                <w:sz w:val="18"/>
                <w:szCs w:val="18"/>
                <w:i w:val="1"/>
                <w:iCs w:val="1"/>
                <w:color w:val="auto"/>
              </w:rPr>
              <w:t>2015</w:t>
            </w:r>
          </w:p>
        </w:tc>
        <w:tc>
          <w:tcPr>
            <w:tcW w:w="800" w:type="dxa"/>
            <w:vAlign w:val="bottom"/>
          </w:tcPr>
          <w:p>
            <w:pPr>
              <w:jc w:val="right"/>
              <w:ind w:right="27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i w:val="1"/>
                <w:iCs w:val="1"/>
                <w:color w:val="auto"/>
              </w:rPr>
              <w:t>299.7</w:t>
            </w:r>
          </w:p>
        </w:tc>
        <w:tc>
          <w:tcPr>
            <w:tcW w:w="580" w:type="dxa"/>
            <w:vAlign w:val="bottom"/>
          </w:tcPr>
          <w:p>
            <w:pPr>
              <w:jc w:val="right"/>
              <w:ind w:right="29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i w:val="1"/>
                <w:iCs w:val="1"/>
                <w:color w:val="auto"/>
              </w:rPr>
              <w:t>12.9</w:t>
            </w:r>
          </w:p>
        </w:tc>
        <w:tc>
          <w:tcPr>
            <w:tcW w:w="580" w:type="dxa"/>
            <w:vAlign w:val="bottom"/>
          </w:tcPr>
          <w:p>
            <w:pPr>
              <w:jc w:val="right"/>
              <w:ind w:right="31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i w:val="1"/>
                <w:iCs w:val="1"/>
                <w:color w:val="auto"/>
              </w:rPr>
              <w:t>(2.0)</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r>
        <w:trPr>
          <w:trHeight w:val="297"/>
        </w:trPr>
        <w:tc>
          <w:tcPr>
            <w:tcW w:w="700" w:type="dxa"/>
            <w:vAlign w:val="bottom"/>
          </w:tcPr>
          <w:p>
            <w:pPr>
              <w:spacing w:after="0"/>
              <w:rPr>
                <w:sz w:val="20"/>
                <w:szCs w:val="20"/>
                <w:color w:val="auto"/>
              </w:rPr>
            </w:pPr>
            <w:r>
              <w:rPr>
                <w:rFonts w:ascii="Arial" w:cs="Arial" w:eastAsia="Arial" w:hAnsi="Arial"/>
                <w:sz w:val="18"/>
                <w:szCs w:val="18"/>
                <w:i w:val="1"/>
                <w:iCs w:val="1"/>
                <w:color w:val="auto"/>
              </w:rPr>
              <w:t>2016</w:t>
            </w:r>
          </w:p>
        </w:tc>
        <w:tc>
          <w:tcPr>
            <w:tcW w:w="800" w:type="dxa"/>
            <w:vAlign w:val="bottom"/>
          </w:tcPr>
          <w:p>
            <w:pPr>
              <w:jc w:val="right"/>
              <w:ind w:right="27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i w:val="1"/>
                <w:iCs w:val="1"/>
                <w:color w:val="auto"/>
              </w:rPr>
              <w:t>332.8</w:t>
            </w:r>
          </w:p>
        </w:tc>
        <w:tc>
          <w:tcPr>
            <w:tcW w:w="580" w:type="dxa"/>
            <w:vAlign w:val="bottom"/>
          </w:tcPr>
          <w:p>
            <w:pPr>
              <w:jc w:val="right"/>
              <w:ind w:right="29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i w:val="1"/>
                <w:iCs w:val="1"/>
                <w:color w:val="auto"/>
              </w:rPr>
              <w:t>28.1</w:t>
            </w:r>
          </w:p>
        </w:tc>
        <w:tc>
          <w:tcPr>
            <w:tcW w:w="580" w:type="dxa"/>
            <w:vAlign w:val="bottom"/>
          </w:tcPr>
          <w:p>
            <w:pPr>
              <w:jc w:val="right"/>
              <w:ind w:right="31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i w:val="1"/>
                <w:iCs w:val="1"/>
                <w:color w:val="auto"/>
              </w:rPr>
              <w:t>(2.1)</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r>
        <w:trPr>
          <w:trHeight w:val="297"/>
        </w:trPr>
        <w:tc>
          <w:tcPr>
            <w:tcW w:w="700" w:type="dxa"/>
            <w:vAlign w:val="bottom"/>
          </w:tcPr>
          <w:p>
            <w:pPr>
              <w:spacing w:after="0"/>
              <w:rPr>
                <w:sz w:val="20"/>
                <w:szCs w:val="20"/>
                <w:color w:val="auto"/>
              </w:rPr>
            </w:pPr>
            <w:r>
              <w:rPr>
                <w:rFonts w:ascii="Arial" w:cs="Arial" w:eastAsia="Arial" w:hAnsi="Arial"/>
                <w:sz w:val="18"/>
                <w:szCs w:val="18"/>
                <w:i w:val="1"/>
                <w:iCs w:val="1"/>
                <w:color w:val="auto"/>
              </w:rPr>
              <w:t>2017</w:t>
            </w:r>
          </w:p>
        </w:tc>
        <w:tc>
          <w:tcPr>
            <w:tcW w:w="800" w:type="dxa"/>
            <w:vAlign w:val="bottom"/>
          </w:tcPr>
          <w:p>
            <w:pPr>
              <w:jc w:val="right"/>
              <w:ind w:right="27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i w:val="1"/>
                <w:iCs w:val="1"/>
                <w:color w:val="auto"/>
              </w:rPr>
              <w:t>470.2</w:t>
            </w:r>
          </w:p>
        </w:tc>
        <w:tc>
          <w:tcPr>
            <w:tcW w:w="580" w:type="dxa"/>
            <w:vAlign w:val="bottom"/>
          </w:tcPr>
          <w:p>
            <w:pPr>
              <w:jc w:val="right"/>
              <w:ind w:right="29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i w:val="1"/>
                <w:iCs w:val="1"/>
                <w:color w:val="auto"/>
              </w:rPr>
              <w:t>34.1</w:t>
            </w:r>
          </w:p>
        </w:tc>
        <w:tc>
          <w:tcPr>
            <w:tcW w:w="580" w:type="dxa"/>
            <w:vAlign w:val="bottom"/>
          </w:tcPr>
          <w:p>
            <w:pPr>
              <w:jc w:val="right"/>
              <w:ind w:right="31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i w:val="1"/>
                <w:iCs w:val="1"/>
                <w:color w:val="auto"/>
              </w:rPr>
              <w:t>(2.1)</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r>
        <w:trPr>
          <w:trHeight w:val="297"/>
        </w:trPr>
        <w:tc>
          <w:tcPr>
            <w:tcW w:w="700" w:type="dxa"/>
            <w:vAlign w:val="bottom"/>
          </w:tcPr>
          <w:p>
            <w:pPr>
              <w:spacing w:after="0"/>
              <w:rPr>
                <w:sz w:val="20"/>
                <w:szCs w:val="20"/>
                <w:color w:val="auto"/>
              </w:rPr>
            </w:pPr>
            <w:r>
              <w:rPr>
                <w:rFonts w:ascii="Arial" w:cs="Arial" w:eastAsia="Arial" w:hAnsi="Arial"/>
                <w:sz w:val="18"/>
                <w:szCs w:val="18"/>
                <w:i w:val="1"/>
                <w:iCs w:val="1"/>
                <w:color w:val="auto"/>
              </w:rPr>
              <w:t>2018</w:t>
            </w:r>
          </w:p>
        </w:tc>
        <w:tc>
          <w:tcPr>
            <w:tcW w:w="800" w:type="dxa"/>
            <w:vAlign w:val="bottom"/>
          </w:tcPr>
          <w:p>
            <w:pPr>
              <w:jc w:val="right"/>
              <w:ind w:right="27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i w:val="1"/>
                <w:iCs w:val="1"/>
                <w:color w:val="auto"/>
              </w:rPr>
              <w:t>574.0</w:t>
            </w:r>
          </w:p>
        </w:tc>
        <w:tc>
          <w:tcPr>
            <w:tcW w:w="580" w:type="dxa"/>
            <w:vAlign w:val="bottom"/>
          </w:tcPr>
          <w:p>
            <w:pPr>
              <w:jc w:val="right"/>
              <w:ind w:right="29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(24.4)</w:t>
            </w:r>
          </w:p>
        </w:tc>
        <w:tc>
          <w:tcPr>
            <w:tcW w:w="580" w:type="dxa"/>
            <w:vAlign w:val="bottom"/>
          </w:tcPr>
          <w:p>
            <w:pPr>
              <w:jc w:val="right"/>
              <w:ind w:right="31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i w:val="1"/>
                <w:iCs w:val="1"/>
                <w:color w:val="auto"/>
              </w:rPr>
              <w:t>(2.5)</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r>
        <w:trPr>
          <w:trHeight w:val="297"/>
        </w:trPr>
        <w:tc>
          <w:tcPr>
            <w:tcW w:w="700" w:type="dxa"/>
            <w:vAlign w:val="bottom"/>
          </w:tcPr>
          <w:p>
            <w:pPr>
              <w:spacing w:after="0"/>
              <w:rPr>
                <w:sz w:val="20"/>
                <w:szCs w:val="20"/>
                <w:color w:val="auto"/>
              </w:rPr>
            </w:pPr>
            <w:r>
              <w:rPr>
                <w:rFonts w:ascii="Arial" w:cs="Arial" w:eastAsia="Arial" w:hAnsi="Arial"/>
                <w:sz w:val="18"/>
                <w:szCs w:val="18"/>
                <w:i w:val="1"/>
                <w:iCs w:val="1"/>
                <w:color w:val="auto"/>
              </w:rPr>
              <w:t>2019</w:t>
            </w:r>
          </w:p>
        </w:tc>
        <w:tc>
          <w:tcPr>
            <w:tcW w:w="800" w:type="dxa"/>
            <w:vAlign w:val="bottom"/>
          </w:tcPr>
          <w:p>
            <w:pPr>
              <w:jc w:val="right"/>
              <w:ind w:right="27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i w:val="1"/>
                <w:iCs w:val="1"/>
                <w:color w:val="auto"/>
              </w:rPr>
              <w:t>656.1</w:t>
            </w:r>
          </w:p>
        </w:tc>
        <w:tc>
          <w:tcPr>
            <w:tcW w:w="580" w:type="dxa"/>
            <w:vAlign w:val="bottom"/>
          </w:tcPr>
          <w:p>
            <w:pPr>
              <w:jc w:val="right"/>
              <w:ind w:right="29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i w:val="1"/>
                <w:iCs w:val="1"/>
                <w:color w:val="auto"/>
              </w:rPr>
              <w:t>0.2</w:t>
            </w:r>
          </w:p>
        </w:tc>
        <w:tc>
          <w:tcPr>
            <w:tcW w:w="580" w:type="dxa"/>
            <w:vAlign w:val="bottom"/>
          </w:tcPr>
          <w:p>
            <w:pPr>
              <w:jc w:val="right"/>
              <w:ind w:right="31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i w:val="1"/>
                <w:iCs w:val="1"/>
                <w:color w:val="auto"/>
              </w:rPr>
              <w:t>(0.8)</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-3171190</wp:posOffset>
            </wp:positionV>
            <wp:extent cx="7132320" cy="188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-2794000</wp:posOffset>
            </wp:positionV>
            <wp:extent cx="7132320" cy="188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-2416810</wp:posOffset>
            </wp:positionV>
            <wp:extent cx="7132320" cy="188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-2039620</wp:posOffset>
            </wp:positionV>
            <wp:extent cx="7132320" cy="188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-1662430</wp:posOffset>
            </wp:positionV>
            <wp:extent cx="7132320"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-1285240</wp:posOffset>
            </wp:positionV>
            <wp:extent cx="713232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-908050</wp:posOffset>
            </wp:positionV>
            <wp:extent cx="713232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13232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40"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Compound annual growth rate 2001</w:t>
      </w:r>
      <w:r>
        <w:rPr>
          <w:rFonts w:ascii="Arial" w:cs="Arial" w:eastAsia="Arial" w:hAnsi="Arial"/>
          <w:sz w:val="21"/>
          <w:szCs w:val="21"/>
          <w:color w:val="auto"/>
        </w:rPr>
        <w:t>–</w:t>
      </w:r>
      <w:r>
        <w:rPr>
          <w:rFonts w:ascii="Arial" w:cs="Arial" w:eastAsia="Arial" w:hAnsi="Arial"/>
          <w:sz w:val="18"/>
          <w:szCs w:val="18"/>
          <w:i w:val="1"/>
          <w:iCs w:val="1"/>
          <w:color w:val="auto"/>
        </w:rPr>
        <w:t>2019</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jc w:val="right"/>
              <w:ind w:right="70"/>
              <w:spacing w:after="0"/>
              <w:rPr>
                <w:sz w:val="20"/>
                <w:szCs w:val="20"/>
                <w:color w:val="auto"/>
              </w:rPr>
            </w:pPr>
            <w:r>
              <w:rPr>
                <w:rFonts w:ascii="Arial" w:cs="Arial" w:eastAsia="Arial" w:hAnsi="Arial"/>
                <w:sz w:val="18"/>
                <w:szCs w:val="18"/>
                <w:i w:val="1"/>
                <w:iCs w:val="1"/>
                <w:color w:val="auto"/>
              </w:rPr>
              <w:t>2.0</w:t>
            </w:r>
          </w:p>
        </w:tc>
        <w:tc>
          <w:tcPr>
            <w:tcW w:w="600" w:type="dxa"/>
            <w:vAlign w:val="bottom"/>
          </w:tcPr>
          <w:p>
            <w:pPr>
              <w:jc w:val="right"/>
              <w:ind w:right="330"/>
              <w:spacing w:after="0"/>
              <w:rPr>
                <w:sz w:val="20"/>
                <w:szCs w:val="20"/>
                <w:color w:val="auto"/>
              </w:rPr>
            </w:pPr>
            <w:r>
              <w:rPr>
                <w:rFonts w:ascii="Arial" w:cs="Arial" w:eastAsia="Arial" w:hAnsi="Arial"/>
                <w:sz w:val="18"/>
                <w:szCs w:val="18"/>
                <w:i w:val="1"/>
                <w:iCs w:val="1"/>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i w:val="1"/>
                <w:iCs w:val="1"/>
                <w:color w:val="auto"/>
              </w:rPr>
              <w:t>(1.1)</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r>
        <w:trPr>
          <w:trHeight w:val="297"/>
        </w:trPr>
        <w:tc>
          <w:tcPr>
            <w:tcW w:w="620" w:type="dxa"/>
            <w:vAlign w:val="bottom"/>
          </w:tcPr>
          <w:p>
            <w:pPr>
              <w:jc w:val="right"/>
              <w:ind w:right="70"/>
              <w:spacing w:after="0"/>
              <w:rPr>
                <w:sz w:val="20"/>
                <w:szCs w:val="20"/>
                <w:color w:val="auto"/>
              </w:rPr>
            </w:pPr>
            <w:r>
              <w:rPr>
                <w:rFonts w:ascii="Arial" w:cs="Arial" w:eastAsia="Arial" w:hAnsi="Arial"/>
                <w:sz w:val="18"/>
                <w:szCs w:val="18"/>
                <w:i w:val="1"/>
                <w:iCs w:val="1"/>
                <w:color w:val="auto"/>
              </w:rPr>
              <w:t>2.9</w:t>
            </w:r>
          </w:p>
        </w:tc>
        <w:tc>
          <w:tcPr>
            <w:tcW w:w="600" w:type="dxa"/>
            <w:vAlign w:val="bottom"/>
          </w:tcPr>
          <w:p>
            <w:pPr>
              <w:jc w:val="right"/>
              <w:ind w:right="330"/>
              <w:spacing w:after="0"/>
              <w:rPr>
                <w:sz w:val="20"/>
                <w:szCs w:val="20"/>
                <w:color w:val="auto"/>
              </w:rPr>
            </w:pPr>
            <w:r>
              <w:rPr>
                <w:rFonts w:ascii="Arial" w:cs="Arial" w:eastAsia="Arial" w:hAnsi="Arial"/>
                <w:sz w:val="18"/>
                <w:szCs w:val="18"/>
                <w:i w:val="1"/>
                <w:iCs w:val="1"/>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i w:val="1"/>
                <w:iCs w:val="1"/>
                <w:color w:val="auto"/>
              </w:rPr>
              <w:t>(4.5)</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r>
        <w:trPr>
          <w:trHeight w:val="297"/>
        </w:trPr>
        <w:tc>
          <w:tcPr>
            <w:tcW w:w="620" w:type="dxa"/>
            <w:vAlign w:val="bottom"/>
          </w:tcPr>
          <w:p>
            <w:pPr>
              <w:jc w:val="right"/>
              <w:ind w:right="70"/>
              <w:spacing w:after="0"/>
              <w:rPr>
                <w:sz w:val="20"/>
                <w:szCs w:val="20"/>
                <w:color w:val="auto"/>
              </w:rPr>
            </w:pPr>
            <w:r>
              <w:rPr>
                <w:rFonts w:ascii="Arial" w:cs="Arial" w:eastAsia="Arial" w:hAnsi="Arial"/>
                <w:sz w:val="18"/>
                <w:szCs w:val="18"/>
                <w:i w:val="1"/>
                <w:iCs w:val="1"/>
                <w:color w:val="auto"/>
              </w:rPr>
              <w:t>5.7</w:t>
            </w:r>
          </w:p>
        </w:tc>
        <w:tc>
          <w:tcPr>
            <w:tcW w:w="600" w:type="dxa"/>
            <w:vAlign w:val="bottom"/>
          </w:tcPr>
          <w:p>
            <w:pPr>
              <w:jc w:val="right"/>
              <w:ind w:right="330"/>
              <w:spacing w:after="0"/>
              <w:rPr>
                <w:sz w:val="20"/>
                <w:szCs w:val="20"/>
                <w:color w:val="auto"/>
              </w:rPr>
            </w:pPr>
            <w:r>
              <w:rPr>
                <w:rFonts w:ascii="Arial" w:cs="Arial" w:eastAsia="Arial" w:hAnsi="Arial"/>
                <w:sz w:val="18"/>
                <w:szCs w:val="18"/>
                <w:i w:val="1"/>
                <w:iCs w:val="1"/>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i w:val="1"/>
                <w:iCs w:val="1"/>
                <w:color w:val="auto"/>
              </w:rPr>
              <w:t>5.6</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r>
        <w:trPr>
          <w:trHeight w:val="297"/>
        </w:trPr>
        <w:tc>
          <w:tcPr>
            <w:tcW w:w="620" w:type="dxa"/>
            <w:vAlign w:val="bottom"/>
          </w:tcPr>
          <w:p>
            <w:pPr>
              <w:jc w:val="right"/>
              <w:ind w:right="10"/>
              <w:spacing w:after="0"/>
              <w:rPr>
                <w:sz w:val="20"/>
                <w:szCs w:val="20"/>
                <w:color w:val="auto"/>
              </w:rPr>
            </w:pPr>
            <w:r>
              <w:rPr>
                <w:rFonts w:ascii="Arial" w:cs="Arial" w:eastAsia="Arial" w:hAnsi="Arial"/>
                <w:sz w:val="18"/>
                <w:szCs w:val="18"/>
                <w:i w:val="1"/>
                <w:iCs w:val="1"/>
                <w:color w:val="auto"/>
              </w:rPr>
              <w:t>(1.8)</w:t>
            </w:r>
          </w:p>
        </w:tc>
        <w:tc>
          <w:tcPr>
            <w:tcW w:w="600" w:type="dxa"/>
            <w:vAlign w:val="bottom"/>
          </w:tcPr>
          <w:p>
            <w:pPr>
              <w:jc w:val="right"/>
              <w:ind w:right="330"/>
              <w:spacing w:after="0"/>
              <w:rPr>
                <w:sz w:val="20"/>
                <w:szCs w:val="20"/>
                <w:color w:val="auto"/>
              </w:rPr>
            </w:pPr>
            <w:r>
              <w:rPr>
                <w:rFonts w:ascii="Arial" w:cs="Arial" w:eastAsia="Arial" w:hAnsi="Arial"/>
                <w:sz w:val="18"/>
                <w:szCs w:val="18"/>
                <w:i w:val="1"/>
                <w:iCs w:val="1"/>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i w:val="1"/>
                <w:iCs w:val="1"/>
                <w:color w:val="auto"/>
              </w:rPr>
              <w:t>(3.2)</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r>
        <w:trPr>
          <w:trHeight w:val="297"/>
        </w:trPr>
        <w:tc>
          <w:tcPr>
            <w:tcW w:w="620" w:type="dxa"/>
            <w:vAlign w:val="bottom"/>
          </w:tcPr>
          <w:p>
            <w:pPr>
              <w:jc w:val="right"/>
              <w:ind w:right="70"/>
              <w:spacing w:after="0"/>
              <w:rPr>
                <w:sz w:val="20"/>
                <w:szCs w:val="20"/>
                <w:color w:val="auto"/>
              </w:rPr>
            </w:pPr>
            <w:r>
              <w:rPr>
                <w:rFonts w:ascii="Arial" w:cs="Arial" w:eastAsia="Arial" w:hAnsi="Arial"/>
                <w:sz w:val="18"/>
                <w:szCs w:val="18"/>
                <w:i w:val="1"/>
                <w:iCs w:val="1"/>
                <w:color w:val="auto"/>
              </w:rPr>
              <w:t>0.1</w:t>
            </w:r>
          </w:p>
        </w:tc>
        <w:tc>
          <w:tcPr>
            <w:tcW w:w="600" w:type="dxa"/>
            <w:vAlign w:val="bottom"/>
          </w:tcPr>
          <w:p>
            <w:pPr>
              <w:jc w:val="right"/>
              <w:ind w:right="330"/>
              <w:spacing w:after="0"/>
              <w:rPr>
                <w:sz w:val="20"/>
                <w:szCs w:val="20"/>
                <w:color w:val="auto"/>
              </w:rPr>
            </w:pPr>
            <w:r>
              <w:rPr>
                <w:rFonts w:ascii="Arial" w:cs="Arial" w:eastAsia="Arial" w:hAnsi="Arial"/>
                <w:sz w:val="18"/>
                <w:szCs w:val="18"/>
                <w:i w:val="1"/>
                <w:iCs w:val="1"/>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i w:val="1"/>
                <w:iCs w:val="1"/>
                <w:color w:val="auto"/>
              </w:rPr>
              <w:t>(7.3)</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r>
        <w:trPr>
          <w:trHeight w:val="297"/>
        </w:trPr>
        <w:tc>
          <w:tcPr>
            <w:tcW w:w="620" w:type="dxa"/>
            <w:vAlign w:val="bottom"/>
          </w:tcPr>
          <w:p>
            <w:pPr>
              <w:jc w:val="right"/>
              <w:ind w:right="10"/>
              <w:spacing w:after="0"/>
              <w:rPr>
                <w:sz w:val="20"/>
                <w:szCs w:val="20"/>
                <w:color w:val="auto"/>
              </w:rPr>
            </w:pPr>
            <w:r>
              <w:rPr>
                <w:rFonts w:ascii="Arial" w:cs="Arial" w:eastAsia="Arial" w:hAnsi="Arial"/>
                <w:sz w:val="18"/>
                <w:szCs w:val="18"/>
                <w:i w:val="1"/>
                <w:iCs w:val="1"/>
                <w:color w:val="auto"/>
              </w:rPr>
              <w:t>(1.7)</w:t>
            </w:r>
          </w:p>
        </w:tc>
        <w:tc>
          <w:tcPr>
            <w:tcW w:w="600" w:type="dxa"/>
            <w:vAlign w:val="bottom"/>
          </w:tcPr>
          <w:p>
            <w:pPr>
              <w:jc w:val="right"/>
              <w:ind w:right="330"/>
              <w:spacing w:after="0"/>
              <w:rPr>
                <w:sz w:val="20"/>
                <w:szCs w:val="20"/>
                <w:color w:val="auto"/>
              </w:rPr>
            </w:pPr>
            <w:r>
              <w:rPr>
                <w:rFonts w:ascii="Arial" w:cs="Arial" w:eastAsia="Arial" w:hAnsi="Arial"/>
                <w:sz w:val="18"/>
                <w:szCs w:val="18"/>
                <w:i w:val="1"/>
                <w:iCs w:val="1"/>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i w:val="1"/>
                <w:iCs w:val="1"/>
                <w:color w:val="auto"/>
              </w:rPr>
              <w:t>4.4</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r>
        <w:trPr>
          <w:trHeight w:val="297"/>
        </w:trPr>
        <w:tc>
          <w:tcPr>
            <w:tcW w:w="620" w:type="dxa"/>
            <w:vAlign w:val="bottom"/>
          </w:tcPr>
          <w:p>
            <w:pPr>
              <w:jc w:val="right"/>
              <w:ind w:right="10"/>
              <w:spacing w:after="0"/>
              <w:rPr>
                <w:sz w:val="20"/>
                <w:szCs w:val="20"/>
                <w:color w:val="auto"/>
              </w:rPr>
            </w:pPr>
            <w:r>
              <w:rPr>
                <w:rFonts w:ascii="Arial" w:cs="Arial" w:eastAsia="Arial" w:hAnsi="Arial"/>
                <w:sz w:val="18"/>
                <w:szCs w:val="18"/>
                <w:i w:val="1"/>
                <w:iCs w:val="1"/>
                <w:color w:val="auto"/>
              </w:rPr>
              <w:t>(1.2)</w:t>
            </w:r>
          </w:p>
        </w:tc>
        <w:tc>
          <w:tcPr>
            <w:tcW w:w="600" w:type="dxa"/>
            <w:vAlign w:val="bottom"/>
          </w:tcPr>
          <w:p>
            <w:pPr>
              <w:jc w:val="right"/>
              <w:ind w:right="330"/>
              <w:spacing w:after="0"/>
              <w:rPr>
                <w:sz w:val="20"/>
                <w:szCs w:val="20"/>
                <w:color w:val="auto"/>
              </w:rPr>
            </w:pPr>
            <w:r>
              <w:rPr>
                <w:rFonts w:ascii="Arial" w:cs="Arial" w:eastAsia="Arial" w:hAnsi="Arial"/>
                <w:sz w:val="18"/>
                <w:szCs w:val="18"/>
                <w:i w:val="1"/>
                <w:iCs w:val="1"/>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i w:val="1"/>
                <w:iCs w:val="1"/>
                <w:color w:val="auto"/>
              </w:rPr>
              <w:t>4.4</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r>
        <w:trPr>
          <w:trHeight w:val="297"/>
        </w:trPr>
        <w:tc>
          <w:tcPr>
            <w:tcW w:w="620" w:type="dxa"/>
            <w:vAlign w:val="bottom"/>
          </w:tcPr>
          <w:p>
            <w:pPr>
              <w:jc w:val="right"/>
              <w:ind w:right="70"/>
              <w:spacing w:after="0"/>
              <w:rPr>
                <w:sz w:val="20"/>
                <w:szCs w:val="20"/>
                <w:color w:val="auto"/>
              </w:rPr>
            </w:pPr>
            <w:r>
              <w:rPr>
                <w:rFonts w:ascii="Arial" w:cs="Arial" w:eastAsia="Arial" w:hAnsi="Arial"/>
                <w:sz w:val="18"/>
                <w:szCs w:val="18"/>
                <w:i w:val="1"/>
                <w:iCs w:val="1"/>
                <w:color w:val="auto"/>
              </w:rPr>
              <w:t>0.4</w:t>
            </w:r>
          </w:p>
        </w:tc>
        <w:tc>
          <w:tcPr>
            <w:tcW w:w="600" w:type="dxa"/>
            <w:vAlign w:val="bottom"/>
          </w:tcPr>
          <w:p>
            <w:pPr>
              <w:jc w:val="right"/>
              <w:ind w:right="330"/>
              <w:spacing w:after="0"/>
              <w:rPr>
                <w:sz w:val="20"/>
                <w:szCs w:val="20"/>
                <w:color w:val="auto"/>
              </w:rPr>
            </w:pPr>
            <w:r>
              <w:rPr>
                <w:rFonts w:ascii="Arial" w:cs="Arial" w:eastAsia="Arial" w:hAnsi="Arial"/>
                <w:sz w:val="18"/>
                <w:szCs w:val="18"/>
                <w:i w:val="1"/>
                <w:iCs w:val="1"/>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i w:val="1"/>
                <w:iCs w:val="1"/>
                <w:color w:val="auto"/>
              </w:rPr>
              <w:t>2.1</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r>
        <w:trPr>
          <w:trHeight w:val="297"/>
        </w:trPr>
        <w:tc>
          <w:tcPr>
            <w:tcW w:w="620" w:type="dxa"/>
            <w:vAlign w:val="bottom"/>
          </w:tcPr>
          <w:p>
            <w:pPr>
              <w:jc w:val="right"/>
              <w:ind w:right="10"/>
              <w:spacing w:after="0"/>
              <w:rPr>
                <w:sz w:val="20"/>
                <w:szCs w:val="20"/>
                <w:color w:val="auto"/>
              </w:rPr>
            </w:pPr>
            <w:r>
              <w:rPr>
                <w:rFonts w:ascii="Arial" w:cs="Arial" w:eastAsia="Arial" w:hAnsi="Arial"/>
                <w:sz w:val="18"/>
                <w:szCs w:val="18"/>
                <w:i w:val="1"/>
                <w:iCs w:val="1"/>
                <w:color w:val="auto"/>
              </w:rPr>
              <w:t>(1.8)</w:t>
            </w:r>
          </w:p>
        </w:tc>
        <w:tc>
          <w:tcPr>
            <w:tcW w:w="600" w:type="dxa"/>
            <w:vAlign w:val="bottom"/>
          </w:tcPr>
          <w:p>
            <w:pPr>
              <w:jc w:val="right"/>
              <w:ind w:right="330"/>
              <w:spacing w:after="0"/>
              <w:rPr>
                <w:sz w:val="20"/>
                <w:szCs w:val="20"/>
                <w:color w:val="auto"/>
              </w:rPr>
            </w:pPr>
            <w:r>
              <w:rPr>
                <w:rFonts w:ascii="Arial" w:cs="Arial" w:eastAsia="Arial" w:hAnsi="Arial"/>
                <w:sz w:val="18"/>
                <w:szCs w:val="18"/>
                <w:i w:val="1"/>
                <w:iCs w:val="1"/>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i w:val="1"/>
                <w:iCs w:val="1"/>
                <w:color w:val="auto"/>
              </w:rPr>
              <w:t>0.1</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r>
        <w:trPr>
          <w:trHeight w:val="297"/>
        </w:trPr>
        <w:tc>
          <w:tcPr>
            <w:tcW w:w="620" w:type="dxa"/>
            <w:vAlign w:val="bottom"/>
          </w:tcPr>
          <w:p>
            <w:pPr>
              <w:jc w:val="right"/>
              <w:ind w:right="10"/>
              <w:spacing w:after="0"/>
              <w:rPr>
                <w:sz w:val="20"/>
                <w:szCs w:val="20"/>
                <w:color w:val="auto"/>
              </w:rPr>
            </w:pPr>
            <w:r>
              <w:rPr>
                <w:rFonts w:ascii="Arial" w:cs="Arial" w:eastAsia="Arial" w:hAnsi="Arial"/>
                <w:sz w:val="18"/>
                <w:szCs w:val="18"/>
                <w:i w:val="1"/>
                <w:iCs w:val="1"/>
                <w:color w:val="auto"/>
              </w:rPr>
              <w:t>(10.4)</w:t>
            </w:r>
          </w:p>
        </w:tc>
        <w:tc>
          <w:tcPr>
            <w:tcW w:w="600" w:type="dxa"/>
            <w:vAlign w:val="bottom"/>
          </w:tcPr>
          <w:p>
            <w:pPr>
              <w:jc w:val="right"/>
              <w:ind w:right="330"/>
              <w:spacing w:after="0"/>
              <w:rPr>
                <w:sz w:val="20"/>
                <w:szCs w:val="20"/>
                <w:color w:val="auto"/>
              </w:rPr>
            </w:pPr>
            <w:r>
              <w:rPr>
                <w:rFonts w:ascii="Arial" w:cs="Arial" w:eastAsia="Arial" w:hAnsi="Arial"/>
                <w:sz w:val="18"/>
                <w:szCs w:val="18"/>
                <w:i w:val="1"/>
                <w:iCs w:val="1"/>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i w:val="1"/>
                <w:iCs w:val="1"/>
                <w:color w:val="auto"/>
              </w:rPr>
              <w:t>0.3</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r>
        <w:trPr>
          <w:trHeight w:val="297"/>
        </w:trPr>
        <w:tc>
          <w:tcPr>
            <w:tcW w:w="620" w:type="dxa"/>
            <w:vAlign w:val="bottom"/>
          </w:tcPr>
          <w:p>
            <w:pPr>
              <w:jc w:val="right"/>
              <w:ind w:right="10"/>
              <w:spacing w:after="0"/>
              <w:rPr>
                <w:sz w:val="20"/>
                <w:szCs w:val="20"/>
                <w:color w:val="auto"/>
              </w:rPr>
            </w:pPr>
            <w:r>
              <w:rPr>
                <w:rFonts w:ascii="Arial" w:cs="Arial" w:eastAsia="Arial" w:hAnsi="Arial"/>
                <w:sz w:val="18"/>
                <w:szCs w:val="18"/>
                <w:i w:val="1"/>
                <w:iCs w:val="1"/>
                <w:color w:val="auto"/>
              </w:rPr>
              <w:t>(1.3)</w:t>
            </w:r>
          </w:p>
        </w:tc>
        <w:tc>
          <w:tcPr>
            <w:tcW w:w="600" w:type="dxa"/>
            <w:vAlign w:val="bottom"/>
          </w:tcPr>
          <w:p>
            <w:pPr>
              <w:jc w:val="right"/>
              <w:ind w:right="330"/>
              <w:spacing w:after="0"/>
              <w:rPr>
                <w:sz w:val="20"/>
                <w:szCs w:val="20"/>
                <w:color w:val="auto"/>
              </w:rPr>
            </w:pPr>
            <w:r>
              <w:rPr>
                <w:rFonts w:ascii="Arial" w:cs="Arial" w:eastAsia="Arial" w:hAnsi="Arial"/>
                <w:sz w:val="18"/>
                <w:szCs w:val="18"/>
                <w:i w:val="1"/>
                <w:iCs w:val="1"/>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i w:val="1"/>
                <w:iCs w:val="1"/>
                <w:color w:val="auto"/>
              </w:rPr>
              <w:t>0.3</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r>
        <w:trPr>
          <w:trHeight w:val="297"/>
        </w:trPr>
        <w:tc>
          <w:tcPr>
            <w:tcW w:w="620" w:type="dxa"/>
            <w:vAlign w:val="bottom"/>
          </w:tcPr>
          <w:p>
            <w:pPr>
              <w:jc w:val="right"/>
              <w:ind w:right="10"/>
              <w:spacing w:after="0"/>
              <w:rPr>
                <w:sz w:val="20"/>
                <w:szCs w:val="20"/>
                <w:color w:val="auto"/>
              </w:rPr>
            </w:pPr>
            <w:r>
              <w:rPr>
                <w:rFonts w:ascii="Arial" w:cs="Arial" w:eastAsia="Arial" w:hAnsi="Arial"/>
                <w:sz w:val="18"/>
                <w:szCs w:val="18"/>
                <w:i w:val="1"/>
                <w:iCs w:val="1"/>
                <w:color w:val="auto"/>
              </w:rPr>
              <w:t>(3.5)</w:t>
            </w:r>
          </w:p>
        </w:tc>
        <w:tc>
          <w:tcPr>
            <w:tcW w:w="600" w:type="dxa"/>
            <w:vAlign w:val="bottom"/>
          </w:tcPr>
          <w:p>
            <w:pPr>
              <w:jc w:val="right"/>
              <w:ind w:right="330"/>
              <w:spacing w:after="0"/>
              <w:rPr>
                <w:sz w:val="20"/>
                <w:szCs w:val="20"/>
                <w:color w:val="auto"/>
              </w:rPr>
            </w:pPr>
            <w:r>
              <w:rPr>
                <w:rFonts w:ascii="Arial" w:cs="Arial" w:eastAsia="Arial" w:hAnsi="Arial"/>
                <w:sz w:val="18"/>
                <w:szCs w:val="18"/>
                <w:i w:val="1"/>
                <w:iCs w:val="1"/>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i w:val="1"/>
                <w:i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r>
        <w:trPr>
          <w:trHeight w:val="297"/>
        </w:trPr>
        <w:tc>
          <w:tcPr>
            <w:tcW w:w="620" w:type="dxa"/>
            <w:vAlign w:val="bottom"/>
          </w:tcPr>
          <w:p>
            <w:pPr>
              <w:jc w:val="right"/>
              <w:ind w:right="10"/>
              <w:spacing w:after="0"/>
              <w:rPr>
                <w:sz w:val="20"/>
                <w:szCs w:val="20"/>
                <w:color w:val="auto"/>
              </w:rPr>
            </w:pPr>
            <w:r>
              <w:rPr>
                <w:rFonts w:ascii="Arial" w:cs="Arial" w:eastAsia="Arial" w:hAnsi="Arial"/>
                <w:sz w:val="18"/>
                <w:szCs w:val="18"/>
                <w:i w:val="1"/>
                <w:iCs w:val="1"/>
                <w:color w:val="auto"/>
              </w:rPr>
              <w:t>(2.3)</w:t>
            </w:r>
          </w:p>
        </w:tc>
        <w:tc>
          <w:tcPr>
            <w:tcW w:w="600" w:type="dxa"/>
            <w:vAlign w:val="bottom"/>
          </w:tcPr>
          <w:p>
            <w:pPr>
              <w:jc w:val="right"/>
              <w:ind w:right="330"/>
              <w:spacing w:after="0"/>
              <w:rPr>
                <w:sz w:val="20"/>
                <w:szCs w:val="20"/>
                <w:color w:val="auto"/>
              </w:rPr>
            </w:pPr>
            <w:r>
              <w:rPr>
                <w:rFonts w:ascii="Arial" w:cs="Arial" w:eastAsia="Arial" w:hAnsi="Arial"/>
                <w:sz w:val="18"/>
                <w:szCs w:val="18"/>
                <w:i w:val="1"/>
                <w:iCs w:val="1"/>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i w:val="1"/>
                <w:i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r>
        <w:trPr>
          <w:trHeight w:val="297"/>
        </w:trPr>
        <w:tc>
          <w:tcPr>
            <w:tcW w:w="620" w:type="dxa"/>
            <w:vAlign w:val="bottom"/>
          </w:tcPr>
          <w:p>
            <w:pPr>
              <w:jc w:val="right"/>
              <w:ind w:right="10"/>
              <w:spacing w:after="0"/>
              <w:rPr>
                <w:sz w:val="20"/>
                <w:szCs w:val="20"/>
                <w:color w:val="auto"/>
              </w:rPr>
            </w:pPr>
            <w:r>
              <w:rPr>
                <w:rFonts w:ascii="Arial" w:cs="Arial" w:eastAsia="Arial" w:hAnsi="Arial"/>
                <w:sz w:val="18"/>
                <w:szCs w:val="18"/>
                <w:i w:val="1"/>
                <w:iCs w:val="1"/>
                <w:color w:val="auto"/>
              </w:rPr>
              <w:t>(1.0)</w:t>
            </w:r>
          </w:p>
        </w:tc>
        <w:tc>
          <w:tcPr>
            <w:tcW w:w="600" w:type="dxa"/>
            <w:vAlign w:val="bottom"/>
          </w:tcPr>
          <w:p>
            <w:pPr>
              <w:jc w:val="right"/>
              <w:ind w:right="330"/>
              <w:spacing w:after="0"/>
              <w:rPr>
                <w:sz w:val="20"/>
                <w:szCs w:val="20"/>
                <w:color w:val="auto"/>
              </w:rPr>
            </w:pPr>
            <w:r>
              <w:rPr>
                <w:rFonts w:ascii="Arial" w:cs="Arial" w:eastAsia="Arial" w:hAnsi="Arial"/>
                <w:sz w:val="18"/>
                <w:szCs w:val="18"/>
                <w:i w:val="1"/>
                <w:iCs w:val="1"/>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i w:val="1"/>
                <w:i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r>
        <w:trPr>
          <w:trHeight w:val="297"/>
        </w:trPr>
        <w:tc>
          <w:tcPr>
            <w:tcW w:w="620" w:type="dxa"/>
            <w:vAlign w:val="bottom"/>
          </w:tcPr>
          <w:p>
            <w:pPr>
              <w:jc w:val="right"/>
              <w:ind w:right="10"/>
              <w:spacing w:after="0"/>
              <w:rPr>
                <w:sz w:val="20"/>
                <w:szCs w:val="20"/>
                <w:color w:val="auto"/>
              </w:rPr>
            </w:pPr>
            <w:r>
              <w:rPr>
                <w:rFonts w:ascii="Arial" w:cs="Arial" w:eastAsia="Arial" w:hAnsi="Arial"/>
                <w:sz w:val="18"/>
                <w:szCs w:val="18"/>
                <w:i w:val="1"/>
                <w:iCs w:val="1"/>
                <w:color w:val="auto"/>
              </w:rPr>
              <w:t>(0.8)</w:t>
            </w:r>
          </w:p>
        </w:tc>
        <w:tc>
          <w:tcPr>
            <w:tcW w:w="600" w:type="dxa"/>
            <w:vAlign w:val="bottom"/>
          </w:tcPr>
          <w:p>
            <w:pPr>
              <w:jc w:val="right"/>
              <w:ind w:right="330"/>
              <w:spacing w:after="0"/>
              <w:rPr>
                <w:sz w:val="20"/>
                <w:szCs w:val="20"/>
                <w:color w:val="auto"/>
              </w:rPr>
            </w:pPr>
            <w:r>
              <w:rPr>
                <w:rFonts w:ascii="Arial" w:cs="Arial" w:eastAsia="Arial" w:hAnsi="Arial"/>
                <w:sz w:val="18"/>
                <w:szCs w:val="18"/>
                <w:i w:val="1"/>
                <w:iCs w:val="1"/>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i w:val="1"/>
                <w:i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r>
        <w:trPr>
          <w:trHeight w:val="297"/>
        </w:trPr>
        <w:tc>
          <w:tcPr>
            <w:tcW w:w="620" w:type="dxa"/>
            <w:vAlign w:val="bottom"/>
          </w:tcPr>
          <w:p>
            <w:pPr>
              <w:jc w:val="right"/>
              <w:ind w:right="70"/>
              <w:spacing w:after="0"/>
              <w:rPr>
                <w:sz w:val="20"/>
                <w:szCs w:val="20"/>
                <w:color w:val="auto"/>
              </w:rPr>
            </w:pPr>
            <w:r>
              <w:rPr>
                <w:rFonts w:ascii="Arial" w:cs="Arial" w:eastAsia="Arial" w:hAnsi="Arial"/>
                <w:sz w:val="18"/>
                <w:szCs w:val="18"/>
                <w:i w:val="1"/>
                <w:iCs w:val="1"/>
                <w:color w:val="auto"/>
              </w:rPr>
              <w:t>1.8</w:t>
            </w:r>
          </w:p>
        </w:tc>
        <w:tc>
          <w:tcPr>
            <w:tcW w:w="600" w:type="dxa"/>
            <w:vAlign w:val="bottom"/>
          </w:tcPr>
          <w:p>
            <w:pPr>
              <w:jc w:val="right"/>
              <w:ind w:right="330"/>
              <w:spacing w:after="0"/>
              <w:rPr>
                <w:sz w:val="20"/>
                <w:szCs w:val="20"/>
                <w:color w:val="auto"/>
              </w:rPr>
            </w:pPr>
            <w:r>
              <w:rPr>
                <w:rFonts w:ascii="Arial" w:cs="Arial" w:eastAsia="Arial" w:hAnsi="Arial"/>
                <w:sz w:val="18"/>
                <w:szCs w:val="18"/>
                <w:i w:val="1"/>
                <w:iCs w:val="1"/>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i w:val="1"/>
                <w:i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r>
        <w:trPr>
          <w:trHeight w:val="297"/>
        </w:trPr>
        <w:tc>
          <w:tcPr>
            <w:tcW w:w="620" w:type="dxa"/>
            <w:vAlign w:val="bottom"/>
          </w:tcPr>
          <w:p>
            <w:pPr>
              <w:jc w:val="right"/>
              <w:ind w:right="10"/>
              <w:spacing w:after="0"/>
              <w:rPr>
                <w:sz w:val="20"/>
                <w:szCs w:val="20"/>
                <w:color w:val="auto"/>
              </w:rPr>
            </w:pPr>
            <w:r>
              <w:rPr>
                <w:rFonts w:ascii="Arial" w:cs="Arial" w:eastAsia="Arial" w:hAnsi="Arial"/>
                <w:sz w:val="18"/>
                <w:szCs w:val="18"/>
                <w:i w:val="1"/>
                <w:iCs w:val="1"/>
                <w:color w:val="auto"/>
                <w:w w:val="87"/>
              </w:rPr>
              <w:t>(102.4)</w:t>
            </w:r>
          </w:p>
        </w:tc>
        <w:tc>
          <w:tcPr>
            <w:tcW w:w="600" w:type="dxa"/>
            <w:vAlign w:val="bottom"/>
          </w:tcPr>
          <w:p>
            <w:pPr>
              <w:jc w:val="right"/>
              <w:ind w:right="330"/>
              <w:spacing w:after="0"/>
              <w:rPr>
                <w:sz w:val="20"/>
                <w:szCs w:val="20"/>
                <w:color w:val="auto"/>
              </w:rPr>
            </w:pPr>
            <w:r>
              <w:rPr>
                <w:rFonts w:ascii="Arial" w:cs="Arial" w:eastAsia="Arial" w:hAnsi="Arial"/>
                <w:sz w:val="18"/>
                <w:szCs w:val="18"/>
                <w:i w:val="1"/>
                <w:iCs w:val="1"/>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i w:val="1"/>
                <w:i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r>
        <w:trPr>
          <w:trHeight w:val="297"/>
        </w:trPr>
        <w:tc>
          <w:tcPr>
            <w:tcW w:w="620" w:type="dxa"/>
            <w:vAlign w:val="bottom"/>
          </w:tcPr>
          <w:p>
            <w:pPr>
              <w:jc w:val="right"/>
              <w:ind w:right="70"/>
              <w:spacing w:after="0"/>
              <w:rPr>
                <w:sz w:val="20"/>
                <w:szCs w:val="20"/>
                <w:color w:val="auto"/>
              </w:rPr>
            </w:pPr>
            <w:r>
              <w:rPr>
                <w:rFonts w:ascii="Arial" w:cs="Arial" w:eastAsia="Arial" w:hAnsi="Arial"/>
                <w:sz w:val="18"/>
                <w:szCs w:val="18"/>
                <w:i w:val="1"/>
                <w:iCs w:val="1"/>
                <w:color w:val="auto"/>
              </w:rPr>
              <w:t>7.4</w:t>
            </w:r>
          </w:p>
        </w:tc>
        <w:tc>
          <w:tcPr>
            <w:tcW w:w="600" w:type="dxa"/>
            <w:vAlign w:val="bottom"/>
          </w:tcPr>
          <w:p>
            <w:pPr>
              <w:jc w:val="right"/>
              <w:ind w:right="330"/>
              <w:spacing w:after="0"/>
              <w:rPr>
                <w:sz w:val="20"/>
                <w:szCs w:val="20"/>
                <w:color w:val="auto"/>
              </w:rPr>
            </w:pPr>
            <w:r>
              <w:rPr>
                <w:rFonts w:ascii="Arial" w:cs="Arial" w:eastAsia="Arial" w:hAnsi="Arial"/>
                <w:sz w:val="18"/>
                <w:szCs w:val="18"/>
                <w:i w:val="1"/>
                <w:iCs w:val="1"/>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i w:val="1"/>
                <w:i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r>
        <w:trPr>
          <w:trHeight w:val="297"/>
        </w:trPr>
        <w:tc>
          <w:tcPr>
            <w:tcW w:w="620" w:type="dxa"/>
            <w:vAlign w:val="bottom"/>
          </w:tcPr>
          <w:p>
            <w:pPr>
              <w:jc w:val="right"/>
              <w:ind w:right="70"/>
              <w:spacing w:after="0"/>
              <w:rPr>
                <w:sz w:val="20"/>
                <w:szCs w:val="20"/>
                <w:color w:val="auto"/>
              </w:rPr>
            </w:pPr>
            <w:r>
              <w:rPr>
                <w:rFonts w:ascii="Arial" w:cs="Arial" w:eastAsia="Arial" w:hAnsi="Arial"/>
                <w:sz w:val="18"/>
                <w:szCs w:val="18"/>
                <w:i w:val="1"/>
                <w:iCs w:val="1"/>
                <w:color w:val="auto"/>
              </w:rPr>
              <w:t>2.9</w:t>
            </w:r>
          </w:p>
        </w:tc>
        <w:tc>
          <w:tcPr>
            <w:tcW w:w="600" w:type="dxa"/>
            <w:vAlign w:val="bottom"/>
          </w:tcPr>
          <w:p>
            <w:pPr>
              <w:jc w:val="right"/>
              <w:ind w:right="330"/>
              <w:spacing w:after="0"/>
              <w:rPr>
                <w:sz w:val="20"/>
                <w:szCs w:val="20"/>
                <w:color w:val="auto"/>
              </w:rPr>
            </w:pPr>
            <w:r>
              <w:rPr>
                <w:rFonts w:ascii="Arial" w:cs="Arial" w:eastAsia="Arial" w:hAnsi="Arial"/>
                <w:sz w:val="18"/>
                <w:szCs w:val="18"/>
                <w:i w:val="1"/>
                <w:iCs w:val="1"/>
                <w:color w:val="auto"/>
              </w:rPr>
              <w:t>$</w:t>
            </w:r>
          </w:p>
        </w:tc>
        <w:tc>
          <w:tcPr>
            <w:tcW w:w="860" w:type="dxa"/>
            <w:vAlign w:val="bottom"/>
          </w:tcPr>
          <w:p>
            <w:pPr>
              <w:jc w:val="right"/>
              <w:ind w:right="70"/>
              <w:spacing w:after="0"/>
              <w:rPr>
                <w:sz w:val="20"/>
                <w:szCs w:val="20"/>
                <w:color w:val="auto"/>
              </w:rPr>
            </w:pPr>
            <w:r>
              <w:rPr>
                <w:rFonts w:ascii="Arial" w:cs="Arial" w:eastAsia="Arial" w:hAnsi="Arial"/>
                <w:sz w:val="18"/>
                <w:szCs w:val="18"/>
                <w:i w:val="1"/>
                <w:i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bl>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26.8</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jc w:val="right"/>
              <w:ind w:right="470"/>
              <w:spacing w:after="0"/>
              <w:rPr>
                <w:sz w:val="20"/>
                <w:szCs w:val="20"/>
                <w:color w:val="auto"/>
              </w:rPr>
            </w:pPr>
            <w:r>
              <w:rPr>
                <w:rFonts w:ascii="Arial" w:cs="Arial" w:eastAsia="Arial" w:hAnsi="Arial"/>
                <w:sz w:val="18"/>
                <w:szCs w:val="18"/>
                <w:i w:val="1"/>
                <w:iCs w:val="1"/>
                <w:color w:val="auto"/>
              </w:rPr>
              <w:t>31.0</w:t>
            </w: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15.7 %</w:t>
            </w:r>
          </w:p>
        </w:tc>
      </w:tr>
      <w:tr>
        <w:trPr>
          <w:trHeight w:val="297"/>
        </w:trPr>
        <w:tc>
          <w:tcPr>
            <w:tcW w:w="960" w:type="dxa"/>
            <w:vAlign w:val="bottom"/>
          </w:tcPr>
          <w:p>
            <w:pPr>
              <w:jc w:val="right"/>
              <w:ind w:right="470"/>
              <w:spacing w:after="0"/>
              <w:rPr>
                <w:sz w:val="20"/>
                <w:szCs w:val="20"/>
                <w:color w:val="auto"/>
              </w:rPr>
            </w:pPr>
            <w:r>
              <w:rPr>
                <w:rFonts w:ascii="Arial" w:cs="Arial" w:eastAsia="Arial" w:hAnsi="Arial"/>
                <w:sz w:val="18"/>
                <w:szCs w:val="18"/>
                <w:i w:val="1"/>
                <w:iCs w:val="1"/>
                <w:color w:val="auto"/>
              </w:rPr>
              <w:t>37.4</w:t>
            </w: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20.6 %</w:t>
            </w:r>
          </w:p>
        </w:tc>
      </w:tr>
      <w:tr>
        <w:trPr>
          <w:trHeight w:val="297"/>
        </w:trPr>
        <w:tc>
          <w:tcPr>
            <w:tcW w:w="960" w:type="dxa"/>
            <w:vAlign w:val="bottom"/>
          </w:tcPr>
          <w:p>
            <w:pPr>
              <w:jc w:val="right"/>
              <w:ind w:right="470"/>
              <w:spacing w:after="0"/>
              <w:rPr>
                <w:sz w:val="20"/>
                <w:szCs w:val="20"/>
                <w:color w:val="auto"/>
              </w:rPr>
            </w:pPr>
            <w:r>
              <w:rPr>
                <w:rFonts w:ascii="Arial" w:cs="Arial" w:eastAsia="Arial" w:hAnsi="Arial"/>
                <w:sz w:val="18"/>
                <w:szCs w:val="18"/>
                <w:i w:val="1"/>
                <w:iCs w:val="1"/>
                <w:color w:val="auto"/>
              </w:rPr>
              <w:t>52.2</w:t>
            </w: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39.6 %</w:t>
            </w:r>
          </w:p>
        </w:tc>
      </w:tr>
      <w:tr>
        <w:trPr>
          <w:trHeight w:val="297"/>
        </w:trPr>
        <w:tc>
          <w:tcPr>
            <w:tcW w:w="960" w:type="dxa"/>
            <w:vAlign w:val="bottom"/>
          </w:tcPr>
          <w:p>
            <w:pPr>
              <w:jc w:val="right"/>
              <w:ind w:right="470"/>
              <w:spacing w:after="0"/>
              <w:rPr>
                <w:sz w:val="20"/>
                <w:szCs w:val="20"/>
                <w:color w:val="auto"/>
              </w:rPr>
            </w:pPr>
            <w:r>
              <w:rPr>
                <w:rFonts w:ascii="Arial" w:cs="Arial" w:eastAsia="Arial" w:hAnsi="Arial"/>
                <w:sz w:val="18"/>
                <w:szCs w:val="18"/>
                <w:i w:val="1"/>
                <w:iCs w:val="1"/>
                <w:color w:val="auto"/>
              </w:rPr>
              <w:t>63.2</w:t>
            </w: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21.1 %</w:t>
            </w:r>
          </w:p>
        </w:tc>
      </w:tr>
      <w:tr>
        <w:trPr>
          <w:trHeight w:val="297"/>
        </w:trPr>
        <w:tc>
          <w:tcPr>
            <w:tcW w:w="960" w:type="dxa"/>
            <w:vAlign w:val="bottom"/>
          </w:tcPr>
          <w:p>
            <w:pPr>
              <w:jc w:val="right"/>
              <w:ind w:right="470"/>
              <w:spacing w:after="0"/>
              <w:rPr>
                <w:sz w:val="20"/>
                <w:szCs w:val="20"/>
                <w:color w:val="auto"/>
              </w:rPr>
            </w:pPr>
            <w:r>
              <w:rPr>
                <w:rFonts w:ascii="Arial" w:cs="Arial" w:eastAsia="Arial" w:hAnsi="Arial"/>
                <w:sz w:val="18"/>
                <w:szCs w:val="18"/>
                <w:i w:val="1"/>
                <w:iCs w:val="1"/>
                <w:color w:val="auto"/>
              </w:rPr>
              <w:t>61.7</w:t>
            </w: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-2.4 %</w:t>
            </w:r>
          </w:p>
        </w:tc>
      </w:tr>
      <w:tr>
        <w:trPr>
          <w:trHeight w:val="297"/>
        </w:trPr>
        <w:tc>
          <w:tcPr>
            <w:tcW w:w="960" w:type="dxa"/>
            <w:vAlign w:val="bottom"/>
          </w:tcPr>
          <w:p>
            <w:pPr>
              <w:jc w:val="right"/>
              <w:ind w:right="470"/>
              <w:spacing w:after="0"/>
              <w:rPr>
                <w:sz w:val="20"/>
                <w:szCs w:val="20"/>
                <w:color w:val="auto"/>
              </w:rPr>
            </w:pPr>
            <w:r>
              <w:rPr>
                <w:rFonts w:ascii="Arial" w:cs="Arial" w:eastAsia="Arial" w:hAnsi="Arial"/>
                <w:sz w:val="18"/>
                <w:szCs w:val="18"/>
                <w:i w:val="1"/>
                <w:iCs w:val="1"/>
                <w:color w:val="auto"/>
              </w:rPr>
              <w:t>61.7</w:t>
            </w: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0.0 %</w:t>
            </w:r>
          </w:p>
        </w:tc>
      </w:tr>
      <w:tr>
        <w:trPr>
          <w:trHeight w:val="297"/>
        </w:trPr>
        <w:tc>
          <w:tcPr>
            <w:tcW w:w="960" w:type="dxa"/>
            <w:vAlign w:val="bottom"/>
          </w:tcPr>
          <w:p>
            <w:pPr>
              <w:jc w:val="right"/>
              <w:ind w:right="470"/>
              <w:spacing w:after="0"/>
              <w:rPr>
                <w:sz w:val="20"/>
                <w:szCs w:val="20"/>
                <w:color w:val="auto"/>
              </w:rPr>
            </w:pPr>
            <w:r>
              <w:rPr>
                <w:rFonts w:ascii="Arial" w:cs="Arial" w:eastAsia="Arial" w:hAnsi="Arial"/>
                <w:sz w:val="18"/>
                <w:szCs w:val="18"/>
                <w:i w:val="1"/>
                <w:iCs w:val="1"/>
                <w:color w:val="auto"/>
              </w:rPr>
              <w:t>82.8</w:t>
            </w: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34.2 %</w:t>
            </w:r>
          </w:p>
        </w:tc>
      </w:tr>
      <w:tr>
        <w:trPr>
          <w:trHeight w:val="297"/>
        </w:trPr>
        <w:tc>
          <w:tcPr>
            <w:tcW w:w="960" w:type="dxa"/>
            <w:vAlign w:val="bottom"/>
          </w:tcPr>
          <w:p>
            <w:pPr>
              <w:jc w:val="right"/>
              <w:ind w:right="470"/>
              <w:spacing w:after="0"/>
              <w:rPr>
                <w:sz w:val="20"/>
                <w:szCs w:val="20"/>
                <w:color w:val="auto"/>
              </w:rPr>
            </w:pPr>
            <w:r>
              <w:rPr>
                <w:rFonts w:ascii="Arial" w:cs="Arial" w:eastAsia="Arial" w:hAnsi="Arial"/>
                <w:sz w:val="18"/>
                <w:szCs w:val="18"/>
                <w:i w:val="1"/>
                <w:iCs w:val="1"/>
                <w:color w:val="auto"/>
                <w:w w:val="84"/>
              </w:rPr>
              <w:t>125.0</w:t>
            </w: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51.0 %</w:t>
            </w:r>
          </w:p>
        </w:tc>
      </w:tr>
      <w:tr>
        <w:trPr>
          <w:trHeight w:val="297"/>
        </w:trPr>
        <w:tc>
          <w:tcPr>
            <w:tcW w:w="960" w:type="dxa"/>
            <w:vAlign w:val="bottom"/>
          </w:tcPr>
          <w:p>
            <w:pPr>
              <w:jc w:val="right"/>
              <w:ind w:right="470"/>
              <w:spacing w:after="0"/>
              <w:rPr>
                <w:sz w:val="20"/>
                <w:szCs w:val="20"/>
                <w:color w:val="auto"/>
              </w:rPr>
            </w:pPr>
            <w:r>
              <w:rPr>
                <w:rFonts w:ascii="Arial" w:cs="Arial" w:eastAsia="Arial" w:hAnsi="Arial"/>
                <w:sz w:val="18"/>
                <w:szCs w:val="18"/>
                <w:i w:val="1"/>
                <w:iCs w:val="1"/>
                <w:color w:val="auto"/>
                <w:w w:val="84"/>
              </w:rPr>
              <w:t>160.5</w:t>
            </w: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28.4 %</w:t>
            </w:r>
          </w:p>
        </w:tc>
      </w:tr>
      <w:tr>
        <w:trPr>
          <w:trHeight w:val="297"/>
        </w:trPr>
        <w:tc>
          <w:tcPr>
            <w:tcW w:w="960" w:type="dxa"/>
            <w:vAlign w:val="bottom"/>
          </w:tcPr>
          <w:p>
            <w:pPr>
              <w:jc w:val="right"/>
              <w:ind w:right="470"/>
              <w:spacing w:after="0"/>
              <w:rPr>
                <w:sz w:val="20"/>
                <w:szCs w:val="20"/>
                <w:color w:val="auto"/>
              </w:rPr>
            </w:pPr>
            <w:r>
              <w:rPr>
                <w:rFonts w:ascii="Arial" w:cs="Arial" w:eastAsia="Arial" w:hAnsi="Arial"/>
                <w:sz w:val="18"/>
                <w:szCs w:val="18"/>
                <w:i w:val="1"/>
                <w:iCs w:val="1"/>
                <w:color w:val="auto"/>
                <w:w w:val="84"/>
              </w:rPr>
              <w:t>194.1</w:t>
            </w: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20.9 %</w:t>
            </w:r>
          </w:p>
        </w:tc>
      </w:tr>
      <w:tr>
        <w:trPr>
          <w:trHeight w:val="297"/>
        </w:trPr>
        <w:tc>
          <w:tcPr>
            <w:tcW w:w="960" w:type="dxa"/>
            <w:vAlign w:val="bottom"/>
          </w:tcPr>
          <w:p>
            <w:pPr>
              <w:jc w:val="right"/>
              <w:ind w:right="470"/>
              <w:spacing w:after="0"/>
              <w:rPr>
                <w:sz w:val="20"/>
                <w:szCs w:val="20"/>
                <w:color w:val="auto"/>
              </w:rPr>
            </w:pPr>
            <w:r>
              <w:rPr>
                <w:rFonts w:ascii="Arial" w:cs="Arial" w:eastAsia="Arial" w:hAnsi="Arial"/>
                <w:sz w:val="18"/>
                <w:szCs w:val="18"/>
                <w:i w:val="1"/>
                <w:iCs w:val="1"/>
                <w:color w:val="auto"/>
                <w:w w:val="84"/>
              </w:rPr>
              <w:t>216.2</w:t>
            </w: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11.4 %</w:t>
            </w:r>
          </w:p>
        </w:tc>
      </w:tr>
      <w:tr>
        <w:trPr>
          <w:trHeight w:val="297"/>
        </w:trPr>
        <w:tc>
          <w:tcPr>
            <w:tcW w:w="960" w:type="dxa"/>
            <w:vAlign w:val="bottom"/>
          </w:tcPr>
          <w:p>
            <w:pPr>
              <w:jc w:val="right"/>
              <w:ind w:right="470"/>
              <w:spacing w:after="0"/>
              <w:rPr>
                <w:sz w:val="20"/>
                <w:szCs w:val="20"/>
                <w:color w:val="auto"/>
              </w:rPr>
            </w:pPr>
            <w:r>
              <w:rPr>
                <w:rFonts w:ascii="Arial" w:cs="Arial" w:eastAsia="Arial" w:hAnsi="Arial"/>
                <w:sz w:val="18"/>
                <w:szCs w:val="18"/>
                <w:i w:val="1"/>
                <w:iCs w:val="1"/>
                <w:color w:val="auto"/>
                <w:w w:val="84"/>
              </w:rPr>
              <w:t>248.3</w:t>
            </w: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14.8 %</w:t>
            </w:r>
          </w:p>
        </w:tc>
      </w:tr>
      <w:tr>
        <w:trPr>
          <w:trHeight w:val="297"/>
        </w:trPr>
        <w:tc>
          <w:tcPr>
            <w:tcW w:w="960" w:type="dxa"/>
            <w:vAlign w:val="bottom"/>
          </w:tcPr>
          <w:p>
            <w:pPr>
              <w:jc w:val="right"/>
              <w:ind w:right="470"/>
              <w:spacing w:after="0"/>
              <w:rPr>
                <w:sz w:val="20"/>
                <w:szCs w:val="20"/>
                <w:color w:val="auto"/>
              </w:rPr>
            </w:pPr>
            <w:r>
              <w:rPr>
                <w:rFonts w:ascii="Arial" w:cs="Arial" w:eastAsia="Arial" w:hAnsi="Arial"/>
                <w:sz w:val="18"/>
                <w:szCs w:val="18"/>
                <w:i w:val="1"/>
                <w:iCs w:val="1"/>
                <w:color w:val="auto"/>
                <w:w w:val="84"/>
              </w:rPr>
              <w:t>271.7</w:t>
            </w: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9.4 %</w:t>
            </w:r>
          </w:p>
        </w:tc>
      </w:tr>
      <w:tr>
        <w:trPr>
          <w:trHeight w:val="297"/>
        </w:trPr>
        <w:tc>
          <w:tcPr>
            <w:tcW w:w="960" w:type="dxa"/>
            <w:vAlign w:val="bottom"/>
          </w:tcPr>
          <w:p>
            <w:pPr>
              <w:jc w:val="right"/>
              <w:ind w:right="470"/>
              <w:spacing w:after="0"/>
              <w:rPr>
                <w:sz w:val="20"/>
                <w:szCs w:val="20"/>
                <w:color w:val="auto"/>
              </w:rPr>
            </w:pPr>
            <w:r>
              <w:rPr>
                <w:rFonts w:ascii="Arial" w:cs="Arial" w:eastAsia="Arial" w:hAnsi="Arial"/>
                <w:sz w:val="18"/>
                <w:szCs w:val="18"/>
                <w:i w:val="1"/>
                <w:iCs w:val="1"/>
                <w:color w:val="auto"/>
                <w:w w:val="84"/>
              </w:rPr>
              <w:t>309.8</w:t>
            </w: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14.0 %</w:t>
            </w:r>
          </w:p>
        </w:tc>
      </w:tr>
      <w:tr>
        <w:trPr>
          <w:trHeight w:val="297"/>
        </w:trPr>
        <w:tc>
          <w:tcPr>
            <w:tcW w:w="960" w:type="dxa"/>
            <w:vAlign w:val="bottom"/>
          </w:tcPr>
          <w:p>
            <w:pPr>
              <w:jc w:val="right"/>
              <w:ind w:right="470"/>
              <w:spacing w:after="0"/>
              <w:rPr>
                <w:sz w:val="20"/>
                <w:szCs w:val="20"/>
                <w:color w:val="auto"/>
              </w:rPr>
            </w:pPr>
            <w:r>
              <w:rPr>
                <w:rFonts w:ascii="Arial" w:cs="Arial" w:eastAsia="Arial" w:hAnsi="Arial"/>
                <w:sz w:val="18"/>
                <w:szCs w:val="18"/>
                <w:i w:val="1"/>
                <w:iCs w:val="1"/>
                <w:color w:val="auto"/>
                <w:w w:val="84"/>
              </w:rPr>
              <w:t>360.6</w:t>
            </w: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16.4 %</w:t>
            </w:r>
          </w:p>
        </w:tc>
      </w:tr>
      <w:tr>
        <w:trPr>
          <w:trHeight w:val="297"/>
        </w:trPr>
        <w:tc>
          <w:tcPr>
            <w:tcW w:w="960" w:type="dxa"/>
            <w:vAlign w:val="bottom"/>
          </w:tcPr>
          <w:p>
            <w:pPr>
              <w:jc w:val="right"/>
              <w:ind w:right="470"/>
              <w:spacing w:after="0"/>
              <w:rPr>
                <w:sz w:val="20"/>
                <w:szCs w:val="20"/>
                <w:color w:val="auto"/>
              </w:rPr>
            </w:pPr>
            <w:r>
              <w:rPr>
                <w:rFonts w:ascii="Arial" w:cs="Arial" w:eastAsia="Arial" w:hAnsi="Arial"/>
                <w:sz w:val="18"/>
                <w:szCs w:val="18"/>
                <w:i w:val="1"/>
                <w:iCs w:val="1"/>
                <w:color w:val="auto"/>
                <w:w w:val="84"/>
              </w:rPr>
              <w:t>399.8</w:t>
            </w: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10.9 %</w:t>
            </w:r>
          </w:p>
        </w:tc>
      </w:tr>
      <w:tr>
        <w:trPr>
          <w:trHeight w:val="297"/>
        </w:trPr>
        <w:tc>
          <w:tcPr>
            <w:tcW w:w="960" w:type="dxa"/>
            <w:vAlign w:val="bottom"/>
          </w:tcPr>
          <w:p>
            <w:pPr>
              <w:jc w:val="right"/>
              <w:ind w:right="470"/>
              <w:spacing w:after="0"/>
              <w:rPr>
                <w:sz w:val="20"/>
                <w:szCs w:val="20"/>
                <w:color w:val="auto"/>
              </w:rPr>
            </w:pPr>
            <w:r>
              <w:rPr>
                <w:rFonts w:ascii="Arial" w:cs="Arial" w:eastAsia="Arial" w:hAnsi="Arial"/>
                <w:sz w:val="18"/>
                <w:szCs w:val="18"/>
                <w:i w:val="1"/>
                <w:iCs w:val="1"/>
                <w:color w:val="auto"/>
                <w:w w:val="84"/>
              </w:rPr>
              <w:t>554.5</w:t>
            </w: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38.7 %</w:t>
            </w:r>
          </w:p>
        </w:tc>
      </w:tr>
      <w:tr>
        <w:trPr>
          <w:trHeight w:val="297"/>
        </w:trPr>
        <w:tc>
          <w:tcPr>
            <w:tcW w:w="960" w:type="dxa"/>
            <w:vAlign w:val="bottom"/>
          </w:tcPr>
          <w:p>
            <w:pPr>
              <w:jc w:val="right"/>
              <w:ind w:right="470"/>
              <w:spacing w:after="0"/>
              <w:rPr>
                <w:sz w:val="20"/>
                <w:szCs w:val="20"/>
                <w:color w:val="auto"/>
              </w:rPr>
            </w:pPr>
            <w:r>
              <w:rPr>
                <w:rFonts w:ascii="Arial" w:cs="Arial" w:eastAsia="Arial" w:hAnsi="Arial"/>
                <w:sz w:val="18"/>
                <w:szCs w:val="18"/>
                <w:i w:val="1"/>
                <w:iCs w:val="1"/>
                <w:color w:val="auto"/>
                <w:w w:val="84"/>
              </w:rPr>
              <w:t>658.4</w:t>
            </w: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18.7 %</w:t>
            </w:r>
          </w:p>
        </w:tc>
      </w:tr>
      <w:tr>
        <w:trPr>
          <w:trHeight w:val="324"/>
        </w:trPr>
        <w:tc>
          <w:tcPr>
            <w:tcW w:w="9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19.5 %</w:t>
            </w:r>
          </w:p>
        </w:tc>
      </w:tr>
    </w:tbl>
    <w:p>
      <w:pPr>
        <w:sectPr>
          <w:pgSz w:w="11900" w:h="16838" w:orient="portrait"/>
          <w:cols w:equalWidth="0" w:num="3">
            <w:col w:w="5720" w:space="480"/>
            <w:col w:w="2260" w:space="720"/>
            <w:col w:w="2020"/>
          </w:cols>
          <w:pgMar w:left="320" w:top="348" w:right="379" w:bottom="1440" w:gutter="0" w:footer="0" w:header="0"/>
          <w:type w:val="continuous"/>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144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GAAP net income</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Floating yield</w:t>
            </w: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Senior notes</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 tax</w:t>
            </w:r>
          </w:p>
        </w:tc>
        <w:tc>
          <w:tcPr>
            <w:tcW w:w="14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Other adjustments</w:t>
            </w:r>
          </w:p>
        </w:tc>
        <w:tc>
          <w:tcPr>
            <w:tcW w:w="14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Adjusted net income</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adjustment per</w:t>
            </w:r>
          </w:p>
        </w:tc>
        <w:tc>
          <w:tcPr>
            <w:tcW w:w="16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adjustment per</w:t>
            </w:r>
          </w:p>
        </w:tc>
        <w:tc>
          <w:tcPr>
            <w:tcW w:w="16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adjustment per</w:t>
            </w:r>
          </w:p>
        </w:tc>
        <w:tc>
          <w:tcPr>
            <w:tcW w:w="1460" w:type="dxa"/>
            <w:vAlign w:val="bottom"/>
            <w:gridSpan w:val="3"/>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42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96"/>
              </w:rPr>
              <w:t>Year-to-year change</w:t>
            </w:r>
          </w:p>
        </w:tc>
        <w:tc>
          <w:tcPr>
            <w:tcW w:w="0" w:type="dxa"/>
            <w:vAlign w:val="bottom"/>
          </w:tcPr>
          <w:p>
            <w:pPr>
              <w:spacing w:after="0"/>
              <w:rPr>
                <w:sz w:val="1"/>
                <w:szCs w:val="1"/>
                <w:color w:val="auto"/>
              </w:rPr>
            </w:pPr>
          </w:p>
        </w:tc>
      </w:tr>
      <w:tr>
        <w:trPr>
          <w:trHeight w:val="186"/>
        </w:trPr>
        <w:tc>
          <w:tcPr>
            <w:tcW w:w="1100" w:type="dxa"/>
            <w:vAlign w:val="bottom"/>
          </w:tcPr>
          <w:p>
            <w:pPr>
              <w:spacing w:after="0"/>
              <w:rPr>
                <w:sz w:val="16"/>
                <w:szCs w:val="16"/>
                <w:color w:val="auto"/>
              </w:rPr>
            </w:pPr>
          </w:p>
        </w:tc>
        <w:tc>
          <w:tcPr>
            <w:tcW w:w="1440" w:type="dxa"/>
            <w:vAlign w:val="bottom"/>
            <w:gridSpan w:val="3"/>
          </w:tcPr>
          <w:p>
            <w:pPr>
              <w:ind w:left="100"/>
              <w:spacing w:after="0"/>
              <w:rPr>
                <w:sz w:val="20"/>
                <w:szCs w:val="20"/>
                <w:color w:val="auto"/>
              </w:rPr>
            </w:pPr>
            <w:r>
              <w:rPr>
                <w:rFonts w:ascii="Arial" w:cs="Arial" w:eastAsia="Arial" w:hAnsi="Arial"/>
                <w:sz w:val="14"/>
                <w:szCs w:val="14"/>
                <w:b w:val="1"/>
                <w:bCs w:val="1"/>
                <w:color w:val="auto"/>
              </w:rPr>
              <w:t>per share (diluted)</w:t>
            </w: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share (diluted)</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share (diluted)</w:t>
            </w:r>
          </w:p>
        </w:tc>
        <w:tc>
          <w:tcPr>
            <w:tcW w:w="16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share (diluted)</w:t>
            </w:r>
          </w:p>
        </w:tc>
        <w:tc>
          <w:tcPr>
            <w:tcW w:w="1460" w:type="dxa"/>
            <w:vAlign w:val="bottom"/>
            <w:gridSpan w:val="3"/>
          </w:tcPr>
          <w:p>
            <w:pPr>
              <w:ind w:left="120"/>
              <w:spacing w:after="0"/>
              <w:rPr>
                <w:sz w:val="20"/>
                <w:szCs w:val="20"/>
                <w:color w:val="auto"/>
              </w:rPr>
            </w:pPr>
            <w:r>
              <w:rPr>
                <w:rFonts w:ascii="Arial" w:cs="Arial" w:eastAsia="Arial" w:hAnsi="Arial"/>
                <w:sz w:val="14"/>
                <w:szCs w:val="14"/>
                <w:b w:val="1"/>
                <w:bCs w:val="1"/>
                <w:color w:val="auto"/>
              </w:rPr>
              <w:t>per share (diluted)</w:t>
            </w:r>
          </w:p>
        </w:tc>
        <w:tc>
          <w:tcPr>
            <w:tcW w:w="1460" w:type="dxa"/>
            <w:vAlign w:val="bottom"/>
            <w:gridSpan w:val="3"/>
          </w:tcPr>
          <w:p>
            <w:pPr>
              <w:ind w:left="100"/>
              <w:spacing w:after="0"/>
              <w:rPr>
                <w:sz w:val="20"/>
                <w:szCs w:val="20"/>
                <w:color w:val="auto"/>
              </w:rPr>
            </w:pPr>
            <w:r>
              <w:rPr>
                <w:rFonts w:ascii="Arial" w:cs="Arial" w:eastAsia="Arial" w:hAnsi="Arial"/>
                <w:sz w:val="14"/>
                <w:szCs w:val="14"/>
                <w:b w:val="1"/>
                <w:bCs w:val="1"/>
                <w:color w:val="auto"/>
              </w:rPr>
              <w:t>per share (diluted)</w:t>
            </w: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1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2001</w:t>
            </w:r>
          </w:p>
        </w:tc>
        <w:tc>
          <w:tcPr>
            <w:tcW w:w="4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i w:val="1"/>
                <w:iCs w:val="1"/>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0.57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0.03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0.05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i w:val="1"/>
                <w:i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(0.03)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i w:val="1"/>
                <w:iCs w:val="1"/>
                <w:color w:val="auto"/>
              </w:rPr>
              <w:t>0.62</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100" w:type="dxa"/>
            <w:vAlign w:val="bottom"/>
          </w:tcPr>
          <w:p>
            <w:pPr>
              <w:ind w:left="80"/>
              <w:spacing w:after="0"/>
              <w:rPr>
                <w:sz w:val="20"/>
                <w:szCs w:val="20"/>
                <w:color w:val="auto"/>
              </w:rPr>
            </w:pPr>
            <w:r>
              <w:rPr>
                <w:rFonts w:ascii="Arial" w:cs="Arial" w:eastAsia="Arial" w:hAnsi="Arial"/>
                <w:sz w:val="18"/>
                <w:szCs w:val="18"/>
                <w:i w:val="1"/>
                <w:iCs w:val="1"/>
                <w:color w:val="auto"/>
              </w:rPr>
              <w:t>2002</w:t>
            </w:r>
          </w:p>
        </w:tc>
        <w:tc>
          <w:tcPr>
            <w:tcW w:w="480" w:type="dxa"/>
            <w:vAlign w:val="bottom"/>
          </w:tcPr>
          <w:p>
            <w:pPr>
              <w:jc w:val="right"/>
              <w:ind w:right="272"/>
              <w:spacing w:after="0"/>
              <w:rPr>
                <w:sz w:val="20"/>
                <w:szCs w:val="20"/>
                <w:color w:val="auto"/>
              </w:rPr>
            </w:pPr>
            <w:r>
              <w:rPr>
                <w:rFonts w:ascii="Arial" w:cs="Arial" w:eastAsia="Arial" w:hAnsi="Arial"/>
                <w:sz w:val="18"/>
                <w:szCs w:val="18"/>
                <w:i w:val="1"/>
                <w:iCs w:val="1"/>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i w:val="1"/>
                <w:iCs w:val="1"/>
                <w:color w:val="auto"/>
              </w:rPr>
              <w:t>0.69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i w:val="1"/>
                <w:iCs w:val="1"/>
                <w:color w:val="auto"/>
              </w:rPr>
              <w:t>0.06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i w:val="1"/>
                <w:iCs w:val="1"/>
                <w:color w:val="auto"/>
              </w:rPr>
              <w:t>0.07</w:t>
            </w:r>
          </w:p>
        </w:tc>
        <w:tc>
          <w:tcPr>
            <w:tcW w:w="100" w:type="dxa"/>
            <w:vAlign w:val="bottom"/>
          </w:tcPr>
          <w:p>
            <w:pPr>
              <w:spacing w:after="0"/>
              <w:rPr>
                <w:sz w:val="21"/>
                <w:szCs w:val="21"/>
                <w:color w:val="auto"/>
              </w:rPr>
            </w:pPr>
          </w:p>
        </w:tc>
        <w:tc>
          <w:tcPr>
            <w:tcW w:w="500" w:type="dxa"/>
            <w:vAlign w:val="bottom"/>
          </w:tcPr>
          <w:p>
            <w:pPr>
              <w:jc w:val="right"/>
              <w:ind w:right="292"/>
              <w:spacing w:after="0"/>
              <w:rPr>
                <w:sz w:val="20"/>
                <w:szCs w:val="20"/>
                <w:color w:val="auto"/>
              </w:rPr>
            </w:pPr>
            <w:r>
              <w:rPr>
                <w:rFonts w:ascii="Arial" w:cs="Arial" w:eastAsia="Arial" w:hAnsi="Arial"/>
                <w:sz w:val="18"/>
                <w:szCs w:val="18"/>
                <w:i w:val="1"/>
                <w:iCs w:val="1"/>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(0.11)</w:t>
            </w:r>
          </w:p>
        </w:tc>
        <w:tc>
          <w:tcPr>
            <w:tcW w:w="10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i w:val="1"/>
                <w:iCs w:val="1"/>
                <w:color w:val="auto"/>
              </w:rPr>
              <w:t>0.71</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i w:val="1"/>
                <w:iCs w:val="1"/>
                <w:color w:val="auto"/>
              </w:rPr>
              <w:t>14.5%</w:t>
            </w:r>
          </w:p>
        </w:tc>
        <w:tc>
          <w:tcPr>
            <w:tcW w:w="0" w:type="dxa"/>
            <w:vAlign w:val="bottom"/>
          </w:tcPr>
          <w:p>
            <w:pPr>
              <w:spacing w:after="0"/>
              <w:rPr>
                <w:sz w:val="1"/>
                <w:szCs w:val="1"/>
                <w:color w:val="auto"/>
              </w:rPr>
            </w:pPr>
          </w:p>
        </w:tc>
      </w:tr>
      <w:tr>
        <w:trPr>
          <w:trHeight w:val="54"/>
        </w:trPr>
        <w:tc>
          <w:tcPr>
            <w:tcW w:w="1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2003</w:t>
            </w:r>
          </w:p>
        </w:tc>
        <w:tc>
          <w:tcPr>
            <w:tcW w:w="4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i w:val="1"/>
                <w:iCs w:val="1"/>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0.57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0.03</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0.13</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i w:val="1"/>
                <w:iCs w:val="1"/>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i w:val="1"/>
                <w:iCs w:val="1"/>
                <w:color w:val="auto"/>
              </w:rPr>
              <w:t>0.13</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i w:val="1"/>
                <w:iCs w:val="1"/>
                <w:color w:val="auto"/>
              </w:rPr>
              <w:t>0.86</w:t>
            </w:r>
          </w:p>
        </w:tc>
        <w:tc>
          <w:tcPr>
            <w:tcW w:w="1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21.1%</w:t>
            </w:r>
          </w:p>
        </w:tc>
        <w:tc>
          <w:tcPr>
            <w:tcW w:w="0" w:type="dxa"/>
            <w:vAlign w:val="bottom"/>
          </w:tcPr>
          <w:p>
            <w:pPr>
              <w:spacing w:after="0"/>
              <w:rPr>
                <w:sz w:val="1"/>
                <w:szCs w:val="1"/>
                <w:color w:val="auto"/>
              </w:rPr>
            </w:pPr>
          </w:p>
        </w:tc>
      </w:tr>
      <w:tr>
        <w:trPr>
          <w:trHeight w:val="243"/>
        </w:trPr>
        <w:tc>
          <w:tcPr>
            <w:tcW w:w="1100" w:type="dxa"/>
            <w:vAlign w:val="bottom"/>
          </w:tcPr>
          <w:p>
            <w:pPr>
              <w:ind w:left="80"/>
              <w:spacing w:after="0"/>
              <w:rPr>
                <w:sz w:val="20"/>
                <w:szCs w:val="20"/>
                <w:color w:val="auto"/>
              </w:rPr>
            </w:pPr>
            <w:r>
              <w:rPr>
                <w:rFonts w:ascii="Arial" w:cs="Arial" w:eastAsia="Arial" w:hAnsi="Arial"/>
                <w:sz w:val="18"/>
                <w:szCs w:val="18"/>
                <w:i w:val="1"/>
                <w:iCs w:val="1"/>
                <w:color w:val="auto"/>
              </w:rPr>
              <w:t>2004</w:t>
            </w:r>
          </w:p>
        </w:tc>
        <w:tc>
          <w:tcPr>
            <w:tcW w:w="480" w:type="dxa"/>
            <w:vAlign w:val="bottom"/>
          </w:tcPr>
          <w:p>
            <w:pPr>
              <w:jc w:val="right"/>
              <w:ind w:right="272"/>
              <w:spacing w:after="0"/>
              <w:rPr>
                <w:sz w:val="20"/>
                <w:szCs w:val="20"/>
                <w:color w:val="auto"/>
              </w:rPr>
            </w:pPr>
            <w:r>
              <w:rPr>
                <w:rFonts w:ascii="Arial" w:cs="Arial" w:eastAsia="Arial" w:hAnsi="Arial"/>
                <w:sz w:val="18"/>
                <w:szCs w:val="18"/>
                <w:i w:val="1"/>
                <w:iCs w:val="1"/>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i w:val="1"/>
                <w:iCs w:val="1"/>
                <w:color w:val="auto"/>
              </w:rPr>
              <w:t>1.40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(0.04)</w:t>
            </w:r>
          </w:p>
        </w:tc>
        <w:tc>
          <w:tcPr>
            <w:tcW w:w="100" w:type="dxa"/>
            <w:vAlign w:val="bottom"/>
          </w:tcPr>
          <w:p>
            <w:pPr>
              <w:spacing w:after="0"/>
              <w:rPr>
                <w:sz w:val="21"/>
                <w:szCs w:val="21"/>
                <w:color w:val="auto"/>
              </w:rPr>
            </w:pPr>
          </w:p>
        </w:tc>
        <w:tc>
          <w:tcPr>
            <w:tcW w:w="500" w:type="dxa"/>
            <w:vAlign w:val="bottom"/>
          </w:tcPr>
          <w:p>
            <w:pPr>
              <w:jc w:val="right"/>
              <w:ind w:right="292"/>
              <w:spacing w:after="0"/>
              <w:rPr>
                <w:sz w:val="20"/>
                <w:szCs w:val="20"/>
                <w:color w:val="auto"/>
              </w:rPr>
            </w:pPr>
            <w:r>
              <w:rPr>
                <w:rFonts w:ascii="Arial" w:cs="Arial" w:eastAsia="Arial" w:hAnsi="Arial"/>
                <w:sz w:val="18"/>
                <w:szCs w:val="18"/>
                <w:i w:val="1"/>
                <w:iCs w:val="1"/>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(0.09)</w:t>
            </w:r>
          </w:p>
        </w:tc>
        <w:tc>
          <w:tcPr>
            <w:tcW w:w="10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i w:val="1"/>
                <w:iCs w:val="1"/>
                <w:color w:val="auto"/>
              </w:rPr>
              <w:t>1.27</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i w:val="1"/>
                <w:iCs w:val="1"/>
                <w:color w:val="auto"/>
              </w:rPr>
              <w:t>47.7%</w:t>
            </w:r>
          </w:p>
        </w:tc>
        <w:tc>
          <w:tcPr>
            <w:tcW w:w="0" w:type="dxa"/>
            <w:vAlign w:val="bottom"/>
          </w:tcPr>
          <w:p>
            <w:pPr>
              <w:spacing w:after="0"/>
              <w:rPr>
                <w:sz w:val="1"/>
                <w:szCs w:val="1"/>
                <w:color w:val="auto"/>
              </w:rPr>
            </w:pPr>
          </w:p>
        </w:tc>
      </w:tr>
      <w:tr>
        <w:trPr>
          <w:trHeight w:val="54"/>
        </w:trPr>
        <w:tc>
          <w:tcPr>
            <w:tcW w:w="1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2005</w:t>
            </w:r>
          </w:p>
        </w:tc>
        <w:tc>
          <w:tcPr>
            <w:tcW w:w="4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i w:val="1"/>
                <w:iCs w:val="1"/>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1.85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(0.06)</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w:t>
            </w:r>
          </w:p>
        </w:tc>
        <w:tc>
          <w:tcPr>
            <w:tcW w:w="50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i w:val="1"/>
                <w:i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(0.18)</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i w:val="1"/>
                <w:iCs w:val="1"/>
                <w:color w:val="auto"/>
              </w:rPr>
              <w:t>1.61</w:t>
            </w:r>
          </w:p>
        </w:tc>
        <w:tc>
          <w:tcPr>
            <w:tcW w:w="1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26.8%</w:t>
            </w:r>
          </w:p>
        </w:tc>
        <w:tc>
          <w:tcPr>
            <w:tcW w:w="0" w:type="dxa"/>
            <w:vAlign w:val="bottom"/>
          </w:tcPr>
          <w:p>
            <w:pPr>
              <w:spacing w:after="0"/>
              <w:rPr>
                <w:sz w:val="1"/>
                <w:szCs w:val="1"/>
                <w:color w:val="auto"/>
              </w:rPr>
            </w:pPr>
          </w:p>
        </w:tc>
      </w:tr>
      <w:tr>
        <w:trPr>
          <w:trHeight w:val="243"/>
        </w:trPr>
        <w:tc>
          <w:tcPr>
            <w:tcW w:w="1100" w:type="dxa"/>
            <w:vAlign w:val="bottom"/>
          </w:tcPr>
          <w:p>
            <w:pPr>
              <w:ind w:left="80"/>
              <w:spacing w:after="0"/>
              <w:rPr>
                <w:sz w:val="20"/>
                <w:szCs w:val="20"/>
                <w:color w:val="auto"/>
              </w:rPr>
            </w:pPr>
            <w:r>
              <w:rPr>
                <w:rFonts w:ascii="Arial" w:cs="Arial" w:eastAsia="Arial" w:hAnsi="Arial"/>
                <w:sz w:val="18"/>
                <w:szCs w:val="18"/>
                <w:i w:val="1"/>
                <w:iCs w:val="1"/>
                <w:color w:val="auto"/>
              </w:rPr>
              <w:t>2006</w:t>
            </w:r>
          </w:p>
        </w:tc>
        <w:tc>
          <w:tcPr>
            <w:tcW w:w="480" w:type="dxa"/>
            <w:vAlign w:val="bottom"/>
          </w:tcPr>
          <w:p>
            <w:pPr>
              <w:jc w:val="right"/>
              <w:ind w:right="272"/>
              <w:spacing w:after="0"/>
              <w:rPr>
                <w:sz w:val="20"/>
                <w:szCs w:val="20"/>
                <w:color w:val="auto"/>
              </w:rPr>
            </w:pPr>
            <w:r>
              <w:rPr>
                <w:rFonts w:ascii="Arial" w:cs="Arial" w:eastAsia="Arial" w:hAnsi="Arial"/>
                <w:sz w:val="18"/>
                <w:szCs w:val="18"/>
                <w:i w:val="1"/>
                <w:iCs w:val="1"/>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i w:val="1"/>
                <w:iCs w:val="1"/>
                <w:color w:val="auto"/>
              </w:rPr>
              <w:t>1.66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i w:val="1"/>
                <w:iCs w:val="1"/>
                <w:color w:val="auto"/>
              </w:rPr>
              <w:t>0.01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(0.05)</w:t>
            </w:r>
          </w:p>
        </w:tc>
        <w:tc>
          <w:tcPr>
            <w:tcW w:w="100" w:type="dxa"/>
            <w:vAlign w:val="bottom"/>
          </w:tcPr>
          <w:p>
            <w:pPr>
              <w:spacing w:after="0"/>
              <w:rPr>
                <w:sz w:val="21"/>
                <w:szCs w:val="21"/>
                <w:color w:val="auto"/>
              </w:rPr>
            </w:pPr>
          </w:p>
        </w:tc>
        <w:tc>
          <w:tcPr>
            <w:tcW w:w="500" w:type="dxa"/>
            <w:vAlign w:val="bottom"/>
          </w:tcPr>
          <w:p>
            <w:pPr>
              <w:jc w:val="right"/>
              <w:ind w:right="292"/>
              <w:spacing w:after="0"/>
              <w:rPr>
                <w:sz w:val="20"/>
                <w:szCs w:val="20"/>
                <w:color w:val="auto"/>
              </w:rPr>
            </w:pPr>
            <w:r>
              <w:rPr>
                <w:rFonts w:ascii="Arial" w:cs="Arial" w:eastAsia="Arial" w:hAnsi="Arial"/>
                <w:sz w:val="18"/>
                <w:szCs w:val="18"/>
                <w:i w:val="1"/>
                <w:iCs w:val="1"/>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i w:val="1"/>
                <w:iCs w:val="1"/>
                <w:color w:val="auto"/>
              </w:rPr>
              <w:t>0.13</w:t>
            </w:r>
          </w:p>
        </w:tc>
        <w:tc>
          <w:tcPr>
            <w:tcW w:w="10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i w:val="1"/>
                <w:iCs w:val="1"/>
                <w:color w:val="auto"/>
              </w:rPr>
              <w:t>1.75</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i w:val="1"/>
                <w:iCs w:val="1"/>
                <w:color w:val="auto"/>
              </w:rPr>
              <w:t>8.7%</w:t>
            </w:r>
          </w:p>
        </w:tc>
        <w:tc>
          <w:tcPr>
            <w:tcW w:w="0" w:type="dxa"/>
            <w:vAlign w:val="bottom"/>
          </w:tcPr>
          <w:p>
            <w:pPr>
              <w:spacing w:after="0"/>
              <w:rPr>
                <w:sz w:val="1"/>
                <w:szCs w:val="1"/>
                <w:color w:val="auto"/>
              </w:rPr>
            </w:pPr>
          </w:p>
        </w:tc>
      </w:tr>
      <w:tr>
        <w:trPr>
          <w:trHeight w:val="54"/>
        </w:trPr>
        <w:tc>
          <w:tcPr>
            <w:tcW w:w="1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2007</w:t>
            </w:r>
          </w:p>
        </w:tc>
        <w:tc>
          <w:tcPr>
            <w:tcW w:w="4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i w:val="1"/>
                <w:iCs w:val="1"/>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1.76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0.11</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(0.04)</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i w:val="1"/>
                <w:iCs w:val="1"/>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i w:val="1"/>
                <w:iCs w:val="1"/>
                <w:color w:val="auto"/>
              </w:rPr>
              <w:t>0.15</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i w:val="1"/>
                <w:iCs w:val="1"/>
                <w:color w:val="auto"/>
              </w:rPr>
              <w:t>1.98</w:t>
            </w:r>
          </w:p>
        </w:tc>
        <w:tc>
          <w:tcPr>
            <w:tcW w:w="1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13.1%</w:t>
            </w:r>
          </w:p>
        </w:tc>
        <w:tc>
          <w:tcPr>
            <w:tcW w:w="0" w:type="dxa"/>
            <w:vAlign w:val="bottom"/>
          </w:tcPr>
          <w:p>
            <w:pPr>
              <w:spacing w:after="0"/>
              <w:rPr>
                <w:sz w:val="1"/>
                <w:szCs w:val="1"/>
                <w:color w:val="auto"/>
              </w:rPr>
            </w:pPr>
          </w:p>
        </w:tc>
      </w:tr>
      <w:tr>
        <w:trPr>
          <w:trHeight w:val="243"/>
        </w:trPr>
        <w:tc>
          <w:tcPr>
            <w:tcW w:w="1100" w:type="dxa"/>
            <w:vAlign w:val="bottom"/>
          </w:tcPr>
          <w:p>
            <w:pPr>
              <w:ind w:left="80"/>
              <w:spacing w:after="0"/>
              <w:rPr>
                <w:sz w:val="20"/>
                <w:szCs w:val="20"/>
                <w:color w:val="auto"/>
              </w:rPr>
            </w:pPr>
            <w:r>
              <w:rPr>
                <w:rFonts w:ascii="Arial" w:cs="Arial" w:eastAsia="Arial" w:hAnsi="Arial"/>
                <w:sz w:val="18"/>
                <w:szCs w:val="18"/>
                <w:i w:val="1"/>
                <w:iCs w:val="1"/>
                <w:color w:val="auto"/>
              </w:rPr>
              <w:t>2008</w:t>
            </w:r>
          </w:p>
        </w:tc>
        <w:tc>
          <w:tcPr>
            <w:tcW w:w="480" w:type="dxa"/>
            <w:vAlign w:val="bottom"/>
          </w:tcPr>
          <w:p>
            <w:pPr>
              <w:jc w:val="right"/>
              <w:ind w:right="272"/>
              <w:spacing w:after="0"/>
              <w:rPr>
                <w:sz w:val="20"/>
                <w:szCs w:val="20"/>
                <w:color w:val="auto"/>
              </w:rPr>
            </w:pPr>
            <w:r>
              <w:rPr>
                <w:rFonts w:ascii="Arial" w:cs="Arial" w:eastAsia="Arial" w:hAnsi="Arial"/>
                <w:sz w:val="18"/>
                <w:szCs w:val="18"/>
                <w:i w:val="1"/>
                <w:iCs w:val="1"/>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i w:val="1"/>
                <w:iCs w:val="1"/>
                <w:color w:val="auto"/>
              </w:rPr>
              <w:t>2.16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i w:val="1"/>
                <w:iCs w:val="1"/>
                <w:color w:val="auto"/>
              </w:rPr>
              <w:t>0.42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i w:val="1"/>
                <w:iCs w:val="1"/>
                <w:color w:val="auto"/>
              </w:rPr>
              <w:t>0.01</w:t>
            </w:r>
          </w:p>
        </w:tc>
        <w:tc>
          <w:tcPr>
            <w:tcW w:w="100" w:type="dxa"/>
            <w:vAlign w:val="bottom"/>
          </w:tcPr>
          <w:p>
            <w:pPr>
              <w:spacing w:after="0"/>
              <w:rPr>
                <w:sz w:val="21"/>
                <w:szCs w:val="21"/>
                <w:color w:val="auto"/>
              </w:rPr>
            </w:pPr>
          </w:p>
        </w:tc>
        <w:tc>
          <w:tcPr>
            <w:tcW w:w="500" w:type="dxa"/>
            <w:vAlign w:val="bottom"/>
          </w:tcPr>
          <w:p>
            <w:pPr>
              <w:jc w:val="right"/>
              <w:ind w:right="292"/>
              <w:spacing w:after="0"/>
              <w:rPr>
                <w:sz w:val="20"/>
                <w:szCs w:val="20"/>
                <w:color w:val="auto"/>
              </w:rPr>
            </w:pPr>
            <w:r>
              <w:rPr>
                <w:rFonts w:ascii="Arial" w:cs="Arial" w:eastAsia="Arial" w:hAnsi="Arial"/>
                <w:sz w:val="18"/>
                <w:szCs w:val="18"/>
                <w:i w:val="1"/>
                <w:iCs w:val="1"/>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i w:val="1"/>
                <w:iCs w:val="1"/>
                <w:color w:val="auto"/>
              </w:rPr>
              <w:t>0.07</w:t>
            </w:r>
          </w:p>
        </w:tc>
        <w:tc>
          <w:tcPr>
            <w:tcW w:w="10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i w:val="1"/>
                <w:iCs w:val="1"/>
                <w:color w:val="auto"/>
              </w:rPr>
              <w:t>2.66</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i w:val="1"/>
                <w:iCs w:val="1"/>
                <w:color w:val="auto"/>
              </w:rPr>
              <w:t>34.3%</w:t>
            </w:r>
          </w:p>
        </w:tc>
        <w:tc>
          <w:tcPr>
            <w:tcW w:w="0" w:type="dxa"/>
            <w:vAlign w:val="bottom"/>
          </w:tcPr>
          <w:p>
            <w:pPr>
              <w:spacing w:after="0"/>
              <w:rPr>
                <w:sz w:val="1"/>
                <w:szCs w:val="1"/>
                <w:color w:val="auto"/>
              </w:rPr>
            </w:pPr>
          </w:p>
        </w:tc>
      </w:tr>
      <w:tr>
        <w:trPr>
          <w:trHeight w:val="54"/>
        </w:trPr>
        <w:tc>
          <w:tcPr>
            <w:tcW w:w="1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2009</w:t>
            </w:r>
          </w:p>
        </w:tc>
        <w:tc>
          <w:tcPr>
            <w:tcW w:w="4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i w:val="1"/>
                <w:iCs w:val="1"/>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4.62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(0.62)</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(0.06)</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i w:val="1"/>
                <w:iCs w:val="1"/>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i w:val="1"/>
                <w:iCs w:val="1"/>
                <w:color w:val="auto"/>
              </w:rPr>
              <w:t>0.01</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i w:val="1"/>
                <w:iCs w:val="1"/>
                <w:color w:val="auto"/>
              </w:rPr>
              <w:t>3.95</w:t>
            </w:r>
          </w:p>
        </w:tc>
        <w:tc>
          <w:tcPr>
            <w:tcW w:w="1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48.5%</w:t>
            </w:r>
          </w:p>
        </w:tc>
        <w:tc>
          <w:tcPr>
            <w:tcW w:w="0" w:type="dxa"/>
            <w:vAlign w:val="bottom"/>
          </w:tcPr>
          <w:p>
            <w:pPr>
              <w:spacing w:after="0"/>
              <w:rPr>
                <w:sz w:val="1"/>
                <w:szCs w:val="1"/>
                <w:color w:val="auto"/>
              </w:rPr>
            </w:pPr>
          </w:p>
        </w:tc>
      </w:tr>
      <w:tr>
        <w:trPr>
          <w:trHeight w:val="243"/>
        </w:trPr>
        <w:tc>
          <w:tcPr>
            <w:tcW w:w="1100" w:type="dxa"/>
            <w:vAlign w:val="bottom"/>
          </w:tcPr>
          <w:p>
            <w:pPr>
              <w:ind w:left="80"/>
              <w:spacing w:after="0"/>
              <w:rPr>
                <w:sz w:val="20"/>
                <w:szCs w:val="20"/>
                <w:color w:val="auto"/>
              </w:rPr>
            </w:pPr>
            <w:r>
              <w:rPr>
                <w:rFonts w:ascii="Arial" w:cs="Arial" w:eastAsia="Arial" w:hAnsi="Arial"/>
                <w:sz w:val="18"/>
                <w:szCs w:val="18"/>
                <w:i w:val="1"/>
                <w:iCs w:val="1"/>
                <w:color w:val="auto"/>
              </w:rPr>
              <w:t>2010</w:t>
            </w:r>
          </w:p>
        </w:tc>
        <w:tc>
          <w:tcPr>
            <w:tcW w:w="480" w:type="dxa"/>
            <w:vAlign w:val="bottom"/>
          </w:tcPr>
          <w:p>
            <w:pPr>
              <w:jc w:val="right"/>
              <w:ind w:right="272"/>
              <w:spacing w:after="0"/>
              <w:rPr>
                <w:sz w:val="20"/>
                <w:szCs w:val="20"/>
                <w:color w:val="auto"/>
              </w:rPr>
            </w:pPr>
            <w:r>
              <w:rPr>
                <w:rFonts w:ascii="Arial" w:cs="Arial" w:eastAsia="Arial" w:hAnsi="Arial"/>
                <w:sz w:val="18"/>
                <w:szCs w:val="18"/>
                <w:i w:val="1"/>
                <w:iCs w:val="1"/>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i w:val="1"/>
                <w:iCs w:val="1"/>
                <w:color w:val="auto"/>
              </w:rPr>
              <w:t>5.67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i w:val="1"/>
                <w:iCs w:val="1"/>
                <w:color w:val="auto"/>
              </w:rPr>
              <w:t>0.02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(0.35)</w:t>
            </w:r>
          </w:p>
        </w:tc>
        <w:tc>
          <w:tcPr>
            <w:tcW w:w="100" w:type="dxa"/>
            <w:vAlign w:val="bottom"/>
          </w:tcPr>
          <w:p>
            <w:pPr>
              <w:spacing w:after="0"/>
              <w:rPr>
                <w:sz w:val="21"/>
                <w:szCs w:val="21"/>
                <w:color w:val="auto"/>
              </w:rPr>
            </w:pPr>
          </w:p>
        </w:tc>
        <w:tc>
          <w:tcPr>
            <w:tcW w:w="500" w:type="dxa"/>
            <w:vAlign w:val="bottom"/>
          </w:tcPr>
          <w:p>
            <w:pPr>
              <w:jc w:val="right"/>
              <w:ind w:right="292"/>
              <w:spacing w:after="0"/>
              <w:rPr>
                <w:sz w:val="20"/>
                <w:szCs w:val="20"/>
                <w:color w:val="auto"/>
              </w:rPr>
            </w:pPr>
            <w:r>
              <w:rPr>
                <w:rFonts w:ascii="Arial" w:cs="Arial" w:eastAsia="Arial" w:hAnsi="Arial"/>
                <w:sz w:val="18"/>
                <w:szCs w:val="18"/>
                <w:i w:val="1"/>
                <w:iCs w:val="1"/>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i w:val="1"/>
                <w:iCs w:val="1"/>
                <w:color w:val="auto"/>
              </w:rPr>
              <w:t>0.01</w:t>
            </w:r>
          </w:p>
        </w:tc>
        <w:tc>
          <w:tcPr>
            <w:tcW w:w="10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i w:val="1"/>
                <w:iCs w:val="1"/>
                <w:color w:val="auto"/>
              </w:rPr>
              <w:t>5.35</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i w:val="1"/>
                <w:iCs w:val="1"/>
                <w:color w:val="auto"/>
              </w:rPr>
              <w:t>35.4%</w:t>
            </w:r>
          </w:p>
        </w:tc>
        <w:tc>
          <w:tcPr>
            <w:tcW w:w="0" w:type="dxa"/>
            <w:vAlign w:val="bottom"/>
          </w:tcPr>
          <w:p>
            <w:pPr>
              <w:spacing w:after="0"/>
              <w:rPr>
                <w:sz w:val="1"/>
                <w:szCs w:val="1"/>
                <w:color w:val="auto"/>
              </w:rPr>
            </w:pPr>
          </w:p>
        </w:tc>
      </w:tr>
      <w:tr>
        <w:trPr>
          <w:trHeight w:val="54"/>
        </w:trPr>
        <w:tc>
          <w:tcPr>
            <w:tcW w:w="1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2011</w:t>
            </w:r>
          </w:p>
        </w:tc>
        <w:tc>
          <w:tcPr>
            <w:tcW w:w="4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i w:val="1"/>
                <w:iCs w:val="1"/>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7.07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0.26</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(0.04)</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i w:val="1"/>
                <w:iCs w:val="1"/>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i w:val="1"/>
                <w:iCs w:val="1"/>
                <w:color w:val="auto"/>
              </w:rPr>
              <w:t>0.01</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i w:val="1"/>
                <w:iCs w:val="1"/>
                <w:color w:val="auto"/>
              </w:rPr>
              <w:t>7.30</w:t>
            </w:r>
          </w:p>
        </w:tc>
        <w:tc>
          <w:tcPr>
            <w:tcW w:w="1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36.4%</w:t>
            </w:r>
          </w:p>
        </w:tc>
        <w:tc>
          <w:tcPr>
            <w:tcW w:w="0" w:type="dxa"/>
            <w:vAlign w:val="bottom"/>
          </w:tcPr>
          <w:p>
            <w:pPr>
              <w:spacing w:after="0"/>
              <w:rPr>
                <w:sz w:val="1"/>
                <w:szCs w:val="1"/>
                <w:color w:val="auto"/>
              </w:rPr>
            </w:pPr>
          </w:p>
        </w:tc>
      </w:tr>
      <w:tr>
        <w:trPr>
          <w:trHeight w:val="243"/>
        </w:trPr>
        <w:tc>
          <w:tcPr>
            <w:tcW w:w="1100" w:type="dxa"/>
            <w:vAlign w:val="bottom"/>
          </w:tcPr>
          <w:p>
            <w:pPr>
              <w:ind w:left="80"/>
              <w:spacing w:after="0"/>
              <w:rPr>
                <w:sz w:val="20"/>
                <w:szCs w:val="20"/>
                <w:color w:val="auto"/>
              </w:rPr>
            </w:pPr>
            <w:r>
              <w:rPr>
                <w:rFonts w:ascii="Arial" w:cs="Arial" w:eastAsia="Arial" w:hAnsi="Arial"/>
                <w:sz w:val="18"/>
                <w:szCs w:val="18"/>
                <w:i w:val="1"/>
                <w:iCs w:val="1"/>
                <w:color w:val="auto"/>
              </w:rPr>
              <w:t>2012</w:t>
            </w:r>
          </w:p>
        </w:tc>
        <w:tc>
          <w:tcPr>
            <w:tcW w:w="480" w:type="dxa"/>
            <w:vAlign w:val="bottom"/>
          </w:tcPr>
          <w:p>
            <w:pPr>
              <w:jc w:val="right"/>
              <w:ind w:right="272"/>
              <w:spacing w:after="0"/>
              <w:rPr>
                <w:sz w:val="20"/>
                <w:szCs w:val="20"/>
                <w:color w:val="auto"/>
              </w:rPr>
            </w:pPr>
            <w:r>
              <w:rPr>
                <w:rFonts w:ascii="Arial" w:cs="Arial" w:eastAsia="Arial" w:hAnsi="Arial"/>
                <w:sz w:val="18"/>
                <w:szCs w:val="18"/>
                <w:i w:val="1"/>
                <w:iCs w:val="1"/>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i w:val="1"/>
                <w:iCs w:val="1"/>
                <w:color w:val="auto"/>
              </w:rPr>
              <w:t>8.58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w:t>
            </w: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(0.13)</w:t>
            </w:r>
          </w:p>
        </w:tc>
        <w:tc>
          <w:tcPr>
            <w:tcW w:w="100" w:type="dxa"/>
            <w:vAlign w:val="bottom"/>
          </w:tcPr>
          <w:p>
            <w:pPr>
              <w:spacing w:after="0"/>
              <w:rPr>
                <w:sz w:val="21"/>
                <w:szCs w:val="21"/>
                <w:color w:val="auto"/>
              </w:rPr>
            </w:pPr>
          </w:p>
        </w:tc>
        <w:tc>
          <w:tcPr>
            <w:tcW w:w="500" w:type="dxa"/>
            <w:vAlign w:val="bottom"/>
          </w:tcPr>
          <w:p>
            <w:pPr>
              <w:jc w:val="right"/>
              <w:ind w:right="292"/>
              <w:spacing w:after="0"/>
              <w:rPr>
                <w:sz w:val="20"/>
                <w:szCs w:val="20"/>
                <w:color w:val="auto"/>
              </w:rPr>
            </w:pPr>
            <w:r>
              <w:rPr>
                <w:rFonts w:ascii="Arial" w:cs="Arial" w:eastAsia="Arial" w:hAnsi="Arial"/>
                <w:sz w:val="18"/>
                <w:szCs w:val="18"/>
                <w:i w:val="1"/>
                <w:iCs w:val="1"/>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w:t>
            </w:r>
          </w:p>
        </w:tc>
        <w:tc>
          <w:tcPr>
            <w:tcW w:w="480" w:type="dxa"/>
            <w:vAlign w:val="bottom"/>
          </w:tcPr>
          <w:p>
            <w:pPr>
              <w:ind w:left="4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i w:val="1"/>
                <w:iCs w:val="1"/>
                <w:color w:val="auto"/>
              </w:rPr>
              <w:t>8.45</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i w:val="1"/>
                <w:iCs w:val="1"/>
                <w:color w:val="auto"/>
              </w:rPr>
              <w:t>15.8%</w:t>
            </w:r>
          </w:p>
        </w:tc>
        <w:tc>
          <w:tcPr>
            <w:tcW w:w="0" w:type="dxa"/>
            <w:vAlign w:val="bottom"/>
          </w:tcPr>
          <w:p>
            <w:pPr>
              <w:spacing w:after="0"/>
              <w:rPr>
                <w:sz w:val="1"/>
                <w:szCs w:val="1"/>
                <w:color w:val="auto"/>
              </w:rPr>
            </w:pPr>
          </w:p>
        </w:tc>
      </w:tr>
      <w:tr>
        <w:trPr>
          <w:trHeight w:val="54"/>
        </w:trPr>
        <w:tc>
          <w:tcPr>
            <w:tcW w:w="1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2013</w:t>
            </w:r>
          </w:p>
        </w:tc>
        <w:tc>
          <w:tcPr>
            <w:tcW w:w="4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i w:val="1"/>
                <w:iCs w:val="1"/>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10.54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(0.11)</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(0.09)</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i w:val="1"/>
                <w:iCs w:val="1"/>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w:t>
            </w: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i w:val="1"/>
                <w:iCs w:val="1"/>
                <w:color w:val="auto"/>
              </w:rPr>
              <w:t>10.34</w:t>
            </w:r>
          </w:p>
        </w:tc>
        <w:tc>
          <w:tcPr>
            <w:tcW w:w="1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22.4%</w:t>
            </w:r>
          </w:p>
        </w:tc>
        <w:tc>
          <w:tcPr>
            <w:tcW w:w="0" w:type="dxa"/>
            <w:vAlign w:val="bottom"/>
          </w:tcPr>
          <w:p>
            <w:pPr>
              <w:spacing w:after="0"/>
              <w:rPr>
                <w:sz w:val="1"/>
                <w:szCs w:val="1"/>
                <w:color w:val="auto"/>
              </w:rPr>
            </w:pPr>
          </w:p>
        </w:tc>
      </w:tr>
      <w:tr>
        <w:trPr>
          <w:trHeight w:val="243"/>
        </w:trPr>
        <w:tc>
          <w:tcPr>
            <w:tcW w:w="1100" w:type="dxa"/>
            <w:vAlign w:val="bottom"/>
          </w:tcPr>
          <w:p>
            <w:pPr>
              <w:ind w:left="80"/>
              <w:spacing w:after="0"/>
              <w:rPr>
                <w:sz w:val="20"/>
                <w:szCs w:val="20"/>
                <w:color w:val="auto"/>
              </w:rPr>
            </w:pPr>
            <w:r>
              <w:rPr>
                <w:rFonts w:ascii="Arial" w:cs="Arial" w:eastAsia="Arial" w:hAnsi="Arial"/>
                <w:sz w:val="18"/>
                <w:szCs w:val="18"/>
                <w:i w:val="1"/>
                <w:iCs w:val="1"/>
                <w:color w:val="auto"/>
              </w:rPr>
              <w:t>2014</w:t>
            </w:r>
          </w:p>
        </w:tc>
        <w:tc>
          <w:tcPr>
            <w:tcW w:w="480" w:type="dxa"/>
            <w:vAlign w:val="bottom"/>
          </w:tcPr>
          <w:p>
            <w:pPr>
              <w:jc w:val="right"/>
              <w:ind w:right="272"/>
              <w:spacing w:after="0"/>
              <w:rPr>
                <w:sz w:val="20"/>
                <w:szCs w:val="20"/>
                <w:color w:val="auto"/>
              </w:rPr>
            </w:pPr>
            <w:r>
              <w:rPr>
                <w:rFonts w:ascii="Arial" w:cs="Arial" w:eastAsia="Arial" w:hAnsi="Arial"/>
                <w:sz w:val="18"/>
                <w:szCs w:val="18"/>
                <w:i w:val="1"/>
                <w:iCs w:val="1"/>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i w:val="1"/>
                <w:iCs w:val="1"/>
                <w:color w:val="auto"/>
              </w:rPr>
              <w:t>11.92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(0.27)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180" w:type="dxa"/>
            <w:vAlign w:val="bottom"/>
          </w:tcPr>
          <w:p>
            <w:pPr>
              <w:jc w:val="right"/>
              <w:ind w:right="12"/>
              <w:spacing w:after="0"/>
              <w:rPr>
                <w:sz w:val="20"/>
                <w:szCs w:val="20"/>
                <w:color w:val="auto"/>
              </w:rPr>
            </w:pPr>
            <w:r>
              <w:rPr>
                <w:rFonts w:ascii="Arial" w:cs="Arial" w:eastAsia="Arial" w:hAnsi="Arial"/>
                <w:sz w:val="18"/>
                <w:szCs w:val="18"/>
                <w:i w:val="1"/>
                <w:iCs w:val="1"/>
                <w:color w:val="auto"/>
              </w:rPr>
              <w:t>0.56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i w:val="1"/>
                <w:iCs w:val="1"/>
                <w:color w:val="auto"/>
              </w:rPr>
              <w:t>(0.04)</w:t>
            </w:r>
          </w:p>
        </w:tc>
        <w:tc>
          <w:tcPr>
            <w:tcW w:w="100" w:type="dxa"/>
            <w:vAlign w:val="bottom"/>
          </w:tcPr>
          <w:p>
            <w:pPr>
              <w:spacing w:after="0"/>
              <w:rPr>
                <w:sz w:val="21"/>
                <w:szCs w:val="21"/>
                <w:color w:val="auto"/>
              </w:rPr>
            </w:pPr>
          </w:p>
        </w:tc>
        <w:tc>
          <w:tcPr>
            <w:tcW w:w="500" w:type="dxa"/>
            <w:vAlign w:val="bottom"/>
          </w:tcPr>
          <w:p>
            <w:pPr>
              <w:jc w:val="right"/>
              <w:ind w:right="292"/>
              <w:spacing w:after="0"/>
              <w:rPr>
                <w:sz w:val="20"/>
                <w:szCs w:val="20"/>
                <w:color w:val="auto"/>
              </w:rPr>
            </w:pPr>
            <w:r>
              <w:rPr>
                <w:rFonts w:ascii="Arial" w:cs="Arial" w:eastAsia="Arial" w:hAnsi="Arial"/>
                <w:sz w:val="18"/>
                <w:szCs w:val="18"/>
                <w:i w:val="1"/>
                <w:iCs w:val="1"/>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w:t>
            </w:r>
          </w:p>
        </w:tc>
        <w:tc>
          <w:tcPr>
            <w:tcW w:w="480" w:type="dxa"/>
            <w:vAlign w:val="bottom"/>
          </w:tcPr>
          <w:p>
            <w:pPr>
              <w:ind w:left="4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i w:val="1"/>
                <w:iCs w:val="1"/>
                <w:color w:val="auto"/>
              </w:rPr>
              <w:t>12.17</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i w:val="1"/>
                <w:iCs w:val="1"/>
                <w:color w:val="auto"/>
              </w:rPr>
              <w:t>17.7%</w:t>
            </w:r>
          </w:p>
        </w:tc>
        <w:tc>
          <w:tcPr>
            <w:tcW w:w="0" w:type="dxa"/>
            <w:vAlign w:val="bottom"/>
          </w:tcPr>
          <w:p>
            <w:pPr>
              <w:spacing w:after="0"/>
              <w:rPr>
                <w:sz w:val="1"/>
                <w:szCs w:val="1"/>
                <w:color w:val="auto"/>
              </w:rPr>
            </w:pPr>
          </w:p>
        </w:tc>
      </w:tr>
      <w:tr>
        <w:trPr>
          <w:trHeight w:val="54"/>
        </w:trPr>
        <w:tc>
          <w:tcPr>
            <w:tcW w:w="1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2015</w:t>
            </w:r>
          </w:p>
        </w:tc>
        <w:tc>
          <w:tcPr>
            <w:tcW w:w="4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i w:val="1"/>
                <w:iCs w:val="1"/>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14.28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0.62</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(0.10)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(0.03)</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i w:val="1"/>
                <w:iCs w:val="1"/>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w:t>
            </w: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i w:val="1"/>
                <w:iCs w:val="1"/>
                <w:color w:val="auto"/>
              </w:rPr>
              <w:t>14.77</w:t>
            </w:r>
          </w:p>
        </w:tc>
        <w:tc>
          <w:tcPr>
            <w:tcW w:w="1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21.4%</w:t>
            </w:r>
          </w:p>
        </w:tc>
        <w:tc>
          <w:tcPr>
            <w:tcW w:w="0" w:type="dxa"/>
            <w:vAlign w:val="bottom"/>
          </w:tcPr>
          <w:p>
            <w:pPr>
              <w:spacing w:after="0"/>
              <w:rPr>
                <w:sz w:val="1"/>
                <w:szCs w:val="1"/>
                <w:color w:val="auto"/>
              </w:rPr>
            </w:pPr>
          </w:p>
        </w:tc>
      </w:tr>
      <w:tr>
        <w:trPr>
          <w:trHeight w:val="243"/>
        </w:trPr>
        <w:tc>
          <w:tcPr>
            <w:tcW w:w="1100" w:type="dxa"/>
            <w:vAlign w:val="bottom"/>
          </w:tcPr>
          <w:p>
            <w:pPr>
              <w:ind w:left="80"/>
              <w:spacing w:after="0"/>
              <w:rPr>
                <w:sz w:val="20"/>
                <w:szCs w:val="20"/>
                <w:color w:val="auto"/>
              </w:rPr>
            </w:pPr>
            <w:r>
              <w:rPr>
                <w:rFonts w:ascii="Arial" w:cs="Arial" w:eastAsia="Arial" w:hAnsi="Arial"/>
                <w:sz w:val="18"/>
                <w:szCs w:val="18"/>
                <w:i w:val="1"/>
                <w:iCs w:val="1"/>
                <w:color w:val="auto"/>
              </w:rPr>
              <w:t>2016</w:t>
            </w:r>
          </w:p>
        </w:tc>
        <w:tc>
          <w:tcPr>
            <w:tcW w:w="480" w:type="dxa"/>
            <w:vAlign w:val="bottom"/>
          </w:tcPr>
          <w:p>
            <w:pPr>
              <w:jc w:val="right"/>
              <w:ind w:right="272"/>
              <w:spacing w:after="0"/>
              <w:rPr>
                <w:sz w:val="20"/>
                <w:szCs w:val="20"/>
                <w:color w:val="auto"/>
              </w:rPr>
            </w:pPr>
            <w:r>
              <w:rPr>
                <w:rFonts w:ascii="Arial" w:cs="Arial" w:eastAsia="Arial" w:hAnsi="Arial"/>
                <w:sz w:val="18"/>
                <w:szCs w:val="18"/>
                <w:i w:val="1"/>
                <w:iCs w:val="1"/>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i w:val="1"/>
                <w:iCs w:val="1"/>
                <w:color w:val="auto"/>
              </w:rPr>
              <w:t>16.31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i w:val="1"/>
                <w:iCs w:val="1"/>
                <w:color w:val="auto"/>
              </w:rPr>
              <w:t>1.37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(0.10)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i w:val="1"/>
                <w:iCs w:val="1"/>
                <w:color w:val="auto"/>
              </w:rPr>
              <w:t>0.09</w:t>
            </w:r>
          </w:p>
        </w:tc>
        <w:tc>
          <w:tcPr>
            <w:tcW w:w="100" w:type="dxa"/>
            <w:vAlign w:val="bottom"/>
          </w:tcPr>
          <w:p>
            <w:pPr>
              <w:spacing w:after="0"/>
              <w:rPr>
                <w:sz w:val="21"/>
                <w:szCs w:val="21"/>
                <w:color w:val="auto"/>
              </w:rPr>
            </w:pPr>
          </w:p>
        </w:tc>
        <w:tc>
          <w:tcPr>
            <w:tcW w:w="500" w:type="dxa"/>
            <w:vAlign w:val="bottom"/>
          </w:tcPr>
          <w:p>
            <w:pPr>
              <w:jc w:val="right"/>
              <w:ind w:right="292"/>
              <w:spacing w:after="0"/>
              <w:rPr>
                <w:sz w:val="20"/>
                <w:szCs w:val="20"/>
                <w:color w:val="auto"/>
              </w:rPr>
            </w:pPr>
            <w:r>
              <w:rPr>
                <w:rFonts w:ascii="Arial" w:cs="Arial" w:eastAsia="Arial" w:hAnsi="Arial"/>
                <w:sz w:val="18"/>
                <w:szCs w:val="18"/>
                <w:i w:val="1"/>
                <w:iCs w:val="1"/>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w:t>
            </w:r>
          </w:p>
        </w:tc>
        <w:tc>
          <w:tcPr>
            <w:tcW w:w="480" w:type="dxa"/>
            <w:vAlign w:val="bottom"/>
          </w:tcPr>
          <w:p>
            <w:pPr>
              <w:ind w:left="4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i w:val="1"/>
                <w:iCs w:val="1"/>
                <w:color w:val="auto"/>
              </w:rPr>
              <w:t>17.67</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i w:val="1"/>
                <w:iCs w:val="1"/>
                <w:color w:val="auto"/>
              </w:rPr>
              <w:t>19.6%</w:t>
            </w:r>
          </w:p>
        </w:tc>
        <w:tc>
          <w:tcPr>
            <w:tcW w:w="0" w:type="dxa"/>
            <w:vAlign w:val="bottom"/>
          </w:tcPr>
          <w:p>
            <w:pPr>
              <w:spacing w:after="0"/>
              <w:rPr>
                <w:sz w:val="1"/>
                <w:szCs w:val="1"/>
                <w:color w:val="auto"/>
              </w:rPr>
            </w:pPr>
          </w:p>
        </w:tc>
      </w:tr>
      <w:tr>
        <w:trPr>
          <w:trHeight w:val="54"/>
        </w:trPr>
        <w:tc>
          <w:tcPr>
            <w:tcW w:w="1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2017</w:t>
            </w:r>
          </w:p>
        </w:tc>
        <w:tc>
          <w:tcPr>
            <w:tcW w:w="4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i w:val="1"/>
                <w:iCs w:val="1"/>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24.04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1.74</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(0.11)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(5.23)</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i w:val="1"/>
                <w:iCs w:val="1"/>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w:t>
            </w: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i w:val="1"/>
                <w:iCs w:val="1"/>
                <w:color w:val="auto"/>
              </w:rPr>
              <w:t>20.44</w:t>
            </w:r>
          </w:p>
        </w:tc>
        <w:tc>
          <w:tcPr>
            <w:tcW w:w="1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15.7%</w:t>
            </w:r>
          </w:p>
        </w:tc>
        <w:tc>
          <w:tcPr>
            <w:tcW w:w="0" w:type="dxa"/>
            <w:vAlign w:val="bottom"/>
          </w:tcPr>
          <w:p>
            <w:pPr>
              <w:spacing w:after="0"/>
              <w:rPr>
                <w:sz w:val="1"/>
                <w:szCs w:val="1"/>
                <w:color w:val="auto"/>
              </w:rPr>
            </w:pPr>
          </w:p>
        </w:tc>
      </w:tr>
      <w:tr>
        <w:trPr>
          <w:trHeight w:val="243"/>
        </w:trPr>
        <w:tc>
          <w:tcPr>
            <w:tcW w:w="1100" w:type="dxa"/>
            <w:vAlign w:val="bottom"/>
          </w:tcPr>
          <w:p>
            <w:pPr>
              <w:ind w:left="80"/>
              <w:spacing w:after="0"/>
              <w:rPr>
                <w:sz w:val="20"/>
                <w:szCs w:val="20"/>
                <w:color w:val="auto"/>
              </w:rPr>
            </w:pPr>
            <w:r>
              <w:rPr>
                <w:rFonts w:ascii="Arial" w:cs="Arial" w:eastAsia="Arial" w:hAnsi="Arial"/>
                <w:sz w:val="18"/>
                <w:szCs w:val="18"/>
                <w:i w:val="1"/>
                <w:iCs w:val="1"/>
                <w:color w:val="auto"/>
              </w:rPr>
              <w:t>2018</w:t>
            </w:r>
          </w:p>
        </w:tc>
        <w:tc>
          <w:tcPr>
            <w:tcW w:w="480" w:type="dxa"/>
            <w:vAlign w:val="bottom"/>
          </w:tcPr>
          <w:p>
            <w:pPr>
              <w:jc w:val="right"/>
              <w:ind w:right="272"/>
              <w:spacing w:after="0"/>
              <w:rPr>
                <w:sz w:val="20"/>
                <w:szCs w:val="20"/>
                <w:color w:val="auto"/>
              </w:rPr>
            </w:pPr>
            <w:r>
              <w:rPr>
                <w:rFonts w:ascii="Arial" w:cs="Arial" w:eastAsia="Arial" w:hAnsi="Arial"/>
                <w:sz w:val="18"/>
                <w:szCs w:val="18"/>
                <w:i w:val="1"/>
                <w:iCs w:val="1"/>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i w:val="1"/>
                <w:iCs w:val="1"/>
                <w:color w:val="auto"/>
              </w:rPr>
              <w:t>29.39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(1.25)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(0.13)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i w:val="1"/>
                <w:iCs w:val="1"/>
                <w:color w:val="auto"/>
              </w:rPr>
              <w:t>0.38</w:t>
            </w:r>
          </w:p>
        </w:tc>
        <w:tc>
          <w:tcPr>
            <w:tcW w:w="100" w:type="dxa"/>
            <w:vAlign w:val="bottom"/>
          </w:tcPr>
          <w:p>
            <w:pPr>
              <w:spacing w:after="0"/>
              <w:rPr>
                <w:sz w:val="21"/>
                <w:szCs w:val="21"/>
                <w:color w:val="auto"/>
              </w:rPr>
            </w:pPr>
          </w:p>
        </w:tc>
        <w:tc>
          <w:tcPr>
            <w:tcW w:w="500" w:type="dxa"/>
            <w:vAlign w:val="bottom"/>
          </w:tcPr>
          <w:p>
            <w:pPr>
              <w:jc w:val="right"/>
              <w:ind w:right="292"/>
              <w:spacing w:after="0"/>
              <w:rPr>
                <w:sz w:val="20"/>
                <w:szCs w:val="20"/>
                <w:color w:val="auto"/>
              </w:rPr>
            </w:pPr>
            <w:r>
              <w:rPr>
                <w:rFonts w:ascii="Arial" w:cs="Arial" w:eastAsia="Arial" w:hAnsi="Arial"/>
                <w:sz w:val="18"/>
                <w:szCs w:val="18"/>
                <w:i w:val="1"/>
                <w:iCs w:val="1"/>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w:t>
            </w:r>
          </w:p>
        </w:tc>
        <w:tc>
          <w:tcPr>
            <w:tcW w:w="480" w:type="dxa"/>
            <w:vAlign w:val="bottom"/>
          </w:tcPr>
          <w:p>
            <w:pPr>
              <w:ind w:left="40"/>
              <w:spacing w:after="0"/>
              <w:rPr>
                <w:sz w:val="20"/>
                <w:szCs w:val="20"/>
                <w:color w:val="auto"/>
              </w:rPr>
            </w:pPr>
            <w:r>
              <w:rPr>
                <w:rFonts w:ascii="Arial" w:cs="Arial" w:eastAsia="Arial" w:hAnsi="Arial"/>
                <w:sz w:val="18"/>
                <w:szCs w:val="18"/>
                <w:i w:val="1"/>
                <w:iCs w:val="1"/>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i w:val="1"/>
                <w:iCs w:val="1"/>
                <w:color w:val="auto"/>
              </w:rPr>
              <w:t>28.39</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i w:val="1"/>
                <w:iCs w:val="1"/>
                <w:color w:val="auto"/>
              </w:rPr>
              <w:t>38.9%</w:t>
            </w:r>
          </w:p>
        </w:tc>
        <w:tc>
          <w:tcPr>
            <w:tcW w:w="0" w:type="dxa"/>
            <w:vAlign w:val="bottom"/>
          </w:tcPr>
          <w:p>
            <w:pPr>
              <w:spacing w:after="0"/>
              <w:rPr>
                <w:sz w:val="1"/>
                <w:szCs w:val="1"/>
                <w:color w:val="auto"/>
              </w:rPr>
            </w:pPr>
          </w:p>
        </w:tc>
      </w:tr>
      <w:tr>
        <w:trPr>
          <w:trHeight w:val="54"/>
        </w:trPr>
        <w:tc>
          <w:tcPr>
            <w:tcW w:w="1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2019</w:t>
            </w:r>
          </w:p>
        </w:tc>
        <w:tc>
          <w:tcPr>
            <w:tcW w:w="4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i w:val="1"/>
                <w:iCs w:val="1"/>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34.57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0.01</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(0.04)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0.16</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292"/>
              <w:spacing w:after="0"/>
              <w:rPr>
                <w:sz w:val="20"/>
                <w:szCs w:val="20"/>
                <w:color w:val="auto"/>
              </w:rPr>
            </w:pPr>
            <w:r>
              <w:rPr>
                <w:rFonts w:ascii="Arial" w:cs="Arial" w:eastAsia="Arial" w:hAnsi="Arial"/>
                <w:sz w:val="18"/>
                <w:szCs w:val="18"/>
                <w:i w:val="1"/>
                <w:iCs w:val="1"/>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w:t>
            </w:r>
          </w:p>
        </w:tc>
        <w:tc>
          <w:tcPr>
            <w:tcW w:w="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i w:val="1"/>
                <w:iCs w:val="1"/>
                <w:color w:val="auto"/>
              </w:rPr>
              <w:t>34.70</w:t>
            </w:r>
          </w:p>
        </w:tc>
        <w:tc>
          <w:tcPr>
            <w:tcW w:w="1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22.2%</w:t>
            </w:r>
          </w:p>
        </w:tc>
        <w:tc>
          <w:tcPr>
            <w:tcW w:w="0" w:type="dxa"/>
            <w:vAlign w:val="bottom"/>
          </w:tcPr>
          <w:p>
            <w:pPr>
              <w:spacing w:after="0"/>
              <w:rPr>
                <w:sz w:val="1"/>
                <w:szCs w:val="1"/>
                <w:color w:val="auto"/>
              </w:rPr>
            </w:pPr>
          </w:p>
        </w:tc>
      </w:tr>
      <w:tr>
        <w:trPr>
          <w:trHeight w:val="280"/>
        </w:trPr>
        <w:tc>
          <w:tcPr>
            <w:tcW w:w="4000" w:type="dxa"/>
            <w:vAlign w:val="bottom"/>
            <w:gridSpan w:val="7"/>
          </w:tcPr>
          <w:p>
            <w:pPr>
              <w:ind w:left="80"/>
              <w:spacing w:after="0"/>
              <w:rPr>
                <w:sz w:val="20"/>
                <w:szCs w:val="20"/>
                <w:color w:val="auto"/>
              </w:rPr>
            </w:pPr>
            <w:r>
              <w:rPr>
                <w:rFonts w:ascii="Arial" w:cs="Arial" w:eastAsia="Arial" w:hAnsi="Arial"/>
                <w:sz w:val="18"/>
                <w:szCs w:val="18"/>
                <w:i w:val="1"/>
                <w:iCs w:val="1"/>
                <w:color w:val="auto"/>
              </w:rPr>
              <w:t>Compound annual growth rate 2001</w:t>
            </w:r>
            <w:r>
              <w:rPr>
                <w:rFonts w:ascii="Arial" w:cs="Arial" w:eastAsia="Arial" w:hAnsi="Arial"/>
                <w:sz w:val="21"/>
                <w:szCs w:val="21"/>
                <w:color w:val="auto"/>
              </w:rPr>
              <w:t>–</w:t>
            </w:r>
            <w:r>
              <w:rPr>
                <w:rFonts w:ascii="Arial" w:cs="Arial" w:eastAsia="Arial" w:hAnsi="Arial"/>
                <w:sz w:val="18"/>
                <w:szCs w:val="18"/>
                <w:i w:val="1"/>
                <w:iCs w:val="1"/>
                <w:color w:val="auto"/>
              </w:rPr>
              <w:t>2019</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i w:val="1"/>
                <w:iCs w:val="1"/>
                <w:color w:val="auto"/>
              </w:rPr>
              <w:t>25.1%</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As the second table shows, adjusted net income per share (diluted) increased 22.2% in 2019. Since 2001, adjusted net income per share (diluted) has increased at a compounded annual rate of 25.1%. While this compounded annual rate is very similar to the one for GAAP net income per share (diluted) of 25.6%, in certain years the adjustments have led to significant differences between GAAP and adjusted results.</w:t>
      </w:r>
    </w:p>
    <w:p>
      <w:pPr>
        <w:spacing w:after="0" w:line="188" w:lineRule="exact"/>
        <w:rPr>
          <w:sz w:val="20"/>
          <w:szCs w:val="20"/>
          <w:color w:val="auto"/>
        </w:rPr>
      </w:pPr>
    </w:p>
    <w:p>
      <w:pPr>
        <w:ind w:right="80"/>
        <w:spacing w:after="0" w:line="292" w:lineRule="auto"/>
        <w:rPr>
          <w:sz w:val="20"/>
          <w:szCs w:val="20"/>
          <w:color w:val="auto"/>
        </w:rPr>
      </w:pPr>
      <w:r>
        <w:rPr>
          <w:rFonts w:ascii="Arial" w:cs="Arial" w:eastAsia="Arial" w:hAnsi="Arial"/>
          <w:sz w:val="19"/>
          <w:szCs w:val="19"/>
          <w:color w:val="auto"/>
        </w:rPr>
        <w:t>In both 2017 and 2018, adjusted net income per share was lower than GAAP net income per share. In 2017, the income tax adjustment ($5.23) and the senior notes adjustment ($0.11) reduced adjusted net income per share, while the floating yield adjustment ($1.74) had the opposite impact. A comparison of our GAAP and adjusted results in 2017 illustrates why we think adjusted results are a more accurate representation of our business performance. First, the income tax adjustment eliminated the gain related to the revaluation of our deferred tax liability described above. While the gain was real (since it reflects lower taxes we will now pay in the future) it is non-recurring and unrelated to our business performance. The senior notes adjustment ($0.11) was modest but reflects a consistent treatment for the costs associated with the early redemption of our senior notes in 2014.</w:t>
      </w:r>
    </w:p>
    <w:p>
      <w:pPr>
        <w:spacing w:after="0" w:line="151" w:lineRule="exact"/>
        <w:rPr>
          <w:sz w:val="20"/>
          <w:szCs w:val="20"/>
          <w:color w:val="auto"/>
        </w:rPr>
      </w:pPr>
    </w:p>
    <w:p>
      <w:pPr>
        <w:ind w:right="300"/>
        <w:spacing w:after="0" w:line="265" w:lineRule="auto"/>
        <w:rPr>
          <w:sz w:val="20"/>
          <w:szCs w:val="20"/>
          <w:color w:val="auto"/>
        </w:rPr>
      </w:pPr>
      <w:r>
        <w:rPr>
          <w:rFonts w:ascii="Arial" w:cs="Arial" w:eastAsia="Arial" w:hAnsi="Arial"/>
          <w:sz w:val="21"/>
          <w:szCs w:val="21"/>
          <w:color w:val="auto"/>
        </w:rPr>
        <w:t>The floating yield adjustment for 2017 increased adjusted net income per share (diluted) by $1.74. In my explanation above of the floating yield adjustment, I used an example where the estimated cash flows from one dealer pool increase by $1,000 and those from another pool decrease by the same amount. If this occurs, GAAP requires a provision expense to be recorded in the current period even though our economic position is unchanged.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482" w:right="339" w:bottom="1440" w:gutter="0" w:footer="0" w:header="0"/>
        </w:sectPr>
      </w:pPr>
    </w:p>
    <w:bookmarkStart w:id="17" w:name="page18"/>
    <w:bookmarkEnd w:id="17"/>
    <w:p>
      <w:pPr>
        <w:ind w:right="260"/>
        <w:spacing w:after="0" w:line="292" w:lineRule="auto"/>
        <w:rPr>
          <w:sz w:val="20"/>
          <w:szCs w:val="20"/>
          <w:color w:val="auto"/>
        </w:rPr>
      </w:pPr>
      <w:r>
        <w:rPr>
          <w:rFonts w:ascii="Arial" w:cs="Arial" w:eastAsia="Arial" w:hAnsi="Arial"/>
          <w:sz w:val="19"/>
          <w:szCs w:val="19"/>
          <w:color w:val="auto"/>
        </w:rPr>
        <w:t>This example is very similar to what occurred in 2017. Approximately 42.0% of our dealer pools experienced an unfavorable change in cash flow estimates during 2017, totaling $67.3 million, while the remaining 58.0% experienced a favorable change, totaling $61.7 million. The net impact of these changes was a decrease in our expected cash flows of $5.6 million. This unfavorable change represents a reduction in revenue that we expect to realize over time through cash collections on our loan portfolio. Our adjusted results record this reduction in revenue in a logical and straightforward manner—over the life of the expected cash flows at a constant yield. In contrast, our GAAP results, through the asymmetrical treatment of individual loan pools, reflect this overall unfavorable change by recording a current-period provision expense of $103.4 million.</w:t>
      </w:r>
      <w:r>
        <w:rPr>
          <w:rFonts w:ascii="Arial" w:cs="Arial" w:eastAsia="Arial" w:hAnsi="Arial"/>
          <w:sz w:val="25"/>
          <w:szCs w:val="25"/>
          <w:color w:val="auto"/>
          <w:vertAlign w:val="superscript"/>
        </w:rPr>
        <w:t>1</w:t>
      </w:r>
    </w:p>
    <w:p>
      <w:pPr>
        <w:spacing w:after="0" w:line="67" w:lineRule="exact"/>
        <w:rPr>
          <w:sz w:val="20"/>
          <w:szCs w:val="20"/>
          <w:color w:val="auto"/>
        </w:rPr>
      </w:pPr>
    </w:p>
    <w:p>
      <w:pPr>
        <w:ind w:right="80"/>
        <w:spacing w:after="0" w:line="302" w:lineRule="auto"/>
        <w:rPr>
          <w:sz w:val="20"/>
          <w:szCs w:val="20"/>
          <w:color w:val="auto"/>
        </w:rPr>
      </w:pPr>
      <w:r>
        <w:rPr>
          <w:rFonts w:ascii="Arial" w:cs="Arial" w:eastAsia="Arial" w:hAnsi="Arial"/>
          <w:sz w:val="19"/>
          <w:szCs w:val="19"/>
          <w:color w:val="auto"/>
        </w:rPr>
        <w:t>In 2018, adjusted net income per share was lower than GAAP net income per share by $1.00. The senior notes adjustment ($0.13), for the same reason as in 2017, and the floating yield adjustment ($1.25), for reasons I will discuss next, reduced adjusted net income per share while the income tax adjustment ($0.38) had the opposite impact. (The income tax adjustment was necessary to adjust our tax rate to 23.0%, which we now estimate to be our long-term effective tax rate.)</w:t>
      </w:r>
    </w:p>
    <w:p>
      <w:pPr>
        <w:spacing w:after="0" w:line="142" w:lineRule="exact"/>
        <w:rPr>
          <w:sz w:val="20"/>
          <w:szCs w:val="20"/>
          <w:color w:val="auto"/>
        </w:rPr>
      </w:pPr>
    </w:p>
    <w:p>
      <w:pPr>
        <w:ind w:right="260"/>
        <w:spacing w:after="0" w:line="304" w:lineRule="auto"/>
        <w:rPr>
          <w:sz w:val="20"/>
          <w:szCs w:val="20"/>
          <w:color w:val="auto"/>
        </w:rPr>
      </w:pPr>
      <w:r>
        <w:rPr>
          <w:rFonts w:ascii="Arial" w:cs="Arial" w:eastAsia="Arial" w:hAnsi="Arial"/>
          <w:sz w:val="19"/>
          <w:szCs w:val="19"/>
          <w:color w:val="auto"/>
        </w:rPr>
        <w:t>So why did the floating yield adjustment reduce adjusted net income per share in 2018 while it increased it in 2015</w:t>
      </w:r>
      <w:r>
        <w:rPr>
          <w:rFonts w:ascii="Arial" w:cs="Arial" w:eastAsia="Arial" w:hAnsi="Arial"/>
          <w:sz w:val="17"/>
          <w:szCs w:val="17"/>
          <w:color w:val="auto"/>
        </w:rPr>
        <w:t>–</w:t>
      </w:r>
      <w:r>
        <w:rPr>
          <w:rFonts w:ascii="Arial" w:cs="Arial" w:eastAsia="Arial" w:hAnsi="Arial"/>
          <w:sz w:val="19"/>
          <w:szCs w:val="19"/>
          <w:color w:val="auto"/>
        </w:rPr>
        <w:t xml:space="preserve">2017? The reason is that it’s a </w:t>
      </w:r>
      <w:r>
        <w:rPr>
          <w:rFonts w:ascii="Arial" w:cs="Arial" w:eastAsia="Arial" w:hAnsi="Arial"/>
          <w:sz w:val="19"/>
          <w:szCs w:val="19"/>
          <w:i w:val="1"/>
          <w:iCs w:val="1"/>
          <w:color w:val="auto"/>
        </w:rPr>
        <w:t>timing</w:t>
      </w:r>
      <w:r>
        <w:rPr>
          <w:rFonts w:ascii="Arial" w:cs="Arial" w:eastAsia="Arial" w:hAnsi="Arial"/>
          <w:sz w:val="19"/>
          <w:szCs w:val="19"/>
          <w:color w:val="auto"/>
        </w:rPr>
        <w:t xml:space="preserve"> adjustment, so the cumulative impact over time will be zero. Since the floating yield adjustment increased adjusted net income in 2015</w:t>
      </w:r>
      <w:r>
        <w:rPr>
          <w:rFonts w:ascii="Arial" w:cs="Arial" w:eastAsia="Arial" w:hAnsi="Arial"/>
          <w:sz w:val="17"/>
          <w:szCs w:val="17"/>
          <w:color w:val="auto"/>
        </w:rPr>
        <w:t>–</w:t>
      </w:r>
      <w:r>
        <w:rPr>
          <w:rFonts w:ascii="Arial" w:cs="Arial" w:eastAsia="Arial" w:hAnsi="Arial"/>
          <w:sz w:val="19"/>
          <w:szCs w:val="19"/>
          <w:color w:val="auto"/>
        </w:rPr>
        <w:t>2017, it had to have the opposite impact at some point in the future. In 2018, we had a favorable change in our cash flow estimates and a GAAP provision for credit losses that was lower than it had been in the two preceding years. When that pattern occurs, GAAP results will typically be higher than adjusted results.</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color w:val="auto"/>
        </w:rPr>
        <w:t>In 2019, adjusted net income per share exceeded GAAP net income per share by $0.13, or 0.4%. The income tax adjustment</w:t>
      </w:r>
    </w:p>
    <w:p>
      <w:pPr>
        <w:spacing w:after="0" w:line="56" w:lineRule="exact"/>
        <w:rPr>
          <w:sz w:val="20"/>
          <w:szCs w:val="20"/>
          <w:color w:val="auto"/>
        </w:rPr>
      </w:pPr>
    </w:p>
    <w:p>
      <w:pPr>
        <w:ind w:right="180"/>
        <w:spacing w:after="0" w:line="246" w:lineRule="auto"/>
        <w:rPr>
          <w:sz w:val="20"/>
          <w:szCs w:val="20"/>
          <w:color w:val="auto"/>
        </w:rPr>
      </w:pPr>
      <w:r>
        <w:rPr>
          <w:rFonts w:ascii="Arial" w:cs="Arial" w:eastAsia="Arial" w:hAnsi="Arial"/>
          <w:sz w:val="22"/>
          <w:szCs w:val="22"/>
          <w:color w:val="auto"/>
        </w:rPr>
        <w:t>($0.16) increased adjusted net income per share as the GAAP tax rate modestly exceeded our estimated long-term effective rate while both the floating yield and the senior notes adjustments were immaterial.</w:t>
      </w:r>
    </w:p>
    <w:p>
      <w:pPr>
        <w:spacing w:after="0" w:line="227" w:lineRule="exact"/>
        <w:rPr>
          <w:sz w:val="20"/>
          <w:szCs w:val="20"/>
          <w:color w:val="auto"/>
        </w:rPr>
      </w:pPr>
    </w:p>
    <w:p>
      <w:pPr>
        <w:ind w:left="80" w:hanging="80"/>
        <w:spacing w:after="0" w:line="225" w:lineRule="auto"/>
        <w:rPr>
          <w:sz w:val="20"/>
          <w:szCs w:val="20"/>
          <w:color w:val="auto"/>
        </w:rPr>
      </w:pPr>
      <w:r>
        <w:rPr>
          <w:rFonts w:ascii="Arial" w:cs="Arial" w:eastAsia="Arial" w:hAnsi="Arial"/>
          <w:sz w:val="25"/>
          <w:szCs w:val="25"/>
          <w:color w:val="auto"/>
          <w:vertAlign w:val="superscript"/>
        </w:rPr>
        <w:t>1</w:t>
      </w:r>
      <w:r>
        <w:rPr>
          <w:rFonts w:ascii="Arial" w:cs="Arial" w:eastAsia="Arial" w:hAnsi="Arial"/>
          <w:sz w:val="14"/>
          <w:szCs w:val="14"/>
          <w:color w:val="auto"/>
        </w:rPr>
        <w:t>The amount of current-period provision expense recorded under GAAP is based on the present value of the decrease in expected cash flows, where the present value reflects both the amount and the timing of the forecasted change.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348" w:right="359" w:bottom="1440" w:gutter="0" w:footer="0" w:header="0"/>
        </w:sectPr>
      </w:pPr>
    </w:p>
    <w:bookmarkStart w:id="18" w:name="page19"/>
    <w:bookmarkEnd w:id="18"/>
    <w:p>
      <w:pPr>
        <w:spacing w:after="0"/>
        <w:rPr>
          <w:sz w:val="20"/>
          <w:szCs w:val="20"/>
          <w:color w:val="auto"/>
        </w:rPr>
      </w:pPr>
      <w:r>
        <w:rPr>
          <w:rFonts w:ascii="Arial" w:cs="Arial" w:eastAsia="Arial" w:hAnsi="Arial"/>
          <w:sz w:val="22"/>
          <w:szCs w:val="22"/>
          <w:b w:val="1"/>
          <w:bCs w:val="1"/>
          <w:color w:val="003066"/>
        </w:rPr>
        <w:t>CECL ACCOUNTING STANDARD</w:t>
      </w:r>
    </w:p>
    <w:p>
      <w:pPr>
        <w:spacing w:after="0" w:line="226" w:lineRule="exact"/>
        <w:rPr>
          <w:sz w:val="20"/>
          <w:szCs w:val="20"/>
          <w:color w:val="auto"/>
        </w:rPr>
      </w:pPr>
    </w:p>
    <w:p>
      <w:pPr>
        <w:spacing w:after="0" w:line="248" w:lineRule="auto"/>
        <w:rPr>
          <w:sz w:val="20"/>
          <w:szCs w:val="20"/>
          <w:color w:val="auto"/>
        </w:rPr>
      </w:pPr>
      <w:r>
        <w:rPr>
          <w:rFonts w:ascii="Arial" w:cs="Arial" w:eastAsia="Arial" w:hAnsi="Arial"/>
          <w:sz w:val="22"/>
          <w:szCs w:val="22"/>
          <w:color w:val="212529"/>
        </w:rPr>
        <w:t>The Financial Accounting Standards Board issued a new accounting standard (known as Current Expected Credit Losses, or CECL) that will change how we account for our loans under GAAP starting in 2020. In the above section, I summarized how the prior standard caused our GAAP accounting to diverge from economic reality. Unfortunately, the new standard does not represent an improvement. CECL was well intentioned, but going forward it will make it difficult for anyone to fully understand our financial performance using our GAAP financial statements.</w:t>
      </w:r>
    </w:p>
    <w:p>
      <w:pPr>
        <w:spacing w:after="0" w:line="192" w:lineRule="exact"/>
        <w:rPr>
          <w:sz w:val="20"/>
          <w:szCs w:val="20"/>
          <w:color w:val="auto"/>
        </w:rPr>
      </w:pPr>
    </w:p>
    <w:p>
      <w:pPr>
        <w:ind w:right="80"/>
        <w:spacing w:after="0" w:line="246" w:lineRule="auto"/>
        <w:rPr>
          <w:sz w:val="20"/>
          <w:szCs w:val="20"/>
          <w:color w:val="auto"/>
        </w:rPr>
      </w:pPr>
      <w:r>
        <w:rPr>
          <w:rFonts w:ascii="Arial" w:cs="Arial" w:eastAsia="Arial" w:hAnsi="Arial"/>
          <w:sz w:val="22"/>
          <w:szCs w:val="22"/>
          <w:color w:val="212529"/>
        </w:rPr>
        <w:t>As did the old standard, the new one requires us to record our revenue using a level-yield approach. As explained above, level-yield revenue recognition is reasonable and matches the economics of our business. However, the yield required under this new standard is not the yield that we expect to earn on the loan. Instead, the yield is what we would earn if every payment were made according to the contractual terms of the loan, a figure much higher than what we actually expect to earn. Based on this alone, you might expect the new standard to overstate our profitability. But this standard, like any accounting standard, doesn’t change the total amount of income recorded, it only changes the timing. Eventually, the true cash profits and the accounting profits need to match.</w:t>
      </w:r>
    </w:p>
    <w:p>
      <w:pPr>
        <w:spacing w:after="0" w:line="196" w:lineRule="exact"/>
        <w:rPr>
          <w:sz w:val="20"/>
          <w:szCs w:val="20"/>
          <w:color w:val="auto"/>
        </w:rPr>
      </w:pPr>
    </w:p>
    <w:p>
      <w:pPr>
        <w:ind w:right="120"/>
        <w:spacing w:after="0" w:line="294" w:lineRule="auto"/>
        <w:rPr>
          <w:sz w:val="20"/>
          <w:szCs w:val="20"/>
          <w:color w:val="auto"/>
        </w:rPr>
      </w:pPr>
      <w:r>
        <w:rPr>
          <w:rFonts w:ascii="Arial" w:cs="Arial" w:eastAsia="Arial" w:hAnsi="Arial"/>
          <w:sz w:val="19"/>
          <w:szCs w:val="19"/>
          <w:color w:val="212529"/>
        </w:rPr>
        <w:t>To arrive at a result that eventually matches the cash profit, the new standard offsets the additional revenue that it causes to be recorded over the life of the loan with an additional expense in an equivalent amount. The expense is recorded as a provision for credit losses at the time the loan is originated. Since no revenue has yet been recorded, this means that under this new standard, our financial statements will reflect an initial loss on each loan we originate. This will cause our GAAP financial statements to understate our true profitability during periods of growth and overstate our true profitability when origination levels decline. Accordingly, we will continue to provide adjusted results determined in the same manner as outlined above.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320" w:top="342" w:right="359" w:bottom="1440" w:gutter="0" w:footer="0" w:header="0"/>
        </w:sectPr>
      </w:pPr>
    </w:p>
    <w:bookmarkStart w:id="19" w:name="page20"/>
    <w:bookmarkEnd w:id="19"/>
    <w:p>
      <w:pPr>
        <w:spacing w:after="0"/>
        <w:rPr>
          <w:sz w:val="20"/>
          <w:szCs w:val="20"/>
          <w:color w:val="auto"/>
        </w:rPr>
      </w:pPr>
      <w:r>
        <w:rPr>
          <w:rFonts w:ascii="Arial" w:cs="Arial" w:eastAsia="Arial" w:hAnsi="Arial"/>
          <w:sz w:val="22"/>
          <w:szCs w:val="22"/>
          <w:b w:val="1"/>
          <w:bCs w:val="1"/>
          <w:color w:val="003066"/>
        </w:rPr>
        <w:t>ECONOMIC PROFIT</w:t>
      </w:r>
    </w:p>
    <w:p>
      <w:pPr>
        <w:spacing w:after="0" w:line="226" w:lineRule="exact"/>
        <w:rPr>
          <w:sz w:val="20"/>
          <w:szCs w:val="20"/>
          <w:color w:val="auto"/>
        </w:rPr>
      </w:pPr>
    </w:p>
    <w:p>
      <w:pPr>
        <w:ind w:right="60"/>
        <w:spacing w:after="0" w:line="253" w:lineRule="auto"/>
        <w:rPr>
          <w:sz w:val="20"/>
          <w:szCs w:val="20"/>
          <w:color w:val="auto"/>
        </w:rPr>
      </w:pPr>
      <w:r>
        <w:rPr>
          <w:rFonts w:ascii="Arial" w:cs="Arial" w:eastAsia="Arial" w:hAnsi="Arial"/>
          <w:sz w:val="22"/>
          <w:szCs w:val="22"/>
          <w:color w:val="auto"/>
        </w:rPr>
        <w:t>We use a financial metric called Economic Profit to evaluate our financial results and determine incentive compensation. Besides including the adjustments discussed above, Economic Profit differs from GAAP net income in one other important respect: Economic Profit includes a cost for equity capital.</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Economic Profit for 2001–2019:</w:t>
      </w:r>
      <w:r>
        <w:rPr>
          <w:rFonts w:ascii="Arial" w:cs="Arial" w:eastAsia="Arial" w:hAnsi="Arial"/>
          <w:sz w:val="28"/>
          <w:szCs w:val="28"/>
          <w:color w:val="auto"/>
          <w:vertAlign w:val="superscript"/>
        </w:rPr>
        <w:t>1</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100" w:type="dxa"/>
            <w:vAlign w:val="bottom"/>
          </w:tcPr>
          <w:p>
            <w:pPr>
              <w:ind w:left="80"/>
              <w:spacing w:after="0"/>
              <w:rPr>
                <w:sz w:val="20"/>
                <w:szCs w:val="20"/>
                <w:color w:val="auto"/>
              </w:rPr>
            </w:pPr>
            <w:r>
              <w:rPr>
                <w:rFonts w:ascii="Arial" w:cs="Arial" w:eastAsia="Arial" w:hAnsi="Arial"/>
                <w:sz w:val="13"/>
                <w:szCs w:val="13"/>
                <w:color w:val="auto"/>
              </w:rPr>
              <w:t>($ in millions)</w:t>
            </w:r>
          </w:p>
        </w:tc>
        <w:tc>
          <w:tcPr>
            <w:tcW w:w="180" w:type="dxa"/>
            <w:vAlign w:val="bottom"/>
          </w:tcPr>
          <w:p>
            <w:pPr>
              <w:spacing w:after="0"/>
              <w:rPr>
                <w:sz w:val="18"/>
                <w:szCs w:val="18"/>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Adjusted net income</w:t>
            </w:r>
          </w:p>
        </w:tc>
        <w:tc>
          <w:tcPr>
            <w:tcW w:w="140" w:type="dxa"/>
            <w:vAlign w:val="bottom"/>
          </w:tcPr>
          <w:p>
            <w:pPr>
              <w:spacing w:after="0"/>
              <w:rPr>
                <w:sz w:val="18"/>
                <w:szCs w:val="18"/>
                <w:color w:val="auto"/>
              </w:rPr>
            </w:pPr>
          </w:p>
        </w:tc>
        <w:tc>
          <w:tcPr>
            <w:tcW w:w="1640" w:type="dxa"/>
            <w:vAlign w:val="bottom"/>
            <w:gridSpan w:val="2"/>
          </w:tcPr>
          <w:p>
            <w:pPr>
              <w:ind w:left="20"/>
              <w:spacing w:after="0"/>
              <w:rPr>
                <w:sz w:val="20"/>
                <w:szCs w:val="20"/>
                <w:color w:val="auto"/>
              </w:rPr>
            </w:pPr>
            <w:r>
              <w:rPr>
                <w:rFonts w:ascii="Arial" w:cs="Arial" w:eastAsia="Arial" w:hAnsi="Arial"/>
                <w:sz w:val="14"/>
                <w:szCs w:val="14"/>
                <w:b w:val="1"/>
                <w:bCs w:val="1"/>
                <w:color w:val="auto"/>
              </w:rPr>
              <w:t>Imputed cost of equity</w:t>
            </w:r>
            <w:r>
              <w:rPr>
                <w:rFonts w:ascii="Arial" w:cs="Arial" w:eastAsia="Arial" w:hAnsi="Arial"/>
                <w:sz w:val="8"/>
                <w:szCs w:val="8"/>
                <w:b w:val="1"/>
                <w:bCs w:val="1"/>
                <w:color w:val="auto"/>
              </w:rPr>
              <w:t>2</w:t>
            </w:r>
          </w:p>
        </w:tc>
        <w:tc>
          <w:tcPr>
            <w:tcW w:w="260" w:type="dxa"/>
            <w:vAlign w:val="bottom"/>
          </w:tcPr>
          <w:p>
            <w:pPr>
              <w:spacing w:after="0"/>
              <w:rPr>
                <w:sz w:val="18"/>
                <w:szCs w:val="18"/>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Economic Profit</w:t>
            </w:r>
          </w:p>
        </w:tc>
        <w:tc>
          <w:tcPr>
            <w:tcW w:w="1760" w:type="dxa"/>
            <w:vAlign w:val="bottom"/>
          </w:tcPr>
          <w:p>
            <w:pPr>
              <w:jc w:val="right"/>
              <w:ind w:right="151"/>
              <w:spacing w:after="0"/>
              <w:rPr>
                <w:sz w:val="20"/>
                <w:szCs w:val="20"/>
                <w:color w:val="auto"/>
              </w:rPr>
            </w:pPr>
            <w:r>
              <w:rPr>
                <w:rFonts w:ascii="Arial" w:cs="Arial" w:eastAsia="Arial" w:hAnsi="Arial"/>
                <w:sz w:val="14"/>
                <w:szCs w:val="14"/>
                <w:b w:val="1"/>
                <w:bCs w:val="1"/>
                <w:color w:val="auto"/>
              </w:rPr>
              <w:t>Year-to-year change</w:t>
            </w:r>
          </w:p>
        </w:tc>
      </w:tr>
      <w:tr>
        <w:trPr>
          <w:trHeight w:val="39"/>
        </w:trPr>
        <w:tc>
          <w:tcPr>
            <w:tcW w:w="4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r>
      <w:tr>
        <w:trPr>
          <w:trHeight w:val="271"/>
        </w:trPr>
        <w:tc>
          <w:tcPr>
            <w:tcW w:w="4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2001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i w:val="1"/>
                <w:iCs w:val="1"/>
                <w:color w:val="auto"/>
              </w:rPr>
              <w:t>26.8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(30.0)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i w:val="1"/>
                <w:iCs w:val="1"/>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spacing w:after="0"/>
              <w:rPr>
                <w:sz w:val="23"/>
                <w:szCs w:val="23"/>
                <w:color w:val="auto"/>
              </w:rPr>
            </w:pPr>
          </w:p>
        </w:tc>
      </w:tr>
      <w:tr>
        <w:trPr>
          <w:trHeight w:val="243"/>
        </w:trPr>
        <w:tc>
          <w:tcPr>
            <w:tcW w:w="4100" w:type="dxa"/>
            <w:vAlign w:val="bottom"/>
          </w:tcPr>
          <w:p>
            <w:pPr>
              <w:ind w:left="80"/>
              <w:spacing w:after="0"/>
              <w:rPr>
                <w:sz w:val="20"/>
                <w:szCs w:val="20"/>
                <w:color w:val="auto"/>
              </w:rPr>
            </w:pPr>
            <w:r>
              <w:rPr>
                <w:rFonts w:ascii="Arial" w:cs="Arial" w:eastAsia="Arial" w:hAnsi="Arial"/>
                <w:sz w:val="18"/>
                <w:szCs w:val="18"/>
                <w:i w:val="1"/>
                <w:iCs w:val="1"/>
                <w:color w:val="auto"/>
              </w:rPr>
              <w:t>2002</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i w:val="1"/>
                <w:iCs w:val="1"/>
                <w:color w:val="auto"/>
              </w:rPr>
              <w:t>31.0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i w:val="1"/>
                <w:iCs w:val="1"/>
                <w:color w:val="auto"/>
              </w:rPr>
              <w:t>(35.6)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i w:val="1"/>
                <w:iCs w:val="1"/>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i w:val="1"/>
                <w:iCs w:val="1"/>
                <w:color w:val="auto"/>
              </w:rPr>
              <w:t>(4.6)</w:t>
            </w:r>
          </w:p>
        </w:tc>
        <w:tc>
          <w:tcPr>
            <w:tcW w:w="100" w:type="dxa"/>
            <w:vAlign w:val="bottom"/>
          </w:tcPr>
          <w:p>
            <w:pPr>
              <w:spacing w:after="0"/>
              <w:rPr>
                <w:sz w:val="21"/>
                <w:szCs w:val="21"/>
                <w:color w:val="auto"/>
              </w:rPr>
            </w:pPr>
          </w:p>
        </w:tc>
        <w:tc>
          <w:tcPr>
            <w:tcW w:w="1760" w:type="dxa"/>
            <w:vAlign w:val="bottom"/>
          </w:tcPr>
          <w:p>
            <w:pPr>
              <w:jc w:val="right"/>
              <w:ind w:right="91"/>
              <w:spacing w:after="0"/>
              <w:rPr>
                <w:sz w:val="20"/>
                <w:szCs w:val="20"/>
                <w:color w:val="auto"/>
              </w:rPr>
            </w:pPr>
            <w:r>
              <w:rPr>
                <w:rFonts w:ascii="Arial" w:cs="Arial" w:eastAsia="Arial" w:hAnsi="Arial"/>
                <w:sz w:val="18"/>
                <w:szCs w:val="18"/>
                <w:i w:val="1"/>
                <w:iCs w:val="1"/>
                <w:color w:val="auto"/>
              </w:rPr>
              <w:t>—</w:t>
            </w:r>
          </w:p>
        </w:tc>
      </w:tr>
      <w:tr>
        <w:trPr>
          <w:trHeight w:val="54"/>
        </w:trPr>
        <w:tc>
          <w:tcPr>
            <w:tcW w:w="4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60" w:type="dxa"/>
            <w:vAlign w:val="bottom"/>
          </w:tcPr>
          <w:p>
            <w:pPr>
              <w:spacing w:after="0"/>
              <w:rPr>
                <w:sz w:val="4"/>
                <w:szCs w:val="4"/>
                <w:color w:val="auto"/>
              </w:rPr>
            </w:pPr>
          </w:p>
        </w:tc>
      </w:tr>
      <w:tr>
        <w:trPr>
          <w:trHeight w:val="277"/>
        </w:trPr>
        <w:tc>
          <w:tcPr>
            <w:tcW w:w="4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2003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i w:val="1"/>
                <w:iCs w:val="1"/>
                <w:color w:val="auto"/>
              </w:rPr>
              <w:t>37.4</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(34.5)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i w:val="1"/>
                <w:iCs w:val="1"/>
                <w:color w:val="auto"/>
                <w:w w:val="9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i w:val="1"/>
                <w:iCs w:val="1"/>
                <w:color w:val="auto"/>
              </w:rPr>
              <w:t>2.9</w:t>
            </w:r>
          </w:p>
        </w:tc>
        <w:tc>
          <w:tcPr>
            <w:tcW w:w="10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i w:val="1"/>
                <w:iCs w:val="1"/>
                <w:color w:val="auto"/>
              </w:rPr>
              <w:t>—</w:t>
            </w:r>
          </w:p>
        </w:tc>
      </w:tr>
      <w:tr>
        <w:trPr>
          <w:trHeight w:val="243"/>
        </w:trPr>
        <w:tc>
          <w:tcPr>
            <w:tcW w:w="4100" w:type="dxa"/>
            <w:vAlign w:val="bottom"/>
          </w:tcPr>
          <w:p>
            <w:pPr>
              <w:ind w:left="80"/>
              <w:spacing w:after="0"/>
              <w:rPr>
                <w:sz w:val="20"/>
                <w:szCs w:val="20"/>
                <w:color w:val="auto"/>
              </w:rPr>
            </w:pPr>
            <w:r>
              <w:rPr>
                <w:rFonts w:ascii="Arial" w:cs="Arial" w:eastAsia="Arial" w:hAnsi="Arial"/>
                <w:sz w:val="18"/>
                <w:szCs w:val="18"/>
                <w:i w:val="1"/>
                <w:iCs w:val="1"/>
                <w:color w:val="auto"/>
              </w:rPr>
              <w:t>2004</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i w:val="1"/>
                <w:iCs w:val="1"/>
                <w:color w:val="auto"/>
              </w:rPr>
              <w:t>52.2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i w:val="1"/>
                <w:iCs w:val="1"/>
                <w:color w:val="auto"/>
              </w:rPr>
              <w:t>(34.4)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i w:val="1"/>
                <w:iCs w:val="1"/>
                <w:color w:val="auto"/>
                <w:w w:val="99"/>
              </w:rPr>
              <w:t>$</w:t>
            </w:r>
          </w:p>
        </w:tc>
        <w:tc>
          <w:tcPr>
            <w:tcW w:w="1440" w:type="dxa"/>
            <w:vAlign w:val="bottom"/>
          </w:tcPr>
          <w:p>
            <w:pPr>
              <w:jc w:val="right"/>
              <w:ind w:right="31"/>
              <w:spacing w:after="0"/>
              <w:rPr>
                <w:sz w:val="20"/>
                <w:szCs w:val="20"/>
                <w:color w:val="auto"/>
              </w:rPr>
            </w:pPr>
            <w:r>
              <w:rPr>
                <w:rFonts w:ascii="Arial" w:cs="Arial" w:eastAsia="Arial" w:hAnsi="Arial"/>
                <w:sz w:val="18"/>
                <w:szCs w:val="18"/>
                <w:i w:val="1"/>
                <w:iCs w:val="1"/>
                <w:color w:val="auto"/>
              </w:rPr>
              <w:t>17.8</w:t>
            </w:r>
          </w:p>
        </w:tc>
        <w:tc>
          <w:tcPr>
            <w:tcW w:w="1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i w:val="1"/>
                <w:iCs w:val="1"/>
                <w:color w:val="auto"/>
              </w:rPr>
              <w:t>513.8%</w:t>
            </w:r>
          </w:p>
        </w:tc>
      </w:tr>
      <w:tr>
        <w:trPr>
          <w:trHeight w:val="54"/>
        </w:trPr>
        <w:tc>
          <w:tcPr>
            <w:tcW w:w="4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60" w:type="dxa"/>
            <w:vAlign w:val="bottom"/>
          </w:tcPr>
          <w:p>
            <w:pPr>
              <w:spacing w:after="0"/>
              <w:rPr>
                <w:sz w:val="4"/>
                <w:szCs w:val="4"/>
                <w:color w:val="auto"/>
              </w:rPr>
            </w:pPr>
          </w:p>
        </w:tc>
      </w:tr>
      <w:tr>
        <w:trPr>
          <w:trHeight w:val="277"/>
        </w:trPr>
        <w:tc>
          <w:tcPr>
            <w:tcW w:w="4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2005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i w:val="1"/>
                <w:iCs w:val="1"/>
                <w:color w:val="auto"/>
              </w:rPr>
              <w:t>63.2</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(34.5)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i w:val="1"/>
                <w:iCs w:val="1"/>
                <w:color w:val="auto"/>
                <w:w w:val="9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i w:val="1"/>
                <w:iCs w:val="1"/>
                <w:color w:val="auto"/>
              </w:rPr>
              <w:t>28.7</w:t>
            </w:r>
          </w:p>
        </w:tc>
        <w:tc>
          <w:tcPr>
            <w:tcW w:w="10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61.2%</w:t>
            </w:r>
          </w:p>
        </w:tc>
      </w:tr>
      <w:tr>
        <w:trPr>
          <w:trHeight w:val="243"/>
        </w:trPr>
        <w:tc>
          <w:tcPr>
            <w:tcW w:w="4100" w:type="dxa"/>
            <w:vAlign w:val="bottom"/>
          </w:tcPr>
          <w:p>
            <w:pPr>
              <w:ind w:left="80"/>
              <w:spacing w:after="0"/>
              <w:rPr>
                <w:sz w:val="20"/>
                <w:szCs w:val="20"/>
                <w:color w:val="auto"/>
              </w:rPr>
            </w:pPr>
            <w:r>
              <w:rPr>
                <w:rFonts w:ascii="Arial" w:cs="Arial" w:eastAsia="Arial" w:hAnsi="Arial"/>
                <w:sz w:val="18"/>
                <w:szCs w:val="18"/>
                <w:i w:val="1"/>
                <w:iCs w:val="1"/>
                <w:color w:val="auto"/>
              </w:rPr>
              <w:t>2006</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i w:val="1"/>
                <w:iCs w:val="1"/>
                <w:color w:val="auto"/>
              </w:rPr>
              <w:t>61.7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i w:val="1"/>
                <w:iCs w:val="1"/>
                <w:color w:val="auto"/>
              </w:rPr>
              <w:t>(29.6)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i w:val="1"/>
                <w:iCs w:val="1"/>
                <w:color w:val="auto"/>
                <w:w w:val="99"/>
              </w:rPr>
              <w:t>$</w:t>
            </w:r>
          </w:p>
        </w:tc>
        <w:tc>
          <w:tcPr>
            <w:tcW w:w="1440" w:type="dxa"/>
            <w:vAlign w:val="bottom"/>
          </w:tcPr>
          <w:p>
            <w:pPr>
              <w:jc w:val="right"/>
              <w:ind w:right="31"/>
              <w:spacing w:after="0"/>
              <w:rPr>
                <w:sz w:val="20"/>
                <w:szCs w:val="20"/>
                <w:color w:val="auto"/>
              </w:rPr>
            </w:pPr>
            <w:r>
              <w:rPr>
                <w:rFonts w:ascii="Arial" w:cs="Arial" w:eastAsia="Arial" w:hAnsi="Arial"/>
                <w:sz w:val="18"/>
                <w:szCs w:val="18"/>
                <w:i w:val="1"/>
                <w:iCs w:val="1"/>
                <w:color w:val="auto"/>
              </w:rPr>
              <w:t>32.1</w:t>
            </w:r>
          </w:p>
        </w:tc>
        <w:tc>
          <w:tcPr>
            <w:tcW w:w="1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i w:val="1"/>
                <w:iCs w:val="1"/>
                <w:color w:val="auto"/>
              </w:rPr>
              <w:t>11.8%</w:t>
            </w:r>
          </w:p>
        </w:tc>
      </w:tr>
      <w:tr>
        <w:trPr>
          <w:trHeight w:val="54"/>
        </w:trPr>
        <w:tc>
          <w:tcPr>
            <w:tcW w:w="4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60" w:type="dxa"/>
            <w:vAlign w:val="bottom"/>
          </w:tcPr>
          <w:p>
            <w:pPr>
              <w:spacing w:after="0"/>
              <w:rPr>
                <w:sz w:val="4"/>
                <w:szCs w:val="4"/>
                <w:color w:val="auto"/>
              </w:rPr>
            </w:pPr>
          </w:p>
        </w:tc>
      </w:tr>
      <w:tr>
        <w:trPr>
          <w:trHeight w:val="277"/>
        </w:trPr>
        <w:tc>
          <w:tcPr>
            <w:tcW w:w="4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2007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i w:val="1"/>
                <w:iCs w:val="1"/>
                <w:color w:val="auto"/>
              </w:rPr>
              <w:t>61.7</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(27.2)</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i w:val="1"/>
                <w:iCs w:val="1"/>
                <w:color w:val="auto"/>
                <w:w w:val="9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i w:val="1"/>
                <w:iCs w:val="1"/>
                <w:color w:val="auto"/>
              </w:rPr>
              <w:t>34.5</w:t>
            </w:r>
          </w:p>
        </w:tc>
        <w:tc>
          <w:tcPr>
            <w:tcW w:w="10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7.5%</w:t>
            </w:r>
          </w:p>
        </w:tc>
      </w:tr>
      <w:tr>
        <w:trPr>
          <w:trHeight w:val="243"/>
        </w:trPr>
        <w:tc>
          <w:tcPr>
            <w:tcW w:w="4100" w:type="dxa"/>
            <w:vAlign w:val="bottom"/>
          </w:tcPr>
          <w:p>
            <w:pPr>
              <w:ind w:left="80"/>
              <w:spacing w:after="0"/>
              <w:rPr>
                <w:sz w:val="20"/>
                <w:szCs w:val="20"/>
                <w:color w:val="auto"/>
              </w:rPr>
            </w:pPr>
            <w:r>
              <w:rPr>
                <w:rFonts w:ascii="Arial" w:cs="Arial" w:eastAsia="Arial" w:hAnsi="Arial"/>
                <w:sz w:val="18"/>
                <w:szCs w:val="18"/>
                <w:i w:val="1"/>
                <w:iCs w:val="1"/>
                <w:color w:val="auto"/>
              </w:rPr>
              <w:t>2008</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i w:val="1"/>
                <w:iCs w:val="1"/>
                <w:color w:val="auto"/>
              </w:rPr>
              <w:t>82.8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i w:val="1"/>
                <w:iCs w:val="1"/>
                <w:color w:val="auto"/>
              </w:rPr>
              <w:t>(35.8)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i w:val="1"/>
                <w:iCs w:val="1"/>
                <w:color w:val="auto"/>
                <w:w w:val="99"/>
              </w:rPr>
              <w:t>$</w:t>
            </w:r>
          </w:p>
        </w:tc>
        <w:tc>
          <w:tcPr>
            <w:tcW w:w="1440" w:type="dxa"/>
            <w:vAlign w:val="bottom"/>
          </w:tcPr>
          <w:p>
            <w:pPr>
              <w:jc w:val="right"/>
              <w:ind w:right="31"/>
              <w:spacing w:after="0"/>
              <w:rPr>
                <w:sz w:val="20"/>
                <w:szCs w:val="20"/>
                <w:color w:val="auto"/>
              </w:rPr>
            </w:pPr>
            <w:r>
              <w:rPr>
                <w:rFonts w:ascii="Arial" w:cs="Arial" w:eastAsia="Arial" w:hAnsi="Arial"/>
                <w:sz w:val="18"/>
                <w:szCs w:val="18"/>
                <w:i w:val="1"/>
                <w:iCs w:val="1"/>
                <w:color w:val="auto"/>
              </w:rPr>
              <w:t>47.0</w:t>
            </w:r>
          </w:p>
        </w:tc>
        <w:tc>
          <w:tcPr>
            <w:tcW w:w="1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i w:val="1"/>
                <w:iCs w:val="1"/>
                <w:color w:val="auto"/>
              </w:rPr>
              <w:t>36.2%</w:t>
            </w:r>
          </w:p>
        </w:tc>
      </w:tr>
      <w:tr>
        <w:trPr>
          <w:trHeight w:val="54"/>
        </w:trPr>
        <w:tc>
          <w:tcPr>
            <w:tcW w:w="4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60" w:type="dxa"/>
            <w:vAlign w:val="bottom"/>
          </w:tcPr>
          <w:p>
            <w:pPr>
              <w:spacing w:after="0"/>
              <w:rPr>
                <w:sz w:val="4"/>
                <w:szCs w:val="4"/>
                <w:color w:val="auto"/>
              </w:rPr>
            </w:pPr>
          </w:p>
        </w:tc>
      </w:tr>
      <w:tr>
        <w:trPr>
          <w:trHeight w:val="277"/>
        </w:trPr>
        <w:tc>
          <w:tcPr>
            <w:tcW w:w="4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2009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i w:val="1"/>
                <w:iCs w:val="1"/>
                <w:color w:val="auto"/>
              </w:rPr>
              <w:t>125.0</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(45.9)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i w:val="1"/>
                <w:iCs w:val="1"/>
                <w:color w:val="auto"/>
                <w:w w:val="9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i w:val="1"/>
                <w:iCs w:val="1"/>
                <w:color w:val="auto"/>
              </w:rPr>
              <w:t>79.1</w:t>
            </w:r>
          </w:p>
        </w:tc>
        <w:tc>
          <w:tcPr>
            <w:tcW w:w="10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68.3%</w:t>
            </w:r>
          </w:p>
        </w:tc>
      </w:tr>
      <w:tr>
        <w:trPr>
          <w:trHeight w:val="243"/>
        </w:trPr>
        <w:tc>
          <w:tcPr>
            <w:tcW w:w="4100" w:type="dxa"/>
            <w:vAlign w:val="bottom"/>
          </w:tcPr>
          <w:p>
            <w:pPr>
              <w:ind w:left="80"/>
              <w:spacing w:after="0"/>
              <w:rPr>
                <w:sz w:val="20"/>
                <w:szCs w:val="20"/>
                <w:color w:val="auto"/>
              </w:rPr>
            </w:pPr>
            <w:r>
              <w:rPr>
                <w:rFonts w:ascii="Arial" w:cs="Arial" w:eastAsia="Arial" w:hAnsi="Arial"/>
                <w:sz w:val="18"/>
                <w:szCs w:val="18"/>
                <w:i w:val="1"/>
                <w:iCs w:val="1"/>
                <w:color w:val="auto"/>
              </w:rPr>
              <w:t>2010</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i w:val="1"/>
                <w:iCs w:val="1"/>
                <w:color w:val="auto"/>
              </w:rPr>
              <w:t>160.5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i w:val="1"/>
                <w:iCs w:val="1"/>
                <w:color w:val="auto"/>
              </w:rPr>
              <w:t>(47.8)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i w:val="1"/>
                <w:iCs w:val="1"/>
                <w:color w:val="auto"/>
                <w:w w:val="99"/>
              </w:rPr>
              <w:t>$</w:t>
            </w:r>
          </w:p>
        </w:tc>
        <w:tc>
          <w:tcPr>
            <w:tcW w:w="1440" w:type="dxa"/>
            <w:vAlign w:val="bottom"/>
          </w:tcPr>
          <w:p>
            <w:pPr>
              <w:jc w:val="right"/>
              <w:ind w:right="31"/>
              <w:spacing w:after="0"/>
              <w:rPr>
                <w:sz w:val="20"/>
                <w:szCs w:val="20"/>
                <w:color w:val="auto"/>
              </w:rPr>
            </w:pPr>
            <w:r>
              <w:rPr>
                <w:rFonts w:ascii="Arial" w:cs="Arial" w:eastAsia="Arial" w:hAnsi="Arial"/>
                <w:sz w:val="18"/>
                <w:szCs w:val="18"/>
                <w:i w:val="1"/>
                <w:iCs w:val="1"/>
                <w:color w:val="auto"/>
              </w:rPr>
              <w:t>112.7</w:t>
            </w:r>
          </w:p>
        </w:tc>
        <w:tc>
          <w:tcPr>
            <w:tcW w:w="1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i w:val="1"/>
                <w:iCs w:val="1"/>
                <w:color w:val="auto"/>
              </w:rPr>
              <w:t>42.5%</w:t>
            </w:r>
          </w:p>
        </w:tc>
      </w:tr>
      <w:tr>
        <w:trPr>
          <w:trHeight w:val="54"/>
        </w:trPr>
        <w:tc>
          <w:tcPr>
            <w:tcW w:w="4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60" w:type="dxa"/>
            <w:vAlign w:val="bottom"/>
          </w:tcPr>
          <w:p>
            <w:pPr>
              <w:spacing w:after="0"/>
              <w:rPr>
                <w:sz w:val="4"/>
                <w:szCs w:val="4"/>
                <w:color w:val="auto"/>
              </w:rPr>
            </w:pPr>
          </w:p>
        </w:tc>
      </w:tr>
      <w:tr>
        <w:trPr>
          <w:trHeight w:val="277"/>
        </w:trPr>
        <w:tc>
          <w:tcPr>
            <w:tcW w:w="4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2011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i w:val="1"/>
                <w:iCs w:val="1"/>
                <w:color w:val="auto"/>
              </w:rPr>
              <w:t>194.1</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(51.0)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i w:val="1"/>
                <w:iCs w:val="1"/>
                <w:color w:val="auto"/>
                <w:w w:val="9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i w:val="1"/>
                <w:iCs w:val="1"/>
                <w:color w:val="auto"/>
              </w:rPr>
              <w:t>143.1</w:t>
            </w:r>
          </w:p>
        </w:tc>
        <w:tc>
          <w:tcPr>
            <w:tcW w:w="10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27.0%</w:t>
            </w:r>
          </w:p>
        </w:tc>
      </w:tr>
      <w:tr>
        <w:trPr>
          <w:trHeight w:val="243"/>
        </w:trPr>
        <w:tc>
          <w:tcPr>
            <w:tcW w:w="4100" w:type="dxa"/>
            <w:vAlign w:val="bottom"/>
          </w:tcPr>
          <w:p>
            <w:pPr>
              <w:ind w:left="80"/>
              <w:spacing w:after="0"/>
              <w:rPr>
                <w:sz w:val="20"/>
                <w:szCs w:val="20"/>
                <w:color w:val="auto"/>
              </w:rPr>
            </w:pPr>
            <w:r>
              <w:rPr>
                <w:rFonts w:ascii="Arial" w:cs="Arial" w:eastAsia="Arial" w:hAnsi="Arial"/>
                <w:sz w:val="18"/>
                <w:szCs w:val="18"/>
                <w:i w:val="1"/>
                <w:iCs w:val="1"/>
                <w:color w:val="auto"/>
              </w:rPr>
              <w:t>2012</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i w:val="1"/>
                <w:iCs w:val="1"/>
                <w:color w:val="auto"/>
              </w:rPr>
              <w:t>216.2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i w:val="1"/>
                <w:iCs w:val="1"/>
                <w:color w:val="auto"/>
              </w:rPr>
              <w:t>(56.6)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i w:val="1"/>
                <w:iCs w:val="1"/>
                <w:color w:val="auto"/>
                <w:w w:val="99"/>
              </w:rPr>
              <w:t>$</w:t>
            </w:r>
          </w:p>
        </w:tc>
        <w:tc>
          <w:tcPr>
            <w:tcW w:w="1440" w:type="dxa"/>
            <w:vAlign w:val="bottom"/>
          </w:tcPr>
          <w:p>
            <w:pPr>
              <w:jc w:val="right"/>
              <w:ind w:right="31"/>
              <w:spacing w:after="0"/>
              <w:rPr>
                <w:sz w:val="20"/>
                <w:szCs w:val="20"/>
                <w:color w:val="auto"/>
              </w:rPr>
            </w:pPr>
            <w:r>
              <w:rPr>
                <w:rFonts w:ascii="Arial" w:cs="Arial" w:eastAsia="Arial" w:hAnsi="Arial"/>
                <w:sz w:val="18"/>
                <w:szCs w:val="18"/>
                <w:i w:val="1"/>
                <w:iCs w:val="1"/>
                <w:color w:val="auto"/>
              </w:rPr>
              <w:t>159.6</w:t>
            </w:r>
          </w:p>
        </w:tc>
        <w:tc>
          <w:tcPr>
            <w:tcW w:w="1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i w:val="1"/>
                <w:iCs w:val="1"/>
                <w:color w:val="auto"/>
              </w:rPr>
              <w:t>11.5%</w:t>
            </w:r>
          </w:p>
        </w:tc>
      </w:tr>
      <w:tr>
        <w:trPr>
          <w:trHeight w:val="54"/>
        </w:trPr>
        <w:tc>
          <w:tcPr>
            <w:tcW w:w="4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60" w:type="dxa"/>
            <w:vAlign w:val="bottom"/>
          </w:tcPr>
          <w:p>
            <w:pPr>
              <w:spacing w:after="0"/>
              <w:rPr>
                <w:sz w:val="4"/>
                <w:szCs w:val="4"/>
                <w:color w:val="auto"/>
              </w:rPr>
            </w:pPr>
          </w:p>
        </w:tc>
      </w:tr>
      <w:tr>
        <w:trPr>
          <w:trHeight w:val="277"/>
        </w:trPr>
        <w:tc>
          <w:tcPr>
            <w:tcW w:w="4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2013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i w:val="1"/>
                <w:iCs w:val="1"/>
                <w:color w:val="auto"/>
              </w:rPr>
              <w:t>248.3</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(75.1)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i w:val="1"/>
                <w:iCs w:val="1"/>
                <w:color w:val="auto"/>
                <w:w w:val="9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i w:val="1"/>
                <w:iCs w:val="1"/>
                <w:color w:val="auto"/>
              </w:rPr>
              <w:t>173.2</w:t>
            </w:r>
          </w:p>
        </w:tc>
        <w:tc>
          <w:tcPr>
            <w:tcW w:w="10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8.5%</w:t>
            </w:r>
          </w:p>
        </w:tc>
      </w:tr>
      <w:tr>
        <w:trPr>
          <w:trHeight w:val="243"/>
        </w:trPr>
        <w:tc>
          <w:tcPr>
            <w:tcW w:w="4100" w:type="dxa"/>
            <w:vAlign w:val="bottom"/>
          </w:tcPr>
          <w:p>
            <w:pPr>
              <w:ind w:left="80"/>
              <w:spacing w:after="0"/>
              <w:rPr>
                <w:sz w:val="20"/>
                <w:szCs w:val="20"/>
                <w:color w:val="auto"/>
              </w:rPr>
            </w:pPr>
            <w:r>
              <w:rPr>
                <w:rFonts w:ascii="Arial" w:cs="Arial" w:eastAsia="Arial" w:hAnsi="Arial"/>
                <w:sz w:val="18"/>
                <w:szCs w:val="18"/>
                <w:i w:val="1"/>
                <w:iCs w:val="1"/>
                <w:color w:val="auto"/>
              </w:rPr>
              <w:t>2014</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i w:val="1"/>
                <w:iCs w:val="1"/>
                <w:color w:val="auto"/>
              </w:rPr>
              <w:t>271.7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i w:val="1"/>
                <w:iCs w:val="1"/>
                <w:color w:val="auto"/>
              </w:rPr>
              <w:t>(87.5)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i w:val="1"/>
                <w:iCs w:val="1"/>
                <w:color w:val="auto"/>
                <w:w w:val="99"/>
              </w:rPr>
              <w:t>$</w:t>
            </w:r>
          </w:p>
        </w:tc>
        <w:tc>
          <w:tcPr>
            <w:tcW w:w="1440" w:type="dxa"/>
            <w:vAlign w:val="bottom"/>
          </w:tcPr>
          <w:p>
            <w:pPr>
              <w:jc w:val="right"/>
              <w:ind w:right="31"/>
              <w:spacing w:after="0"/>
              <w:rPr>
                <w:sz w:val="20"/>
                <w:szCs w:val="20"/>
                <w:color w:val="auto"/>
              </w:rPr>
            </w:pPr>
            <w:r>
              <w:rPr>
                <w:rFonts w:ascii="Arial" w:cs="Arial" w:eastAsia="Arial" w:hAnsi="Arial"/>
                <w:sz w:val="18"/>
                <w:szCs w:val="18"/>
                <w:i w:val="1"/>
                <w:iCs w:val="1"/>
                <w:color w:val="auto"/>
              </w:rPr>
              <w:t>184.2</w:t>
            </w:r>
          </w:p>
        </w:tc>
        <w:tc>
          <w:tcPr>
            <w:tcW w:w="1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i w:val="1"/>
                <w:iCs w:val="1"/>
                <w:color w:val="auto"/>
              </w:rPr>
              <w:t>6.4%</w:t>
            </w:r>
          </w:p>
        </w:tc>
      </w:tr>
      <w:tr>
        <w:trPr>
          <w:trHeight w:val="54"/>
        </w:trPr>
        <w:tc>
          <w:tcPr>
            <w:tcW w:w="4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60" w:type="dxa"/>
            <w:vAlign w:val="bottom"/>
          </w:tcPr>
          <w:p>
            <w:pPr>
              <w:spacing w:after="0"/>
              <w:rPr>
                <w:sz w:val="4"/>
                <w:szCs w:val="4"/>
                <w:color w:val="auto"/>
              </w:rPr>
            </w:pPr>
          </w:p>
        </w:tc>
      </w:tr>
      <w:tr>
        <w:trPr>
          <w:trHeight w:val="277"/>
        </w:trPr>
        <w:tc>
          <w:tcPr>
            <w:tcW w:w="4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i w:val="1"/>
                <w:iCs w:val="1"/>
                <w:color w:val="auto"/>
              </w:rPr>
              <w:t>309.8</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(93.2)</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i w:val="1"/>
                <w:iCs w:val="1"/>
                <w:color w:val="auto"/>
                <w:w w:val="9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i w:val="1"/>
                <w:iCs w:val="1"/>
                <w:color w:val="auto"/>
              </w:rPr>
              <w:t>216.6</w:t>
            </w:r>
          </w:p>
        </w:tc>
        <w:tc>
          <w:tcPr>
            <w:tcW w:w="10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17.6%</w:t>
            </w:r>
          </w:p>
        </w:tc>
      </w:tr>
      <w:tr>
        <w:trPr>
          <w:trHeight w:val="243"/>
        </w:trPr>
        <w:tc>
          <w:tcPr>
            <w:tcW w:w="4100" w:type="dxa"/>
            <w:vAlign w:val="bottom"/>
          </w:tcPr>
          <w:p>
            <w:pPr>
              <w:ind w:left="80"/>
              <w:spacing w:after="0"/>
              <w:rPr>
                <w:sz w:val="20"/>
                <w:szCs w:val="20"/>
                <w:color w:val="auto"/>
              </w:rPr>
            </w:pPr>
            <w:r>
              <w:rPr>
                <w:rFonts w:ascii="Arial" w:cs="Arial" w:eastAsia="Arial" w:hAnsi="Arial"/>
                <w:sz w:val="18"/>
                <w:szCs w:val="18"/>
                <w:i w:val="1"/>
                <w:iCs w:val="1"/>
                <w:color w:val="auto"/>
              </w:rPr>
              <w:t>2016</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i w:val="1"/>
                <w:iCs w:val="1"/>
                <w:color w:val="auto"/>
              </w:rPr>
              <w:t>360.6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i w:val="1"/>
                <w:iCs w:val="1"/>
                <w:color w:val="auto"/>
              </w:rPr>
              <w:t>(113.8)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i w:val="1"/>
                <w:iCs w:val="1"/>
                <w:color w:val="auto"/>
                <w:w w:val="99"/>
              </w:rPr>
              <w:t>$</w:t>
            </w:r>
          </w:p>
        </w:tc>
        <w:tc>
          <w:tcPr>
            <w:tcW w:w="1440" w:type="dxa"/>
            <w:vAlign w:val="bottom"/>
          </w:tcPr>
          <w:p>
            <w:pPr>
              <w:jc w:val="right"/>
              <w:ind w:right="31"/>
              <w:spacing w:after="0"/>
              <w:rPr>
                <w:sz w:val="20"/>
                <w:szCs w:val="20"/>
                <w:color w:val="auto"/>
              </w:rPr>
            </w:pPr>
            <w:r>
              <w:rPr>
                <w:rFonts w:ascii="Arial" w:cs="Arial" w:eastAsia="Arial" w:hAnsi="Arial"/>
                <w:sz w:val="18"/>
                <w:szCs w:val="18"/>
                <w:i w:val="1"/>
                <w:iCs w:val="1"/>
                <w:color w:val="auto"/>
              </w:rPr>
              <w:t>246.8</w:t>
            </w:r>
          </w:p>
        </w:tc>
        <w:tc>
          <w:tcPr>
            <w:tcW w:w="1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i w:val="1"/>
                <w:iCs w:val="1"/>
                <w:color w:val="auto"/>
              </w:rPr>
              <w:t>13.9%</w:t>
            </w:r>
          </w:p>
        </w:tc>
      </w:tr>
      <w:tr>
        <w:trPr>
          <w:trHeight w:val="54"/>
        </w:trPr>
        <w:tc>
          <w:tcPr>
            <w:tcW w:w="4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60" w:type="dxa"/>
            <w:vAlign w:val="bottom"/>
          </w:tcPr>
          <w:p>
            <w:pPr>
              <w:spacing w:after="0"/>
              <w:rPr>
                <w:sz w:val="4"/>
                <w:szCs w:val="4"/>
                <w:color w:val="auto"/>
              </w:rPr>
            </w:pPr>
          </w:p>
        </w:tc>
      </w:tr>
      <w:tr>
        <w:trPr>
          <w:trHeight w:val="277"/>
        </w:trPr>
        <w:tc>
          <w:tcPr>
            <w:tcW w:w="4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i w:val="1"/>
                <w:iCs w:val="1"/>
                <w:color w:val="auto"/>
              </w:rPr>
              <w:t>399.8</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(142.8)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i w:val="1"/>
                <w:iCs w:val="1"/>
                <w:color w:val="auto"/>
                <w:w w:val="9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i w:val="1"/>
                <w:iCs w:val="1"/>
                <w:color w:val="auto"/>
              </w:rPr>
              <w:t>257.0</w:t>
            </w:r>
          </w:p>
        </w:tc>
        <w:tc>
          <w:tcPr>
            <w:tcW w:w="10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4.1%</w:t>
            </w:r>
          </w:p>
        </w:tc>
      </w:tr>
      <w:tr>
        <w:trPr>
          <w:trHeight w:val="243"/>
        </w:trPr>
        <w:tc>
          <w:tcPr>
            <w:tcW w:w="4100" w:type="dxa"/>
            <w:vAlign w:val="bottom"/>
          </w:tcPr>
          <w:p>
            <w:pPr>
              <w:ind w:left="80"/>
              <w:spacing w:after="0"/>
              <w:rPr>
                <w:sz w:val="20"/>
                <w:szCs w:val="20"/>
                <w:color w:val="auto"/>
              </w:rPr>
            </w:pPr>
            <w:r>
              <w:rPr>
                <w:rFonts w:ascii="Arial" w:cs="Arial" w:eastAsia="Arial" w:hAnsi="Arial"/>
                <w:sz w:val="18"/>
                <w:szCs w:val="18"/>
                <w:i w:val="1"/>
                <w:iCs w:val="1"/>
                <w:color w:val="auto"/>
              </w:rPr>
              <w:t>2018</w:t>
            </w:r>
          </w:p>
        </w:tc>
        <w:tc>
          <w:tcPr>
            <w:tcW w:w="18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500" w:type="dxa"/>
            <w:vAlign w:val="bottom"/>
          </w:tcPr>
          <w:p>
            <w:pPr>
              <w:jc w:val="right"/>
              <w:ind w:right="11"/>
              <w:spacing w:after="0"/>
              <w:rPr>
                <w:sz w:val="20"/>
                <w:szCs w:val="20"/>
                <w:color w:val="auto"/>
              </w:rPr>
            </w:pPr>
            <w:r>
              <w:rPr>
                <w:rFonts w:ascii="Arial" w:cs="Arial" w:eastAsia="Arial" w:hAnsi="Arial"/>
                <w:sz w:val="18"/>
                <w:szCs w:val="18"/>
                <w:i w:val="1"/>
                <w:iCs w:val="1"/>
                <w:color w:val="auto"/>
              </w:rPr>
              <w:t>554.5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i w:val="1"/>
                <w:iCs w:val="1"/>
                <w:color w:val="auto"/>
              </w:rPr>
              <w:t>(214.1)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i w:val="1"/>
                <w:iCs w:val="1"/>
                <w:color w:val="auto"/>
                <w:w w:val="99"/>
              </w:rPr>
              <w:t>$</w:t>
            </w:r>
          </w:p>
        </w:tc>
        <w:tc>
          <w:tcPr>
            <w:tcW w:w="1440" w:type="dxa"/>
            <w:vAlign w:val="bottom"/>
          </w:tcPr>
          <w:p>
            <w:pPr>
              <w:jc w:val="right"/>
              <w:ind w:right="31"/>
              <w:spacing w:after="0"/>
              <w:rPr>
                <w:sz w:val="20"/>
                <w:szCs w:val="20"/>
                <w:color w:val="auto"/>
              </w:rPr>
            </w:pPr>
            <w:r>
              <w:rPr>
                <w:rFonts w:ascii="Arial" w:cs="Arial" w:eastAsia="Arial" w:hAnsi="Arial"/>
                <w:sz w:val="18"/>
                <w:szCs w:val="18"/>
                <w:i w:val="1"/>
                <w:iCs w:val="1"/>
                <w:color w:val="auto"/>
              </w:rPr>
              <w:t>340.4</w:t>
            </w:r>
          </w:p>
        </w:tc>
        <w:tc>
          <w:tcPr>
            <w:tcW w:w="1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i w:val="1"/>
                <w:iCs w:val="1"/>
                <w:color w:val="auto"/>
              </w:rPr>
              <w:t>32.5%</w:t>
            </w:r>
          </w:p>
        </w:tc>
      </w:tr>
      <w:tr>
        <w:trPr>
          <w:trHeight w:val="54"/>
        </w:trPr>
        <w:tc>
          <w:tcPr>
            <w:tcW w:w="4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60" w:type="dxa"/>
            <w:vAlign w:val="bottom"/>
          </w:tcPr>
          <w:p>
            <w:pPr>
              <w:spacing w:after="0"/>
              <w:rPr>
                <w:sz w:val="4"/>
                <w:szCs w:val="4"/>
                <w:color w:val="auto"/>
              </w:rPr>
            </w:pPr>
          </w:p>
        </w:tc>
      </w:tr>
      <w:tr>
        <w:trPr>
          <w:trHeight w:val="277"/>
        </w:trPr>
        <w:tc>
          <w:tcPr>
            <w:tcW w:w="4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i w:val="1"/>
                <w:iCs w:val="1"/>
                <w:color w:val="auto"/>
              </w:rPr>
              <w:t>658.4</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(225.7)</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i w:val="1"/>
                <w:iCs w:val="1"/>
                <w:color w:val="auto"/>
                <w:w w:val="9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i w:val="1"/>
                <w:iCs w:val="1"/>
                <w:color w:val="auto"/>
              </w:rPr>
              <w:t>432.7</w:t>
            </w:r>
          </w:p>
        </w:tc>
        <w:tc>
          <w:tcPr>
            <w:tcW w:w="10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27.1%</w:t>
            </w:r>
          </w:p>
        </w:tc>
      </w:tr>
      <w:tr>
        <w:trPr>
          <w:trHeight w:val="402"/>
        </w:trPr>
        <w:tc>
          <w:tcPr>
            <w:tcW w:w="4100" w:type="dxa"/>
            <w:vAlign w:val="bottom"/>
          </w:tcPr>
          <w:p>
            <w:pPr>
              <w:ind w:left="80"/>
              <w:spacing w:after="0"/>
              <w:rPr>
                <w:sz w:val="20"/>
                <w:szCs w:val="20"/>
                <w:color w:val="auto"/>
              </w:rPr>
            </w:pPr>
            <w:r>
              <w:rPr>
                <w:rFonts w:ascii="Arial" w:cs="Arial" w:eastAsia="Arial" w:hAnsi="Arial"/>
                <w:sz w:val="18"/>
                <w:szCs w:val="18"/>
                <w:i w:val="1"/>
                <w:iCs w:val="1"/>
                <w:color w:val="auto"/>
              </w:rPr>
              <w:t>Compound annual growth rate 2003</w:t>
            </w:r>
            <w:r>
              <w:rPr>
                <w:rFonts w:ascii="Arial" w:cs="Arial" w:eastAsia="Arial" w:hAnsi="Arial"/>
                <w:sz w:val="21"/>
                <w:szCs w:val="21"/>
                <w:color w:val="auto"/>
              </w:rPr>
              <w:t>–</w:t>
            </w:r>
            <w:r>
              <w:rPr>
                <w:rFonts w:ascii="Arial" w:cs="Arial" w:eastAsia="Arial" w:hAnsi="Arial"/>
                <w:sz w:val="18"/>
                <w:szCs w:val="18"/>
                <w:i w:val="1"/>
                <w:iCs w:val="1"/>
                <w:color w:val="auto"/>
              </w:rPr>
              <w:t>2019</w:t>
            </w: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i w:val="1"/>
                <w:iCs w:val="1"/>
                <w:color w:val="auto"/>
              </w:rPr>
              <w:t>36.7%</w:t>
            </w:r>
          </w:p>
        </w:tc>
      </w:tr>
    </w:tbl>
    <w:p>
      <w:pPr>
        <w:spacing w:after="0" w:line="279" w:lineRule="exact"/>
        <w:rPr>
          <w:sz w:val="20"/>
          <w:szCs w:val="20"/>
          <w:color w:val="auto"/>
        </w:rPr>
      </w:pPr>
    </w:p>
    <w:p>
      <w:pPr>
        <w:ind w:right="220"/>
        <w:spacing w:after="0" w:line="263" w:lineRule="auto"/>
        <w:rPr>
          <w:sz w:val="20"/>
          <w:szCs w:val="20"/>
          <w:color w:val="auto"/>
        </w:rPr>
      </w:pPr>
      <w:r>
        <w:rPr>
          <w:rFonts w:ascii="Arial" w:cs="Arial" w:eastAsia="Arial" w:hAnsi="Arial"/>
          <w:sz w:val="22"/>
          <w:szCs w:val="22"/>
          <w:color w:val="auto"/>
        </w:rPr>
        <w:t>Economic Profit improved 27.1% in 2019, to $432.7 million from $340.4 million in 2018. In 2001, Economic Profit had been a negative $3.2 million.</w:t>
      </w:r>
    </w:p>
    <w:p>
      <w:pPr>
        <w:spacing w:after="0" w:line="53"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4"/>
          <w:szCs w:val="14"/>
          <w:color w:val="auto"/>
        </w:rPr>
        <w:t>See Exhibit A for a reconciliation of the above adjusted financial measures to the most directly comparable GAAP financial measures.</w:t>
      </w:r>
    </w:p>
    <w:p>
      <w:pPr>
        <w:ind w:left="80" w:right="40" w:hanging="94"/>
        <w:spacing w:after="0" w:line="314" w:lineRule="auto"/>
        <w:rPr>
          <w:sz w:val="20"/>
          <w:szCs w:val="20"/>
          <w:color w:val="auto"/>
        </w:rPr>
      </w:pPr>
      <w:r>
        <w:rPr>
          <w:rFonts w:ascii="Arial" w:cs="Arial" w:eastAsia="Arial" w:hAnsi="Arial"/>
          <w:sz w:val="20"/>
          <w:szCs w:val="20"/>
          <w:color w:val="auto"/>
          <w:vertAlign w:val="superscript"/>
        </w:rPr>
        <w:t>2</w:t>
      </w:r>
      <w:r>
        <w:rPr>
          <w:rFonts w:ascii="Arial" w:cs="Arial" w:eastAsia="Arial" w:hAnsi="Arial"/>
          <w:sz w:val="12"/>
          <w:szCs w:val="12"/>
          <w:color w:val="auto"/>
        </w:rPr>
        <w:t>We determine the imputed cost of equity by using a formula that considers the risk of the business and the risk associated with our use of debt. The formula is as follows: average equity x {(the average 30-year Treasury rate + 5%) + [(1 – tax rate) x (the average 30-year Treasury rate + 5% – pre-tax average cost-of-debt rate) x average debt / (average equity + average debt x tax rate)]}.</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342" w:right="339" w:bottom="1440" w:gutter="0" w:footer="0" w:header="0"/>
        </w:sectPr>
      </w:pPr>
    </w:p>
    <w:bookmarkStart w:id="20" w:name="page21"/>
    <w:bookmarkEnd w:id="20"/>
    <w:p>
      <w:pPr>
        <w:ind w:right="80"/>
        <w:spacing w:after="0" w:line="260" w:lineRule="auto"/>
        <w:rPr>
          <w:sz w:val="20"/>
          <w:szCs w:val="20"/>
          <w:color w:val="auto"/>
        </w:rPr>
      </w:pPr>
      <w:r>
        <w:rPr>
          <w:rFonts w:ascii="Arial" w:cs="Arial" w:eastAsia="Arial" w:hAnsi="Arial"/>
          <w:sz w:val="22"/>
          <w:szCs w:val="22"/>
          <w:color w:val="auto"/>
        </w:rPr>
        <w:t>Economic Profit is a function of three variables: the adjusted average amount of capital invested, the adjusted return on capital, and the adjusted weighted average cost of capital. The following table summarizes our financial performance in these areas since 2001:</w:t>
      </w:r>
      <w:r>
        <w:rPr>
          <w:rFonts w:ascii="Arial" w:cs="Arial" w:eastAsia="Arial" w:hAnsi="Arial"/>
          <w:sz w:val="28"/>
          <w:szCs w:val="28"/>
          <w:color w:val="auto"/>
          <w:vertAlign w:val="superscript"/>
        </w:rPr>
        <w:t>1</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ind w:left="40"/>
              <w:spacing w:after="0"/>
              <w:rPr>
                <w:sz w:val="20"/>
                <w:szCs w:val="20"/>
                <w:color w:val="auto"/>
              </w:rPr>
            </w:pPr>
            <w:r>
              <w:rPr>
                <w:rFonts w:ascii="Arial" w:cs="Arial" w:eastAsia="Arial" w:hAnsi="Arial"/>
                <w:sz w:val="13"/>
                <w:szCs w:val="13"/>
                <w:color w:val="auto"/>
              </w:rPr>
              <w:t>($ in millions)</w:t>
            </w:r>
          </w:p>
        </w:tc>
        <w:tc>
          <w:tcPr>
            <w:tcW w:w="1720" w:type="dxa"/>
            <w:vAlign w:val="bottom"/>
            <w:gridSpan w:val="3"/>
          </w:tcPr>
          <w:p>
            <w:pPr>
              <w:ind w:left="40"/>
              <w:spacing w:after="0"/>
              <w:rPr>
                <w:sz w:val="20"/>
                <w:szCs w:val="20"/>
                <w:color w:val="auto"/>
              </w:rPr>
            </w:pPr>
            <w:r>
              <w:rPr>
                <w:rFonts w:ascii="Arial" w:cs="Arial" w:eastAsia="Arial" w:hAnsi="Arial"/>
                <w:sz w:val="14"/>
                <w:szCs w:val="14"/>
                <w:b w:val="1"/>
                <w:bCs w:val="1"/>
                <w:color w:val="auto"/>
              </w:rPr>
              <w:t>Adjusted average capital</w:t>
            </w: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Adjusted return on</w:t>
            </w: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Adjusted weighted</w:t>
            </w:r>
          </w:p>
        </w:tc>
        <w:tc>
          <w:tcPr>
            <w:tcW w:w="1760" w:type="dxa"/>
            <w:vAlign w:val="bottom"/>
            <w:vMerge w:val="restart"/>
          </w:tcPr>
          <w:p>
            <w:pPr>
              <w:jc w:val="right"/>
              <w:ind w:right="571"/>
              <w:spacing w:after="0"/>
              <w:rPr>
                <w:sz w:val="20"/>
                <w:szCs w:val="20"/>
                <w:color w:val="auto"/>
              </w:rPr>
            </w:pPr>
            <w:r>
              <w:rPr>
                <w:rFonts w:ascii="Arial" w:cs="Arial" w:eastAsia="Arial" w:hAnsi="Arial"/>
                <w:sz w:val="14"/>
                <w:szCs w:val="14"/>
                <w:b w:val="1"/>
                <w:bCs w:val="1"/>
                <w:color w:val="auto"/>
              </w:rPr>
              <w:t>Spread</w:t>
            </w:r>
          </w:p>
        </w:tc>
        <w:tc>
          <w:tcPr>
            <w:tcW w:w="0" w:type="dxa"/>
            <w:vAlign w:val="bottom"/>
          </w:tcPr>
          <w:p>
            <w:pPr>
              <w:spacing w:after="0"/>
              <w:rPr>
                <w:sz w:val="1"/>
                <w:szCs w:val="1"/>
                <w:color w:val="auto"/>
              </w:rPr>
            </w:pPr>
          </w:p>
        </w:tc>
      </w:tr>
      <w:tr>
        <w:trPr>
          <w:trHeight w:val="186"/>
        </w:trPr>
        <w:tc>
          <w:tcPr>
            <w:tcW w:w="4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invested</w:t>
            </w: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capital</w:t>
            </w: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average cost of capital</w:t>
            </w:r>
          </w:p>
        </w:tc>
        <w:tc>
          <w:tcPr>
            <w:tcW w:w="1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3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43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2001</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w:t>
            </w:r>
          </w:p>
        </w:tc>
        <w:tc>
          <w:tcPr>
            <w:tcW w:w="1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i w:val="1"/>
                <w:iCs w:val="1"/>
                <w:color w:val="auto"/>
              </w:rPr>
              <w:t>469.9</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7.7%</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-0.7 %</w:t>
            </w:r>
          </w:p>
        </w:tc>
        <w:tc>
          <w:tcPr>
            <w:tcW w:w="0" w:type="dxa"/>
            <w:vAlign w:val="bottom"/>
          </w:tcPr>
          <w:p>
            <w:pPr>
              <w:spacing w:after="0"/>
              <w:rPr>
                <w:sz w:val="1"/>
                <w:szCs w:val="1"/>
                <w:color w:val="auto"/>
              </w:rPr>
            </w:pPr>
          </w:p>
        </w:tc>
      </w:tr>
      <w:tr>
        <w:trPr>
          <w:trHeight w:val="243"/>
        </w:trPr>
        <w:tc>
          <w:tcPr>
            <w:tcW w:w="4320" w:type="dxa"/>
            <w:vAlign w:val="bottom"/>
          </w:tcPr>
          <w:p>
            <w:pPr>
              <w:ind w:left="80"/>
              <w:spacing w:after="0"/>
              <w:rPr>
                <w:sz w:val="20"/>
                <w:szCs w:val="20"/>
                <w:color w:val="auto"/>
              </w:rPr>
            </w:pPr>
            <w:r>
              <w:rPr>
                <w:rFonts w:ascii="Arial" w:cs="Arial" w:eastAsia="Arial" w:hAnsi="Arial"/>
                <w:sz w:val="18"/>
                <w:szCs w:val="18"/>
                <w:i w:val="1"/>
                <w:iCs w:val="1"/>
                <w:color w:val="auto"/>
              </w:rPr>
              <w:t>2002</w:t>
            </w:r>
          </w:p>
        </w:tc>
        <w:tc>
          <w:tcPr>
            <w:tcW w:w="340" w:type="dxa"/>
            <w:vAlign w:val="bottom"/>
          </w:tcPr>
          <w:p>
            <w:pPr>
              <w:ind w:left="20"/>
              <w:spacing w:after="0"/>
              <w:rPr>
                <w:sz w:val="20"/>
                <w:szCs w:val="20"/>
                <w:color w:val="auto"/>
              </w:rPr>
            </w:pPr>
            <w:r>
              <w:rPr>
                <w:rFonts w:ascii="Arial" w:cs="Arial" w:eastAsia="Arial" w:hAnsi="Arial"/>
                <w:sz w:val="18"/>
                <w:szCs w:val="18"/>
                <w:i w:val="1"/>
                <w:iCs w:val="1"/>
                <w:color w:val="auto"/>
              </w:rPr>
              <w:t>$</w:t>
            </w:r>
          </w:p>
        </w:tc>
        <w:tc>
          <w:tcPr>
            <w:tcW w:w="1280" w:type="dxa"/>
            <w:vAlign w:val="bottom"/>
          </w:tcPr>
          <w:p>
            <w:pPr>
              <w:jc w:val="right"/>
              <w:ind w:right="111"/>
              <w:spacing w:after="0"/>
              <w:rPr>
                <w:sz w:val="20"/>
                <w:szCs w:val="20"/>
                <w:color w:val="auto"/>
              </w:rPr>
            </w:pPr>
            <w:r>
              <w:rPr>
                <w:rFonts w:ascii="Arial" w:cs="Arial" w:eastAsia="Arial" w:hAnsi="Arial"/>
                <w:sz w:val="18"/>
                <w:szCs w:val="18"/>
                <w:i w:val="1"/>
                <w:iCs w:val="1"/>
                <w:color w:val="auto"/>
              </w:rPr>
              <w:t>462.0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i w:val="1"/>
                <w:iCs w:val="1"/>
                <w:color w:val="auto"/>
              </w:rPr>
              <w:t>7.9%</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i w:val="1"/>
                <w:iCs w:val="1"/>
                <w:color w:val="auto"/>
              </w:rPr>
              <w:t>8.9%</w:t>
            </w:r>
          </w:p>
        </w:tc>
        <w:tc>
          <w:tcPr>
            <w:tcW w:w="1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i w:val="1"/>
                <w:iCs w:val="1"/>
                <w:color w:val="auto"/>
              </w:rPr>
              <w:t>-1.0 %</w:t>
            </w:r>
          </w:p>
        </w:tc>
        <w:tc>
          <w:tcPr>
            <w:tcW w:w="0" w:type="dxa"/>
            <w:vAlign w:val="bottom"/>
          </w:tcPr>
          <w:p>
            <w:pPr>
              <w:spacing w:after="0"/>
              <w:rPr>
                <w:sz w:val="1"/>
                <w:szCs w:val="1"/>
                <w:color w:val="auto"/>
              </w:rPr>
            </w:pPr>
          </w:p>
        </w:tc>
      </w:tr>
      <w:tr>
        <w:trPr>
          <w:trHeight w:val="54"/>
        </w:trPr>
        <w:tc>
          <w:tcPr>
            <w:tcW w:w="4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3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2003</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w:t>
            </w:r>
          </w:p>
        </w:tc>
        <w:tc>
          <w:tcPr>
            <w:tcW w:w="1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i w:val="1"/>
                <w:iCs w:val="1"/>
                <w:color w:val="auto"/>
              </w:rPr>
              <w:t>437.5</w:t>
            </w:r>
          </w:p>
        </w:tc>
        <w:tc>
          <w:tcPr>
            <w:tcW w:w="10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9.7%</w:t>
            </w:r>
          </w:p>
        </w:tc>
        <w:tc>
          <w:tcPr>
            <w:tcW w:w="12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9.0%</w:t>
            </w:r>
          </w:p>
        </w:tc>
        <w:tc>
          <w:tcPr>
            <w:tcW w:w="10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0.7 %</w:t>
            </w:r>
          </w:p>
        </w:tc>
        <w:tc>
          <w:tcPr>
            <w:tcW w:w="0" w:type="dxa"/>
            <w:vAlign w:val="bottom"/>
          </w:tcPr>
          <w:p>
            <w:pPr>
              <w:spacing w:after="0"/>
              <w:rPr>
                <w:sz w:val="1"/>
                <w:szCs w:val="1"/>
                <w:color w:val="auto"/>
              </w:rPr>
            </w:pPr>
          </w:p>
        </w:tc>
      </w:tr>
      <w:tr>
        <w:trPr>
          <w:trHeight w:val="243"/>
        </w:trPr>
        <w:tc>
          <w:tcPr>
            <w:tcW w:w="4320" w:type="dxa"/>
            <w:vAlign w:val="bottom"/>
          </w:tcPr>
          <w:p>
            <w:pPr>
              <w:ind w:left="80"/>
              <w:spacing w:after="0"/>
              <w:rPr>
                <w:sz w:val="20"/>
                <w:szCs w:val="20"/>
                <w:color w:val="auto"/>
              </w:rPr>
            </w:pPr>
            <w:r>
              <w:rPr>
                <w:rFonts w:ascii="Arial" w:cs="Arial" w:eastAsia="Arial" w:hAnsi="Arial"/>
                <w:sz w:val="18"/>
                <w:szCs w:val="18"/>
                <w:i w:val="1"/>
                <w:iCs w:val="1"/>
                <w:color w:val="auto"/>
              </w:rPr>
              <w:t>2004</w:t>
            </w:r>
          </w:p>
        </w:tc>
        <w:tc>
          <w:tcPr>
            <w:tcW w:w="340" w:type="dxa"/>
            <w:vAlign w:val="bottom"/>
          </w:tcPr>
          <w:p>
            <w:pPr>
              <w:ind w:left="20"/>
              <w:spacing w:after="0"/>
              <w:rPr>
                <w:sz w:val="20"/>
                <w:szCs w:val="20"/>
                <w:color w:val="auto"/>
              </w:rPr>
            </w:pPr>
            <w:r>
              <w:rPr>
                <w:rFonts w:ascii="Arial" w:cs="Arial" w:eastAsia="Arial" w:hAnsi="Arial"/>
                <w:sz w:val="18"/>
                <w:szCs w:val="18"/>
                <w:i w:val="1"/>
                <w:iCs w:val="1"/>
                <w:color w:val="auto"/>
              </w:rPr>
              <w:t>$</w:t>
            </w:r>
          </w:p>
        </w:tc>
        <w:tc>
          <w:tcPr>
            <w:tcW w:w="1280" w:type="dxa"/>
            <w:vAlign w:val="bottom"/>
          </w:tcPr>
          <w:p>
            <w:pPr>
              <w:jc w:val="right"/>
              <w:ind w:right="111"/>
              <w:spacing w:after="0"/>
              <w:rPr>
                <w:sz w:val="20"/>
                <w:szCs w:val="20"/>
                <w:color w:val="auto"/>
              </w:rPr>
            </w:pPr>
            <w:r>
              <w:rPr>
                <w:rFonts w:ascii="Arial" w:cs="Arial" w:eastAsia="Arial" w:hAnsi="Arial"/>
                <w:sz w:val="18"/>
                <w:szCs w:val="18"/>
                <w:i w:val="1"/>
                <w:iCs w:val="1"/>
                <w:color w:val="auto"/>
              </w:rPr>
              <w:t>483.7</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i w:val="1"/>
                <w:iCs w:val="1"/>
                <w:color w:val="auto"/>
              </w:rPr>
              <w:t>12.3%</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i w:val="1"/>
                <w:iCs w:val="1"/>
                <w:color w:val="auto"/>
              </w:rPr>
              <w:t>8.6%</w:t>
            </w:r>
          </w:p>
        </w:tc>
        <w:tc>
          <w:tcPr>
            <w:tcW w:w="1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i w:val="1"/>
                <w:iCs w:val="1"/>
                <w:color w:val="auto"/>
              </w:rPr>
              <w:t>3.7 %</w:t>
            </w:r>
          </w:p>
        </w:tc>
        <w:tc>
          <w:tcPr>
            <w:tcW w:w="0" w:type="dxa"/>
            <w:vAlign w:val="bottom"/>
          </w:tcPr>
          <w:p>
            <w:pPr>
              <w:spacing w:after="0"/>
              <w:rPr>
                <w:sz w:val="1"/>
                <w:szCs w:val="1"/>
                <w:color w:val="auto"/>
              </w:rPr>
            </w:pPr>
          </w:p>
        </w:tc>
      </w:tr>
      <w:tr>
        <w:trPr>
          <w:trHeight w:val="54"/>
        </w:trPr>
        <w:tc>
          <w:tcPr>
            <w:tcW w:w="4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3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2005</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w:t>
            </w:r>
          </w:p>
        </w:tc>
        <w:tc>
          <w:tcPr>
            <w:tcW w:w="1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i w:val="1"/>
                <w:iCs w:val="1"/>
                <w:color w:val="auto"/>
              </w:rPr>
              <w:t>523.4</w:t>
            </w:r>
          </w:p>
        </w:tc>
        <w:tc>
          <w:tcPr>
            <w:tcW w:w="10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13.7%</w:t>
            </w:r>
          </w:p>
        </w:tc>
        <w:tc>
          <w:tcPr>
            <w:tcW w:w="12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8.3%</w:t>
            </w:r>
          </w:p>
        </w:tc>
        <w:tc>
          <w:tcPr>
            <w:tcW w:w="10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5.4 %</w:t>
            </w:r>
          </w:p>
        </w:tc>
        <w:tc>
          <w:tcPr>
            <w:tcW w:w="0" w:type="dxa"/>
            <w:vAlign w:val="bottom"/>
          </w:tcPr>
          <w:p>
            <w:pPr>
              <w:spacing w:after="0"/>
              <w:rPr>
                <w:sz w:val="1"/>
                <w:szCs w:val="1"/>
                <w:color w:val="auto"/>
              </w:rPr>
            </w:pPr>
          </w:p>
        </w:tc>
      </w:tr>
      <w:tr>
        <w:trPr>
          <w:trHeight w:val="243"/>
        </w:trPr>
        <w:tc>
          <w:tcPr>
            <w:tcW w:w="4320" w:type="dxa"/>
            <w:vAlign w:val="bottom"/>
          </w:tcPr>
          <w:p>
            <w:pPr>
              <w:ind w:left="80"/>
              <w:spacing w:after="0"/>
              <w:rPr>
                <w:sz w:val="20"/>
                <w:szCs w:val="20"/>
                <w:color w:val="auto"/>
              </w:rPr>
            </w:pPr>
            <w:r>
              <w:rPr>
                <w:rFonts w:ascii="Arial" w:cs="Arial" w:eastAsia="Arial" w:hAnsi="Arial"/>
                <w:sz w:val="18"/>
                <w:szCs w:val="18"/>
                <w:i w:val="1"/>
                <w:iCs w:val="1"/>
                <w:color w:val="auto"/>
              </w:rPr>
              <w:t>2006</w:t>
            </w:r>
          </w:p>
        </w:tc>
        <w:tc>
          <w:tcPr>
            <w:tcW w:w="340" w:type="dxa"/>
            <w:vAlign w:val="bottom"/>
          </w:tcPr>
          <w:p>
            <w:pPr>
              <w:ind w:left="20"/>
              <w:spacing w:after="0"/>
              <w:rPr>
                <w:sz w:val="20"/>
                <w:szCs w:val="20"/>
                <w:color w:val="auto"/>
              </w:rPr>
            </w:pPr>
            <w:r>
              <w:rPr>
                <w:rFonts w:ascii="Arial" w:cs="Arial" w:eastAsia="Arial" w:hAnsi="Arial"/>
                <w:sz w:val="18"/>
                <w:szCs w:val="18"/>
                <w:i w:val="1"/>
                <w:iCs w:val="1"/>
                <w:color w:val="auto"/>
              </w:rPr>
              <w:t>$</w:t>
            </w:r>
          </w:p>
        </w:tc>
        <w:tc>
          <w:tcPr>
            <w:tcW w:w="1280" w:type="dxa"/>
            <w:vAlign w:val="bottom"/>
          </w:tcPr>
          <w:p>
            <w:pPr>
              <w:jc w:val="right"/>
              <w:ind w:right="111"/>
              <w:spacing w:after="0"/>
              <w:rPr>
                <w:sz w:val="20"/>
                <w:szCs w:val="20"/>
                <w:color w:val="auto"/>
              </w:rPr>
            </w:pPr>
            <w:r>
              <w:rPr>
                <w:rFonts w:ascii="Arial" w:cs="Arial" w:eastAsia="Arial" w:hAnsi="Arial"/>
                <w:sz w:val="18"/>
                <w:szCs w:val="18"/>
                <w:i w:val="1"/>
                <w:iCs w:val="1"/>
                <w:color w:val="auto"/>
              </w:rPr>
              <w:t>548.5</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i w:val="1"/>
                <w:iCs w:val="1"/>
                <w:color w:val="auto"/>
              </w:rPr>
              <w:t>13.9%</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i w:val="1"/>
                <w:iCs w:val="1"/>
                <w:color w:val="auto"/>
              </w:rPr>
              <w:t>8.1%</w:t>
            </w:r>
          </w:p>
        </w:tc>
        <w:tc>
          <w:tcPr>
            <w:tcW w:w="1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i w:val="1"/>
                <w:iCs w:val="1"/>
                <w:color w:val="auto"/>
              </w:rPr>
              <w:t>5.8 %</w:t>
            </w:r>
          </w:p>
        </w:tc>
        <w:tc>
          <w:tcPr>
            <w:tcW w:w="0" w:type="dxa"/>
            <w:vAlign w:val="bottom"/>
          </w:tcPr>
          <w:p>
            <w:pPr>
              <w:spacing w:after="0"/>
              <w:rPr>
                <w:sz w:val="1"/>
                <w:szCs w:val="1"/>
                <w:color w:val="auto"/>
              </w:rPr>
            </w:pPr>
          </w:p>
        </w:tc>
      </w:tr>
      <w:tr>
        <w:trPr>
          <w:trHeight w:val="54"/>
        </w:trPr>
        <w:tc>
          <w:tcPr>
            <w:tcW w:w="4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3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2007</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w:t>
            </w:r>
          </w:p>
        </w:tc>
        <w:tc>
          <w:tcPr>
            <w:tcW w:w="1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i w:val="1"/>
                <w:iCs w:val="1"/>
                <w:color w:val="auto"/>
              </w:rPr>
              <w:t>710.1</w:t>
            </w:r>
          </w:p>
        </w:tc>
        <w:tc>
          <w:tcPr>
            <w:tcW w:w="10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11.9%</w:t>
            </w:r>
          </w:p>
        </w:tc>
        <w:tc>
          <w:tcPr>
            <w:tcW w:w="12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7.0%</w:t>
            </w:r>
          </w:p>
        </w:tc>
        <w:tc>
          <w:tcPr>
            <w:tcW w:w="10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4.9 %</w:t>
            </w:r>
          </w:p>
        </w:tc>
        <w:tc>
          <w:tcPr>
            <w:tcW w:w="0" w:type="dxa"/>
            <w:vAlign w:val="bottom"/>
          </w:tcPr>
          <w:p>
            <w:pPr>
              <w:spacing w:after="0"/>
              <w:rPr>
                <w:sz w:val="1"/>
                <w:szCs w:val="1"/>
                <w:color w:val="auto"/>
              </w:rPr>
            </w:pPr>
          </w:p>
        </w:tc>
      </w:tr>
      <w:tr>
        <w:trPr>
          <w:trHeight w:val="243"/>
        </w:trPr>
        <w:tc>
          <w:tcPr>
            <w:tcW w:w="4320" w:type="dxa"/>
            <w:vAlign w:val="bottom"/>
          </w:tcPr>
          <w:p>
            <w:pPr>
              <w:ind w:left="80"/>
              <w:spacing w:after="0"/>
              <w:rPr>
                <w:sz w:val="20"/>
                <w:szCs w:val="20"/>
                <w:color w:val="auto"/>
              </w:rPr>
            </w:pPr>
            <w:r>
              <w:rPr>
                <w:rFonts w:ascii="Arial" w:cs="Arial" w:eastAsia="Arial" w:hAnsi="Arial"/>
                <w:sz w:val="18"/>
                <w:szCs w:val="18"/>
                <w:i w:val="1"/>
                <w:iCs w:val="1"/>
                <w:color w:val="auto"/>
              </w:rPr>
              <w:t>2008</w:t>
            </w:r>
          </w:p>
        </w:tc>
        <w:tc>
          <w:tcPr>
            <w:tcW w:w="340" w:type="dxa"/>
            <w:vAlign w:val="bottom"/>
          </w:tcPr>
          <w:p>
            <w:pPr>
              <w:ind w:left="20"/>
              <w:spacing w:after="0"/>
              <w:rPr>
                <w:sz w:val="20"/>
                <w:szCs w:val="20"/>
                <w:color w:val="auto"/>
              </w:rPr>
            </w:pPr>
            <w:r>
              <w:rPr>
                <w:rFonts w:ascii="Arial" w:cs="Arial" w:eastAsia="Arial" w:hAnsi="Arial"/>
                <w:sz w:val="18"/>
                <w:szCs w:val="18"/>
                <w:i w:val="1"/>
                <w:iCs w:val="1"/>
                <w:color w:val="auto"/>
              </w:rPr>
              <w:t>$</w:t>
            </w:r>
          </w:p>
        </w:tc>
        <w:tc>
          <w:tcPr>
            <w:tcW w:w="1280" w:type="dxa"/>
            <w:vAlign w:val="bottom"/>
          </w:tcPr>
          <w:p>
            <w:pPr>
              <w:jc w:val="right"/>
              <w:ind w:right="111"/>
              <w:spacing w:after="0"/>
              <w:rPr>
                <w:sz w:val="20"/>
                <w:szCs w:val="20"/>
                <w:color w:val="auto"/>
              </w:rPr>
            </w:pPr>
            <w:r>
              <w:rPr>
                <w:rFonts w:ascii="Arial" w:cs="Arial" w:eastAsia="Arial" w:hAnsi="Arial"/>
                <w:sz w:val="18"/>
                <w:szCs w:val="18"/>
                <w:i w:val="1"/>
                <w:iCs w:val="1"/>
                <w:color w:val="auto"/>
              </w:rPr>
              <w:t>975.0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i w:val="1"/>
                <w:iCs w:val="1"/>
                <w:color w:val="auto"/>
              </w:rPr>
              <w:t>11.3%</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i w:val="1"/>
                <w:iCs w:val="1"/>
                <w:color w:val="auto"/>
              </w:rPr>
              <w:t>6.4%</w:t>
            </w:r>
          </w:p>
        </w:tc>
        <w:tc>
          <w:tcPr>
            <w:tcW w:w="1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i w:val="1"/>
                <w:iCs w:val="1"/>
                <w:color w:val="auto"/>
              </w:rPr>
              <w:t>4.9 %</w:t>
            </w:r>
          </w:p>
        </w:tc>
        <w:tc>
          <w:tcPr>
            <w:tcW w:w="0" w:type="dxa"/>
            <w:vAlign w:val="bottom"/>
          </w:tcPr>
          <w:p>
            <w:pPr>
              <w:spacing w:after="0"/>
              <w:rPr>
                <w:sz w:val="1"/>
                <w:szCs w:val="1"/>
                <w:color w:val="auto"/>
              </w:rPr>
            </w:pPr>
          </w:p>
        </w:tc>
      </w:tr>
      <w:tr>
        <w:trPr>
          <w:trHeight w:val="54"/>
        </w:trPr>
        <w:tc>
          <w:tcPr>
            <w:tcW w:w="4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3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2009</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w:t>
            </w:r>
          </w:p>
        </w:tc>
        <w:tc>
          <w:tcPr>
            <w:tcW w:w="1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i w:val="1"/>
                <w:iCs w:val="1"/>
                <w:color w:val="auto"/>
              </w:rPr>
              <w:t>998.7</w:t>
            </w:r>
          </w:p>
        </w:tc>
        <w:tc>
          <w:tcPr>
            <w:tcW w:w="10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14.6%</w:t>
            </w:r>
          </w:p>
        </w:tc>
        <w:tc>
          <w:tcPr>
            <w:tcW w:w="12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6.7%</w:t>
            </w:r>
          </w:p>
        </w:tc>
        <w:tc>
          <w:tcPr>
            <w:tcW w:w="10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7.9 %</w:t>
            </w:r>
          </w:p>
        </w:tc>
        <w:tc>
          <w:tcPr>
            <w:tcW w:w="0" w:type="dxa"/>
            <w:vAlign w:val="bottom"/>
          </w:tcPr>
          <w:p>
            <w:pPr>
              <w:spacing w:after="0"/>
              <w:rPr>
                <w:sz w:val="1"/>
                <w:szCs w:val="1"/>
                <w:color w:val="auto"/>
              </w:rPr>
            </w:pPr>
          </w:p>
        </w:tc>
      </w:tr>
      <w:tr>
        <w:trPr>
          <w:trHeight w:val="243"/>
        </w:trPr>
        <w:tc>
          <w:tcPr>
            <w:tcW w:w="4320" w:type="dxa"/>
            <w:vAlign w:val="bottom"/>
          </w:tcPr>
          <w:p>
            <w:pPr>
              <w:ind w:left="80"/>
              <w:spacing w:after="0"/>
              <w:rPr>
                <w:sz w:val="20"/>
                <w:szCs w:val="20"/>
                <w:color w:val="auto"/>
              </w:rPr>
            </w:pPr>
            <w:r>
              <w:rPr>
                <w:rFonts w:ascii="Arial" w:cs="Arial" w:eastAsia="Arial" w:hAnsi="Arial"/>
                <w:sz w:val="18"/>
                <w:szCs w:val="18"/>
                <w:i w:val="1"/>
                <w:iCs w:val="1"/>
                <w:color w:val="auto"/>
              </w:rPr>
              <w:t>2010</w:t>
            </w:r>
          </w:p>
        </w:tc>
        <w:tc>
          <w:tcPr>
            <w:tcW w:w="340" w:type="dxa"/>
            <w:vAlign w:val="bottom"/>
          </w:tcPr>
          <w:p>
            <w:pPr>
              <w:ind w:left="20"/>
              <w:spacing w:after="0"/>
              <w:rPr>
                <w:sz w:val="20"/>
                <w:szCs w:val="20"/>
                <w:color w:val="auto"/>
              </w:rPr>
            </w:pPr>
            <w:r>
              <w:rPr>
                <w:rFonts w:ascii="Arial" w:cs="Arial" w:eastAsia="Arial" w:hAnsi="Arial"/>
                <w:sz w:val="18"/>
                <w:szCs w:val="18"/>
                <w:i w:val="1"/>
                <w:iCs w:val="1"/>
                <w:color w:val="auto"/>
              </w:rPr>
              <w:t>$</w:t>
            </w:r>
          </w:p>
        </w:tc>
        <w:tc>
          <w:tcPr>
            <w:tcW w:w="1280" w:type="dxa"/>
            <w:vAlign w:val="bottom"/>
          </w:tcPr>
          <w:p>
            <w:pPr>
              <w:jc w:val="right"/>
              <w:ind w:right="111"/>
              <w:spacing w:after="0"/>
              <w:rPr>
                <w:sz w:val="20"/>
                <w:szCs w:val="20"/>
                <w:color w:val="auto"/>
              </w:rPr>
            </w:pPr>
            <w:r>
              <w:rPr>
                <w:rFonts w:ascii="Arial" w:cs="Arial" w:eastAsia="Arial" w:hAnsi="Arial"/>
                <w:sz w:val="18"/>
                <w:szCs w:val="18"/>
                <w:i w:val="1"/>
                <w:iCs w:val="1"/>
                <w:color w:val="auto"/>
              </w:rPr>
              <w:t>1,074.2</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i w:val="1"/>
                <w:iCs w:val="1"/>
                <w:color w:val="auto"/>
              </w:rPr>
              <w:t>17.7%</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i w:val="1"/>
                <w:iCs w:val="1"/>
                <w:color w:val="auto"/>
              </w:rPr>
              <w:t>7.2%</w:t>
            </w:r>
          </w:p>
        </w:tc>
        <w:tc>
          <w:tcPr>
            <w:tcW w:w="1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i w:val="1"/>
                <w:iCs w:val="1"/>
                <w:color w:val="auto"/>
              </w:rPr>
              <w:t>10.5 %</w:t>
            </w:r>
          </w:p>
        </w:tc>
        <w:tc>
          <w:tcPr>
            <w:tcW w:w="0" w:type="dxa"/>
            <w:vAlign w:val="bottom"/>
          </w:tcPr>
          <w:p>
            <w:pPr>
              <w:spacing w:after="0"/>
              <w:rPr>
                <w:sz w:val="1"/>
                <w:szCs w:val="1"/>
                <w:color w:val="auto"/>
              </w:rPr>
            </w:pPr>
          </w:p>
        </w:tc>
      </w:tr>
      <w:tr>
        <w:trPr>
          <w:trHeight w:val="54"/>
        </w:trPr>
        <w:tc>
          <w:tcPr>
            <w:tcW w:w="4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3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2011</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w:t>
            </w:r>
          </w:p>
        </w:tc>
        <w:tc>
          <w:tcPr>
            <w:tcW w:w="1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i w:val="1"/>
                <w:iCs w:val="1"/>
                <w:color w:val="auto"/>
              </w:rPr>
              <w:t>1,371.1</w:t>
            </w:r>
          </w:p>
        </w:tc>
        <w:tc>
          <w:tcPr>
            <w:tcW w:w="10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16.8%</w:t>
            </w:r>
          </w:p>
        </w:tc>
        <w:tc>
          <w:tcPr>
            <w:tcW w:w="12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6.4%</w:t>
            </w:r>
          </w:p>
        </w:tc>
        <w:tc>
          <w:tcPr>
            <w:tcW w:w="10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10.4 %</w:t>
            </w:r>
          </w:p>
        </w:tc>
        <w:tc>
          <w:tcPr>
            <w:tcW w:w="0" w:type="dxa"/>
            <w:vAlign w:val="bottom"/>
          </w:tcPr>
          <w:p>
            <w:pPr>
              <w:spacing w:after="0"/>
              <w:rPr>
                <w:sz w:val="1"/>
                <w:szCs w:val="1"/>
                <w:color w:val="auto"/>
              </w:rPr>
            </w:pPr>
          </w:p>
        </w:tc>
      </w:tr>
      <w:tr>
        <w:trPr>
          <w:trHeight w:val="243"/>
        </w:trPr>
        <w:tc>
          <w:tcPr>
            <w:tcW w:w="4320" w:type="dxa"/>
            <w:vAlign w:val="bottom"/>
          </w:tcPr>
          <w:p>
            <w:pPr>
              <w:ind w:left="80"/>
              <w:spacing w:after="0"/>
              <w:rPr>
                <w:sz w:val="20"/>
                <w:szCs w:val="20"/>
                <w:color w:val="auto"/>
              </w:rPr>
            </w:pPr>
            <w:r>
              <w:rPr>
                <w:rFonts w:ascii="Arial" w:cs="Arial" w:eastAsia="Arial" w:hAnsi="Arial"/>
                <w:sz w:val="18"/>
                <w:szCs w:val="18"/>
                <w:i w:val="1"/>
                <w:iCs w:val="1"/>
                <w:color w:val="auto"/>
              </w:rPr>
              <w:t>2012</w:t>
            </w:r>
          </w:p>
        </w:tc>
        <w:tc>
          <w:tcPr>
            <w:tcW w:w="340" w:type="dxa"/>
            <w:vAlign w:val="bottom"/>
          </w:tcPr>
          <w:p>
            <w:pPr>
              <w:ind w:left="20"/>
              <w:spacing w:after="0"/>
              <w:rPr>
                <w:sz w:val="20"/>
                <w:szCs w:val="20"/>
                <w:color w:val="auto"/>
              </w:rPr>
            </w:pPr>
            <w:r>
              <w:rPr>
                <w:rFonts w:ascii="Arial" w:cs="Arial" w:eastAsia="Arial" w:hAnsi="Arial"/>
                <w:sz w:val="18"/>
                <w:szCs w:val="18"/>
                <w:i w:val="1"/>
                <w:iCs w:val="1"/>
                <w:color w:val="auto"/>
              </w:rPr>
              <w:t>$</w:t>
            </w:r>
          </w:p>
        </w:tc>
        <w:tc>
          <w:tcPr>
            <w:tcW w:w="1280" w:type="dxa"/>
            <w:vAlign w:val="bottom"/>
          </w:tcPr>
          <w:p>
            <w:pPr>
              <w:jc w:val="right"/>
              <w:ind w:right="111"/>
              <w:spacing w:after="0"/>
              <w:rPr>
                <w:sz w:val="20"/>
                <w:szCs w:val="20"/>
                <w:color w:val="auto"/>
              </w:rPr>
            </w:pPr>
            <w:r>
              <w:rPr>
                <w:rFonts w:ascii="Arial" w:cs="Arial" w:eastAsia="Arial" w:hAnsi="Arial"/>
                <w:sz w:val="18"/>
                <w:szCs w:val="18"/>
                <w:i w:val="1"/>
                <w:iCs w:val="1"/>
                <w:color w:val="auto"/>
              </w:rPr>
              <w:t>1,742.8</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i w:val="1"/>
                <w:iCs w:val="1"/>
                <w:color w:val="auto"/>
              </w:rPr>
              <w:t>14.7%</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i w:val="1"/>
                <w:iCs w:val="1"/>
                <w:color w:val="auto"/>
              </w:rPr>
              <w:t>5.5%</w:t>
            </w:r>
          </w:p>
        </w:tc>
        <w:tc>
          <w:tcPr>
            <w:tcW w:w="1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i w:val="1"/>
                <w:iCs w:val="1"/>
                <w:color w:val="auto"/>
              </w:rPr>
              <w:t>9.2 %</w:t>
            </w:r>
          </w:p>
        </w:tc>
        <w:tc>
          <w:tcPr>
            <w:tcW w:w="0" w:type="dxa"/>
            <w:vAlign w:val="bottom"/>
          </w:tcPr>
          <w:p>
            <w:pPr>
              <w:spacing w:after="0"/>
              <w:rPr>
                <w:sz w:val="1"/>
                <w:szCs w:val="1"/>
                <w:color w:val="auto"/>
              </w:rPr>
            </w:pPr>
          </w:p>
        </w:tc>
      </w:tr>
      <w:tr>
        <w:trPr>
          <w:trHeight w:val="54"/>
        </w:trPr>
        <w:tc>
          <w:tcPr>
            <w:tcW w:w="4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3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2013</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w:t>
            </w:r>
          </w:p>
        </w:tc>
        <w:tc>
          <w:tcPr>
            <w:tcW w:w="1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i w:val="1"/>
                <w:iCs w:val="1"/>
                <w:color w:val="auto"/>
              </w:rPr>
              <w:t>2,049.2</w:t>
            </w:r>
          </w:p>
        </w:tc>
        <w:tc>
          <w:tcPr>
            <w:tcW w:w="10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14.1%</w:t>
            </w:r>
          </w:p>
        </w:tc>
        <w:tc>
          <w:tcPr>
            <w:tcW w:w="12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5.7%</w:t>
            </w:r>
          </w:p>
        </w:tc>
        <w:tc>
          <w:tcPr>
            <w:tcW w:w="10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8.4 %</w:t>
            </w:r>
          </w:p>
        </w:tc>
        <w:tc>
          <w:tcPr>
            <w:tcW w:w="0" w:type="dxa"/>
            <w:vAlign w:val="bottom"/>
          </w:tcPr>
          <w:p>
            <w:pPr>
              <w:spacing w:after="0"/>
              <w:rPr>
                <w:sz w:val="1"/>
                <w:szCs w:val="1"/>
                <w:color w:val="auto"/>
              </w:rPr>
            </w:pPr>
          </w:p>
        </w:tc>
      </w:tr>
      <w:tr>
        <w:trPr>
          <w:trHeight w:val="243"/>
        </w:trPr>
        <w:tc>
          <w:tcPr>
            <w:tcW w:w="4320" w:type="dxa"/>
            <w:vAlign w:val="bottom"/>
          </w:tcPr>
          <w:p>
            <w:pPr>
              <w:ind w:left="80"/>
              <w:spacing w:after="0"/>
              <w:rPr>
                <w:sz w:val="20"/>
                <w:szCs w:val="20"/>
                <w:color w:val="auto"/>
              </w:rPr>
            </w:pPr>
            <w:r>
              <w:rPr>
                <w:rFonts w:ascii="Arial" w:cs="Arial" w:eastAsia="Arial" w:hAnsi="Arial"/>
                <w:sz w:val="18"/>
                <w:szCs w:val="18"/>
                <w:i w:val="1"/>
                <w:iCs w:val="1"/>
                <w:color w:val="auto"/>
              </w:rPr>
              <w:t>2014</w:t>
            </w:r>
          </w:p>
        </w:tc>
        <w:tc>
          <w:tcPr>
            <w:tcW w:w="340" w:type="dxa"/>
            <w:vAlign w:val="bottom"/>
          </w:tcPr>
          <w:p>
            <w:pPr>
              <w:ind w:left="20"/>
              <w:spacing w:after="0"/>
              <w:rPr>
                <w:sz w:val="20"/>
                <w:szCs w:val="20"/>
                <w:color w:val="auto"/>
              </w:rPr>
            </w:pPr>
            <w:r>
              <w:rPr>
                <w:rFonts w:ascii="Arial" w:cs="Arial" w:eastAsia="Arial" w:hAnsi="Arial"/>
                <w:sz w:val="18"/>
                <w:szCs w:val="18"/>
                <w:i w:val="1"/>
                <w:iCs w:val="1"/>
                <w:color w:val="auto"/>
              </w:rPr>
              <w:t>$</w:t>
            </w:r>
          </w:p>
        </w:tc>
        <w:tc>
          <w:tcPr>
            <w:tcW w:w="1280" w:type="dxa"/>
            <w:vAlign w:val="bottom"/>
          </w:tcPr>
          <w:p>
            <w:pPr>
              <w:jc w:val="right"/>
              <w:ind w:right="111"/>
              <w:spacing w:after="0"/>
              <w:rPr>
                <w:sz w:val="20"/>
                <w:szCs w:val="20"/>
                <w:color w:val="auto"/>
              </w:rPr>
            </w:pPr>
            <w:r>
              <w:rPr>
                <w:rFonts w:ascii="Arial" w:cs="Arial" w:eastAsia="Arial" w:hAnsi="Arial"/>
                <w:sz w:val="18"/>
                <w:szCs w:val="18"/>
                <w:i w:val="1"/>
                <w:iCs w:val="1"/>
                <w:color w:val="auto"/>
              </w:rPr>
              <w:t>2,338.1</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i w:val="1"/>
                <w:iCs w:val="1"/>
                <w:color w:val="auto"/>
              </w:rPr>
              <w:t>13.2%</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i w:val="1"/>
                <w:iCs w:val="1"/>
                <w:color w:val="auto"/>
              </w:rPr>
              <w:t>5.3%</w:t>
            </w:r>
          </w:p>
        </w:tc>
        <w:tc>
          <w:tcPr>
            <w:tcW w:w="1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i w:val="1"/>
                <w:iCs w:val="1"/>
                <w:color w:val="auto"/>
              </w:rPr>
              <w:t>7.9 %</w:t>
            </w:r>
          </w:p>
        </w:tc>
        <w:tc>
          <w:tcPr>
            <w:tcW w:w="0" w:type="dxa"/>
            <w:vAlign w:val="bottom"/>
          </w:tcPr>
          <w:p>
            <w:pPr>
              <w:spacing w:after="0"/>
              <w:rPr>
                <w:sz w:val="1"/>
                <w:szCs w:val="1"/>
                <w:color w:val="auto"/>
              </w:rPr>
            </w:pPr>
          </w:p>
        </w:tc>
      </w:tr>
      <w:tr>
        <w:trPr>
          <w:trHeight w:val="54"/>
        </w:trPr>
        <w:tc>
          <w:tcPr>
            <w:tcW w:w="4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3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2015</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w:t>
            </w:r>
          </w:p>
        </w:tc>
        <w:tc>
          <w:tcPr>
            <w:tcW w:w="1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i w:val="1"/>
                <w:iCs w:val="1"/>
                <w:color w:val="auto"/>
              </w:rPr>
              <w:t>2,831.9</w:t>
            </w:r>
          </w:p>
        </w:tc>
        <w:tc>
          <w:tcPr>
            <w:tcW w:w="10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12.7%</w:t>
            </w:r>
          </w:p>
        </w:tc>
        <w:tc>
          <w:tcPr>
            <w:tcW w:w="12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5.0%</w:t>
            </w:r>
          </w:p>
        </w:tc>
        <w:tc>
          <w:tcPr>
            <w:tcW w:w="10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7.7 %</w:t>
            </w:r>
          </w:p>
        </w:tc>
        <w:tc>
          <w:tcPr>
            <w:tcW w:w="0" w:type="dxa"/>
            <w:vAlign w:val="bottom"/>
          </w:tcPr>
          <w:p>
            <w:pPr>
              <w:spacing w:after="0"/>
              <w:rPr>
                <w:sz w:val="1"/>
                <w:szCs w:val="1"/>
                <w:color w:val="auto"/>
              </w:rPr>
            </w:pPr>
          </w:p>
        </w:tc>
      </w:tr>
      <w:tr>
        <w:trPr>
          <w:trHeight w:val="243"/>
        </w:trPr>
        <w:tc>
          <w:tcPr>
            <w:tcW w:w="4320" w:type="dxa"/>
            <w:vAlign w:val="bottom"/>
          </w:tcPr>
          <w:p>
            <w:pPr>
              <w:ind w:left="80"/>
              <w:spacing w:after="0"/>
              <w:rPr>
                <w:sz w:val="20"/>
                <w:szCs w:val="20"/>
                <w:color w:val="auto"/>
              </w:rPr>
            </w:pPr>
            <w:r>
              <w:rPr>
                <w:rFonts w:ascii="Arial" w:cs="Arial" w:eastAsia="Arial" w:hAnsi="Arial"/>
                <w:sz w:val="18"/>
                <w:szCs w:val="18"/>
                <w:i w:val="1"/>
                <w:iCs w:val="1"/>
                <w:color w:val="auto"/>
              </w:rPr>
              <w:t>2016</w:t>
            </w:r>
          </w:p>
        </w:tc>
        <w:tc>
          <w:tcPr>
            <w:tcW w:w="340" w:type="dxa"/>
            <w:vAlign w:val="bottom"/>
          </w:tcPr>
          <w:p>
            <w:pPr>
              <w:ind w:left="20"/>
              <w:spacing w:after="0"/>
              <w:rPr>
                <w:sz w:val="20"/>
                <w:szCs w:val="20"/>
                <w:color w:val="auto"/>
              </w:rPr>
            </w:pPr>
            <w:r>
              <w:rPr>
                <w:rFonts w:ascii="Arial" w:cs="Arial" w:eastAsia="Arial" w:hAnsi="Arial"/>
                <w:sz w:val="18"/>
                <w:szCs w:val="18"/>
                <w:i w:val="1"/>
                <w:iCs w:val="1"/>
                <w:color w:val="auto"/>
              </w:rPr>
              <w:t>$</w:t>
            </w:r>
          </w:p>
        </w:tc>
        <w:tc>
          <w:tcPr>
            <w:tcW w:w="1280" w:type="dxa"/>
            <w:vAlign w:val="bottom"/>
          </w:tcPr>
          <w:p>
            <w:pPr>
              <w:jc w:val="right"/>
              <w:ind w:right="111"/>
              <w:spacing w:after="0"/>
              <w:rPr>
                <w:sz w:val="20"/>
                <w:szCs w:val="20"/>
                <w:color w:val="auto"/>
              </w:rPr>
            </w:pPr>
            <w:r>
              <w:rPr>
                <w:rFonts w:ascii="Arial" w:cs="Arial" w:eastAsia="Arial" w:hAnsi="Arial"/>
                <w:sz w:val="18"/>
                <w:szCs w:val="18"/>
                <w:i w:val="1"/>
                <w:iCs w:val="1"/>
                <w:color w:val="auto"/>
              </w:rPr>
              <w:t>3,572.0</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i w:val="1"/>
                <w:iCs w:val="1"/>
                <w:color w:val="auto"/>
              </w:rPr>
              <w:t>11.9%</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i w:val="1"/>
                <w:iCs w:val="1"/>
                <w:color w:val="auto"/>
              </w:rPr>
              <w:t>5.0%</w:t>
            </w:r>
          </w:p>
        </w:tc>
        <w:tc>
          <w:tcPr>
            <w:tcW w:w="1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i w:val="1"/>
                <w:iCs w:val="1"/>
                <w:color w:val="auto"/>
              </w:rPr>
              <w:t>6.9 %</w:t>
            </w:r>
          </w:p>
        </w:tc>
        <w:tc>
          <w:tcPr>
            <w:tcW w:w="0" w:type="dxa"/>
            <w:vAlign w:val="bottom"/>
          </w:tcPr>
          <w:p>
            <w:pPr>
              <w:spacing w:after="0"/>
              <w:rPr>
                <w:sz w:val="1"/>
                <w:szCs w:val="1"/>
                <w:color w:val="auto"/>
              </w:rPr>
            </w:pPr>
          </w:p>
        </w:tc>
      </w:tr>
      <w:tr>
        <w:trPr>
          <w:trHeight w:val="54"/>
        </w:trPr>
        <w:tc>
          <w:tcPr>
            <w:tcW w:w="4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3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2017</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w:t>
            </w:r>
          </w:p>
        </w:tc>
        <w:tc>
          <w:tcPr>
            <w:tcW w:w="1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i w:val="1"/>
                <w:iCs w:val="1"/>
                <w:color w:val="auto"/>
              </w:rPr>
              <w:t>4,276.4</w:t>
            </w:r>
          </w:p>
        </w:tc>
        <w:tc>
          <w:tcPr>
            <w:tcW w:w="10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11.2%</w:t>
            </w:r>
          </w:p>
        </w:tc>
        <w:tc>
          <w:tcPr>
            <w:tcW w:w="12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5.2%</w:t>
            </w:r>
          </w:p>
        </w:tc>
        <w:tc>
          <w:tcPr>
            <w:tcW w:w="10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6.0 %</w:t>
            </w:r>
          </w:p>
        </w:tc>
        <w:tc>
          <w:tcPr>
            <w:tcW w:w="0" w:type="dxa"/>
            <w:vAlign w:val="bottom"/>
          </w:tcPr>
          <w:p>
            <w:pPr>
              <w:spacing w:after="0"/>
              <w:rPr>
                <w:sz w:val="1"/>
                <w:szCs w:val="1"/>
                <w:color w:val="auto"/>
              </w:rPr>
            </w:pPr>
          </w:p>
        </w:tc>
      </w:tr>
      <w:tr>
        <w:trPr>
          <w:trHeight w:val="243"/>
        </w:trPr>
        <w:tc>
          <w:tcPr>
            <w:tcW w:w="4320" w:type="dxa"/>
            <w:vAlign w:val="bottom"/>
          </w:tcPr>
          <w:p>
            <w:pPr>
              <w:ind w:left="80"/>
              <w:spacing w:after="0"/>
              <w:rPr>
                <w:sz w:val="20"/>
                <w:szCs w:val="20"/>
                <w:color w:val="auto"/>
              </w:rPr>
            </w:pPr>
            <w:r>
              <w:rPr>
                <w:rFonts w:ascii="Arial" w:cs="Arial" w:eastAsia="Arial" w:hAnsi="Arial"/>
                <w:sz w:val="18"/>
                <w:szCs w:val="18"/>
                <w:i w:val="1"/>
                <w:iCs w:val="1"/>
                <w:color w:val="auto"/>
              </w:rPr>
              <w:t>2018</w:t>
            </w:r>
          </w:p>
        </w:tc>
        <w:tc>
          <w:tcPr>
            <w:tcW w:w="340" w:type="dxa"/>
            <w:vAlign w:val="bottom"/>
          </w:tcPr>
          <w:p>
            <w:pPr>
              <w:ind w:left="20"/>
              <w:spacing w:after="0"/>
              <w:rPr>
                <w:sz w:val="20"/>
                <w:szCs w:val="20"/>
                <w:color w:val="auto"/>
              </w:rPr>
            </w:pPr>
            <w:r>
              <w:rPr>
                <w:rFonts w:ascii="Arial" w:cs="Arial" w:eastAsia="Arial" w:hAnsi="Arial"/>
                <w:sz w:val="18"/>
                <w:szCs w:val="18"/>
                <w:i w:val="1"/>
                <w:iCs w:val="1"/>
                <w:color w:val="auto"/>
              </w:rPr>
              <w:t>$</w:t>
            </w:r>
          </w:p>
        </w:tc>
        <w:tc>
          <w:tcPr>
            <w:tcW w:w="1280" w:type="dxa"/>
            <w:vAlign w:val="bottom"/>
          </w:tcPr>
          <w:p>
            <w:pPr>
              <w:jc w:val="right"/>
              <w:ind w:right="111"/>
              <w:spacing w:after="0"/>
              <w:rPr>
                <w:sz w:val="20"/>
                <w:szCs w:val="20"/>
                <w:color w:val="auto"/>
              </w:rPr>
            </w:pPr>
            <w:r>
              <w:rPr>
                <w:rFonts w:ascii="Arial" w:cs="Arial" w:eastAsia="Arial" w:hAnsi="Arial"/>
                <w:sz w:val="18"/>
                <w:szCs w:val="18"/>
                <w:i w:val="1"/>
                <w:iCs w:val="1"/>
                <w:color w:val="auto"/>
              </w:rPr>
              <w:t>5,420.9</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i w:val="1"/>
                <w:iCs w:val="1"/>
                <w:color w:val="auto"/>
              </w:rPr>
              <w:t>12.5%</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i w:val="1"/>
                <w:iCs w:val="1"/>
                <w:color w:val="auto"/>
              </w:rPr>
              <w:t>6.2%</w:t>
            </w:r>
          </w:p>
        </w:tc>
        <w:tc>
          <w:tcPr>
            <w:tcW w:w="1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i w:val="1"/>
                <w:iCs w:val="1"/>
                <w:color w:val="auto"/>
              </w:rPr>
              <w:t>6.3 %</w:t>
            </w:r>
          </w:p>
        </w:tc>
        <w:tc>
          <w:tcPr>
            <w:tcW w:w="0" w:type="dxa"/>
            <w:vAlign w:val="bottom"/>
          </w:tcPr>
          <w:p>
            <w:pPr>
              <w:spacing w:after="0"/>
              <w:rPr>
                <w:sz w:val="1"/>
                <w:szCs w:val="1"/>
                <w:color w:val="auto"/>
              </w:rPr>
            </w:pPr>
          </w:p>
        </w:tc>
      </w:tr>
      <w:tr>
        <w:trPr>
          <w:trHeight w:val="54"/>
        </w:trPr>
        <w:tc>
          <w:tcPr>
            <w:tcW w:w="4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3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2019</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w:t>
            </w:r>
          </w:p>
        </w:tc>
        <w:tc>
          <w:tcPr>
            <w:tcW w:w="1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i w:val="1"/>
                <w:iCs w:val="1"/>
                <w:color w:val="auto"/>
              </w:rPr>
              <w:t>6,372.2</w:t>
            </w:r>
          </w:p>
        </w:tc>
        <w:tc>
          <w:tcPr>
            <w:tcW w:w="10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12.7%</w:t>
            </w:r>
          </w:p>
        </w:tc>
        <w:tc>
          <w:tcPr>
            <w:tcW w:w="12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6.0%</w:t>
            </w:r>
          </w:p>
        </w:tc>
        <w:tc>
          <w:tcPr>
            <w:tcW w:w="10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6.7 %</w:t>
            </w:r>
          </w:p>
        </w:tc>
        <w:tc>
          <w:tcPr>
            <w:tcW w:w="0" w:type="dxa"/>
            <w:vAlign w:val="bottom"/>
          </w:tcPr>
          <w:p>
            <w:pPr>
              <w:spacing w:after="0"/>
              <w:rPr>
                <w:sz w:val="1"/>
                <w:szCs w:val="1"/>
                <w:color w:val="auto"/>
              </w:rPr>
            </w:pPr>
          </w:p>
        </w:tc>
      </w:tr>
      <w:tr>
        <w:trPr>
          <w:trHeight w:val="402"/>
        </w:trPr>
        <w:tc>
          <w:tcPr>
            <w:tcW w:w="4320" w:type="dxa"/>
            <w:vAlign w:val="bottom"/>
          </w:tcPr>
          <w:p>
            <w:pPr>
              <w:ind w:left="80"/>
              <w:spacing w:after="0"/>
              <w:rPr>
                <w:sz w:val="20"/>
                <w:szCs w:val="20"/>
                <w:color w:val="auto"/>
              </w:rPr>
            </w:pPr>
            <w:r>
              <w:rPr>
                <w:rFonts w:ascii="Arial" w:cs="Arial" w:eastAsia="Arial" w:hAnsi="Arial"/>
                <w:sz w:val="18"/>
                <w:szCs w:val="18"/>
                <w:i w:val="1"/>
                <w:iCs w:val="1"/>
                <w:color w:val="auto"/>
              </w:rPr>
              <w:t>Compound annual growth rate 2001</w:t>
            </w:r>
            <w:r>
              <w:rPr>
                <w:rFonts w:ascii="Arial" w:cs="Arial" w:eastAsia="Arial" w:hAnsi="Arial"/>
                <w:sz w:val="21"/>
                <w:szCs w:val="21"/>
                <w:color w:val="auto"/>
              </w:rPr>
              <w:t>–</w:t>
            </w:r>
            <w:r>
              <w:rPr>
                <w:rFonts w:ascii="Arial" w:cs="Arial" w:eastAsia="Arial" w:hAnsi="Arial"/>
                <w:sz w:val="18"/>
                <w:szCs w:val="18"/>
                <w:i w:val="1"/>
                <w:iCs w:val="1"/>
                <w:color w:val="auto"/>
              </w:rPr>
              <w:t>2019</w:t>
            </w:r>
          </w:p>
        </w:tc>
        <w:tc>
          <w:tcPr>
            <w:tcW w:w="3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15.6%</w:t>
            </w: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4"/>
          <w:szCs w:val="14"/>
          <w:color w:val="auto"/>
        </w:rPr>
        <w:t>See Exhibit A for a reconciliation of the above adjusted financial measures to the most directly comparable GAAP financial measures.</w:t>
      </w:r>
    </w:p>
    <w:p>
      <w:pPr>
        <w:spacing w:after="0" w:line="191" w:lineRule="exact"/>
        <w:rPr>
          <w:sz w:val="20"/>
          <w:szCs w:val="20"/>
          <w:color w:val="auto"/>
        </w:rPr>
      </w:pPr>
    </w:p>
    <w:p>
      <w:pPr>
        <w:jc w:val="both"/>
        <w:ind w:right="560"/>
        <w:spacing w:after="0" w:line="253" w:lineRule="auto"/>
        <w:rPr>
          <w:sz w:val="20"/>
          <w:szCs w:val="20"/>
          <w:color w:val="auto"/>
        </w:rPr>
      </w:pPr>
      <w:r>
        <w:rPr>
          <w:rFonts w:ascii="Arial" w:cs="Arial" w:eastAsia="Arial" w:hAnsi="Arial"/>
          <w:sz w:val="22"/>
          <w:szCs w:val="22"/>
          <w:color w:val="auto"/>
        </w:rPr>
        <w:t>As the table shows, we earned less than our cost of capital in 2001 and 2002. Although we were making steady progress in improving per loan profitability during this period, we were forced to reduce originations in 2002 due to capital constraints, which negatively impacted the reported results.</w:t>
      </w:r>
    </w:p>
    <w:p>
      <w:pPr>
        <w:spacing w:after="0" w:line="185" w:lineRule="exact"/>
        <w:rPr>
          <w:sz w:val="20"/>
          <w:szCs w:val="20"/>
          <w:color w:val="auto"/>
        </w:rPr>
      </w:pPr>
    </w:p>
    <w:p>
      <w:pPr>
        <w:ind w:right="20"/>
        <w:spacing w:after="0" w:line="246" w:lineRule="auto"/>
        <w:rPr>
          <w:sz w:val="20"/>
          <w:szCs w:val="20"/>
          <w:color w:val="auto"/>
        </w:rPr>
      </w:pPr>
      <w:r>
        <w:rPr>
          <w:rFonts w:ascii="Arial" w:cs="Arial" w:eastAsia="Arial" w:hAnsi="Arial"/>
          <w:sz w:val="22"/>
          <w:szCs w:val="22"/>
          <w:color w:val="auto"/>
        </w:rPr>
        <w:t>In each year from 2003 through 2019, Economic Profit was positive, and in each of those years, Economic Profit improved. From 2003 to 2011, Economic Profit improved as a result of growth in average capital, higher returns on capital and lower costs of capital. In 2003 our return on capital was 9.7%. In 2011, as a result of a favorable competitive environment, it was 16.8%. Since 2011, almost all of the growth in Economic Profit has occurred from increasing average capital. In each year from 2011 through 2017, the return on capital declined as competition returned to our market. The trend reversed in 2018 as our return on capital improved, by 130 basis points, due to a change in the federal tax rate. In 2019, our return on capital increased again, but by only 20 basis points.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348" w:right="339" w:bottom="1440" w:gutter="0" w:footer="0" w:header="0"/>
        </w:sectPr>
      </w:pPr>
    </w:p>
    <w:bookmarkStart w:id="21" w:name="page22"/>
    <w:bookmarkEnd w:id="21"/>
    <w:p>
      <w:pPr>
        <w:jc w:val="both"/>
        <w:ind w:right="320"/>
        <w:spacing w:after="0" w:line="250" w:lineRule="auto"/>
        <w:rPr>
          <w:sz w:val="20"/>
          <w:szCs w:val="20"/>
          <w:color w:val="auto"/>
        </w:rPr>
      </w:pPr>
      <w:r>
        <w:rPr>
          <w:rFonts w:ascii="Arial" w:cs="Arial" w:eastAsia="Arial" w:hAnsi="Arial"/>
          <w:sz w:val="22"/>
          <w:szCs w:val="22"/>
          <w:color w:val="auto"/>
        </w:rPr>
        <w:t>There are several trends worth mentioning. First, we have grown adjusted average capital in each year since 2003. The growth has been due to an increase in the number of dealers using our program partially offset by a general decline in the volume per dealer. The decline in volume per dealer is discussed in a later section. In addition, an increase in the average size of each loan has also contributed to the growth in average capital.</w:t>
      </w:r>
    </w:p>
    <w:p>
      <w:pPr>
        <w:spacing w:after="0" w:line="188" w:lineRule="exact"/>
        <w:rPr>
          <w:sz w:val="20"/>
          <w:szCs w:val="20"/>
          <w:color w:val="auto"/>
        </w:rPr>
      </w:pPr>
    </w:p>
    <w:p>
      <w:pPr>
        <w:spacing w:after="0" w:line="294" w:lineRule="auto"/>
        <w:rPr>
          <w:sz w:val="20"/>
          <w:szCs w:val="20"/>
          <w:color w:val="auto"/>
        </w:rPr>
      </w:pPr>
      <w:r>
        <w:rPr>
          <w:rFonts w:ascii="Arial" w:cs="Arial" w:eastAsia="Arial" w:hAnsi="Arial"/>
          <w:sz w:val="19"/>
          <w:szCs w:val="19"/>
          <w:color w:val="auto"/>
        </w:rPr>
        <w:t>Second, while the return on capital has been volatile, expenses as a percentage of capital have declined for 12 of the last 13 years, from 15.1% in 2006 to 5.2% in 2019. We expect this trend to continue for as long as we grow, because of the fixed nature of a portion of our expenses. The volatility in the return on capital is due to the revenue component, which moves up and down based on the competitive environment. When the competitive environment is favorable, we reduce advance rates (the amount we pay the dealer at loan origination), and that increases our return. When the competitive environment worsens, the opposite occurs. But growing expenses more slowly than capital allows us to achieve greater returns in both favorable and unfavorable environments.</w:t>
      </w:r>
    </w:p>
    <w:p>
      <w:pPr>
        <w:spacing w:after="0" w:line="149" w:lineRule="exact"/>
        <w:rPr>
          <w:sz w:val="20"/>
          <w:szCs w:val="20"/>
          <w:color w:val="auto"/>
        </w:rPr>
      </w:pPr>
    </w:p>
    <w:p>
      <w:pPr>
        <w:ind w:right="240"/>
        <w:spacing w:after="0" w:line="259" w:lineRule="auto"/>
        <w:rPr>
          <w:sz w:val="20"/>
          <w:szCs w:val="20"/>
          <w:color w:val="auto"/>
        </w:rPr>
      </w:pPr>
      <w:r>
        <w:rPr>
          <w:rFonts w:ascii="Arial" w:cs="Arial" w:eastAsia="Arial" w:hAnsi="Arial"/>
          <w:sz w:val="21"/>
          <w:szCs w:val="21"/>
          <w:color w:val="auto"/>
        </w:rPr>
        <w:t>Finally, it will probably be very difficult to grow Economic Profit in 2020. The COVID-19 crisis will likely have a negative impact on loan performance, which will reduce our revenue yield. Although we increased Economic Profit by 27.1% last year, most of that increase was due to growth in adjusted average capital. But the latter improvement resulted primarily from origination growth that occurred in 2018, when the dollar amount of new loan originations grew 25.2%. Last year, that dollar amount grew only 4.9%. While the COVID-19 crisis may improve the competitive environment at some point during 2020, the initial impact has been to decrease loan volume, as many dealers have been forced to close or curtail operations to comply with stay-at-home orders. And those that have remained open have experienced lower demand. With modest growth in 2019 and a decrease in loan volume so far in 2020, average capital growth will likely slow in 2020. This, combined with an expected reduction in our revenue yield, will be hard to overcome.</w:t>
      </w:r>
    </w:p>
    <w:p>
      <w:pPr>
        <w:spacing w:after="0" w:line="179" w:lineRule="exact"/>
        <w:rPr>
          <w:sz w:val="20"/>
          <w:szCs w:val="20"/>
          <w:color w:val="auto"/>
        </w:rPr>
      </w:pPr>
    </w:p>
    <w:p>
      <w:pPr>
        <w:ind w:right="20"/>
        <w:spacing w:after="0" w:line="287" w:lineRule="auto"/>
        <w:rPr>
          <w:sz w:val="20"/>
          <w:szCs w:val="20"/>
          <w:color w:val="auto"/>
        </w:rPr>
      </w:pPr>
      <w:r>
        <w:rPr>
          <w:rFonts w:ascii="Arial" w:cs="Arial" w:eastAsia="Arial" w:hAnsi="Arial"/>
          <w:sz w:val="19"/>
          <w:szCs w:val="19"/>
          <w:color w:val="auto"/>
        </w:rPr>
        <w:t>We could achieve more loan volume and faster growth in average capital by increasing advance rates, but using Economic Profit as our primary financial performance measure means we need to carefully assess the impact of higher advance rates not just on volume but on the return on capital. As the spread between the return on capital and the weighted average cost of capital narrows, the break-even level of growth required to offset a further narrowing increases. For example, in 2011, when the spread between the adjusted return on capital and the weighted average cost of capital was 10.4%, a 100-basis-point reduction in this spread would have required growth in average capital of 10.6% in order to achieve an equivalent amount of Economic Profit (10.4% / (10.4% – 1.0%) – 1). Today, that same 100-basis-point reduction in the spread would require average capital growth of 17.5% (6.7% / (6.7% – 1.0%) – 1). This means that today, in contrast with 2011, we have limited ability to generate Economic Profit growth by pricing our product more aggressively. Pricing more aggressively would generate more volume and faster growth in average capital, but the reduction in our return on capital would, based on our current calculations, mean an overall reduction in the amount of Economic Profit we would be generating on new loans.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348" w:right="339" w:bottom="1440" w:gutter="0" w:footer="0" w:header="0"/>
        </w:sectPr>
      </w:pPr>
    </w:p>
    <w:bookmarkStart w:id="22" w:name="page23"/>
    <w:bookmarkEnd w:id="22"/>
    <w:p>
      <w:pPr>
        <w:spacing w:after="0" w:line="263" w:lineRule="auto"/>
        <w:rPr>
          <w:sz w:val="20"/>
          <w:szCs w:val="20"/>
          <w:color w:val="auto"/>
        </w:rPr>
      </w:pPr>
      <w:r>
        <w:rPr>
          <w:rFonts w:ascii="Arial" w:cs="Arial" w:eastAsia="Arial" w:hAnsi="Arial"/>
          <w:sz w:val="21"/>
          <w:szCs w:val="21"/>
          <w:color w:val="auto"/>
        </w:rPr>
        <w:t>Although it will be difficult to grow Economic Profit in 2020, we do think additional gains are possible, once this crisis is behind us. To the extent such gains occur, we expect they will be a direct result of our daily efforts to improve our product and our culture. What we won’t do is take risks that we think are unwise in an effort to grow beyond the natural constraints that are part of any business. We will continue to focus on what we know best and we will continue to invest your capital in ways we believe make sense. What we can’t invest with a margin of safety we will return to you.</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003066"/>
        </w:rPr>
        <w:t>LOAN PERFORMANCE</w:t>
      </w:r>
    </w:p>
    <w:p>
      <w:pPr>
        <w:spacing w:after="0" w:line="244" w:lineRule="exact"/>
        <w:rPr>
          <w:sz w:val="20"/>
          <w:szCs w:val="20"/>
          <w:color w:val="auto"/>
        </w:rPr>
      </w:pPr>
    </w:p>
    <w:p>
      <w:pPr>
        <w:ind w:right="260"/>
        <w:spacing w:after="0" w:line="343" w:lineRule="auto"/>
        <w:rPr>
          <w:sz w:val="20"/>
          <w:szCs w:val="20"/>
          <w:color w:val="auto"/>
        </w:rPr>
      </w:pPr>
      <w:r>
        <w:rPr>
          <w:rFonts w:ascii="Arial" w:cs="Arial" w:eastAsia="Arial" w:hAnsi="Arial"/>
          <w:sz w:val="19"/>
          <w:szCs w:val="19"/>
          <w:color w:val="auto"/>
        </w:rPr>
        <w:t>One of the most important variables determining our financial success is loan performance. The most critical time to correctly assess future loan performance is at loan inception, since that is when we determine the amount we pay to the dealer.</w:t>
      </w:r>
    </w:p>
    <w:p>
      <w:pPr>
        <w:spacing w:after="0" w:line="104"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At loan inception, we use a statistical model to estimate the expected collection rate for each loan. The statistical model is called a credit scorecard. Most consumer finance companies use such a tool to forecast the performance of the loans they originate. Our credit scorecard combines credit bureau data, customer data supplied in the credit application, vehicle data, dealer data, and data captured from the loan transaction such as the initial loan term or the amount of the down payment received from the customer.</w:t>
      </w:r>
    </w:p>
    <w:p>
      <w:pPr>
        <w:spacing w:after="0" w:line="3" w:lineRule="exact"/>
        <w:rPr>
          <w:sz w:val="20"/>
          <w:szCs w:val="20"/>
          <w:color w:val="auto"/>
        </w:rPr>
      </w:pPr>
    </w:p>
    <w:p>
      <w:pPr>
        <w:ind w:right="60"/>
        <w:spacing w:after="0" w:line="245" w:lineRule="auto"/>
        <w:rPr>
          <w:sz w:val="20"/>
          <w:szCs w:val="20"/>
          <w:color w:val="auto"/>
        </w:rPr>
      </w:pPr>
      <w:r>
        <w:rPr>
          <w:rFonts w:ascii="Arial" w:cs="Arial" w:eastAsia="Arial" w:hAnsi="Arial"/>
          <w:sz w:val="22"/>
          <w:szCs w:val="22"/>
          <w:color w:val="auto"/>
        </w:rPr>
        <w:t>We developed our first credit scorecard in 1998 and have revised it several times since then. An accurate credit scorecard allows us to properly price new loan originations, which improves the probability that we will actually realize our expected returns on capital.</w:t>
      </w:r>
    </w:p>
    <w:p>
      <w:pPr>
        <w:spacing w:after="0" w:line="193"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Subsequent to loan inception, we continue to evaluate the expected collection rate for each loan. Our evaluation becomes more accurate as the loans age, since we use actual loan performance data in our forecast. By comparing our current expected collection rate for each loan with the rate we projected at the time of origination, we are able to assess the accuracy of that initial forecast.</w:t>
      </w: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60"/>
          </w:cols>
          <w:pgMar w:left="320" w:top="348" w:right="419" w:bottom="1440" w:gutter="0" w:footer="0" w:header="0"/>
        </w:sectPr>
      </w:pPr>
    </w:p>
    <w:bookmarkStart w:id="23" w:name="page24"/>
    <w:bookmarkEnd w:id="23"/>
    <w:p>
      <w:pPr>
        <w:ind w:right="120"/>
        <w:spacing w:after="0" w:line="263" w:lineRule="auto"/>
        <w:rPr>
          <w:sz w:val="20"/>
          <w:szCs w:val="20"/>
          <w:color w:val="auto"/>
        </w:rPr>
      </w:pPr>
      <w:r>
        <w:rPr>
          <w:rFonts w:ascii="Arial" w:cs="Arial" w:eastAsia="Arial" w:hAnsi="Arial"/>
          <w:sz w:val="22"/>
          <w:szCs w:val="22"/>
          <w:color w:val="auto"/>
        </w:rPr>
        <w:t>The following table compares, for each of the last 19 years, our December 31, 2019 forecast of loan performance with our initial forecast: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218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 2019, forecast</w:t>
            </w:r>
          </w:p>
        </w:tc>
        <w:tc>
          <w:tcPr>
            <w:tcW w:w="2060" w:type="dxa"/>
            <w:vAlign w:val="bottom"/>
            <w:gridSpan w:val="2"/>
          </w:tcPr>
          <w:p>
            <w:pPr>
              <w:ind w:left="520"/>
              <w:spacing w:after="0"/>
              <w:rPr>
                <w:sz w:val="20"/>
                <w:szCs w:val="20"/>
                <w:color w:val="auto"/>
              </w:rPr>
            </w:pPr>
            <w:r>
              <w:rPr>
                <w:rFonts w:ascii="Arial" w:cs="Arial" w:eastAsia="Arial" w:hAnsi="Arial"/>
                <w:sz w:val="14"/>
                <w:szCs w:val="14"/>
                <w:b w:val="1"/>
                <w:bCs w:val="1"/>
                <w:color w:val="auto"/>
              </w:rPr>
              <w:t>Initial forecast</w:t>
            </w:r>
          </w:p>
        </w:tc>
        <w:tc>
          <w:tcPr>
            <w:tcW w:w="2100" w:type="dxa"/>
            <w:vAlign w:val="bottom"/>
          </w:tcPr>
          <w:p>
            <w:pPr>
              <w:jc w:val="right"/>
              <w:ind w:right="691"/>
              <w:spacing w:after="0"/>
              <w:rPr>
                <w:sz w:val="20"/>
                <w:szCs w:val="20"/>
                <w:color w:val="auto"/>
              </w:rPr>
            </w:pPr>
            <w:r>
              <w:rPr>
                <w:rFonts w:ascii="Arial" w:cs="Arial" w:eastAsia="Arial" w:hAnsi="Arial"/>
                <w:sz w:val="14"/>
                <w:szCs w:val="14"/>
                <w:b w:val="1"/>
                <w:bCs w:val="1"/>
                <w:color w:val="auto"/>
              </w:rPr>
              <w:t>Variance</w:t>
            </w:r>
          </w:p>
        </w:tc>
      </w:tr>
      <w:tr>
        <w:trPr>
          <w:trHeight w:val="39"/>
        </w:trPr>
        <w:tc>
          <w:tcPr>
            <w:tcW w:w="4900" w:type="dxa"/>
            <w:vAlign w:val="bottom"/>
            <w:tcBorders>
              <w:bottom w:val="single" w:sz="8" w:color="CCEEFF"/>
            </w:tcBorders>
          </w:tcPr>
          <w:p>
            <w:pPr>
              <w:spacing w:after="0"/>
              <w:rPr>
                <w:sz w:val="3"/>
                <w:szCs w:val="3"/>
                <w:color w:val="auto"/>
              </w:rPr>
            </w:pPr>
          </w:p>
        </w:tc>
        <w:tc>
          <w:tcPr>
            <w:tcW w:w="2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r>
      <w:tr>
        <w:trPr>
          <w:trHeight w:val="271"/>
        </w:trPr>
        <w:tc>
          <w:tcPr>
            <w:tcW w:w="4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2001</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67.3%</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70.4%</w:t>
            </w:r>
          </w:p>
        </w:tc>
        <w:tc>
          <w:tcPr>
            <w:tcW w:w="12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-3.1 %</w:t>
            </w:r>
          </w:p>
        </w:tc>
      </w:tr>
      <w:tr>
        <w:trPr>
          <w:trHeight w:val="243"/>
        </w:trPr>
        <w:tc>
          <w:tcPr>
            <w:tcW w:w="4900" w:type="dxa"/>
            <w:vAlign w:val="bottom"/>
          </w:tcPr>
          <w:p>
            <w:pPr>
              <w:ind w:left="80"/>
              <w:spacing w:after="0"/>
              <w:rPr>
                <w:sz w:val="20"/>
                <w:szCs w:val="20"/>
                <w:color w:val="auto"/>
              </w:rPr>
            </w:pPr>
            <w:r>
              <w:rPr>
                <w:rFonts w:ascii="Arial" w:cs="Arial" w:eastAsia="Arial" w:hAnsi="Arial"/>
                <w:sz w:val="18"/>
                <w:szCs w:val="18"/>
                <w:i w:val="1"/>
                <w:iCs w:val="1"/>
                <w:color w:val="auto"/>
              </w:rPr>
              <w:t>2002</w:t>
            </w:r>
          </w:p>
        </w:tc>
        <w:tc>
          <w:tcPr>
            <w:tcW w:w="2080" w:type="dxa"/>
            <w:vAlign w:val="bottom"/>
          </w:tcPr>
          <w:p>
            <w:pPr>
              <w:jc w:val="right"/>
              <w:spacing w:after="0"/>
              <w:rPr>
                <w:sz w:val="20"/>
                <w:szCs w:val="20"/>
                <w:color w:val="auto"/>
              </w:rPr>
            </w:pPr>
            <w:r>
              <w:rPr>
                <w:rFonts w:ascii="Arial" w:cs="Arial" w:eastAsia="Arial" w:hAnsi="Arial"/>
                <w:sz w:val="18"/>
                <w:szCs w:val="18"/>
                <w:i w:val="1"/>
                <w:iCs w:val="1"/>
                <w:color w:val="auto"/>
              </w:rPr>
              <w:t>70.4%</w:t>
            </w:r>
          </w:p>
        </w:tc>
        <w:tc>
          <w:tcPr>
            <w:tcW w:w="1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i w:val="1"/>
                <w:iCs w:val="1"/>
                <w:color w:val="auto"/>
              </w:rPr>
              <w:t>67.9%</w:t>
            </w:r>
          </w:p>
        </w:tc>
        <w:tc>
          <w:tcPr>
            <w:tcW w:w="1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i w:val="1"/>
                <w:iCs w:val="1"/>
                <w:color w:val="auto"/>
              </w:rPr>
              <w:t>2.5 %</w:t>
            </w:r>
          </w:p>
        </w:tc>
      </w:tr>
      <w:tr>
        <w:trPr>
          <w:trHeight w:val="54"/>
        </w:trPr>
        <w:tc>
          <w:tcPr>
            <w:tcW w:w="49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00" w:type="dxa"/>
            <w:vAlign w:val="bottom"/>
          </w:tcPr>
          <w:p>
            <w:pPr>
              <w:spacing w:after="0"/>
              <w:rPr>
                <w:sz w:val="4"/>
                <w:szCs w:val="4"/>
                <w:color w:val="auto"/>
              </w:rPr>
            </w:pPr>
          </w:p>
        </w:tc>
      </w:tr>
      <w:tr>
        <w:trPr>
          <w:trHeight w:val="277"/>
        </w:trPr>
        <w:tc>
          <w:tcPr>
            <w:tcW w:w="4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2003</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73.7%</w:t>
            </w:r>
          </w:p>
        </w:tc>
        <w:tc>
          <w:tcPr>
            <w:tcW w:w="100" w:type="dxa"/>
            <w:vAlign w:val="bottom"/>
            <w:tcBorders>
              <w:bottom w:val="single" w:sz="8" w:color="CCEEFF"/>
            </w:tcBorders>
            <w:shd w:val="clear" w:color="auto" w:fill="CCEEFF"/>
          </w:tcPr>
          <w:p>
            <w:pPr>
              <w:spacing w:after="0"/>
              <w:rPr>
                <w:sz w:val="24"/>
                <w:szCs w:val="24"/>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72.0%</w:t>
            </w:r>
          </w:p>
        </w:tc>
        <w:tc>
          <w:tcPr>
            <w:tcW w:w="120" w:type="dxa"/>
            <w:vAlign w:val="bottom"/>
            <w:tcBorders>
              <w:bottom w:val="single" w:sz="8" w:color="CCEEFF"/>
            </w:tcBorders>
            <w:shd w:val="clear" w:color="auto" w:fill="CCEEFF"/>
          </w:tcPr>
          <w:p>
            <w:pPr>
              <w:spacing w:after="0"/>
              <w:rPr>
                <w:sz w:val="24"/>
                <w:szCs w:val="24"/>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1.7 %</w:t>
            </w:r>
          </w:p>
        </w:tc>
      </w:tr>
      <w:tr>
        <w:trPr>
          <w:trHeight w:val="243"/>
        </w:trPr>
        <w:tc>
          <w:tcPr>
            <w:tcW w:w="4900" w:type="dxa"/>
            <w:vAlign w:val="bottom"/>
          </w:tcPr>
          <w:p>
            <w:pPr>
              <w:ind w:left="80"/>
              <w:spacing w:after="0"/>
              <w:rPr>
                <w:sz w:val="20"/>
                <w:szCs w:val="20"/>
                <w:color w:val="auto"/>
              </w:rPr>
            </w:pPr>
            <w:r>
              <w:rPr>
                <w:rFonts w:ascii="Arial" w:cs="Arial" w:eastAsia="Arial" w:hAnsi="Arial"/>
                <w:sz w:val="18"/>
                <w:szCs w:val="18"/>
                <w:i w:val="1"/>
                <w:iCs w:val="1"/>
                <w:color w:val="auto"/>
              </w:rPr>
              <w:t>2004</w:t>
            </w:r>
          </w:p>
        </w:tc>
        <w:tc>
          <w:tcPr>
            <w:tcW w:w="2080" w:type="dxa"/>
            <w:vAlign w:val="bottom"/>
          </w:tcPr>
          <w:p>
            <w:pPr>
              <w:jc w:val="right"/>
              <w:spacing w:after="0"/>
              <w:rPr>
                <w:sz w:val="20"/>
                <w:szCs w:val="20"/>
                <w:color w:val="auto"/>
              </w:rPr>
            </w:pPr>
            <w:r>
              <w:rPr>
                <w:rFonts w:ascii="Arial" w:cs="Arial" w:eastAsia="Arial" w:hAnsi="Arial"/>
                <w:sz w:val="18"/>
                <w:szCs w:val="18"/>
                <w:i w:val="1"/>
                <w:iCs w:val="1"/>
                <w:color w:val="auto"/>
              </w:rPr>
              <w:t>73.0%</w:t>
            </w:r>
          </w:p>
        </w:tc>
        <w:tc>
          <w:tcPr>
            <w:tcW w:w="1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i w:val="1"/>
                <w:iCs w:val="1"/>
                <w:color w:val="auto"/>
              </w:rPr>
              <w:t>73.0%</w:t>
            </w:r>
          </w:p>
        </w:tc>
        <w:tc>
          <w:tcPr>
            <w:tcW w:w="1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i w:val="1"/>
                <w:iCs w:val="1"/>
                <w:color w:val="auto"/>
              </w:rPr>
              <w:t>0.0 %</w:t>
            </w:r>
          </w:p>
        </w:tc>
      </w:tr>
      <w:tr>
        <w:trPr>
          <w:trHeight w:val="54"/>
        </w:trPr>
        <w:tc>
          <w:tcPr>
            <w:tcW w:w="49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00" w:type="dxa"/>
            <w:vAlign w:val="bottom"/>
          </w:tcPr>
          <w:p>
            <w:pPr>
              <w:spacing w:after="0"/>
              <w:rPr>
                <w:sz w:val="4"/>
                <w:szCs w:val="4"/>
                <w:color w:val="auto"/>
              </w:rPr>
            </w:pPr>
          </w:p>
        </w:tc>
      </w:tr>
      <w:tr>
        <w:trPr>
          <w:trHeight w:val="277"/>
        </w:trPr>
        <w:tc>
          <w:tcPr>
            <w:tcW w:w="4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2005</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73.6%</w:t>
            </w:r>
          </w:p>
        </w:tc>
        <w:tc>
          <w:tcPr>
            <w:tcW w:w="100" w:type="dxa"/>
            <w:vAlign w:val="bottom"/>
            <w:tcBorders>
              <w:bottom w:val="single" w:sz="8" w:color="CCEEFF"/>
            </w:tcBorders>
            <w:shd w:val="clear" w:color="auto" w:fill="CCEEFF"/>
          </w:tcPr>
          <w:p>
            <w:pPr>
              <w:spacing w:after="0"/>
              <w:rPr>
                <w:sz w:val="24"/>
                <w:szCs w:val="24"/>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74.0%</w:t>
            </w:r>
          </w:p>
        </w:tc>
        <w:tc>
          <w:tcPr>
            <w:tcW w:w="120" w:type="dxa"/>
            <w:vAlign w:val="bottom"/>
            <w:tcBorders>
              <w:bottom w:val="single" w:sz="8" w:color="CCEEFF"/>
            </w:tcBorders>
            <w:shd w:val="clear" w:color="auto" w:fill="CCEEFF"/>
          </w:tcPr>
          <w:p>
            <w:pPr>
              <w:spacing w:after="0"/>
              <w:rPr>
                <w:sz w:val="24"/>
                <w:szCs w:val="24"/>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-0.4 %</w:t>
            </w:r>
          </w:p>
        </w:tc>
      </w:tr>
      <w:tr>
        <w:trPr>
          <w:trHeight w:val="243"/>
        </w:trPr>
        <w:tc>
          <w:tcPr>
            <w:tcW w:w="4900" w:type="dxa"/>
            <w:vAlign w:val="bottom"/>
          </w:tcPr>
          <w:p>
            <w:pPr>
              <w:ind w:left="80"/>
              <w:spacing w:after="0"/>
              <w:rPr>
                <w:sz w:val="20"/>
                <w:szCs w:val="20"/>
                <w:color w:val="auto"/>
              </w:rPr>
            </w:pPr>
            <w:r>
              <w:rPr>
                <w:rFonts w:ascii="Arial" w:cs="Arial" w:eastAsia="Arial" w:hAnsi="Arial"/>
                <w:sz w:val="18"/>
                <w:szCs w:val="18"/>
                <w:i w:val="1"/>
                <w:iCs w:val="1"/>
                <w:color w:val="auto"/>
              </w:rPr>
              <w:t>2006</w:t>
            </w:r>
          </w:p>
        </w:tc>
        <w:tc>
          <w:tcPr>
            <w:tcW w:w="2080" w:type="dxa"/>
            <w:vAlign w:val="bottom"/>
          </w:tcPr>
          <w:p>
            <w:pPr>
              <w:jc w:val="right"/>
              <w:spacing w:after="0"/>
              <w:rPr>
                <w:sz w:val="20"/>
                <w:szCs w:val="20"/>
                <w:color w:val="auto"/>
              </w:rPr>
            </w:pPr>
            <w:r>
              <w:rPr>
                <w:rFonts w:ascii="Arial" w:cs="Arial" w:eastAsia="Arial" w:hAnsi="Arial"/>
                <w:sz w:val="18"/>
                <w:szCs w:val="18"/>
                <w:i w:val="1"/>
                <w:iCs w:val="1"/>
                <w:color w:val="auto"/>
              </w:rPr>
              <w:t>70.0%</w:t>
            </w:r>
          </w:p>
        </w:tc>
        <w:tc>
          <w:tcPr>
            <w:tcW w:w="1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i w:val="1"/>
                <w:iCs w:val="1"/>
                <w:color w:val="auto"/>
              </w:rPr>
              <w:t>71.4%</w:t>
            </w:r>
          </w:p>
        </w:tc>
        <w:tc>
          <w:tcPr>
            <w:tcW w:w="1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i w:val="1"/>
                <w:iCs w:val="1"/>
                <w:color w:val="auto"/>
              </w:rPr>
              <w:t>-1.4 %</w:t>
            </w:r>
          </w:p>
        </w:tc>
      </w:tr>
      <w:tr>
        <w:trPr>
          <w:trHeight w:val="54"/>
        </w:trPr>
        <w:tc>
          <w:tcPr>
            <w:tcW w:w="49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00" w:type="dxa"/>
            <w:vAlign w:val="bottom"/>
          </w:tcPr>
          <w:p>
            <w:pPr>
              <w:spacing w:after="0"/>
              <w:rPr>
                <w:sz w:val="4"/>
                <w:szCs w:val="4"/>
                <w:color w:val="auto"/>
              </w:rPr>
            </w:pPr>
          </w:p>
        </w:tc>
      </w:tr>
      <w:tr>
        <w:trPr>
          <w:trHeight w:val="277"/>
        </w:trPr>
        <w:tc>
          <w:tcPr>
            <w:tcW w:w="4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2007</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68.1%</w:t>
            </w:r>
          </w:p>
        </w:tc>
        <w:tc>
          <w:tcPr>
            <w:tcW w:w="100" w:type="dxa"/>
            <w:vAlign w:val="bottom"/>
            <w:tcBorders>
              <w:bottom w:val="single" w:sz="8" w:color="CCEEFF"/>
            </w:tcBorders>
            <w:shd w:val="clear" w:color="auto" w:fill="CCEEFF"/>
          </w:tcPr>
          <w:p>
            <w:pPr>
              <w:spacing w:after="0"/>
              <w:rPr>
                <w:sz w:val="24"/>
                <w:szCs w:val="24"/>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70.7%</w:t>
            </w:r>
          </w:p>
        </w:tc>
        <w:tc>
          <w:tcPr>
            <w:tcW w:w="120" w:type="dxa"/>
            <w:vAlign w:val="bottom"/>
            <w:tcBorders>
              <w:bottom w:val="single" w:sz="8" w:color="CCEEFF"/>
            </w:tcBorders>
            <w:shd w:val="clear" w:color="auto" w:fill="CCEEFF"/>
          </w:tcPr>
          <w:p>
            <w:pPr>
              <w:spacing w:after="0"/>
              <w:rPr>
                <w:sz w:val="24"/>
                <w:szCs w:val="24"/>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-2.6 %</w:t>
            </w:r>
          </w:p>
        </w:tc>
      </w:tr>
      <w:tr>
        <w:trPr>
          <w:trHeight w:val="243"/>
        </w:trPr>
        <w:tc>
          <w:tcPr>
            <w:tcW w:w="4900" w:type="dxa"/>
            <w:vAlign w:val="bottom"/>
          </w:tcPr>
          <w:p>
            <w:pPr>
              <w:ind w:left="80"/>
              <w:spacing w:after="0"/>
              <w:rPr>
                <w:sz w:val="20"/>
                <w:szCs w:val="20"/>
                <w:color w:val="auto"/>
              </w:rPr>
            </w:pPr>
            <w:r>
              <w:rPr>
                <w:rFonts w:ascii="Arial" w:cs="Arial" w:eastAsia="Arial" w:hAnsi="Arial"/>
                <w:sz w:val="18"/>
                <w:szCs w:val="18"/>
                <w:i w:val="1"/>
                <w:iCs w:val="1"/>
                <w:color w:val="auto"/>
              </w:rPr>
              <w:t>2008</w:t>
            </w:r>
          </w:p>
        </w:tc>
        <w:tc>
          <w:tcPr>
            <w:tcW w:w="2080" w:type="dxa"/>
            <w:vAlign w:val="bottom"/>
          </w:tcPr>
          <w:p>
            <w:pPr>
              <w:jc w:val="right"/>
              <w:spacing w:after="0"/>
              <w:rPr>
                <w:sz w:val="20"/>
                <w:szCs w:val="20"/>
                <w:color w:val="auto"/>
              </w:rPr>
            </w:pPr>
            <w:r>
              <w:rPr>
                <w:rFonts w:ascii="Arial" w:cs="Arial" w:eastAsia="Arial" w:hAnsi="Arial"/>
                <w:sz w:val="18"/>
                <w:szCs w:val="18"/>
                <w:i w:val="1"/>
                <w:iCs w:val="1"/>
                <w:color w:val="auto"/>
              </w:rPr>
              <w:t>70.4%</w:t>
            </w:r>
          </w:p>
        </w:tc>
        <w:tc>
          <w:tcPr>
            <w:tcW w:w="1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i w:val="1"/>
                <w:iCs w:val="1"/>
                <w:color w:val="auto"/>
              </w:rPr>
              <w:t>69.7%</w:t>
            </w:r>
          </w:p>
        </w:tc>
        <w:tc>
          <w:tcPr>
            <w:tcW w:w="1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i w:val="1"/>
                <w:iCs w:val="1"/>
                <w:color w:val="auto"/>
              </w:rPr>
              <w:t>0.7 %</w:t>
            </w:r>
          </w:p>
        </w:tc>
      </w:tr>
      <w:tr>
        <w:trPr>
          <w:trHeight w:val="54"/>
        </w:trPr>
        <w:tc>
          <w:tcPr>
            <w:tcW w:w="49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00" w:type="dxa"/>
            <w:vAlign w:val="bottom"/>
          </w:tcPr>
          <w:p>
            <w:pPr>
              <w:spacing w:after="0"/>
              <w:rPr>
                <w:sz w:val="4"/>
                <w:szCs w:val="4"/>
                <w:color w:val="auto"/>
              </w:rPr>
            </w:pPr>
          </w:p>
        </w:tc>
      </w:tr>
      <w:tr>
        <w:trPr>
          <w:trHeight w:val="277"/>
        </w:trPr>
        <w:tc>
          <w:tcPr>
            <w:tcW w:w="4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2009</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79.5%</w:t>
            </w:r>
          </w:p>
        </w:tc>
        <w:tc>
          <w:tcPr>
            <w:tcW w:w="100" w:type="dxa"/>
            <w:vAlign w:val="bottom"/>
            <w:tcBorders>
              <w:bottom w:val="single" w:sz="8" w:color="CCEEFF"/>
            </w:tcBorders>
            <w:shd w:val="clear" w:color="auto" w:fill="CCEEFF"/>
          </w:tcPr>
          <w:p>
            <w:pPr>
              <w:spacing w:after="0"/>
              <w:rPr>
                <w:sz w:val="24"/>
                <w:szCs w:val="24"/>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71.9%</w:t>
            </w:r>
          </w:p>
        </w:tc>
        <w:tc>
          <w:tcPr>
            <w:tcW w:w="120" w:type="dxa"/>
            <w:vAlign w:val="bottom"/>
            <w:tcBorders>
              <w:bottom w:val="single" w:sz="8" w:color="CCEEFF"/>
            </w:tcBorders>
            <w:shd w:val="clear" w:color="auto" w:fill="CCEEFF"/>
          </w:tcPr>
          <w:p>
            <w:pPr>
              <w:spacing w:after="0"/>
              <w:rPr>
                <w:sz w:val="24"/>
                <w:szCs w:val="24"/>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7.6 %</w:t>
            </w:r>
          </w:p>
        </w:tc>
      </w:tr>
      <w:tr>
        <w:trPr>
          <w:trHeight w:val="243"/>
        </w:trPr>
        <w:tc>
          <w:tcPr>
            <w:tcW w:w="4900" w:type="dxa"/>
            <w:vAlign w:val="bottom"/>
          </w:tcPr>
          <w:p>
            <w:pPr>
              <w:ind w:left="80"/>
              <w:spacing w:after="0"/>
              <w:rPr>
                <w:sz w:val="20"/>
                <w:szCs w:val="20"/>
                <w:color w:val="auto"/>
              </w:rPr>
            </w:pPr>
            <w:r>
              <w:rPr>
                <w:rFonts w:ascii="Arial" w:cs="Arial" w:eastAsia="Arial" w:hAnsi="Arial"/>
                <w:sz w:val="18"/>
                <w:szCs w:val="18"/>
                <w:i w:val="1"/>
                <w:iCs w:val="1"/>
                <w:color w:val="auto"/>
              </w:rPr>
              <w:t>2010</w:t>
            </w:r>
          </w:p>
        </w:tc>
        <w:tc>
          <w:tcPr>
            <w:tcW w:w="2080" w:type="dxa"/>
            <w:vAlign w:val="bottom"/>
          </w:tcPr>
          <w:p>
            <w:pPr>
              <w:jc w:val="right"/>
              <w:spacing w:after="0"/>
              <w:rPr>
                <w:sz w:val="20"/>
                <w:szCs w:val="20"/>
                <w:color w:val="auto"/>
              </w:rPr>
            </w:pPr>
            <w:r>
              <w:rPr>
                <w:rFonts w:ascii="Arial" w:cs="Arial" w:eastAsia="Arial" w:hAnsi="Arial"/>
                <w:sz w:val="18"/>
                <w:szCs w:val="18"/>
                <w:i w:val="1"/>
                <w:iCs w:val="1"/>
                <w:color w:val="auto"/>
              </w:rPr>
              <w:t>77.8%</w:t>
            </w:r>
          </w:p>
        </w:tc>
        <w:tc>
          <w:tcPr>
            <w:tcW w:w="1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i w:val="1"/>
                <w:iCs w:val="1"/>
                <w:color w:val="auto"/>
              </w:rPr>
              <w:t>73.6%</w:t>
            </w:r>
          </w:p>
        </w:tc>
        <w:tc>
          <w:tcPr>
            <w:tcW w:w="1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i w:val="1"/>
                <w:iCs w:val="1"/>
                <w:color w:val="auto"/>
              </w:rPr>
              <w:t>4.2 %</w:t>
            </w:r>
          </w:p>
        </w:tc>
      </w:tr>
      <w:tr>
        <w:trPr>
          <w:trHeight w:val="54"/>
        </w:trPr>
        <w:tc>
          <w:tcPr>
            <w:tcW w:w="49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00" w:type="dxa"/>
            <w:vAlign w:val="bottom"/>
          </w:tcPr>
          <w:p>
            <w:pPr>
              <w:spacing w:after="0"/>
              <w:rPr>
                <w:sz w:val="4"/>
                <w:szCs w:val="4"/>
                <w:color w:val="auto"/>
              </w:rPr>
            </w:pPr>
          </w:p>
        </w:tc>
      </w:tr>
      <w:tr>
        <w:trPr>
          <w:trHeight w:val="277"/>
        </w:trPr>
        <w:tc>
          <w:tcPr>
            <w:tcW w:w="4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2011</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74.8%</w:t>
            </w:r>
          </w:p>
        </w:tc>
        <w:tc>
          <w:tcPr>
            <w:tcW w:w="100" w:type="dxa"/>
            <w:vAlign w:val="bottom"/>
            <w:tcBorders>
              <w:bottom w:val="single" w:sz="8" w:color="CCEEFF"/>
            </w:tcBorders>
            <w:shd w:val="clear" w:color="auto" w:fill="CCEEFF"/>
          </w:tcPr>
          <w:p>
            <w:pPr>
              <w:spacing w:after="0"/>
              <w:rPr>
                <w:sz w:val="24"/>
                <w:szCs w:val="24"/>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72.5%</w:t>
            </w:r>
          </w:p>
        </w:tc>
        <w:tc>
          <w:tcPr>
            <w:tcW w:w="120" w:type="dxa"/>
            <w:vAlign w:val="bottom"/>
            <w:tcBorders>
              <w:bottom w:val="single" w:sz="8" w:color="CCEEFF"/>
            </w:tcBorders>
            <w:shd w:val="clear" w:color="auto" w:fill="CCEEFF"/>
          </w:tcPr>
          <w:p>
            <w:pPr>
              <w:spacing w:after="0"/>
              <w:rPr>
                <w:sz w:val="24"/>
                <w:szCs w:val="24"/>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2.3 %</w:t>
            </w:r>
          </w:p>
        </w:tc>
      </w:tr>
      <w:tr>
        <w:trPr>
          <w:trHeight w:val="243"/>
        </w:trPr>
        <w:tc>
          <w:tcPr>
            <w:tcW w:w="4900" w:type="dxa"/>
            <w:vAlign w:val="bottom"/>
          </w:tcPr>
          <w:p>
            <w:pPr>
              <w:ind w:left="80"/>
              <w:spacing w:after="0"/>
              <w:rPr>
                <w:sz w:val="20"/>
                <w:szCs w:val="20"/>
                <w:color w:val="auto"/>
              </w:rPr>
            </w:pPr>
            <w:r>
              <w:rPr>
                <w:rFonts w:ascii="Arial" w:cs="Arial" w:eastAsia="Arial" w:hAnsi="Arial"/>
                <w:sz w:val="18"/>
                <w:szCs w:val="18"/>
                <w:i w:val="1"/>
                <w:iCs w:val="1"/>
                <w:color w:val="auto"/>
              </w:rPr>
              <w:t>2012</w:t>
            </w:r>
          </w:p>
        </w:tc>
        <w:tc>
          <w:tcPr>
            <w:tcW w:w="2080" w:type="dxa"/>
            <w:vAlign w:val="bottom"/>
          </w:tcPr>
          <w:p>
            <w:pPr>
              <w:jc w:val="right"/>
              <w:spacing w:after="0"/>
              <w:rPr>
                <w:sz w:val="20"/>
                <w:szCs w:val="20"/>
                <w:color w:val="auto"/>
              </w:rPr>
            </w:pPr>
            <w:r>
              <w:rPr>
                <w:rFonts w:ascii="Arial" w:cs="Arial" w:eastAsia="Arial" w:hAnsi="Arial"/>
                <w:sz w:val="18"/>
                <w:szCs w:val="18"/>
                <w:i w:val="1"/>
                <w:iCs w:val="1"/>
                <w:color w:val="auto"/>
              </w:rPr>
              <w:t>73.9%</w:t>
            </w:r>
          </w:p>
        </w:tc>
        <w:tc>
          <w:tcPr>
            <w:tcW w:w="1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i w:val="1"/>
                <w:iCs w:val="1"/>
                <w:color w:val="auto"/>
              </w:rPr>
              <w:t>71.4%</w:t>
            </w:r>
          </w:p>
        </w:tc>
        <w:tc>
          <w:tcPr>
            <w:tcW w:w="1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i w:val="1"/>
                <w:iCs w:val="1"/>
                <w:color w:val="auto"/>
              </w:rPr>
              <w:t>2.5 %</w:t>
            </w:r>
          </w:p>
        </w:tc>
      </w:tr>
      <w:tr>
        <w:trPr>
          <w:trHeight w:val="54"/>
        </w:trPr>
        <w:tc>
          <w:tcPr>
            <w:tcW w:w="49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00" w:type="dxa"/>
            <w:vAlign w:val="bottom"/>
          </w:tcPr>
          <w:p>
            <w:pPr>
              <w:spacing w:after="0"/>
              <w:rPr>
                <w:sz w:val="4"/>
                <w:szCs w:val="4"/>
                <w:color w:val="auto"/>
              </w:rPr>
            </w:pPr>
          </w:p>
        </w:tc>
      </w:tr>
      <w:tr>
        <w:trPr>
          <w:trHeight w:val="277"/>
        </w:trPr>
        <w:tc>
          <w:tcPr>
            <w:tcW w:w="4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2013</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73.5%</w:t>
            </w:r>
          </w:p>
        </w:tc>
        <w:tc>
          <w:tcPr>
            <w:tcW w:w="100" w:type="dxa"/>
            <w:vAlign w:val="bottom"/>
            <w:tcBorders>
              <w:bottom w:val="single" w:sz="8" w:color="CCEEFF"/>
            </w:tcBorders>
            <w:shd w:val="clear" w:color="auto" w:fill="CCEEFF"/>
          </w:tcPr>
          <w:p>
            <w:pPr>
              <w:spacing w:after="0"/>
              <w:rPr>
                <w:sz w:val="24"/>
                <w:szCs w:val="24"/>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72.0%</w:t>
            </w:r>
          </w:p>
        </w:tc>
        <w:tc>
          <w:tcPr>
            <w:tcW w:w="120" w:type="dxa"/>
            <w:vAlign w:val="bottom"/>
            <w:tcBorders>
              <w:bottom w:val="single" w:sz="8" w:color="CCEEFF"/>
            </w:tcBorders>
            <w:shd w:val="clear" w:color="auto" w:fill="CCEEFF"/>
          </w:tcPr>
          <w:p>
            <w:pPr>
              <w:spacing w:after="0"/>
              <w:rPr>
                <w:sz w:val="24"/>
                <w:szCs w:val="24"/>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1.5 %</w:t>
            </w:r>
          </w:p>
        </w:tc>
      </w:tr>
      <w:tr>
        <w:trPr>
          <w:trHeight w:val="243"/>
        </w:trPr>
        <w:tc>
          <w:tcPr>
            <w:tcW w:w="4900" w:type="dxa"/>
            <w:vAlign w:val="bottom"/>
          </w:tcPr>
          <w:p>
            <w:pPr>
              <w:ind w:left="80"/>
              <w:spacing w:after="0"/>
              <w:rPr>
                <w:sz w:val="20"/>
                <w:szCs w:val="20"/>
                <w:color w:val="auto"/>
              </w:rPr>
            </w:pPr>
            <w:r>
              <w:rPr>
                <w:rFonts w:ascii="Arial" w:cs="Arial" w:eastAsia="Arial" w:hAnsi="Arial"/>
                <w:sz w:val="18"/>
                <w:szCs w:val="18"/>
                <w:i w:val="1"/>
                <w:iCs w:val="1"/>
                <w:color w:val="auto"/>
              </w:rPr>
              <w:t>2014</w:t>
            </w:r>
          </w:p>
        </w:tc>
        <w:tc>
          <w:tcPr>
            <w:tcW w:w="2080" w:type="dxa"/>
            <w:vAlign w:val="bottom"/>
          </w:tcPr>
          <w:p>
            <w:pPr>
              <w:jc w:val="right"/>
              <w:spacing w:after="0"/>
              <w:rPr>
                <w:sz w:val="20"/>
                <w:szCs w:val="20"/>
                <w:color w:val="auto"/>
              </w:rPr>
            </w:pPr>
            <w:r>
              <w:rPr>
                <w:rFonts w:ascii="Arial" w:cs="Arial" w:eastAsia="Arial" w:hAnsi="Arial"/>
                <w:sz w:val="18"/>
                <w:szCs w:val="18"/>
                <w:i w:val="1"/>
                <w:iCs w:val="1"/>
                <w:color w:val="auto"/>
              </w:rPr>
              <w:t>71.7%</w:t>
            </w:r>
          </w:p>
        </w:tc>
        <w:tc>
          <w:tcPr>
            <w:tcW w:w="1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i w:val="1"/>
                <w:iCs w:val="1"/>
                <w:color w:val="auto"/>
              </w:rPr>
              <w:t>71.8%</w:t>
            </w:r>
          </w:p>
        </w:tc>
        <w:tc>
          <w:tcPr>
            <w:tcW w:w="1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i w:val="1"/>
                <w:iCs w:val="1"/>
                <w:color w:val="auto"/>
              </w:rPr>
              <w:t>-0.1 %</w:t>
            </w:r>
          </w:p>
        </w:tc>
      </w:tr>
      <w:tr>
        <w:trPr>
          <w:trHeight w:val="54"/>
        </w:trPr>
        <w:tc>
          <w:tcPr>
            <w:tcW w:w="49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00" w:type="dxa"/>
            <w:vAlign w:val="bottom"/>
          </w:tcPr>
          <w:p>
            <w:pPr>
              <w:spacing w:after="0"/>
              <w:rPr>
                <w:sz w:val="4"/>
                <w:szCs w:val="4"/>
                <w:color w:val="auto"/>
              </w:rPr>
            </w:pPr>
          </w:p>
        </w:tc>
      </w:tr>
      <w:tr>
        <w:trPr>
          <w:trHeight w:val="277"/>
        </w:trPr>
        <w:tc>
          <w:tcPr>
            <w:tcW w:w="4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2015</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65.4%</w:t>
            </w:r>
          </w:p>
        </w:tc>
        <w:tc>
          <w:tcPr>
            <w:tcW w:w="100" w:type="dxa"/>
            <w:vAlign w:val="bottom"/>
            <w:tcBorders>
              <w:bottom w:val="single" w:sz="8" w:color="CCEEFF"/>
            </w:tcBorders>
            <w:shd w:val="clear" w:color="auto" w:fill="CCEEFF"/>
          </w:tcPr>
          <w:p>
            <w:pPr>
              <w:spacing w:after="0"/>
              <w:rPr>
                <w:sz w:val="24"/>
                <w:szCs w:val="24"/>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67.7%</w:t>
            </w:r>
          </w:p>
        </w:tc>
        <w:tc>
          <w:tcPr>
            <w:tcW w:w="120" w:type="dxa"/>
            <w:vAlign w:val="bottom"/>
            <w:tcBorders>
              <w:bottom w:val="single" w:sz="8" w:color="CCEEFF"/>
            </w:tcBorders>
            <w:shd w:val="clear" w:color="auto" w:fill="CCEEFF"/>
          </w:tcPr>
          <w:p>
            <w:pPr>
              <w:spacing w:after="0"/>
              <w:rPr>
                <w:sz w:val="24"/>
                <w:szCs w:val="24"/>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-2.3 %</w:t>
            </w:r>
          </w:p>
        </w:tc>
      </w:tr>
      <w:tr>
        <w:trPr>
          <w:trHeight w:val="243"/>
        </w:trPr>
        <w:tc>
          <w:tcPr>
            <w:tcW w:w="4900" w:type="dxa"/>
            <w:vAlign w:val="bottom"/>
          </w:tcPr>
          <w:p>
            <w:pPr>
              <w:ind w:left="80"/>
              <w:spacing w:after="0"/>
              <w:rPr>
                <w:sz w:val="20"/>
                <w:szCs w:val="20"/>
                <w:color w:val="auto"/>
              </w:rPr>
            </w:pPr>
            <w:r>
              <w:rPr>
                <w:rFonts w:ascii="Arial" w:cs="Arial" w:eastAsia="Arial" w:hAnsi="Arial"/>
                <w:sz w:val="18"/>
                <w:szCs w:val="18"/>
                <w:i w:val="1"/>
                <w:iCs w:val="1"/>
                <w:color w:val="auto"/>
              </w:rPr>
              <w:t>2016</w:t>
            </w:r>
          </w:p>
        </w:tc>
        <w:tc>
          <w:tcPr>
            <w:tcW w:w="2080" w:type="dxa"/>
            <w:vAlign w:val="bottom"/>
          </w:tcPr>
          <w:p>
            <w:pPr>
              <w:jc w:val="right"/>
              <w:spacing w:after="0"/>
              <w:rPr>
                <w:sz w:val="20"/>
                <w:szCs w:val="20"/>
                <w:color w:val="auto"/>
              </w:rPr>
            </w:pPr>
            <w:r>
              <w:rPr>
                <w:rFonts w:ascii="Arial" w:cs="Arial" w:eastAsia="Arial" w:hAnsi="Arial"/>
                <w:sz w:val="18"/>
                <w:szCs w:val="18"/>
                <w:i w:val="1"/>
                <w:iCs w:val="1"/>
                <w:color w:val="auto"/>
              </w:rPr>
              <w:t>64.1%</w:t>
            </w:r>
          </w:p>
        </w:tc>
        <w:tc>
          <w:tcPr>
            <w:tcW w:w="1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i w:val="1"/>
                <w:iCs w:val="1"/>
                <w:color w:val="auto"/>
              </w:rPr>
              <w:t>65.4%</w:t>
            </w:r>
          </w:p>
        </w:tc>
        <w:tc>
          <w:tcPr>
            <w:tcW w:w="1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i w:val="1"/>
                <w:iCs w:val="1"/>
                <w:color w:val="auto"/>
              </w:rPr>
              <w:t>-1.3 %</w:t>
            </w:r>
          </w:p>
        </w:tc>
      </w:tr>
      <w:tr>
        <w:trPr>
          <w:trHeight w:val="54"/>
        </w:trPr>
        <w:tc>
          <w:tcPr>
            <w:tcW w:w="49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00" w:type="dxa"/>
            <w:vAlign w:val="bottom"/>
          </w:tcPr>
          <w:p>
            <w:pPr>
              <w:spacing w:after="0"/>
              <w:rPr>
                <w:sz w:val="4"/>
                <w:szCs w:val="4"/>
                <w:color w:val="auto"/>
              </w:rPr>
            </w:pPr>
          </w:p>
        </w:tc>
      </w:tr>
      <w:tr>
        <w:trPr>
          <w:trHeight w:val="277"/>
        </w:trPr>
        <w:tc>
          <w:tcPr>
            <w:tcW w:w="4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2017</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64.8%</w:t>
            </w:r>
          </w:p>
        </w:tc>
        <w:tc>
          <w:tcPr>
            <w:tcW w:w="100" w:type="dxa"/>
            <w:vAlign w:val="bottom"/>
            <w:tcBorders>
              <w:bottom w:val="single" w:sz="8" w:color="CCEEFF"/>
            </w:tcBorders>
            <w:shd w:val="clear" w:color="auto" w:fill="CCEEFF"/>
          </w:tcPr>
          <w:p>
            <w:pPr>
              <w:spacing w:after="0"/>
              <w:rPr>
                <w:sz w:val="24"/>
                <w:szCs w:val="24"/>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64.0%</w:t>
            </w:r>
          </w:p>
        </w:tc>
        <w:tc>
          <w:tcPr>
            <w:tcW w:w="120" w:type="dxa"/>
            <w:vAlign w:val="bottom"/>
            <w:tcBorders>
              <w:bottom w:val="single" w:sz="8" w:color="CCEEFF"/>
            </w:tcBorders>
            <w:shd w:val="clear" w:color="auto" w:fill="CCEEFF"/>
          </w:tcPr>
          <w:p>
            <w:pPr>
              <w:spacing w:after="0"/>
              <w:rPr>
                <w:sz w:val="24"/>
                <w:szCs w:val="24"/>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0.8 %</w:t>
            </w:r>
          </w:p>
        </w:tc>
      </w:tr>
      <w:tr>
        <w:trPr>
          <w:trHeight w:val="243"/>
        </w:trPr>
        <w:tc>
          <w:tcPr>
            <w:tcW w:w="4900" w:type="dxa"/>
            <w:vAlign w:val="bottom"/>
          </w:tcPr>
          <w:p>
            <w:pPr>
              <w:ind w:left="80"/>
              <w:spacing w:after="0"/>
              <w:rPr>
                <w:sz w:val="20"/>
                <w:szCs w:val="20"/>
                <w:color w:val="auto"/>
              </w:rPr>
            </w:pPr>
            <w:r>
              <w:rPr>
                <w:rFonts w:ascii="Arial" w:cs="Arial" w:eastAsia="Arial" w:hAnsi="Arial"/>
                <w:sz w:val="18"/>
                <w:szCs w:val="18"/>
                <w:i w:val="1"/>
                <w:iCs w:val="1"/>
                <w:color w:val="auto"/>
              </w:rPr>
              <w:t>2018</w:t>
            </w:r>
          </w:p>
        </w:tc>
        <w:tc>
          <w:tcPr>
            <w:tcW w:w="2080" w:type="dxa"/>
            <w:vAlign w:val="bottom"/>
          </w:tcPr>
          <w:p>
            <w:pPr>
              <w:jc w:val="right"/>
              <w:spacing w:after="0"/>
              <w:rPr>
                <w:sz w:val="20"/>
                <w:szCs w:val="20"/>
                <w:color w:val="auto"/>
              </w:rPr>
            </w:pPr>
            <w:r>
              <w:rPr>
                <w:rFonts w:ascii="Arial" w:cs="Arial" w:eastAsia="Arial" w:hAnsi="Arial"/>
                <w:sz w:val="18"/>
                <w:szCs w:val="18"/>
                <w:i w:val="1"/>
                <w:iCs w:val="1"/>
                <w:color w:val="auto"/>
              </w:rPr>
              <w:t>65.1%</w:t>
            </w:r>
          </w:p>
        </w:tc>
        <w:tc>
          <w:tcPr>
            <w:tcW w:w="1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i w:val="1"/>
                <w:iCs w:val="1"/>
                <w:color w:val="auto"/>
              </w:rPr>
              <w:t>63.6%</w:t>
            </w:r>
          </w:p>
        </w:tc>
        <w:tc>
          <w:tcPr>
            <w:tcW w:w="1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i w:val="1"/>
                <w:iCs w:val="1"/>
                <w:color w:val="auto"/>
              </w:rPr>
              <w:t>1.5 %</w:t>
            </w:r>
          </w:p>
        </w:tc>
      </w:tr>
      <w:tr>
        <w:trPr>
          <w:trHeight w:val="54"/>
        </w:trPr>
        <w:tc>
          <w:tcPr>
            <w:tcW w:w="49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00" w:type="dxa"/>
            <w:vAlign w:val="bottom"/>
          </w:tcPr>
          <w:p>
            <w:pPr>
              <w:spacing w:after="0"/>
              <w:rPr>
                <w:sz w:val="4"/>
                <w:szCs w:val="4"/>
                <w:color w:val="auto"/>
              </w:rPr>
            </w:pPr>
          </w:p>
        </w:tc>
      </w:tr>
      <w:tr>
        <w:trPr>
          <w:trHeight w:val="277"/>
        </w:trPr>
        <w:tc>
          <w:tcPr>
            <w:tcW w:w="4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2019</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64.6%</w:t>
            </w:r>
          </w:p>
        </w:tc>
        <w:tc>
          <w:tcPr>
            <w:tcW w:w="100" w:type="dxa"/>
            <w:vAlign w:val="bottom"/>
            <w:tcBorders>
              <w:bottom w:val="single" w:sz="8" w:color="CCEEFF"/>
            </w:tcBorders>
            <w:shd w:val="clear" w:color="auto" w:fill="CCEEFF"/>
          </w:tcPr>
          <w:p>
            <w:pPr>
              <w:spacing w:after="0"/>
              <w:rPr>
                <w:sz w:val="24"/>
                <w:szCs w:val="24"/>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64.0%</w:t>
            </w:r>
          </w:p>
        </w:tc>
        <w:tc>
          <w:tcPr>
            <w:tcW w:w="120" w:type="dxa"/>
            <w:vAlign w:val="bottom"/>
            <w:tcBorders>
              <w:bottom w:val="single" w:sz="8" w:color="CCEEFF"/>
            </w:tcBorders>
            <w:shd w:val="clear" w:color="auto" w:fill="CCEEFF"/>
          </w:tcPr>
          <w:p>
            <w:pPr>
              <w:spacing w:after="0"/>
              <w:rPr>
                <w:sz w:val="24"/>
                <w:szCs w:val="24"/>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0.6 %</w:t>
            </w:r>
          </w:p>
        </w:tc>
      </w:tr>
      <w:tr>
        <w:trPr>
          <w:trHeight w:val="463"/>
        </w:trPr>
        <w:tc>
          <w:tcPr>
            <w:tcW w:w="4900" w:type="dxa"/>
            <w:vAlign w:val="bottom"/>
          </w:tcPr>
          <w:p>
            <w:pPr>
              <w:ind w:left="80"/>
              <w:spacing w:after="0"/>
              <w:rPr>
                <w:sz w:val="20"/>
                <w:szCs w:val="20"/>
                <w:color w:val="auto"/>
              </w:rPr>
            </w:pPr>
            <w:r>
              <w:rPr>
                <w:rFonts w:ascii="Arial" w:cs="Arial" w:eastAsia="Arial" w:hAnsi="Arial"/>
                <w:sz w:val="18"/>
                <w:szCs w:val="18"/>
                <w:i w:val="1"/>
                <w:iCs w:val="1"/>
                <w:color w:val="auto"/>
              </w:rPr>
              <w:t>Average</w:t>
            </w:r>
            <w:r>
              <w:rPr>
                <w:rFonts w:ascii="Arial" w:cs="Arial" w:eastAsia="Arial" w:hAnsi="Arial"/>
                <w:sz w:val="25"/>
                <w:szCs w:val="25"/>
                <w:i w:val="1"/>
                <w:iCs w:val="1"/>
                <w:color w:val="auto"/>
                <w:vertAlign w:val="superscript"/>
              </w:rPr>
              <w:t>1</w:t>
            </w:r>
          </w:p>
        </w:tc>
        <w:tc>
          <w:tcPr>
            <w:tcW w:w="2080" w:type="dxa"/>
            <w:vAlign w:val="bottom"/>
          </w:tcPr>
          <w:p>
            <w:pPr>
              <w:jc w:val="right"/>
              <w:spacing w:after="0"/>
              <w:rPr>
                <w:sz w:val="20"/>
                <w:szCs w:val="20"/>
                <w:color w:val="auto"/>
              </w:rPr>
            </w:pPr>
            <w:r>
              <w:rPr>
                <w:rFonts w:ascii="Arial" w:cs="Arial" w:eastAsia="Arial" w:hAnsi="Arial"/>
                <w:sz w:val="18"/>
                <w:szCs w:val="18"/>
                <w:i w:val="1"/>
                <w:iCs w:val="1"/>
                <w:color w:val="auto"/>
              </w:rPr>
              <w:t>68.2%</w:t>
            </w:r>
          </w:p>
        </w:tc>
        <w:tc>
          <w:tcPr>
            <w:tcW w:w="10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i w:val="1"/>
                <w:iCs w:val="1"/>
                <w:color w:val="auto"/>
              </w:rPr>
              <w:t>67.6%</w:t>
            </w:r>
          </w:p>
        </w:tc>
        <w:tc>
          <w:tcPr>
            <w:tcW w:w="12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i w:val="1"/>
                <w:iCs w:val="1"/>
                <w:color w:val="auto"/>
              </w:rPr>
              <w:t>0.6 %</w:t>
            </w:r>
          </w:p>
        </w:tc>
      </w:tr>
    </w:tbl>
    <w:p>
      <w:pPr>
        <w:spacing w:after="0" w:line="63"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4"/>
          <w:szCs w:val="14"/>
          <w:color w:val="auto"/>
        </w:rPr>
        <w:t>Calculated using a weighted average based on loan origination dollars.</w:t>
      </w:r>
    </w:p>
    <w:p>
      <w:pPr>
        <w:spacing w:after="0" w:line="83" w:lineRule="exact"/>
        <w:rPr>
          <w:sz w:val="20"/>
          <w:szCs w:val="20"/>
          <w:color w:val="auto"/>
        </w:rPr>
      </w:pPr>
    </w:p>
    <w:p>
      <w:pPr>
        <w:ind w:right="220"/>
        <w:spacing w:after="0" w:line="297" w:lineRule="auto"/>
        <w:rPr>
          <w:sz w:val="20"/>
          <w:szCs w:val="20"/>
          <w:color w:val="auto"/>
        </w:rPr>
      </w:pPr>
      <w:r>
        <w:rPr>
          <w:rFonts w:ascii="Arial" w:cs="Arial" w:eastAsia="Arial" w:hAnsi="Arial"/>
          <w:sz w:val="19"/>
          <w:szCs w:val="19"/>
          <w:color w:val="auto"/>
        </w:rPr>
        <w:t>Loan performance can be explained by a combination of internal and external factors. Internal factors include the quality of our origination and collection processes, the quality of our credit scorecard, and changes in our policies governing new loan originations. External factors include the unemployment rate, the retail price of gasoline, vehicle wholesale values, and the cost of other required expenditures (such as for food and energy) that impact our customers. In addition, the level of competition is thought to impact loan performance through something called adverse selection.</w:t>
      </w:r>
    </w:p>
    <w:p>
      <w:pPr>
        <w:spacing w:after="0" w:line="79" w:lineRule="exact"/>
        <w:rPr>
          <w:sz w:val="20"/>
          <w:szCs w:val="20"/>
          <w:color w:val="auto"/>
        </w:rPr>
      </w:pPr>
    </w:p>
    <w:p>
      <w:pPr>
        <w:jc w:val="both"/>
        <w:ind w:right="240"/>
        <w:spacing w:after="0" w:line="265" w:lineRule="auto"/>
        <w:rPr>
          <w:sz w:val="20"/>
          <w:szCs w:val="20"/>
          <w:color w:val="auto"/>
        </w:rPr>
      </w:pPr>
      <w:r>
        <w:rPr>
          <w:rFonts w:ascii="Arial" w:cs="Arial" w:eastAsia="Arial" w:hAnsi="Arial"/>
          <w:sz w:val="21"/>
          <w:szCs w:val="21"/>
          <w:color w:val="auto"/>
        </w:rPr>
        <w:t>Adverse selection as it relates to our market refers to an inverse correlation between the accuracy of an empirical scorecard and the number of lenders that are competing for the loan. Said another way, without any competition it is relatively easy to build a scorecard which accurately assesses the probability of payment based on attributes collected at the time of loan origination. As competition increases, creating an accurate scorecard becomes more challenging.</w:t>
      </w:r>
    </w:p>
    <w:p>
      <w:pPr>
        <w:spacing w:after="0" w:line="108" w:lineRule="exact"/>
        <w:rPr>
          <w:sz w:val="20"/>
          <w:szCs w:val="20"/>
          <w:color w:val="auto"/>
        </w:rPr>
      </w:pPr>
    </w:p>
    <w:p>
      <w:pPr>
        <w:ind w:right="80"/>
        <w:spacing w:after="0" w:line="247" w:lineRule="auto"/>
        <w:rPr>
          <w:sz w:val="20"/>
          <w:szCs w:val="20"/>
          <w:color w:val="auto"/>
        </w:rPr>
      </w:pPr>
      <w:r>
        <w:rPr>
          <w:rFonts w:ascii="Arial" w:cs="Arial" w:eastAsia="Arial" w:hAnsi="Arial"/>
          <w:sz w:val="22"/>
          <w:szCs w:val="22"/>
          <w:color w:val="auto"/>
        </w:rPr>
        <w:t>To illustrate adverse selection, we will give a simple example. Assume that the scorecard we use to originate loans is based on a single variable, the amount of the customer’s down payment, and that the higher the down payment, the higher the expected collection rate. Assume that for many years, we have no competitors and we accumulate performance data indicating that loans with down payments above $1,000 consistently produce the same average collection rate. Then assume that we begin to compete with another lender whose scorecard ignores down payment and instead emphasizes the amount of the customer’s weekly income.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348" w:right="339" w:bottom="1440" w:gutter="0" w:footer="0" w:header="0"/>
        </w:sectPr>
      </w:pPr>
    </w:p>
    <w:bookmarkStart w:id="24" w:name="page25"/>
    <w:bookmarkEnd w:id="24"/>
    <w:p>
      <w:pPr>
        <w:ind w:right="240"/>
        <w:spacing w:after="0" w:line="261" w:lineRule="auto"/>
        <w:rPr>
          <w:sz w:val="20"/>
          <w:szCs w:val="20"/>
          <w:color w:val="auto"/>
        </w:rPr>
      </w:pPr>
      <w:r>
        <w:rPr>
          <w:rFonts w:ascii="Arial" w:cs="Arial" w:eastAsia="Arial" w:hAnsi="Arial"/>
          <w:sz w:val="21"/>
          <w:szCs w:val="21"/>
          <w:color w:val="auto"/>
        </w:rPr>
        <w:t>As the new lender begins to originate loans, our mix of loans will be impacted as follows: We will start to receive loans for borrowers with lower average weekly incomes as the new lender originates loans for borrowers with higher weekly incomes— i.e., borrowers whose loans we would have previously originated. Furthermore, since our scorecard only focuses on down payment, the shift in our borrower mix will not be detected by our scorecard, and our collection rate expectation will remain unchanged. It is easy to see that this shift in borrower characteristics will have a negative impact on loan performance, and that this impact will be missed by our scorecard.</w:t>
      </w:r>
    </w:p>
    <w:p>
      <w:pPr>
        <w:spacing w:after="0" w:line="179" w:lineRule="exact"/>
        <w:rPr>
          <w:sz w:val="20"/>
          <w:szCs w:val="20"/>
          <w:color w:val="auto"/>
        </w:rPr>
      </w:pPr>
    </w:p>
    <w:p>
      <w:pPr>
        <w:ind w:right="40"/>
        <w:spacing w:after="0" w:line="343" w:lineRule="auto"/>
        <w:rPr>
          <w:sz w:val="20"/>
          <w:szCs w:val="20"/>
          <w:color w:val="auto"/>
        </w:rPr>
      </w:pPr>
      <w:r>
        <w:rPr>
          <w:rFonts w:ascii="Arial" w:cs="Arial" w:eastAsia="Arial" w:hAnsi="Arial"/>
          <w:sz w:val="19"/>
          <w:szCs w:val="19"/>
          <w:color w:val="auto"/>
        </w:rPr>
        <w:t>Although the real world is more complex than this simple example—with hundreds of lenders competing for loans and with each lender using many variables in its scorecard—adverse selection is something that probably does impact loan performance.</w:t>
      </w:r>
    </w:p>
    <w:p>
      <w:pPr>
        <w:spacing w:after="0" w:line="104" w:lineRule="exact"/>
        <w:rPr>
          <w:sz w:val="20"/>
          <w:szCs w:val="20"/>
          <w:color w:val="auto"/>
        </w:rPr>
      </w:pPr>
    </w:p>
    <w:p>
      <w:pPr>
        <w:ind w:right="420"/>
        <w:spacing w:after="0" w:line="343" w:lineRule="auto"/>
        <w:rPr>
          <w:sz w:val="20"/>
          <w:szCs w:val="20"/>
          <w:color w:val="auto"/>
        </w:rPr>
      </w:pPr>
      <w:r>
        <w:rPr>
          <w:rFonts w:ascii="Arial" w:cs="Arial" w:eastAsia="Arial" w:hAnsi="Arial"/>
          <w:sz w:val="19"/>
          <w:szCs w:val="19"/>
          <w:color w:val="auto"/>
        </w:rPr>
        <w:t>Over the 19-year period shown in the table above, our loans have performed on average 60 basis points better than our initial forecasts. Loans originated in seven of the 19 years have yielded actual collection results worse than our initial estimates.</w:t>
      </w:r>
    </w:p>
    <w:p>
      <w:pPr>
        <w:spacing w:after="0" w:line="145" w:lineRule="exact"/>
        <w:rPr>
          <w:sz w:val="20"/>
          <w:szCs w:val="20"/>
          <w:color w:val="auto"/>
        </w:rPr>
      </w:pPr>
    </w:p>
    <w:p>
      <w:pPr>
        <w:ind w:right="80"/>
        <w:spacing w:after="0" w:line="343" w:lineRule="auto"/>
        <w:rPr>
          <w:sz w:val="20"/>
          <w:szCs w:val="20"/>
          <w:color w:val="auto"/>
        </w:rPr>
      </w:pPr>
      <w:r>
        <w:rPr>
          <w:rFonts w:ascii="Arial" w:cs="Arial" w:eastAsia="Arial" w:hAnsi="Arial"/>
          <w:sz w:val="19"/>
          <w:szCs w:val="19"/>
          <w:color w:val="auto"/>
        </w:rPr>
        <w:t>Loans originated in 2001 had an unfavorable variance of 310 basis points. We attribute this result to major changes we made that year in our origination systems and loan programs, as well as a new collection system we implemented the following year.</w:t>
      </w:r>
    </w:p>
    <w:p>
      <w:pPr>
        <w:spacing w:after="0" w:line="145"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Loans originated in 2005, 2006 and 2007 performed worse than our initial forecasts by 40, 140 and 260 basis points, respectively. Since these loans were made in a highly competitive period and serviced during a severe economic downturn, this result is not surprising. What is noteworthy, however, is that the underperformance was modest. To put the underperformance in perspective, we estimate that a 100-basis-point change in our collection forecast impacts the return on capital by 40–60 basis points. As a result, loans originated during this period were still very profitable, even though they performed worse than we had forecast.</w:t>
      </w:r>
    </w:p>
    <w:p>
      <w:pPr>
        <w:spacing w:after="0" w:line="187" w:lineRule="exact"/>
        <w:rPr>
          <w:sz w:val="20"/>
          <w:szCs w:val="20"/>
          <w:color w:val="auto"/>
        </w:rPr>
      </w:pPr>
    </w:p>
    <w:p>
      <w:pPr>
        <w:ind w:right="160"/>
        <w:spacing w:after="0" w:line="260" w:lineRule="auto"/>
        <w:rPr>
          <w:sz w:val="20"/>
          <w:szCs w:val="20"/>
          <w:color w:val="auto"/>
        </w:rPr>
      </w:pPr>
      <w:r>
        <w:rPr>
          <w:rFonts w:ascii="Arial" w:cs="Arial" w:eastAsia="Arial" w:hAnsi="Arial"/>
          <w:sz w:val="21"/>
          <w:szCs w:val="21"/>
          <w:color w:val="auto"/>
        </w:rPr>
        <w:t>Loans originated in 12 of the 19 years performed better than or as well as our initial forecasts. The performance of loans originated in 2009 and 2010 exceeded our initial forecasts by 760 and 420 basis points, respectively. These large positive variances were due to reductions we made in our initial forecasts during this period based on our concerns about how the economic environment might impact loan performance. In retrospect, our adjustments were too large, and the loans originated during those two years performed better than we had forecast. It is instructive that our largest forecasting errors over the past 19 years have occurred because we were too pessimistic about loan performance, not because we were too optimistic—a result which we do not believe is typical in our industry.</w:t>
      </w:r>
    </w:p>
    <w:p>
      <w:pPr>
        <w:spacing w:after="0" w:line="221" w:lineRule="exact"/>
        <w:rPr>
          <w:sz w:val="20"/>
          <w:szCs w:val="20"/>
          <w:color w:val="auto"/>
        </w:rPr>
      </w:pPr>
    </w:p>
    <w:p>
      <w:pPr>
        <w:ind w:right="20"/>
        <w:spacing w:after="0" w:line="247" w:lineRule="auto"/>
        <w:rPr>
          <w:sz w:val="20"/>
          <w:szCs w:val="20"/>
          <w:color w:val="auto"/>
        </w:rPr>
      </w:pPr>
      <w:r>
        <w:rPr>
          <w:rFonts w:ascii="Arial" w:cs="Arial" w:eastAsia="Arial" w:hAnsi="Arial"/>
          <w:sz w:val="22"/>
          <w:szCs w:val="22"/>
          <w:color w:val="auto"/>
        </w:rPr>
        <w:t>Our December 31, 2019 forecast for 2012 loans exceeded our initial estimate by 250 basis points. As competition intensified, the variance declined and then turned negative from 2014 to 2016, with 2015 loans performing worse than our initial forecast by 230 basis points. As we observed this trend playing out in 2016, we made several adjustments to our initial forecast intended to eliminate the unfavorable variance. So far, the adjustments appear to have had the intended impact, with a positive 80-basis-point variance on 2017 originations, a positive 150-basis-point variance on 2018 originations, and a positive 60-basis-point variance on 2019 originations.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348" w:right="359" w:bottom="1440" w:gutter="0" w:footer="0" w:header="0"/>
        </w:sectPr>
      </w:pPr>
    </w:p>
    <w:bookmarkStart w:id="25" w:name="page26"/>
    <w:bookmarkEnd w:id="25"/>
    <w:p>
      <w:pPr>
        <w:ind w:right="140"/>
        <w:spacing w:after="0" w:line="248" w:lineRule="auto"/>
        <w:rPr>
          <w:sz w:val="20"/>
          <w:szCs w:val="20"/>
          <w:color w:val="auto"/>
        </w:rPr>
      </w:pPr>
      <w:r>
        <w:rPr>
          <w:rFonts w:ascii="Arial" w:cs="Arial" w:eastAsia="Arial" w:hAnsi="Arial"/>
          <w:sz w:val="22"/>
          <w:szCs w:val="22"/>
          <w:color w:val="auto"/>
        </w:rPr>
        <w:t>However, as stated above, the COVID-19 crisis is likely to negatively affect loan performance. Although we have loan performance data going back to 1991, there is no directly comparable period that will allow us to predict the impact of the crisis on loan performance with confidence at this early stage. The loans assigned during the 2005-2007 period are most relevant, but the economic impact of the COVID-19 crisis in these early stages appears to be much more severe than the one we experienced during that period.</w:t>
      </w:r>
    </w:p>
    <w:p>
      <w:pPr>
        <w:spacing w:after="0" w:line="192" w:lineRule="exact"/>
        <w:rPr>
          <w:sz w:val="20"/>
          <w:szCs w:val="20"/>
          <w:color w:val="auto"/>
        </w:rPr>
      </w:pPr>
    </w:p>
    <w:p>
      <w:pPr>
        <w:spacing w:after="0" w:line="302" w:lineRule="auto"/>
        <w:rPr>
          <w:sz w:val="20"/>
          <w:szCs w:val="20"/>
          <w:color w:val="auto"/>
        </w:rPr>
      </w:pPr>
      <w:r>
        <w:rPr>
          <w:rFonts w:ascii="Arial" w:cs="Arial" w:eastAsia="Arial" w:hAnsi="Arial"/>
          <w:sz w:val="19"/>
          <w:szCs w:val="19"/>
          <w:color w:val="auto"/>
        </w:rPr>
        <w:t>We have understood for many years that expecting to predict the performance of our loans with exacting precision is not realistic. For this reason, we have always made it a priority to maintain a margin a safety so that, even if our forecasts prove to be optimistic, our loans will still be profitable. Because of this approach, we can withstand a significant deterioration in loan performance and still have an opportunity to move forward and create significant value for our shareholders.</w:t>
      </w: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320" w:top="348" w:right="379" w:bottom="1440" w:gutter="0" w:footer="0" w:header="0"/>
        </w:sectPr>
      </w:pPr>
    </w:p>
    <w:bookmarkStart w:id="26" w:name="page27"/>
    <w:bookmarkEnd w:id="26"/>
    <w:p>
      <w:pPr>
        <w:spacing w:after="0"/>
        <w:rPr>
          <w:sz w:val="20"/>
          <w:szCs w:val="20"/>
          <w:color w:val="auto"/>
        </w:rPr>
      </w:pPr>
      <w:r>
        <w:rPr>
          <w:rFonts w:ascii="Arial" w:cs="Arial" w:eastAsia="Arial" w:hAnsi="Arial"/>
          <w:sz w:val="20"/>
          <w:szCs w:val="20"/>
          <w:b w:val="1"/>
          <w:bCs w:val="1"/>
          <w:color w:val="003066"/>
        </w:rPr>
        <w:t>UNIT VOLUME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unit volume growth for 2001–2019:</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20" w:type="dxa"/>
            <w:vAlign w:val="bottom"/>
          </w:tcPr>
          <w:p>
            <w:pPr>
              <w:spacing w:after="0"/>
              <w:rPr>
                <w:sz w:val="16"/>
                <w:szCs w:val="16"/>
                <w:color w:val="auto"/>
              </w:rPr>
            </w:pPr>
          </w:p>
        </w:tc>
        <w:tc>
          <w:tcPr>
            <w:tcW w:w="2000" w:type="dxa"/>
            <w:vAlign w:val="bottom"/>
            <w:gridSpan w:val="2"/>
          </w:tcPr>
          <w:p>
            <w:pPr>
              <w:ind w:left="600"/>
              <w:spacing w:after="0"/>
              <w:rPr>
                <w:sz w:val="20"/>
                <w:szCs w:val="20"/>
                <w:color w:val="auto"/>
              </w:rPr>
            </w:pPr>
            <w:r>
              <w:rPr>
                <w:rFonts w:ascii="Arial" w:cs="Arial" w:eastAsia="Arial" w:hAnsi="Arial"/>
                <w:sz w:val="14"/>
                <w:szCs w:val="14"/>
                <w:b w:val="1"/>
                <w:bCs w:val="1"/>
                <w:color w:val="auto"/>
              </w:rPr>
              <w:t>Unit volume</w:t>
            </w:r>
          </w:p>
        </w:tc>
        <w:tc>
          <w:tcPr>
            <w:tcW w:w="2020" w:type="dxa"/>
            <w:vAlign w:val="bottom"/>
          </w:tcPr>
          <w:p>
            <w:pPr>
              <w:jc w:val="right"/>
              <w:ind w:right="291"/>
              <w:spacing w:after="0"/>
              <w:rPr>
                <w:sz w:val="20"/>
                <w:szCs w:val="20"/>
                <w:color w:val="auto"/>
              </w:rPr>
            </w:pPr>
            <w:r>
              <w:rPr>
                <w:rFonts w:ascii="Arial" w:cs="Arial" w:eastAsia="Arial" w:hAnsi="Arial"/>
                <w:sz w:val="14"/>
                <w:szCs w:val="14"/>
                <w:b w:val="1"/>
                <w:bCs w:val="1"/>
                <w:color w:val="auto"/>
              </w:rPr>
              <w:t>Year-to-year change</w:t>
            </w:r>
          </w:p>
        </w:tc>
      </w:tr>
      <w:tr>
        <w:trPr>
          <w:trHeight w:val="39"/>
        </w:trPr>
        <w:tc>
          <w:tcPr>
            <w:tcW w:w="7220" w:type="dxa"/>
            <w:vAlign w:val="bottom"/>
            <w:tcBorders>
              <w:bottom w:val="single" w:sz="8" w:color="CCEEFF"/>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r>
      <w:tr>
        <w:trPr>
          <w:trHeight w:val="270"/>
        </w:trPr>
        <w:tc>
          <w:tcPr>
            <w:tcW w:w="7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2001</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61,928</w:t>
            </w:r>
          </w:p>
        </w:tc>
        <w:tc>
          <w:tcPr>
            <w:tcW w:w="10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spacing w:after="0"/>
              <w:rPr>
                <w:sz w:val="23"/>
                <w:szCs w:val="23"/>
                <w:color w:val="auto"/>
              </w:rPr>
            </w:pPr>
          </w:p>
        </w:tc>
      </w:tr>
      <w:tr>
        <w:trPr>
          <w:trHeight w:val="243"/>
        </w:trPr>
        <w:tc>
          <w:tcPr>
            <w:tcW w:w="7220" w:type="dxa"/>
            <w:vAlign w:val="bottom"/>
          </w:tcPr>
          <w:p>
            <w:pPr>
              <w:ind w:left="80"/>
              <w:spacing w:after="0"/>
              <w:rPr>
                <w:sz w:val="20"/>
                <w:szCs w:val="20"/>
                <w:color w:val="auto"/>
              </w:rPr>
            </w:pPr>
            <w:r>
              <w:rPr>
                <w:rFonts w:ascii="Arial" w:cs="Arial" w:eastAsia="Arial" w:hAnsi="Arial"/>
                <w:sz w:val="18"/>
                <w:szCs w:val="18"/>
                <w:i w:val="1"/>
                <w:iCs w:val="1"/>
                <w:color w:val="auto"/>
              </w:rPr>
              <w:t>2002</w:t>
            </w:r>
          </w:p>
        </w:tc>
        <w:tc>
          <w:tcPr>
            <w:tcW w:w="1900" w:type="dxa"/>
            <w:vAlign w:val="bottom"/>
          </w:tcPr>
          <w:p>
            <w:pPr>
              <w:jc w:val="right"/>
              <w:spacing w:after="0"/>
              <w:rPr>
                <w:sz w:val="20"/>
                <w:szCs w:val="20"/>
                <w:color w:val="auto"/>
              </w:rPr>
            </w:pPr>
            <w:r>
              <w:rPr>
                <w:rFonts w:ascii="Arial" w:cs="Arial" w:eastAsia="Arial" w:hAnsi="Arial"/>
                <w:sz w:val="18"/>
                <w:szCs w:val="18"/>
                <w:i w:val="1"/>
                <w:iCs w:val="1"/>
                <w:color w:val="auto"/>
              </w:rPr>
              <w:t>49,801</w:t>
            </w:r>
          </w:p>
        </w:tc>
        <w:tc>
          <w:tcPr>
            <w:tcW w:w="10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i w:val="1"/>
                <w:iCs w:val="1"/>
                <w:color w:val="auto"/>
              </w:rPr>
              <w:t>-19.6 %</w:t>
            </w:r>
          </w:p>
        </w:tc>
      </w:tr>
      <w:tr>
        <w:trPr>
          <w:trHeight w:val="54"/>
        </w:trPr>
        <w:tc>
          <w:tcPr>
            <w:tcW w:w="72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20" w:type="dxa"/>
            <w:vAlign w:val="bottom"/>
          </w:tcPr>
          <w:p>
            <w:pPr>
              <w:spacing w:after="0"/>
              <w:rPr>
                <w:sz w:val="4"/>
                <w:szCs w:val="4"/>
                <w:color w:val="auto"/>
              </w:rPr>
            </w:pPr>
          </w:p>
        </w:tc>
      </w:tr>
      <w:tr>
        <w:trPr>
          <w:trHeight w:val="277"/>
        </w:trPr>
        <w:tc>
          <w:tcPr>
            <w:tcW w:w="7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2003</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61,445</w:t>
            </w:r>
          </w:p>
        </w:tc>
        <w:tc>
          <w:tcPr>
            <w:tcW w:w="10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23.4 %</w:t>
            </w:r>
          </w:p>
        </w:tc>
      </w:tr>
      <w:tr>
        <w:trPr>
          <w:trHeight w:val="243"/>
        </w:trPr>
        <w:tc>
          <w:tcPr>
            <w:tcW w:w="7220" w:type="dxa"/>
            <w:vAlign w:val="bottom"/>
          </w:tcPr>
          <w:p>
            <w:pPr>
              <w:ind w:left="80"/>
              <w:spacing w:after="0"/>
              <w:rPr>
                <w:sz w:val="20"/>
                <w:szCs w:val="20"/>
                <w:color w:val="auto"/>
              </w:rPr>
            </w:pPr>
            <w:r>
              <w:rPr>
                <w:rFonts w:ascii="Arial" w:cs="Arial" w:eastAsia="Arial" w:hAnsi="Arial"/>
                <w:sz w:val="18"/>
                <w:szCs w:val="18"/>
                <w:i w:val="1"/>
                <w:iCs w:val="1"/>
                <w:color w:val="auto"/>
              </w:rPr>
              <w:t>2004</w:t>
            </w:r>
          </w:p>
        </w:tc>
        <w:tc>
          <w:tcPr>
            <w:tcW w:w="1900" w:type="dxa"/>
            <w:vAlign w:val="bottom"/>
          </w:tcPr>
          <w:p>
            <w:pPr>
              <w:jc w:val="right"/>
              <w:spacing w:after="0"/>
              <w:rPr>
                <w:sz w:val="20"/>
                <w:szCs w:val="20"/>
                <w:color w:val="auto"/>
              </w:rPr>
            </w:pPr>
            <w:r>
              <w:rPr>
                <w:rFonts w:ascii="Arial" w:cs="Arial" w:eastAsia="Arial" w:hAnsi="Arial"/>
                <w:sz w:val="18"/>
                <w:szCs w:val="18"/>
                <w:i w:val="1"/>
                <w:iCs w:val="1"/>
                <w:color w:val="auto"/>
              </w:rPr>
              <w:t>74,154</w:t>
            </w:r>
          </w:p>
        </w:tc>
        <w:tc>
          <w:tcPr>
            <w:tcW w:w="10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i w:val="1"/>
                <w:iCs w:val="1"/>
                <w:color w:val="auto"/>
              </w:rPr>
              <w:t>20.7 %</w:t>
            </w:r>
          </w:p>
        </w:tc>
      </w:tr>
      <w:tr>
        <w:trPr>
          <w:trHeight w:val="54"/>
        </w:trPr>
        <w:tc>
          <w:tcPr>
            <w:tcW w:w="72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20" w:type="dxa"/>
            <w:vAlign w:val="bottom"/>
          </w:tcPr>
          <w:p>
            <w:pPr>
              <w:spacing w:after="0"/>
              <w:rPr>
                <w:sz w:val="4"/>
                <w:szCs w:val="4"/>
                <w:color w:val="auto"/>
              </w:rPr>
            </w:pPr>
          </w:p>
        </w:tc>
      </w:tr>
      <w:tr>
        <w:trPr>
          <w:trHeight w:val="277"/>
        </w:trPr>
        <w:tc>
          <w:tcPr>
            <w:tcW w:w="7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2005</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81,184</w:t>
            </w:r>
          </w:p>
        </w:tc>
        <w:tc>
          <w:tcPr>
            <w:tcW w:w="10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9.5 %</w:t>
            </w:r>
          </w:p>
        </w:tc>
      </w:tr>
      <w:tr>
        <w:trPr>
          <w:trHeight w:val="243"/>
        </w:trPr>
        <w:tc>
          <w:tcPr>
            <w:tcW w:w="7220" w:type="dxa"/>
            <w:vAlign w:val="bottom"/>
          </w:tcPr>
          <w:p>
            <w:pPr>
              <w:ind w:left="80"/>
              <w:spacing w:after="0"/>
              <w:rPr>
                <w:sz w:val="20"/>
                <w:szCs w:val="20"/>
                <w:color w:val="auto"/>
              </w:rPr>
            </w:pPr>
            <w:r>
              <w:rPr>
                <w:rFonts w:ascii="Arial" w:cs="Arial" w:eastAsia="Arial" w:hAnsi="Arial"/>
                <w:sz w:val="18"/>
                <w:szCs w:val="18"/>
                <w:i w:val="1"/>
                <w:iCs w:val="1"/>
                <w:color w:val="auto"/>
              </w:rPr>
              <w:t>2006</w:t>
            </w:r>
          </w:p>
        </w:tc>
        <w:tc>
          <w:tcPr>
            <w:tcW w:w="1900" w:type="dxa"/>
            <w:vAlign w:val="bottom"/>
          </w:tcPr>
          <w:p>
            <w:pPr>
              <w:jc w:val="right"/>
              <w:spacing w:after="0"/>
              <w:rPr>
                <w:sz w:val="20"/>
                <w:szCs w:val="20"/>
                <w:color w:val="auto"/>
              </w:rPr>
            </w:pPr>
            <w:r>
              <w:rPr>
                <w:rFonts w:ascii="Arial" w:cs="Arial" w:eastAsia="Arial" w:hAnsi="Arial"/>
                <w:sz w:val="18"/>
                <w:szCs w:val="18"/>
                <w:i w:val="1"/>
                <w:iCs w:val="1"/>
                <w:color w:val="auto"/>
              </w:rPr>
              <w:t>91,344</w:t>
            </w:r>
          </w:p>
        </w:tc>
        <w:tc>
          <w:tcPr>
            <w:tcW w:w="10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i w:val="1"/>
                <w:iCs w:val="1"/>
                <w:color w:val="auto"/>
              </w:rPr>
              <w:t>12.5 %</w:t>
            </w:r>
          </w:p>
        </w:tc>
      </w:tr>
      <w:tr>
        <w:trPr>
          <w:trHeight w:val="54"/>
        </w:trPr>
        <w:tc>
          <w:tcPr>
            <w:tcW w:w="72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20" w:type="dxa"/>
            <w:vAlign w:val="bottom"/>
          </w:tcPr>
          <w:p>
            <w:pPr>
              <w:spacing w:after="0"/>
              <w:rPr>
                <w:sz w:val="4"/>
                <w:szCs w:val="4"/>
                <w:color w:val="auto"/>
              </w:rPr>
            </w:pPr>
          </w:p>
        </w:tc>
      </w:tr>
      <w:tr>
        <w:trPr>
          <w:trHeight w:val="277"/>
        </w:trPr>
        <w:tc>
          <w:tcPr>
            <w:tcW w:w="7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2007</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106,693</w:t>
            </w:r>
          </w:p>
        </w:tc>
        <w:tc>
          <w:tcPr>
            <w:tcW w:w="10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16.8 %</w:t>
            </w:r>
          </w:p>
        </w:tc>
      </w:tr>
      <w:tr>
        <w:trPr>
          <w:trHeight w:val="243"/>
        </w:trPr>
        <w:tc>
          <w:tcPr>
            <w:tcW w:w="7220" w:type="dxa"/>
            <w:vAlign w:val="bottom"/>
          </w:tcPr>
          <w:p>
            <w:pPr>
              <w:ind w:left="80"/>
              <w:spacing w:after="0"/>
              <w:rPr>
                <w:sz w:val="20"/>
                <w:szCs w:val="20"/>
                <w:color w:val="auto"/>
              </w:rPr>
            </w:pPr>
            <w:r>
              <w:rPr>
                <w:rFonts w:ascii="Arial" w:cs="Arial" w:eastAsia="Arial" w:hAnsi="Arial"/>
                <w:sz w:val="18"/>
                <w:szCs w:val="18"/>
                <w:i w:val="1"/>
                <w:iCs w:val="1"/>
                <w:color w:val="auto"/>
              </w:rPr>
              <w:t>2008</w:t>
            </w:r>
          </w:p>
        </w:tc>
        <w:tc>
          <w:tcPr>
            <w:tcW w:w="1900" w:type="dxa"/>
            <w:vAlign w:val="bottom"/>
          </w:tcPr>
          <w:p>
            <w:pPr>
              <w:jc w:val="right"/>
              <w:spacing w:after="0"/>
              <w:rPr>
                <w:sz w:val="20"/>
                <w:szCs w:val="20"/>
                <w:color w:val="auto"/>
              </w:rPr>
            </w:pPr>
            <w:r>
              <w:rPr>
                <w:rFonts w:ascii="Arial" w:cs="Arial" w:eastAsia="Arial" w:hAnsi="Arial"/>
                <w:sz w:val="18"/>
                <w:szCs w:val="18"/>
                <w:i w:val="1"/>
                <w:iCs w:val="1"/>
                <w:color w:val="auto"/>
              </w:rPr>
              <w:t>121,282</w:t>
            </w:r>
          </w:p>
        </w:tc>
        <w:tc>
          <w:tcPr>
            <w:tcW w:w="10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i w:val="1"/>
                <w:iCs w:val="1"/>
                <w:color w:val="auto"/>
              </w:rPr>
              <w:t>13.7 %</w:t>
            </w:r>
          </w:p>
        </w:tc>
      </w:tr>
      <w:tr>
        <w:trPr>
          <w:trHeight w:val="54"/>
        </w:trPr>
        <w:tc>
          <w:tcPr>
            <w:tcW w:w="72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20" w:type="dxa"/>
            <w:vAlign w:val="bottom"/>
          </w:tcPr>
          <w:p>
            <w:pPr>
              <w:spacing w:after="0"/>
              <w:rPr>
                <w:sz w:val="4"/>
                <w:szCs w:val="4"/>
                <w:color w:val="auto"/>
              </w:rPr>
            </w:pPr>
          </w:p>
        </w:tc>
      </w:tr>
      <w:tr>
        <w:trPr>
          <w:trHeight w:val="277"/>
        </w:trPr>
        <w:tc>
          <w:tcPr>
            <w:tcW w:w="7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2009</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111,029</w:t>
            </w:r>
          </w:p>
        </w:tc>
        <w:tc>
          <w:tcPr>
            <w:tcW w:w="10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-8.5 %</w:t>
            </w:r>
          </w:p>
        </w:tc>
      </w:tr>
      <w:tr>
        <w:trPr>
          <w:trHeight w:val="243"/>
        </w:trPr>
        <w:tc>
          <w:tcPr>
            <w:tcW w:w="7220" w:type="dxa"/>
            <w:vAlign w:val="bottom"/>
          </w:tcPr>
          <w:p>
            <w:pPr>
              <w:ind w:left="80"/>
              <w:spacing w:after="0"/>
              <w:rPr>
                <w:sz w:val="20"/>
                <w:szCs w:val="20"/>
                <w:color w:val="auto"/>
              </w:rPr>
            </w:pPr>
            <w:r>
              <w:rPr>
                <w:rFonts w:ascii="Arial" w:cs="Arial" w:eastAsia="Arial" w:hAnsi="Arial"/>
                <w:sz w:val="18"/>
                <w:szCs w:val="18"/>
                <w:i w:val="1"/>
                <w:iCs w:val="1"/>
                <w:color w:val="auto"/>
              </w:rPr>
              <w:t>2010</w:t>
            </w:r>
          </w:p>
        </w:tc>
        <w:tc>
          <w:tcPr>
            <w:tcW w:w="1900" w:type="dxa"/>
            <w:vAlign w:val="bottom"/>
          </w:tcPr>
          <w:p>
            <w:pPr>
              <w:jc w:val="right"/>
              <w:spacing w:after="0"/>
              <w:rPr>
                <w:sz w:val="20"/>
                <w:szCs w:val="20"/>
                <w:color w:val="auto"/>
              </w:rPr>
            </w:pPr>
            <w:r>
              <w:rPr>
                <w:rFonts w:ascii="Arial" w:cs="Arial" w:eastAsia="Arial" w:hAnsi="Arial"/>
                <w:sz w:val="18"/>
                <w:szCs w:val="18"/>
                <w:i w:val="1"/>
                <w:iCs w:val="1"/>
                <w:color w:val="auto"/>
              </w:rPr>
              <w:t>136,813</w:t>
            </w:r>
          </w:p>
        </w:tc>
        <w:tc>
          <w:tcPr>
            <w:tcW w:w="10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i w:val="1"/>
                <w:iCs w:val="1"/>
                <w:color w:val="auto"/>
              </w:rPr>
              <w:t>23.2 %</w:t>
            </w:r>
          </w:p>
        </w:tc>
      </w:tr>
      <w:tr>
        <w:trPr>
          <w:trHeight w:val="54"/>
        </w:trPr>
        <w:tc>
          <w:tcPr>
            <w:tcW w:w="72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20" w:type="dxa"/>
            <w:vAlign w:val="bottom"/>
          </w:tcPr>
          <w:p>
            <w:pPr>
              <w:spacing w:after="0"/>
              <w:rPr>
                <w:sz w:val="4"/>
                <w:szCs w:val="4"/>
                <w:color w:val="auto"/>
              </w:rPr>
            </w:pPr>
          </w:p>
        </w:tc>
      </w:tr>
      <w:tr>
        <w:trPr>
          <w:trHeight w:val="277"/>
        </w:trPr>
        <w:tc>
          <w:tcPr>
            <w:tcW w:w="7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2011</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178,074</w:t>
            </w:r>
          </w:p>
        </w:tc>
        <w:tc>
          <w:tcPr>
            <w:tcW w:w="10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30.2 %</w:t>
            </w:r>
          </w:p>
        </w:tc>
      </w:tr>
      <w:tr>
        <w:trPr>
          <w:trHeight w:val="243"/>
        </w:trPr>
        <w:tc>
          <w:tcPr>
            <w:tcW w:w="7220" w:type="dxa"/>
            <w:vAlign w:val="bottom"/>
          </w:tcPr>
          <w:p>
            <w:pPr>
              <w:ind w:left="80"/>
              <w:spacing w:after="0"/>
              <w:rPr>
                <w:sz w:val="20"/>
                <w:szCs w:val="20"/>
                <w:color w:val="auto"/>
              </w:rPr>
            </w:pPr>
            <w:r>
              <w:rPr>
                <w:rFonts w:ascii="Arial" w:cs="Arial" w:eastAsia="Arial" w:hAnsi="Arial"/>
                <w:sz w:val="18"/>
                <w:szCs w:val="18"/>
                <w:i w:val="1"/>
                <w:iCs w:val="1"/>
                <w:color w:val="auto"/>
              </w:rPr>
              <w:t>2012</w:t>
            </w:r>
          </w:p>
        </w:tc>
        <w:tc>
          <w:tcPr>
            <w:tcW w:w="1900" w:type="dxa"/>
            <w:vAlign w:val="bottom"/>
          </w:tcPr>
          <w:p>
            <w:pPr>
              <w:jc w:val="right"/>
              <w:spacing w:after="0"/>
              <w:rPr>
                <w:sz w:val="20"/>
                <w:szCs w:val="20"/>
                <w:color w:val="auto"/>
              </w:rPr>
            </w:pPr>
            <w:r>
              <w:rPr>
                <w:rFonts w:ascii="Arial" w:cs="Arial" w:eastAsia="Arial" w:hAnsi="Arial"/>
                <w:sz w:val="18"/>
                <w:szCs w:val="18"/>
                <w:i w:val="1"/>
                <w:iCs w:val="1"/>
                <w:color w:val="auto"/>
              </w:rPr>
              <w:t>190,023</w:t>
            </w:r>
          </w:p>
        </w:tc>
        <w:tc>
          <w:tcPr>
            <w:tcW w:w="10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i w:val="1"/>
                <w:iCs w:val="1"/>
                <w:color w:val="auto"/>
              </w:rPr>
              <w:t>6.7 %</w:t>
            </w:r>
          </w:p>
        </w:tc>
      </w:tr>
      <w:tr>
        <w:trPr>
          <w:trHeight w:val="54"/>
        </w:trPr>
        <w:tc>
          <w:tcPr>
            <w:tcW w:w="72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20" w:type="dxa"/>
            <w:vAlign w:val="bottom"/>
          </w:tcPr>
          <w:p>
            <w:pPr>
              <w:spacing w:after="0"/>
              <w:rPr>
                <w:sz w:val="4"/>
                <w:szCs w:val="4"/>
                <w:color w:val="auto"/>
              </w:rPr>
            </w:pPr>
          </w:p>
        </w:tc>
      </w:tr>
      <w:tr>
        <w:trPr>
          <w:trHeight w:val="277"/>
        </w:trPr>
        <w:tc>
          <w:tcPr>
            <w:tcW w:w="7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2013</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202,250</w:t>
            </w:r>
          </w:p>
        </w:tc>
        <w:tc>
          <w:tcPr>
            <w:tcW w:w="10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6.4 %</w:t>
            </w:r>
          </w:p>
        </w:tc>
      </w:tr>
      <w:tr>
        <w:trPr>
          <w:trHeight w:val="243"/>
        </w:trPr>
        <w:tc>
          <w:tcPr>
            <w:tcW w:w="7220" w:type="dxa"/>
            <w:vAlign w:val="bottom"/>
          </w:tcPr>
          <w:p>
            <w:pPr>
              <w:ind w:left="80"/>
              <w:spacing w:after="0"/>
              <w:rPr>
                <w:sz w:val="20"/>
                <w:szCs w:val="20"/>
                <w:color w:val="auto"/>
              </w:rPr>
            </w:pPr>
            <w:r>
              <w:rPr>
                <w:rFonts w:ascii="Arial" w:cs="Arial" w:eastAsia="Arial" w:hAnsi="Arial"/>
                <w:sz w:val="18"/>
                <w:szCs w:val="18"/>
                <w:i w:val="1"/>
                <w:iCs w:val="1"/>
                <w:color w:val="auto"/>
              </w:rPr>
              <w:t>2014</w:t>
            </w:r>
          </w:p>
        </w:tc>
        <w:tc>
          <w:tcPr>
            <w:tcW w:w="1900" w:type="dxa"/>
            <w:vAlign w:val="bottom"/>
          </w:tcPr>
          <w:p>
            <w:pPr>
              <w:jc w:val="right"/>
              <w:spacing w:after="0"/>
              <w:rPr>
                <w:sz w:val="20"/>
                <w:szCs w:val="20"/>
                <w:color w:val="auto"/>
              </w:rPr>
            </w:pPr>
            <w:r>
              <w:rPr>
                <w:rFonts w:ascii="Arial" w:cs="Arial" w:eastAsia="Arial" w:hAnsi="Arial"/>
                <w:sz w:val="18"/>
                <w:szCs w:val="18"/>
                <w:i w:val="1"/>
                <w:iCs w:val="1"/>
                <w:color w:val="auto"/>
              </w:rPr>
              <w:t>223,998</w:t>
            </w:r>
          </w:p>
        </w:tc>
        <w:tc>
          <w:tcPr>
            <w:tcW w:w="10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i w:val="1"/>
                <w:iCs w:val="1"/>
                <w:color w:val="auto"/>
              </w:rPr>
              <w:t>10.8 %</w:t>
            </w:r>
          </w:p>
        </w:tc>
      </w:tr>
      <w:tr>
        <w:trPr>
          <w:trHeight w:val="54"/>
        </w:trPr>
        <w:tc>
          <w:tcPr>
            <w:tcW w:w="72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20" w:type="dxa"/>
            <w:vAlign w:val="bottom"/>
          </w:tcPr>
          <w:p>
            <w:pPr>
              <w:spacing w:after="0"/>
              <w:rPr>
                <w:sz w:val="4"/>
                <w:szCs w:val="4"/>
                <w:color w:val="auto"/>
              </w:rPr>
            </w:pPr>
          </w:p>
        </w:tc>
      </w:tr>
      <w:tr>
        <w:trPr>
          <w:trHeight w:val="277"/>
        </w:trPr>
        <w:tc>
          <w:tcPr>
            <w:tcW w:w="7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2015</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298,288</w:t>
            </w:r>
          </w:p>
        </w:tc>
        <w:tc>
          <w:tcPr>
            <w:tcW w:w="10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33.2 %</w:t>
            </w:r>
          </w:p>
        </w:tc>
      </w:tr>
      <w:tr>
        <w:trPr>
          <w:trHeight w:val="243"/>
        </w:trPr>
        <w:tc>
          <w:tcPr>
            <w:tcW w:w="7220" w:type="dxa"/>
            <w:vAlign w:val="bottom"/>
          </w:tcPr>
          <w:p>
            <w:pPr>
              <w:ind w:left="80"/>
              <w:spacing w:after="0"/>
              <w:rPr>
                <w:sz w:val="20"/>
                <w:szCs w:val="20"/>
                <w:color w:val="auto"/>
              </w:rPr>
            </w:pPr>
            <w:r>
              <w:rPr>
                <w:rFonts w:ascii="Arial" w:cs="Arial" w:eastAsia="Arial" w:hAnsi="Arial"/>
                <w:sz w:val="18"/>
                <w:szCs w:val="18"/>
                <w:i w:val="1"/>
                <w:iCs w:val="1"/>
                <w:color w:val="auto"/>
              </w:rPr>
              <w:t>2016</w:t>
            </w:r>
          </w:p>
        </w:tc>
        <w:tc>
          <w:tcPr>
            <w:tcW w:w="1900" w:type="dxa"/>
            <w:vAlign w:val="bottom"/>
          </w:tcPr>
          <w:p>
            <w:pPr>
              <w:jc w:val="right"/>
              <w:spacing w:after="0"/>
              <w:rPr>
                <w:sz w:val="20"/>
                <w:szCs w:val="20"/>
                <w:color w:val="auto"/>
              </w:rPr>
            </w:pPr>
            <w:r>
              <w:rPr>
                <w:rFonts w:ascii="Arial" w:cs="Arial" w:eastAsia="Arial" w:hAnsi="Arial"/>
                <w:sz w:val="18"/>
                <w:szCs w:val="18"/>
                <w:i w:val="1"/>
                <w:iCs w:val="1"/>
                <w:color w:val="auto"/>
              </w:rPr>
              <w:t>330,710</w:t>
            </w:r>
          </w:p>
        </w:tc>
        <w:tc>
          <w:tcPr>
            <w:tcW w:w="10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i w:val="1"/>
                <w:iCs w:val="1"/>
                <w:color w:val="auto"/>
              </w:rPr>
              <w:t>10.9 %</w:t>
            </w:r>
          </w:p>
        </w:tc>
      </w:tr>
      <w:tr>
        <w:trPr>
          <w:trHeight w:val="54"/>
        </w:trPr>
        <w:tc>
          <w:tcPr>
            <w:tcW w:w="72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20" w:type="dxa"/>
            <w:vAlign w:val="bottom"/>
          </w:tcPr>
          <w:p>
            <w:pPr>
              <w:spacing w:after="0"/>
              <w:rPr>
                <w:sz w:val="4"/>
                <w:szCs w:val="4"/>
                <w:color w:val="auto"/>
              </w:rPr>
            </w:pPr>
          </w:p>
        </w:tc>
      </w:tr>
      <w:tr>
        <w:trPr>
          <w:trHeight w:val="277"/>
        </w:trPr>
        <w:tc>
          <w:tcPr>
            <w:tcW w:w="7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2017</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328,507</w:t>
            </w:r>
          </w:p>
        </w:tc>
        <w:tc>
          <w:tcPr>
            <w:tcW w:w="10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-0.7 %</w:t>
            </w:r>
          </w:p>
        </w:tc>
      </w:tr>
      <w:tr>
        <w:trPr>
          <w:trHeight w:val="243"/>
        </w:trPr>
        <w:tc>
          <w:tcPr>
            <w:tcW w:w="7220" w:type="dxa"/>
            <w:vAlign w:val="bottom"/>
          </w:tcPr>
          <w:p>
            <w:pPr>
              <w:ind w:left="80"/>
              <w:spacing w:after="0"/>
              <w:rPr>
                <w:sz w:val="20"/>
                <w:szCs w:val="20"/>
                <w:color w:val="auto"/>
              </w:rPr>
            </w:pPr>
            <w:r>
              <w:rPr>
                <w:rFonts w:ascii="Arial" w:cs="Arial" w:eastAsia="Arial" w:hAnsi="Arial"/>
                <w:sz w:val="18"/>
                <w:szCs w:val="18"/>
                <w:i w:val="1"/>
                <w:iCs w:val="1"/>
                <w:color w:val="auto"/>
              </w:rPr>
              <w:t>2018</w:t>
            </w:r>
          </w:p>
        </w:tc>
        <w:tc>
          <w:tcPr>
            <w:tcW w:w="1900" w:type="dxa"/>
            <w:vAlign w:val="bottom"/>
          </w:tcPr>
          <w:p>
            <w:pPr>
              <w:jc w:val="right"/>
              <w:spacing w:after="0"/>
              <w:rPr>
                <w:sz w:val="20"/>
                <w:szCs w:val="20"/>
                <w:color w:val="auto"/>
              </w:rPr>
            </w:pPr>
            <w:r>
              <w:rPr>
                <w:rFonts w:ascii="Arial" w:cs="Arial" w:eastAsia="Arial" w:hAnsi="Arial"/>
                <w:sz w:val="18"/>
                <w:szCs w:val="18"/>
                <w:i w:val="1"/>
                <w:iCs w:val="1"/>
                <w:color w:val="auto"/>
              </w:rPr>
              <w:t>373,329</w:t>
            </w:r>
          </w:p>
        </w:tc>
        <w:tc>
          <w:tcPr>
            <w:tcW w:w="10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i w:val="1"/>
                <w:iCs w:val="1"/>
                <w:color w:val="auto"/>
              </w:rPr>
              <w:t>13.6 %</w:t>
            </w:r>
          </w:p>
        </w:tc>
      </w:tr>
      <w:tr>
        <w:trPr>
          <w:trHeight w:val="54"/>
        </w:trPr>
        <w:tc>
          <w:tcPr>
            <w:tcW w:w="72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20" w:type="dxa"/>
            <w:vAlign w:val="bottom"/>
          </w:tcPr>
          <w:p>
            <w:pPr>
              <w:spacing w:after="0"/>
              <w:rPr>
                <w:sz w:val="4"/>
                <w:szCs w:val="4"/>
                <w:color w:val="auto"/>
              </w:rPr>
            </w:pPr>
          </w:p>
        </w:tc>
      </w:tr>
      <w:tr>
        <w:trPr>
          <w:trHeight w:val="277"/>
        </w:trPr>
        <w:tc>
          <w:tcPr>
            <w:tcW w:w="7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2019</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369,805</w:t>
            </w:r>
          </w:p>
        </w:tc>
        <w:tc>
          <w:tcPr>
            <w:tcW w:w="10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-0.9 %</w:t>
            </w:r>
          </w:p>
        </w:tc>
      </w:tr>
      <w:tr>
        <w:trPr>
          <w:trHeight w:val="402"/>
        </w:trPr>
        <w:tc>
          <w:tcPr>
            <w:tcW w:w="7220" w:type="dxa"/>
            <w:vAlign w:val="bottom"/>
          </w:tcPr>
          <w:p>
            <w:pPr>
              <w:ind w:left="80"/>
              <w:spacing w:after="0"/>
              <w:rPr>
                <w:sz w:val="20"/>
                <w:szCs w:val="20"/>
                <w:color w:val="auto"/>
              </w:rPr>
            </w:pPr>
            <w:r>
              <w:rPr>
                <w:rFonts w:ascii="Arial" w:cs="Arial" w:eastAsia="Arial" w:hAnsi="Arial"/>
                <w:sz w:val="18"/>
                <w:szCs w:val="18"/>
                <w:i w:val="1"/>
                <w:iCs w:val="1"/>
                <w:color w:val="auto"/>
              </w:rPr>
              <w:t>Compound annual growth rate 2001</w:t>
            </w:r>
            <w:r>
              <w:rPr>
                <w:rFonts w:ascii="Arial" w:cs="Arial" w:eastAsia="Arial" w:hAnsi="Arial"/>
                <w:sz w:val="21"/>
                <w:szCs w:val="21"/>
                <w:color w:val="auto"/>
              </w:rPr>
              <w:t>–</w:t>
            </w:r>
            <w:r>
              <w:rPr>
                <w:rFonts w:ascii="Arial" w:cs="Arial" w:eastAsia="Arial" w:hAnsi="Arial"/>
                <w:sz w:val="18"/>
                <w:szCs w:val="18"/>
                <w:i w:val="1"/>
                <w:iCs w:val="1"/>
                <w:color w:val="auto"/>
              </w:rPr>
              <w:t>2019</w:t>
            </w: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i w:val="1"/>
                <w:iCs w:val="1"/>
                <w:color w:val="auto"/>
              </w:rPr>
              <w:t>10.4 %</w:t>
            </w:r>
          </w:p>
        </w:tc>
      </w:tr>
    </w:tbl>
    <w:p>
      <w:pPr>
        <w:spacing w:after="0" w:line="131" w:lineRule="exact"/>
        <w:rPr>
          <w:sz w:val="20"/>
          <w:szCs w:val="20"/>
          <w:color w:val="auto"/>
        </w:rPr>
      </w:pPr>
    </w:p>
    <w:p>
      <w:pPr>
        <w:spacing w:after="0"/>
        <w:rPr>
          <w:sz w:val="20"/>
          <w:szCs w:val="20"/>
          <w:color w:val="auto"/>
        </w:rPr>
      </w:pPr>
      <w:r>
        <w:rPr>
          <w:rFonts w:ascii="Arial" w:cs="Arial" w:eastAsia="Arial" w:hAnsi="Arial"/>
          <w:sz w:val="21"/>
          <w:szCs w:val="21"/>
          <w:color w:val="auto"/>
        </w:rPr>
        <w:t>Since 2001, unit volumes have grown at a compounded annual rate of 10.4%. In 2019, unit volumes decreased 0.9%.</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333" w:right="339" w:bottom="1440" w:gutter="0" w:footer="0" w:header="0"/>
        </w:sectPr>
      </w:pPr>
    </w:p>
    <w:bookmarkStart w:id="27" w:name="page28"/>
    <w:bookmarkEnd w:id="27"/>
    <w:p>
      <w:pPr>
        <w:ind w:right="60"/>
        <w:spacing w:after="0" w:line="263" w:lineRule="auto"/>
        <w:rPr>
          <w:sz w:val="20"/>
          <w:szCs w:val="20"/>
          <w:color w:val="auto"/>
        </w:rPr>
      </w:pPr>
      <w:r>
        <w:rPr>
          <w:rFonts w:ascii="Arial" w:cs="Arial" w:eastAsia="Arial" w:hAnsi="Arial"/>
          <w:sz w:val="22"/>
          <w:szCs w:val="22"/>
          <w:color w:val="auto"/>
        </w:rPr>
        <w:t>Unit volume is a function of the number of active dealers and the average volume per dealer. The following table summarizes the trend in each of these variables from 2001 to 2019:</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00" w:type="dxa"/>
            <w:vAlign w:val="bottom"/>
          </w:tcPr>
          <w:p>
            <w:pPr>
              <w:spacing w:after="0"/>
              <w:rPr>
                <w:sz w:val="16"/>
                <w:szCs w:val="16"/>
                <w:color w:val="auto"/>
              </w:rPr>
            </w:pPr>
          </w:p>
        </w:tc>
        <w:tc>
          <w:tcPr>
            <w:tcW w:w="1540" w:type="dxa"/>
            <w:vAlign w:val="bottom"/>
          </w:tcPr>
          <w:p>
            <w:pPr>
              <w:ind w:left="640"/>
              <w:spacing w:after="0"/>
              <w:rPr>
                <w:sz w:val="20"/>
                <w:szCs w:val="20"/>
                <w:color w:val="auto"/>
              </w:rPr>
            </w:pPr>
            <w:r>
              <w:rPr>
                <w:rFonts w:ascii="Arial" w:cs="Arial" w:eastAsia="Arial" w:hAnsi="Arial"/>
                <w:sz w:val="14"/>
                <w:szCs w:val="14"/>
                <w:b w:val="1"/>
                <w:bCs w:val="1"/>
                <w:color w:val="auto"/>
                <w:w w:val="92"/>
              </w:rPr>
              <w:t>Active dealers</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gridSpan w:val="2"/>
          </w:tcPr>
          <w:p>
            <w:pPr>
              <w:ind w:left="480"/>
              <w:spacing w:after="0"/>
              <w:rPr>
                <w:sz w:val="20"/>
                <w:szCs w:val="20"/>
                <w:color w:val="auto"/>
              </w:rPr>
            </w:pPr>
            <w:r>
              <w:rPr>
                <w:rFonts w:ascii="Arial" w:cs="Arial" w:eastAsia="Arial" w:hAnsi="Arial"/>
                <w:sz w:val="14"/>
                <w:szCs w:val="14"/>
                <w:b w:val="1"/>
                <w:bCs w:val="1"/>
                <w:color w:val="auto"/>
              </w:rPr>
              <w:t>Year-to-year change</w:t>
            </w:r>
          </w:p>
        </w:tc>
        <w:tc>
          <w:tcPr>
            <w:tcW w:w="2200" w:type="dxa"/>
            <w:vAlign w:val="bottom"/>
            <w:gridSpan w:val="2"/>
          </w:tcPr>
          <w:p>
            <w:pPr>
              <w:ind w:left="360"/>
              <w:spacing w:after="0"/>
              <w:rPr>
                <w:sz w:val="20"/>
                <w:szCs w:val="20"/>
                <w:color w:val="auto"/>
              </w:rPr>
            </w:pPr>
            <w:r>
              <w:rPr>
                <w:rFonts w:ascii="Arial" w:cs="Arial" w:eastAsia="Arial" w:hAnsi="Arial"/>
                <w:sz w:val="14"/>
                <w:szCs w:val="14"/>
                <w:b w:val="1"/>
                <w:bCs w:val="1"/>
                <w:color w:val="auto"/>
              </w:rPr>
              <w:t>Unit volume per dealer</w:t>
            </w:r>
          </w:p>
        </w:tc>
        <w:tc>
          <w:tcPr>
            <w:tcW w:w="2220" w:type="dxa"/>
            <w:vAlign w:val="bottom"/>
          </w:tcPr>
          <w:p>
            <w:pPr>
              <w:jc w:val="right"/>
              <w:ind w:right="391"/>
              <w:spacing w:after="0"/>
              <w:rPr>
                <w:sz w:val="20"/>
                <w:szCs w:val="20"/>
                <w:color w:val="auto"/>
              </w:rPr>
            </w:pPr>
            <w:r>
              <w:rPr>
                <w:rFonts w:ascii="Arial" w:cs="Arial" w:eastAsia="Arial" w:hAnsi="Arial"/>
                <w:sz w:val="14"/>
                <w:szCs w:val="14"/>
                <w:b w:val="1"/>
                <w:bCs w:val="1"/>
                <w:color w:val="auto"/>
              </w:rPr>
              <w:t>Year-to-year change</w:t>
            </w:r>
          </w:p>
        </w:tc>
      </w:tr>
      <w:tr>
        <w:trPr>
          <w:trHeight w:val="39"/>
        </w:trPr>
        <w:tc>
          <w:tcPr>
            <w:tcW w:w="230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r>
      <w:tr>
        <w:trPr>
          <w:trHeight w:val="270"/>
        </w:trPr>
        <w:tc>
          <w:tcPr>
            <w:tcW w:w="2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2001</w:t>
            </w:r>
          </w:p>
        </w:tc>
        <w:tc>
          <w:tcPr>
            <w:tcW w:w="15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1,180</w:t>
            </w:r>
          </w:p>
        </w:tc>
        <w:tc>
          <w:tcPr>
            <w:tcW w:w="100" w:type="dxa"/>
            <w:vAlign w:val="bottom"/>
            <w:tcBorders>
              <w:bottom w:val="single" w:sz="8" w:color="CCEEFF"/>
            </w:tcBorders>
            <w:shd w:val="clear" w:color="auto" w:fill="CCEEFF"/>
          </w:tcPr>
          <w:p>
            <w:pPr>
              <w:spacing w:after="0"/>
              <w:rPr>
                <w:sz w:val="23"/>
                <w:szCs w:val="23"/>
                <w:color w:val="auto"/>
              </w:rPr>
            </w:pPr>
          </w:p>
        </w:tc>
        <w:tc>
          <w:tcPr>
            <w:tcW w:w="2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52.5</w:t>
            </w:r>
          </w:p>
        </w:tc>
        <w:tc>
          <w:tcPr>
            <w:tcW w:w="10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tcBorders>
            <w:shd w:val="clear" w:color="auto" w:fill="CCEEFF"/>
          </w:tcPr>
          <w:p>
            <w:pPr>
              <w:spacing w:after="0"/>
              <w:rPr>
                <w:sz w:val="23"/>
                <w:szCs w:val="23"/>
                <w:color w:val="auto"/>
              </w:rPr>
            </w:pPr>
          </w:p>
        </w:tc>
      </w:tr>
      <w:tr>
        <w:trPr>
          <w:trHeight w:val="243"/>
        </w:trPr>
        <w:tc>
          <w:tcPr>
            <w:tcW w:w="2300" w:type="dxa"/>
            <w:vAlign w:val="bottom"/>
          </w:tcPr>
          <w:p>
            <w:pPr>
              <w:ind w:left="80"/>
              <w:spacing w:after="0"/>
              <w:rPr>
                <w:sz w:val="20"/>
                <w:szCs w:val="20"/>
                <w:color w:val="auto"/>
              </w:rPr>
            </w:pPr>
            <w:r>
              <w:rPr>
                <w:rFonts w:ascii="Arial" w:cs="Arial" w:eastAsia="Arial" w:hAnsi="Arial"/>
                <w:sz w:val="18"/>
                <w:szCs w:val="18"/>
                <w:i w:val="1"/>
                <w:iCs w:val="1"/>
                <w:color w:val="auto"/>
              </w:rPr>
              <w:t>2002</w:t>
            </w:r>
          </w:p>
        </w:tc>
        <w:tc>
          <w:tcPr>
            <w:tcW w:w="15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i w:val="1"/>
                <w:iCs w:val="1"/>
                <w:color w:val="auto"/>
              </w:rPr>
              <w:t>843</w:t>
            </w:r>
          </w:p>
        </w:tc>
        <w:tc>
          <w:tcPr>
            <w:tcW w:w="10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Arial" w:cs="Arial" w:eastAsia="Arial" w:hAnsi="Arial"/>
                <w:sz w:val="18"/>
                <w:szCs w:val="18"/>
                <w:i w:val="1"/>
                <w:iCs w:val="1"/>
                <w:color w:val="auto"/>
              </w:rPr>
              <w:t>-28.6 %</w:t>
            </w:r>
          </w:p>
        </w:tc>
        <w:tc>
          <w:tcPr>
            <w:tcW w:w="1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i w:val="1"/>
                <w:iCs w:val="1"/>
                <w:color w:val="auto"/>
              </w:rPr>
              <w:t>59.1</w:t>
            </w:r>
          </w:p>
        </w:tc>
        <w:tc>
          <w:tcPr>
            <w:tcW w:w="10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18"/>
                <w:szCs w:val="18"/>
                <w:i w:val="1"/>
                <w:iCs w:val="1"/>
                <w:color w:val="auto"/>
              </w:rPr>
              <w:t>12.6 %</w:t>
            </w:r>
          </w:p>
        </w:tc>
      </w:tr>
      <w:tr>
        <w:trPr>
          <w:trHeight w:val="54"/>
        </w:trPr>
        <w:tc>
          <w:tcPr>
            <w:tcW w:w="23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20" w:type="dxa"/>
            <w:vAlign w:val="bottom"/>
          </w:tcPr>
          <w:p>
            <w:pPr>
              <w:spacing w:after="0"/>
              <w:rPr>
                <w:sz w:val="4"/>
                <w:szCs w:val="4"/>
                <w:color w:val="auto"/>
              </w:rPr>
            </w:pPr>
          </w:p>
        </w:tc>
      </w:tr>
      <w:tr>
        <w:trPr>
          <w:trHeight w:val="277"/>
        </w:trPr>
        <w:tc>
          <w:tcPr>
            <w:tcW w:w="2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2003</w:t>
            </w:r>
          </w:p>
        </w:tc>
        <w:tc>
          <w:tcPr>
            <w:tcW w:w="15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950</w:t>
            </w:r>
          </w:p>
        </w:tc>
        <w:tc>
          <w:tcPr>
            <w:tcW w:w="100" w:type="dxa"/>
            <w:vAlign w:val="bottom"/>
            <w:tcBorders>
              <w:bottom w:val="single" w:sz="8" w:color="CCEEFF"/>
            </w:tcBorders>
            <w:shd w:val="clear" w:color="auto" w:fill="CCEEFF"/>
          </w:tcPr>
          <w:p>
            <w:pPr>
              <w:spacing w:after="0"/>
              <w:rPr>
                <w:sz w:val="24"/>
                <w:szCs w:val="24"/>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12.7 %</w:t>
            </w:r>
          </w:p>
        </w:tc>
        <w:tc>
          <w:tcPr>
            <w:tcW w:w="120" w:type="dxa"/>
            <w:vAlign w:val="bottom"/>
            <w:tcBorders>
              <w:bottom w:val="single" w:sz="8" w:color="CCEEFF"/>
            </w:tcBorders>
            <w:shd w:val="clear" w:color="auto" w:fill="CCEEFF"/>
          </w:tcPr>
          <w:p>
            <w:pPr>
              <w:spacing w:after="0"/>
              <w:rPr>
                <w:sz w:val="24"/>
                <w:szCs w:val="24"/>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64.7</w:t>
            </w:r>
          </w:p>
        </w:tc>
        <w:tc>
          <w:tcPr>
            <w:tcW w:w="100" w:type="dxa"/>
            <w:vAlign w:val="bottom"/>
            <w:tcBorders>
              <w:bottom w:val="single" w:sz="8" w:color="CCEEFF"/>
            </w:tcBorders>
            <w:shd w:val="clear" w:color="auto" w:fill="CCEEFF"/>
          </w:tcPr>
          <w:p>
            <w:pPr>
              <w:spacing w:after="0"/>
              <w:rPr>
                <w:sz w:val="24"/>
                <w:szCs w:val="24"/>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9.5 %</w:t>
            </w:r>
          </w:p>
        </w:tc>
      </w:tr>
      <w:tr>
        <w:trPr>
          <w:trHeight w:val="243"/>
        </w:trPr>
        <w:tc>
          <w:tcPr>
            <w:tcW w:w="2300" w:type="dxa"/>
            <w:vAlign w:val="bottom"/>
          </w:tcPr>
          <w:p>
            <w:pPr>
              <w:ind w:left="80"/>
              <w:spacing w:after="0"/>
              <w:rPr>
                <w:sz w:val="20"/>
                <w:szCs w:val="20"/>
                <w:color w:val="auto"/>
              </w:rPr>
            </w:pPr>
            <w:r>
              <w:rPr>
                <w:rFonts w:ascii="Arial" w:cs="Arial" w:eastAsia="Arial" w:hAnsi="Arial"/>
                <w:sz w:val="18"/>
                <w:szCs w:val="18"/>
                <w:i w:val="1"/>
                <w:iCs w:val="1"/>
                <w:color w:val="auto"/>
              </w:rPr>
              <w:t>2004</w:t>
            </w:r>
          </w:p>
        </w:tc>
        <w:tc>
          <w:tcPr>
            <w:tcW w:w="15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i w:val="1"/>
                <w:iCs w:val="1"/>
                <w:color w:val="auto"/>
              </w:rPr>
              <w:t>1,212</w:t>
            </w:r>
          </w:p>
        </w:tc>
        <w:tc>
          <w:tcPr>
            <w:tcW w:w="10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Arial" w:cs="Arial" w:eastAsia="Arial" w:hAnsi="Arial"/>
                <w:sz w:val="18"/>
                <w:szCs w:val="18"/>
                <w:i w:val="1"/>
                <w:iCs w:val="1"/>
                <w:color w:val="auto"/>
              </w:rPr>
              <w:t>27.6 %</w:t>
            </w:r>
          </w:p>
        </w:tc>
        <w:tc>
          <w:tcPr>
            <w:tcW w:w="1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i w:val="1"/>
                <w:iCs w:val="1"/>
                <w:color w:val="auto"/>
              </w:rPr>
              <w:t>61.2</w:t>
            </w:r>
          </w:p>
        </w:tc>
        <w:tc>
          <w:tcPr>
            <w:tcW w:w="10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18"/>
                <w:szCs w:val="18"/>
                <w:i w:val="1"/>
                <w:iCs w:val="1"/>
                <w:color w:val="auto"/>
              </w:rPr>
              <w:t>-5.4 %</w:t>
            </w:r>
          </w:p>
        </w:tc>
      </w:tr>
      <w:tr>
        <w:trPr>
          <w:trHeight w:val="54"/>
        </w:trPr>
        <w:tc>
          <w:tcPr>
            <w:tcW w:w="23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20" w:type="dxa"/>
            <w:vAlign w:val="bottom"/>
          </w:tcPr>
          <w:p>
            <w:pPr>
              <w:spacing w:after="0"/>
              <w:rPr>
                <w:sz w:val="4"/>
                <w:szCs w:val="4"/>
                <w:color w:val="auto"/>
              </w:rPr>
            </w:pPr>
          </w:p>
        </w:tc>
      </w:tr>
      <w:tr>
        <w:trPr>
          <w:trHeight w:val="277"/>
        </w:trPr>
        <w:tc>
          <w:tcPr>
            <w:tcW w:w="2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2005</w:t>
            </w:r>
          </w:p>
        </w:tc>
        <w:tc>
          <w:tcPr>
            <w:tcW w:w="15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1,759</w:t>
            </w:r>
          </w:p>
        </w:tc>
        <w:tc>
          <w:tcPr>
            <w:tcW w:w="100" w:type="dxa"/>
            <w:vAlign w:val="bottom"/>
            <w:tcBorders>
              <w:bottom w:val="single" w:sz="8" w:color="CCEEFF"/>
            </w:tcBorders>
            <w:shd w:val="clear" w:color="auto" w:fill="CCEEFF"/>
          </w:tcPr>
          <w:p>
            <w:pPr>
              <w:spacing w:after="0"/>
              <w:rPr>
                <w:sz w:val="24"/>
                <w:szCs w:val="24"/>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45.1 %</w:t>
            </w:r>
          </w:p>
        </w:tc>
        <w:tc>
          <w:tcPr>
            <w:tcW w:w="120" w:type="dxa"/>
            <w:vAlign w:val="bottom"/>
            <w:tcBorders>
              <w:bottom w:val="single" w:sz="8" w:color="CCEEFF"/>
            </w:tcBorders>
            <w:shd w:val="clear" w:color="auto" w:fill="CCEEFF"/>
          </w:tcPr>
          <w:p>
            <w:pPr>
              <w:spacing w:after="0"/>
              <w:rPr>
                <w:sz w:val="24"/>
                <w:szCs w:val="24"/>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46.2</w:t>
            </w:r>
          </w:p>
        </w:tc>
        <w:tc>
          <w:tcPr>
            <w:tcW w:w="100" w:type="dxa"/>
            <w:vAlign w:val="bottom"/>
            <w:tcBorders>
              <w:bottom w:val="single" w:sz="8" w:color="CCEEFF"/>
            </w:tcBorders>
            <w:shd w:val="clear" w:color="auto" w:fill="CCEEFF"/>
          </w:tcPr>
          <w:p>
            <w:pPr>
              <w:spacing w:after="0"/>
              <w:rPr>
                <w:sz w:val="24"/>
                <w:szCs w:val="24"/>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-24.5 %</w:t>
            </w:r>
          </w:p>
        </w:tc>
      </w:tr>
      <w:tr>
        <w:trPr>
          <w:trHeight w:val="243"/>
        </w:trPr>
        <w:tc>
          <w:tcPr>
            <w:tcW w:w="2300" w:type="dxa"/>
            <w:vAlign w:val="bottom"/>
          </w:tcPr>
          <w:p>
            <w:pPr>
              <w:ind w:left="80"/>
              <w:spacing w:after="0"/>
              <w:rPr>
                <w:sz w:val="20"/>
                <w:szCs w:val="20"/>
                <w:color w:val="auto"/>
              </w:rPr>
            </w:pPr>
            <w:r>
              <w:rPr>
                <w:rFonts w:ascii="Arial" w:cs="Arial" w:eastAsia="Arial" w:hAnsi="Arial"/>
                <w:sz w:val="18"/>
                <w:szCs w:val="18"/>
                <w:i w:val="1"/>
                <w:iCs w:val="1"/>
                <w:color w:val="auto"/>
              </w:rPr>
              <w:t>2006</w:t>
            </w:r>
          </w:p>
        </w:tc>
        <w:tc>
          <w:tcPr>
            <w:tcW w:w="15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i w:val="1"/>
                <w:iCs w:val="1"/>
                <w:color w:val="auto"/>
              </w:rPr>
              <w:t>2,214</w:t>
            </w:r>
          </w:p>
        </w:tc>
        <w:tc>
          <w:tcPr>
            <w:tcW w:w="10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Arial" w:cs="Arial" w:eastAsia="Arial" w:hAnsi="Arial"/>
                <w:sz w:val="18"/>
                <w:szCs w:val="18"/>
                <w:i w:val="1"/>
                <w:iCs w:val="1"/>
                <w:color w:val="auto"/>
              </w:rPr>
              <w:t>25.9 %</w:t>
            </w:r>
          </w:p>
        </w:tc>
        <w:tc>
          <w:tcPr>
            <w:tcW w:w="1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i w:val="1"/>
                <w:iCs w:val="1"/>
                <w:color w:val="auto"/>
              </w:rPr>
              <w:t>41.3</w:t>
            </w:r>
          </w:p>
        </w:tc>
        <w:tc>
          <w:tcPr>
            <w:tcW w:w="10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18"/>
                <w:szCs w:val="18"/>
                <w:i w:val="1"/>
                <w:iCs w:val="1"/>
                <w:color w:val="auto"/>
              </w:rPr>
              <w:t>-10.6 %</w:t>
            </w:r>
          </w:p>
        </w:tc>
      </w:tr>
      <w:tr>
        <w:trPr>
          <w:trHeight w:val="54"/>
        </w:trPr>
        <w:tc>
          <w:tcPr>
            <w:tcW w:w="23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20" w:type="dxa"/>
            <w:vAlign w:val="bottom"/>
          </w:tcPr>
          <w:p>
            <w:pPr>
              <w:spacing w:after="0"/>
              <w:rPr>
                <w:sz w:val="4"/>
                <w:szCs w:val="4"/>
                <w:color w:val="auto"/>
              </w:rPr>
            </w:pPr>
          </w:p>
        </w:tc>
      </w:tr>
      <w:tr>
        <w:trPr>
          <w:trHeight w:val="277"/>
        </w:trPr>
        <w:tc>
          <w:tcPr>
            <w:tcW w:w="2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2007</w:t>
            </w:r>
          </w:p>
        </w:tc>
        <w:tc>
          <w:tcPr>
            <w:tcW w:w="15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2,827</w:t>
            </w:r>
          </w:p>
        </w:tc>
        <w:tc>
          <w:tcPr>
            <w:tcW w:w="100" w:type="dxa"/>
            <w:vAlign w:val="bottom"/>
            <w:tcBorders>
              <w:bottom w:val="single" w:sz="8" w:color="CCEEFF"/>
            </w:tcBorders>
            <w:shd w:val="clear" w:color="auto" w:fill="CCEEFF"/>
          </w:tcPr>
          <w:p>
            <w:pPr>
              <w:spacing w:after="0"/>
              <w:rPr>
                <w:sz w:val="24"/>
                <w:szCs w:val="24"/>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27.7 %</w:t>
            </w:r>
          </w:p>
        </w:tc>
        <w:tc>
          <w:tcPr>
            <w:tcW w:w="120" w:type="dxa"/>
            <w:vAlign w:val="bottom"/>
            <w:tcBorders>
              <w:bottom w:val="single" w:sz="8" w:color="CCEEFF"/>
            </w:tcBorders>
            <w:shd w:val="clear" w:color="auto" w:fill="CCEEFF"/>
          </w:tcPr>
          <w:p>
            <w:pPr>
              <w:spacing w:after="0"/>
              <w:rPr>
                <w:sz w:val="24"/>
                <w:szCs w:val="24"/>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37.7</w:t>
            </w:r>
          </w:p>
        </w:tc>
        <w:tc>
          <w:tcPr>
            <w:tcW w:w="100" w:type="dxa"/>
            <w:vAlign w:val="bottom"/>
            <w:tcBorders>
              <w:bottom w:val="single" w:sz="8" w:color="CCEEFF"/>
            </w:tcBorders>
            <w:shd w:val="clear" w:color="auto" w:fill="CCEEFF"/>
          </w:tcPr>
          <w:p>
            <w:pPr>
              <w:spacing w:after="0"/>
              <w:rPr>
                <w:sz w:val="24"/>
                <w:szCs w:val="24"/>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-8.7 %</w:t>
            </w:r>
          </w:p>
        </w:tc>
      </w:tr>
      <w:tr>
        <w:trPr>
          <w:trHeight w:val="243"/>
        </w:trPr>
        <w:tc>
          <w:tcPr>
            <w:tcW w:w="2300" w:type="dxa"/>
            <w:vAlign w:val="bottom"/>
          </w:tcPr>
          <w:p>
            <w:pPr>
              <w:ind w:left="80"/>
              <w:spacing w:after="0"/>
              <w:rPr>
                <w:sz w:val="20"/>
                <w:szCs w:val="20"/>
                <w:color w:val="auto"/>
              </w:rPr>
            </w:pPr>
            <w:r>
              <w:rPr>
                <w:rFonts w:ascii="Arial" w:cs="Arial" w:eastAsia="Arial" w:hAnsi="Arial"/>
                <w:sz w:val="18"/>
                <w:szCs w:val="18"/>
                <w:i w:val="1"/>
                <w:iCs w:val="1"/>
                <w:color w:val="auto"/>
              </w:rPr>
              <w:t>2008</w:t>
            </w:r>
          </w:p>
        </w:tc>
        <w:tc>
          <w:tcPr>
            <w:tcW w:w="15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i w:val="1"/>
                <w:iCs w:val="1"/>
                <w:color w:val="auto"/>
              </w:rPr>
              <w:t>3,264</w:t>
            </w:r>
          </w:p>
        </w:tc>
        <w:tc>
          <w:tcPr>
            <w:tcW w:w="10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Arial" w:cs="Arial" w:eastAsia="Arial" w:hAnsi="Arial"/>
                <w:sz w:val="18"/>
                <w:szCs w:val="18"/>
                <w:i w:val="1"/>
                <w:iCs w:val="1"/>
                <w:color w:val="auto"/>
              </w:rPr>
              <w:t>15.5 %</w:t>
            </w:r>
          </w:p>
        </w:tc>
        <w:tc>
          <w:tcPr>
            <w:tcW w:w="1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i w:val="1"/>
                <w:iCs w:val="1"/>
                <w:color w:val="auto"/>
              </w:rPr>
              <w:t>37.2</w:t>
            </w:r>
          </w:p>
        </w:tc>
        <w:tc>
          <w:tcPr>
            <w:tcW w:w="10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18"/>
                <w:szCs w:val="18"/>
                <w:i w:val="1"/>
                <w:iCs w:val="1"/>
                <w:color w:val="auto"/>
              </w:rPr>
              <w:t>-1.3 %</w:t>
            </w:r>
          </w:p>
        </w:tc>
      </w:tr>
      <w:tr>
        <w:trPr>
          <w:trHeight w:val="54"/>
        </w:trPr>
        <w:tc>
          <w:tcPr>
            <w:tcW w:w="23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20" w:type="dxa"/>
            <w:vAlign w:val="bottom"/>
          </w:tcPr>
          <w:p>
            <w:pPr>
              <w:spacing w:after="0"/>
              <w:rPr>
                <w:sz w:val="4"/>
                <w:szCs w:val="4"/>
                <w:color w:val="auto"/>
              </w:rPr>
            </w:pPr>
          </w:p>
        </w:tc>
      </w:tr>
      <w:tr>
        <w:trPr>
          <w:trHeight w:val="277"/>
        </w:trPr>
        <w:tc>
          <w:tcPr>
            <w:tcW w:w="2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2009</w:t>
            </w:r>
          </w:p>
        </w:tc>
        <w:tc>
          <w:tcPr>
            <w:tcW w:w="15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3,168</w:t>
            </w:r>
          </w:p>
        </w:tc>
        <w:tc>
          <w:tcPr>
            <w:tcW w:w="100" w:type="dxa"/>
            <w:vAlign w:val="bottom"/>
            <w:tcBorders>
              <w:bottom w:val="single" w:sz="8" w:color="CCEEFF"/>
            </w:tcBorders>
            <w:shd w:val="clear" w:color="auto" w:fill="CCEEFF"/>
          </w:tcPr>
          <w:p>
            <w:pPr>
              <w:spacing w:after="0"/>
              <w:rPr>
                <w:sz w:val="24"/>
                <w:szCs w:val="24"/>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-2.9 %</w:t>
            </w:r>
          </w:p>
        </w:tc>
        <w:tc>
          <w:tcPr>
            <w:tcW w:w="120" w:type="dxa"/>
            <w:vAlign w:val="bottom"/>
            <w:tcBorders>
              <w:bottom w:val="single" w:sz="8" w:color="CCEEFF"/>
            </w:tcBorders>
            <w:shd w:val="clear" w:color="auto" w:fill="CCEEFF"/>
          </w:tcPr>
          <w:p>
            <w:pPr>
              <w:spacing w:after="0"/>
              <w:rPr>
                <w:sz w:val="24"/>
                <w:szCs w:val="24"/>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35.0</w:t>
            </w:r>
          </w:p>
        </w:tc>
        <w:tc>
          <w:tcPr>
            <w:tcW w:w="100" w:type="dxa"/>
            <w:vAlign w:val="bottom"/>
            <w:tcBorders>
              <w:bottom w:val="single" w:sz="8" w:color="CCEEFF"/>
            </w:tcBorders>
            <w:shd w:val="clear" w:color="auto" w:fill="CCEEFF"/>
          </w:tcPr>
          <w:p>
            <w:pPr>
              <w:spacing w:after="0"/>
              <w:rPr>
                <w:sz w:val="24"/>
                <w:szCs w:val="24"/>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-5.9 %</w:t>
            </w:r>
          </w:p>
        </w:tc>
      </w:tr>
      <w:tr>
        <w:trPr>
          <w:trHeight w:val="243"/>
        </w:trPr>
        <w:tc>
          <w:tcPr>
            <w:tcW w:w="2300" w:type="dxa"/>
            <w:vAlign w:val="bottom"/>
          </w:tcPr>
          <w:p>
            <w:pPr>
              <w:ind w:left="80"/>
              <w:spacing w:after="0"/>
              <w:rPr>
                <w:sz w:val="20"/>
                <w:szCs w:val="20"/>
                <w:color w:val="auto"/>
              </w:rPr>
            </w:pPr>
            <w:r>
              <w:rPr>
                <w:rFonts w:ascii="Arial" w:cs="Arial" w:eastAsia="Arial" w:hAnsi="Arial"/>
                <w:sz w:val="18"/>
                <w:szCs w:val="18"/>
                <w:i w:val="1"/>
                <w:iCs w:val="1"/>
                <w:color w:val="auto"/>
              </w:rPr>
              <w:t>2010</w:t>
            </w:r>
          </w:p>
        </w:tc>
        <w:tc>
          <w:tcPr>
            <w:tcW w:w="15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i w:val="1"/>
                <w:iCs w:val="1"/>
                <w:color w:val="auto"/>
              </w:rPr>
              <w:t>3,206</w:t>
            </w:r>
          </w:p>
        </w:tc>
        <w:tc>
          <w:tcPr>
            <w:tcW w:w="10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Arial" w:cs="Arial" w:eastAsia="Arial" w:hAnsi="Arial"/>
                <w:sz w:val="18"/>
                <w:szCs w:val="18"/>
                <w:i w:val="1"/>
                <w:iCs w:val="1"/>
                <w:color w:val="auto"/>
              </w:rPr>
              <w:t>1.2 %</w:t>
            </w:r>
          </w:p>
        </w:tc>
        <w:tc>
          <w:tcPr>
            <w:tcW w:w="1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i w:val="1"/>
                <w:iCs w:val="1"/>
                <w:color w:val="auto"/>
              </w:rPr>
              <w:t>42.7</w:t>
            </w:r>
          </w:p>
        </w:tc>
        <w:tc>
          <w:tcPr>
            <w:tcW w:w="10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18"/>
                <w:szCs w:val="18"/>
                <w:i w:val="1"/>
                <w:iCs w:val="1"/>
                <w:color w:val="auto"/>
              </w:rPr>
              <w:t>22.0 %</w:t>
            </w:r>
          </w:p>
        </w:tc>
      </w:tr>
      <w:tr>
        <w:trPr>
          <w:trHeight w:val="54"/>
        </w:trPr>
        <w:tc>
          <w:tcPr>
            <w:tcW w:w="23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20" w:type="dxa"/>
            <w:vAlign w:val="bottom"/>
          </w:tcPr>
          <w:p>
            <w:pPr>
              <w:spacing w:after="0"/>
              <w:rPr>
                <w:sz w:val="4"/>
                <w:szCs w:val="4"/>
                <w:color w:val="auto"/>
              </w:rPr>
            </w:pPr>
          </w:p>
        </w:tc>
      </w:tr>
      <w:tr>
        <w:trPr>
          <w:trHeight w:val="277"/>
        </w:trPr>
        <w:tc>
          <w:tcPr>
            <w:tcW w:w="2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2011</w:t>
            </w:r>
          </w:p>
        </w:tc>
        <w:tc>
          <w:tcPr>
            <w:tcW w:w="15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3,998</w:t>
            </w:r>
          </w:p>
        </w:tc>
        <w:tc>
          <w:tcPr>
            <w:tcW w:w="100" w:type="dxa"/>
            <w:vAlign w:val="bottom"/>
            <w:tcBorders>
              <w:bottom w:val="single" w:sz="8" w:color="CCEEFF"/>
            </w:tcBorders>
            <w:shd w:val="clear" w:color="auto" w:fill="CCEEFF"/>
          </w:tcPr>
          <w:p>
            <w:pPr>
              <w:spacing w:after="0"/>
              <w:rPr>
                <w:sz w:val="24"/>
                <w:szCs w:val="24"/>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24.7 %</w:t>
            </w:r>
          </w:p>
        </w:tc>
        <w:tc>
          <w:tcPr>
            <w:tcW w:w="120" w:type="dxa"/>
            <w:vAlign w:val="bottom"/>
            <w:tcBorders>
              <w:bottom w:val="single" w:sz="8" w:color="CCEEFF"/>
            </w:tcBorders>
            <w:shd w:val="clear" w:color="auto" w:fill="CCEEFF"/>
          </w:tcPr>
          <w:p>
            <w:pPr>
              <w:spacing w:after="0"/>
              <w:rPr>
                <w:sz w:val="24"/>
                <w:szCs w:val="24"/>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44.5</w:t>
            </w:r>
          </w:p>
        </w:tc>
        <w:tc>
          <w:tcPr>
            <w:tcW w:w="100" w:type="dxa"/>
            <w:vAlign w:val="bottom"/>
            <w:tcBorders>
              <w:bottom w:val="single" w:sz="8" w:color="CCEEFF"/>
            </w:tcBorders>
            <w:shd w:val="clear" w:color="auto" w:fill="CCEEFF"/>
          </w:tcPr>
          <w:p>
            <w:pPr>
              <w:spacing w:after="0"/>
              <w:rPr>
                <w:sz w:val="24"/>
                <w:szCs w:val="24"/>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4.2 %</w:t>
            </w:r>
          </w:p>
        </w:tc>
      </w:tr>
      <w:tr>
        <w:trPr>
          <w:trHeight w:val="243"/>
        </w:trPr>
        <w:tc>
          <w:tcPr>
            <w:tcW w:w="2300" w:type="dxa"/>
            <w:vAlign w:val="bottom"/>
          </w:tcPr>
          <w:p>
            <w:pPr>
              <w:ind w:left="80"/>
              <w:spacing w:after="0"/>
              <w:rPr>
                <w:sz w:val="20"/>
                <w:szCs w:val="20"/>
                <w:color w:val="auto"/>
              </w:rPr>
            </w:pPr>
            <w:r>
              <w:rPr>
                <w:rFonts w:ascii="Arial" w:cs="Arial" w:eastAsia="Arial" w:hAnsi="Arial"/>
                <w:sz w:val="18"/>
                <w:szCs w:val="18"/>
                <w:i w:val="1"/>
                <w:iCs w:val="1"/>
                <w:color w:val="auto"/>
              </w:rPr>
              <w:t>2012</w:t>
            </w:r>
          </w:p>
        </w:tc>
        <w:tc>
          <w:tcPr>
            <w:tcW w:w="15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i w:val="1"/>
                <w:iCs w:val="1"/>
                <w:color w:val="auto"/>
              </w:rPr>
              <w:t>5,319</w:t>
            </w:r>
          </w:p>
        </w:tc>
        <w:tc>
          <w:tcPr>
            <w:tcW w:w="10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Arial" w:cs="Arial" w:eastAsia="Arial" w:hAnsi="Arial"/>
                <w:sz w:val="18"/>
                <w:szCs w:val="18"/>
                <w:i w:val="1"/>
                <w:iCs w:val="1"/>
                <w:color w:val="auto"/>
              </w:rPr>
              <w:t>33.0 %</w:t>
            </w:r>
          </w:p>
        </w:tc>
        <w:tc>
          <w:tcPr>
            <w:tcW w:w="1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i w:val="1"/>
                <w:iCs w:val="1"/>
                <w:color w:val="auto"/>
              </w:rPr>
              <w:t>35.7</w:t>
            </w:r>
          </w:p>
        </w:tc>
        <w:tc>
          <w:tcPr>
            <w:tcW w:w="10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18"/>
                <w:szCs w:val="18"/>
                <w:i w:val="1"/>
                <w:iCs w:val="1"/>
                <w:color w:val="auto"/>
              </w:rPr>
              <w:t>-19.8 %</w:t>
            </w:r>
          </w:p>
        </w:tc>
      </w:tr>
      <w:tr>
        <w:trPr>
          <w:trHeight w:val="54"/>
        </w:trPr>
        <w:tc>
          <w:tcPr>
            <w:tcW w:w="23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20" w:type="dxa"/>
            <w:vAlign w:val="bottom"/>
          </w:tcPr>
          <w:p>
            <w:pPr>
              <w:spacing w:after="0"/>
              <w:rPr>
                <w:sz w:val="4"/>
                <w:szCs w:val="4"/>
                <w:color w:val="auto"/>
              </w:rPr>
            </w:pPr>
          </w:p>
        </w:tc>
      </w:tr>
      <w:tr>
        <w:trPr>
          <w:trHeight w:val="277"/>
        </w:trPr>
        <w:tc>
          <w:tcPr>
            <w:tcW w:w="2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2013</w:t>
            </w:r>
          </w:p>
        </w:tc>
        <w:tc>
          <w:tcPr>
            <w:tcW w:w="15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6,394</w:t>
            </w:r>
          </w:p>
        </w:tc>
        <w:tc>
          <w:tcPr>
            <w:tcW w:w="100" w:type="dxa"/>
            <w:vAlign w:val="bottom"/>
            <w:tcBorders>
              <w:bottom w:val="single" w:sz="8" w:color="CCEEFF"/>
            </w:tcBorders>
            <w:shd w:val="clear" w:color="auto" w:fill="CCEEFF"/>
          </w:tcPr>
          <w:p>
            <w:pPr>
              <w:spacing w:after="0"/>
              <w:rPr>
                <w:sz w:val="24"/>
                <w:szCs w:val="24"/>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20.2 %</w:t>
            </w:r>
          </w:p>
        </w:tc>
        <w:tc>
          <w:tcPr>
            <w:tcW w:w="120" w:type="dxa"/>
            <w:vAlign w:val="bottom"/>
            <w:tcBorders>
              <w:bottom w:val="single" w:sz="8" w:color="CCEEFF"/>
            </w:tcBorders>
            <w:shd w:val="clear" w:color="auto" w:fill="CCEEFF"/>
          </w:tcPr>
          <w:p>
            <w:pPr>
              <w:spacing w:after="0"/>
              <w:rPr>
                <w:sz w:val="24"/>
                <w:szCs w:val="24"/>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31.6</w:t>
            </w:r>
          </w:p>
        </w:tc>
        <w:tc>
          <w:tcPr>
            <w:tcW w:w="100" w:type="dxa"/>
            <w:vAlign w:val="bottom"/>
            <w:tcBorders>
              <w:bottom w:val="single" w:sz="8" w:color="CCEEFF"/>
            </w:tcBorders>
            <w:shd w:val="clear" w:color="auto" w:fill="CCEEFF"/>
          </w:tcPr>
          <w:p>
            <w:pPr>
              <w:spacing w:after="0"/>
              <w:rPr>
                <w:sz w:val="24"/>
                <w:szCs w:val="24"/>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-11.5 %</w:t>
            </w:r>
          </w:p>
        </w:tc>
      </w:tr>
      <w:tr>
        <w:trPr>
          <w:trHeight w:val="243"/>
        </w:trPr>
        <w:tc>
          <w:tcPr>
            <w:tcW w:w="2300" w:type="dxa"/>
            <w:vAlign w:val="bottom"/>
          </w:tcPr>
          <w:p>
            <w:pPr>
              <w:ind w:left="80"/>
              <w:spacing w:after="0"/>
              <w:rPr>
                <w:sz w:val="20"/>
                <w:szCs w:val="20"/>
                <w:color w:val="auto"/>
              </w:rPr>
            </w:pPr>
            <w:r>
              <w:rPr>
                <w:rFonts w:ascii="Arial" w:cs="Arial" w:eastAsia="Arial" w:hAnsi="Arial"/>
                <w:sz w:val="18"/>
                <w:szCs w:val="18"/>
                <w:i w:val="1"/>
                <w:iCs w:val="1"/>
                <w:color w:val="auto"/>
              </w:rPr>
              <w:t>2014</w:t>
            </w:r>
          </w:p>
        </w:tc>
        <w:tc>
          <w:tcPr>
            <w:tcW w:w="15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i w:val="1"/>
                <w:iCs w:val="1"/>
                <w:color w:val="auto"/>
              </w:rPr>
              <w:t>7,247</w:t>
            </w:r>
          </w:p>
        </w:tc>
        <w:tc>
          <w:tcPr>
            <w:tcW w:w="10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Arial" w:cs="Arial" w:eastAsia="Arial" w:hAnsi="Arial"/>
                <w:sz w:val="18"/>
                <w:szCs w:val="18"/>
                <w:i w:val="1"/>
                <w:iCs w:val="1"/>
                <w:color w:val="auto"/>
              </w:rPr>
              <w:t>13.3 %</w:t>
            </w:r>
          </w:p>
        </w:tc>
        <w:tc>
          <w:tcPr>
            <w:tcW w:w="1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i w:val="1"/>
                <w:iCs w:val="1"/>
                <w:color w:val="auto"/>
              </w:rPr>
              <w:t>30.9</w:t>
            </w:r>
          </w:p>
        </w:tc>
        <w:tc>
          <w:tcPr>
            <w:tcW w:w="10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18"/>
                <w:szCs w:val="18"/>
                <w:i w:val="1"/>
                <w:iCs w:val="1"/>
                <w:color w:val="auto"/>
              </w:rPr>
              <w:t>-2.2 %</w:t>
            </w:r>
          </w:p>
        </w:tc>
      </w:tr>
      <w:tr>
        <w:trPr>
          <w:trHeight w:val="54"/>
        </w:trPr>
        <w:tc>
          <w:tcPr>
            <w:tcW w:w="23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20" w:type="dxa"/>
            <w:vAlign w:val="bottom"/>
          </w:tcPr>
          <w:p>
            <w:pPr>
              <w:spacing w:after="0"/>
              <w:rPr>
                <w:sz w:val="4"/>
                <w:szCs w:val="4"/>
                <w:color w:val="auto"/>
              </w:rPr>
            </w:pPr>
          </w:p>
        </w:tc>
      </w:tr>
      <w:tr>
        <w:trPr>
          <w:trHeight w:val="277"/>
        </w:trPr>
        <w:tc>
          <w:tcPr>
            <w:tcW w:w="2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2015</w:t>
            </w:r>
          </w:p>
        </w:tc>
        <w:tc>
          <w:tcPr>
            <w:tcW w:w="15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9,064</w:t>
            </w:r>
          </w:p>
        </w:tc>
        <w:tc>
          <w:tcPr>
            <w:tcW w:w="100" w:type="dxa"/>
            <w:vAlign w:val="bottom"/>
            <w:tcBorders>
              <w:bottom w:val="single" w:sz="8" w:color="CCEEFF"/>
            </w:tcBorders>
            <w:shd w:val="clear" w:color="auto" w:fill="CCEEFF"/>
          </w:tcPr>
          <w:p>
            <w:pPr>
              <w:spacing w:after="0"/>
              <w:rPr>
                <w:sz w:val="24"/>
                <w:szCs w:val="24"/>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25.1 %</w:t>
            </w:r>
          </w:p>
        </w:tc>
        <w:tc>
          <w:tcPr>
            <w:tcW w:w="120" w:type="dxa"/>
            <w:vAlign w:val="bottom"/>
            <w:tcBorders>
              <w:bottom w:val="single" w:sz="8" w:color="CCEEFF"/>
            </w:tcBorders>
            <w:shd w:val="clear" w:color="auto" w:fill="CCEEFF"/>
          </w:tcPr>
          <w:p>
            <w:pPr>
              <w:spacing w:after="0"/>
              <w:rPr>
                <w:sz w:val="24"/>
                <w:szCs w:val="24"/>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32.9</w:t>
            </w:r>
          </w:p>
        </w:tc>
        <w:tc>
          <w:tcPr>
            <w:tcW w:w="100" w:type="dxa"/>
            <w:vAlign w:val="bottom"/>
            <w:tcBorders>
              <w:bottom w:val="single" w:sz="8" w:color="CCEEFF"/>
            </w:tcBorders>
            <w:shd w:val="clear" w:color="auto" w:fill="CCEEFF"/>
          </w:tcPr>
          <w:p>
            <w:pPr>
              <w:spacing w:after="0"/>
              <w:rPr>
                <w:sz w:val="24"/>
                <w:szCs w:val="24"/>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6.5 %</w:t>
            </w:r>
          </w:p>
        </w:tc>
      </w:tr>
      <w:tr>
        <w:trPr>
          <w:trHeight w:val="243"/>
        </w:trPr>
        <w:tc>
          <w:tcPr>
            <w:tcW w:w="2300" w:type="dxa"/>
            <w:vAlign w:val="bottom"/>
          </w:tcPr>
          <w:p>
            <w:pPr>
              <w:ind w:left="80"/>
              <w:spacing w:after="0"/>
              <w:rPr>
                <w:sz w:val="20"/>
                <w:szCs w:val="20"/>
                <w:color w:val="auto"/>
              </w:rPr>
            </w:pPr>
            <w:r>
              <w:rPr>
                <w:rFonts w:ascii="Arial" w:cs="Arial" w:eastAsia="Arial" w:hAnsi="Arial"/>
                <w:sz w:val="18"/>
                <w:szCs w:val="18"/>
                <w:i w:val="1"/>
                <w:iCs w:val="1"/>
                <w:color w:val="auto"/>
              </w:rPr>
              <w:t>2016</w:t>
            </w:r>
          </w:p>
        </w:tc>
        <w:tc>
          <w:tcPr>
            <w:tcW w:w="15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i w:val="1"/>
                <w:iCs w:val="1"/>
                <w:color w:val="auto"/>
                <w:w w:val="90"/>
              </w:rPr>
              <w:t>10,536</w:t>
            </w:r>
          </w:p>
        </w:tc>
        <w:tc>
          <w:tcPr>
            <w:tcW w:w="10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Arial" w:cs="Arial" w:eastAsia="Arial" w:hAnsi="Arial"/>
                <w:sz w:val="18"/>
                <w:szCs w:val="18"/>
                <w:i w:val="1"/>
                <w:iCs w:val="1"/>
                <w:color w:val="auto"/>
              </w:rPr>
              <w:t>16.2 %</w:t>
            </w:r>
          </w:p>
        </w:tc>
        <w:tc>
          <w:tcPr>
            <w:tcW w:w="1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i w:val="1"/>
                <w:iCs w:val="1"/>
                <w:color w:val="auto"/>
              </w:rPr>
              <w:t>31.4</w:t>
            </w:r>
          </w:p>
        </w:tc>
        <w:tc>
          <w:tcPr>
            <w:tcW w:w="10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18"/>
                <w:szCs w:val="18"/>
                <w:i w:val="1"/>
                <w:iCs w:val="1"/>
                <w:color w:val="auto"/>
              </w:rPr>
              <w:t>-4.6 %</w:t>
            </w:r>
          </w:p>
        </w:tc>
      </w:tr>
      <w:tr>
        <w:trPr>
          <w:trHeight w:val="54"/>
        </w:trPr>
        <w:tc>
          <w:tcPr>
            <w:tcW w:w="23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20" w:type="dxa"/>
            <w:vAlign w:val="bottom"/>
          </w:tcPr>
          <w:p>
            <w:pPr>
              <w:spacing w:after="0"/>
              <w:rPr>
                <w:sz w:val="4"/>
                <w:szCs w:val="4"/>
                <w:color w:val="auto"/>
              </w:rPr>
            </w:pPr>
          </w:p>
        </w:tc>
      </w:tr>
      <w:tr>
        <w:trPr>
          <w:trHeight w:val="277"/>
        </w:trPr>
        <w:tc>
          <w:tcPr>
            <w:tcW w:w="2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2017</w:t>
            </w:r>
          </w:p>
        </w:tc>
        <w:tc>
          <w:tcPr>
            <w:tcW w:w="15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0"/>
              </w:rPr>
              <w:t>11,551</w:t>
            </w:r>
          </w:p>
        </w:tc>
        <w:tc>
          <w:tcPr>
            <w:tcW w:w="100" w:type="dxa"/>
            <w:vAlign w:val="bottom"/>
            <w:tcBorders>
              <w:bottom w:val="single" w:sz="8" w:color="CCEEFF"/>
            </w:tcBorders>
            <w:shd w:val="clear" w:color="auto" w:fill="CCEEFF"/>
          </w:tcPr>
          <w:p>
            <w:pPr>
              <w:spacing w:after="0"/>
              <w:rPr>
                <w:sz w:val="24"/>
                <w:szCs w:val="24"/>
                <w:color w:val="auto"/>
              </w:rPr>
            </w:pPr>
          </w:p>
        </w:tc>
        <w:tc>
          <w:tcPr>
            <w:tcW w:w="2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9.6 %</w:t>
            </w:r>
          </w:p>
        </w:tc>
        <w:tc>
          <w:tcPr>
            <w:tcW w:w="120" w:type="dxa"/>
            <w:vAlign w:val="bottom"/>
            <w:tcBorders>
              <w:bottom w:val="single" w:sz="8" w:color="CCEEFF"/>
            </w:tcBorders>
            <w:shd w:val="clear" w:color="auto" w:fill="CCEEFF"/>
          </w:tcPr>
          <w:p>
            <w:pPr>
              <w:spacing w:after="0"/>
              <w:rPr>
                <w:sz w:val="24"/>
                <w:szCs w:val="24"/>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28.4</w:t>
            </w:r>
          </w:p>
        </w:tc>
        <w:tc>
          <w:tcPr>
            <w:tcW w:w="100" w:type="dxa"/>
            <w:vAlign w:val="bottom"/>
            <w:tcBorders>
              <w:bottom w:val="single" w:sz="8" w:color="CCEEFF"/>
            </w:tcBorders>
            <w:shd w:val="clear" w:color="auto" w:fill="CCEEFF"/>
          </w:tcPr>
          <w:p>
            <w:pPr>
              <w:spacing w:after="0"/>
              <w:rPr>
                <w:sz w:val="24"/>
                <w:szCs w:val="24"/>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-9.6 %</w:t>
            </w:r>
          </w:p>
        </w:tc>
      </w:tr>
      <w:tr>
        <w:trPr>
          <w:trHeight w:val="243"/>
        </w:trPr>
        <w:tc>
          <w:tcPr>
            <w:tcW w:w="2300" w:type="dxa"/>
            <w:vAlign w:val="bottom"/>
          </w:tcPr>
          <w:p>
            <w:pPr>
              <w:ind w:left="80"/>
              <w:spacing w:after="0"/>
              <w:rPr>
                <w:sz w:val="20"/>
                <w:szCs w:val="20"/>
                <w:color w:val="auto"/>
              </w:rPr>
            </w:pPr>
            <w:r>
              <w:rPr>
                <w:rFonts w:ascii="Arial" w:cs="Arial" w:eastAsia="Arial" w:hAnsi="Arial"/>
                <w:sz w:val="18"/>
                <w:szCs w:val="18"/>
                <w:i w:val="1"/>
                <w:iCs w:val="1"/>
                <w:color w:val="auto"/>
              </w:rPr>
              <w:t>2018</w:t>
            </w:r>
          </w:p>
        </w:tc>
        <w:tc>
          <w:tcPr>
            <w:tcW w:w="15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i w:val="1"/>
                <w:iCs w:val="1"/>
                <w:color w:val="auto"/>
                <w:w w:val="90"/>
              </w:rPr>
              <w:t>12,528</w:t>
            </w:r>
          </w:p>
        </w:tc>
        <w:tc>
          <w:tcPr>
            <w:tcW w:w="100" w:type="dxa"/>
            <w:vAlign w:val="bottom"/>
          </w:tcPr>
          <w:p>
            <w:pPr>
              <w:spacing w:after="0"/>
              <w:rPr>
                <w:sz w:val="21"/>
                <w:szCs w:val="21"/>
                <w:color w:val="auto"/>
              </w:rPr>
            </w:pPr>
          </w:p>
        </w:tc>
        <w:tc>
          <w:tcPr>
            <w:tcW w:w="2200" w:type="dxa"/>
            <w:vAlign w:val="bottom"/>
          </w:tcPr>
          <w:p>
            <w:pPr>
              <w:jc w:val="right"/>
              <w:spacing w:after="0"/>
              <w:rPr>
                <w:sz w:val="20"/>
                <w:szCs w:val="20"/>
                <w:color w:val="auto"/>
              </w:rPr>
            </w:pPr>
            <w:r>
              <w:rPr>
                <w:rFonts w:ascii="Arial" w:cs="Arial" w:eastAsia="Arial" w:hAnsi="Arial"/>
                <w:sz w:val="18"/>
                <w:szCs w:val="18"/>
                <w:i w:val="1"/>
                <w:iCs w:val="1"/>
                <w:color w:val="auto"/>
              </w:rPr>
              <w:t>8.5 %</w:t>
            </w:r>
          </w:p>
        </w:tc>
        <w:tc>
          <w:tcPr>
            <w:tcW w:w="1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18"/>
                <w:szCs w:val="18"/>
                <w:i w:val="1"/>
                <w:iCs w:val="1"/>
                <w:color w:val="auto"/>
              </w:rPr>
              <w:t>29.8</w:t>
            </w:r>
          </w:p>
        </w:tc>
        <w:tc>
          <w:tcPr>
            <w:tcW w:w="10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18"/>
                <w:szCs w:val="18"/>
                <w:i w:val="1"/>
                <w:iCs w:val="1"/>
                <w:color w:val="auto"/>
              </w:rPr>
              <w:t>4.9 %</w:t>
            </w:r>
          </w:p>
        </w:tc>
      </w:tr>
      <w:tr>
        <w:trPr>
          <w:trHeight w:val="54"/>
        </w:trPr>
        <w:tc>
          <w:tcPr>
            <w:tcW w:w="23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20" w:type="dxa"/>
            <w:vAlign w:val="bottom"/>
          </w:tcPr>
          <w:p>
            <w:pPr>
              <w:spacing w:after="0"/>
              <w:rPr>
                <w:sz w:val="4"/>
                <w:szCs w:val="4"/>
                <w:color w:val="auto"/>
              </w:rPr>
            </w:pPr>
          </w:p>
        </w:tc>
      </w:tr>
      <w:tr>
        <w:trPr>
          <w:trHeight w:val="243"/>
        </w:trPr>
        <w:tc>
          <w:tcPr>
            <w:tcW w:w="2300" w:type="dxa"/>
            <w:vAlign w:val="bottom"/>
            <w:shd w:val="clear" w:color="auto" w:fill="CCEEFF"/>
          </w:tcPr>
          <w:p>
            <w:pPr>
              <w:ind w:left="80"/>
              <w:spacing w:after="0"/>
              <w:rPr>
                <w:sz w:val="20"/>
                <w:szCs w:val="20"/>
                <w:color w:val="auto"/>
              </w:rPr>
            </w:pPr>
            <w:r>
              <w:rPr>
                <w:rFonts w:ascii="Arial" w:cs="Arial" w:eastAsia="Arial" w:hAnsi="Arial"/>
                <w:sz w:val="18"/>
                <w:szCs w:val="18"/>
                <w:i w:val="1"/>
                <w:iCs w:val="1"/>
                <w:color w:val="auto"/>
              </w:rPr>
              <w:t>2019</w:t>
            </w:r>
          </w:p>
        </w:tc>
        <w:tc>
          <w:tcPr>
            <w:tcW w:w="15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w w:val="90"/>
              </w:rPr>
              <w:t>13,399</w:t>
            </w:r>
          </w:p>
        </w:tc>
        <w:tc>
          <w:tcPr>
            <w:tcW w:w="100" w:type="dxa"/>
            <w:vAlign w:val="bottom"/>
            <w:shd w:val="clear" w:color="auto" w:fill="CCEEFF"/>
          </w:tcPr>
          <w:p>
            <w:pPr>
              <w:spacing w:after="0"/>
              <w:rPr>
                <w:sz w:val="21"/>
                <w:szCs w:val="21"/>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7.0 %</w:t>
            </w:r>
          </w:p>
        </w:tc>
        <w:tc>
          <w:tcPr>
            <w:tcW w:w="120" w:type="dxa"/>
            <w:vAlign w:val="bottom"/>
            <w:shd w:val="clear" w:color="auto" w:fill="CCEEFF"/>
          </w:tcPr>
          <w:p>
            <w:pPr>
              <w:spacing w:after="0"/>
              <w:rPr>
                <w:sz w:val="21"/>
                <w:szCs w:val="21"/>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27.6</w:t>
            </w:r>
          </w:p>
        </w:tc>
        <w:tc>
          <w:tcPr>
            <w:tcW w:w="100" w:type="dxa"/>
            <w:vAlign w:val="bottom"/>
            <w:shd w:val="clear" w:color="auto" w:fill="CCEEFF"/>
          </w:tcPr>
          <w:p>
            <w:pPr>
              <w:spacing w:after="0"/>
              <w:rPr>
                <w:sz w:val="21"/>
                <w:szCs w:val="21"/>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-7.4 %</w:t>
            </w:r>
          </w:p>
        </w:tc>
      </w:tr>
      <w:tr>
        <w:trPr>
          <w:trHeight w:val="54"/>
        </w:trPr>
        <w:tc>
          <w:tcPr>
            <w:tcW w:w="2300" w:type="dxa"/>
            <w:vAlign w:val="bottom"/>
            <w:shd w:val="clear" w:color="auto" w:fill="CCEEFF"/>
          </w:tcPr>
          <w:p>
            <w:pPr>
              <w:spacing w:after="0"/>
              <w:rPr>
                <w:sz w:val="4"/>
                <w:szCs w:val="4"/>
                <w:color w:val="auto"/>
              </w:rPr>
            </w:pPr>
          </w:p>
        </w:tc>
        <w:tc>
          <w:tcPr>
            <w:tcW w:w="154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2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220" w:type="dxa"/>
            <w:vAlign w:val="bottom"/>
            <w:shd w:val="clear" w:color="auto" w:fill="CCEEFF"/>
          </w:tcPr>
          <w:p>
            <w:pPr>
              <w:spacing w:after="0"/>
              <w:rPr>
                <w:sz w:val="4"/>
                <w:szCs w:val="4"/>
                <w:color w:val="auto"/>
              </w:rPr>
            </w:pPr>
          </w:p>
        </w:tc>
      </w:tr>
    </w:tbl>
    <w:p>
      <w:pPr>
        <w:spacing w:after="0" w:line="208" w:lineRule="exact"/>
        <w:rPr>
          <w:sz w:val="20"/>
          <w:szCs w:val="20"/>
          <w:color w:val="auto"/>
        </w:rPr>
      </w:pPr>
    </w:p>
    <w:p>
      <w:pPr>
        <w:ind w:right="480"/>
        <w:spacing w:after="0" w:line="263" w:lineRule="auto"/>
        <w:rPr>
          <w:sz w:val="20"/>
          <w:szCs w:val="20"/>
          <w:color w:val="auto"/>
        </w:rPr>
      </w:pPr>
      <w:r>
        <w:rPr>
          <w:rFonts w:ascii="Arial" w:cs="Arial" w:eastAsia="Arial" w:hAnsi="Arial"/>
          <w:sz w:val="22"/>
          <w:szCs w:val="22"/>
          <w:color w:val="auto"/>
        </w:rPr>
        <w:t>As the table shows, the gain in unit volumes since 2001 has resulted, in most years, from an increase in the number of active dealers partially offset by a reduction in volume per dealer.</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Active dealers</w:t>
      </w:r>
    </w:p>
    <w:p>
      <w:pPr>
        <w:spacing w:after="0" w:line="260" w:lineRule="exact"/>
        <w:rPr>
          <w:sz w:val="20"/>
          <w:szCs w:val="20"/>
          <w:color w:val="auto"/>
        </w:rPr>
      </w:pPr>
    </w:p>
    <w:p>
      <w:pPr>
        <w:ind w:right="80"/>
        <w:spacing w:after="0" w:line="246" w:lineRule="auto"/>
        <w:rPr>
          <w:sz w:val="20"/>
          <w:szCs w:val="20"/>
          <w:color w:val="auto"/>
        </w:rPr>
      </w:pPr>
      <w:r>
        <w:rPr>
          <w:rFonts w:ascii="Arial" w:cs="Arial" w:eastAsia="Arial" w:hAnsi="Arial"/>
          <w:sz w:val="22"/>
          <w:szCs w:val="22"/>
          <w:color w:val="auto"/>
        </w:rPr>
        <w:t>We have grown the number of active dealers in 16 of the last 18 years. In 2002 and 2009, the number of active dealers decreased as capital constraints required us to restrict the number of new dealer enrollments. We face two challenges in growing our active dealer base. First, increased competition makes it more difficult to enroll new dealers and more difficult to retain those who have already enrolled, since they have more alternatives to choose from. Second, as the number of active dealers increases, it becomes harder to grow at the same rate. As a result of these challenges, active dealer growth has slowed. From 2010 to 2016, active dealers grew at a compounded annual rate of 21.9%. In contrast, active dealers grew 9.6% in 2017, 8.5% in 2018 and 7.0% last year.</w:t>
      </w:r>
    </w:p>
    <w:p>
      <w:pPr>
        <w:spacing w:after="0" w:line="196" w:lineRule="exact"/>
        <w:rPr>
          <w:sz w:val="20"/>
          <w:szCs w:val="20"/>
          <w:color w:val="auto"/>
        </w:rPr>
      </w:pPr>
    </w:p>
    <w:p>
      <w:pPr>
        <w:ind w:right="60"/>
        <w:spacing w:after="0" w:line="263" w:lineRule="auto"/>
        <w:rPr>
          <w:sz w:val="20"/>
          <w:szCs w:val="20"/>
          <w:color w:val="auto"/>
        </w:rPr>
      </w:pPr>
      <w:r>
        <w:rPr>
          <w:rFonts w:ascii="Arial" w:cs="Arial" w:eastAsia="Arial" w:hAnsi="Arial"/>
          <w:sz w:val="21"/>
          <w:szCs w:val="21"/>
          <w:color w:val="auto"/>
        </w:rPr>
        <w:t>In response to the challenges we face, in 2016 we began to aggressively expand the size of our field sales force. Last year we had 395 field sales representatives, called market area managers (“MAMs”). This was up from 239 in 2015 (based on a monthly average for the year), an increase of 65.3%. During the same period, active dealers increased 47.8% and unit volume increased 24.0%. In other words, we expanded the size of the field sales force but productivity per MAM fell. This was not the intended result, and improving MAM productivity remains an objective.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348" w:right="339" w:bottom="1440" w:gutter="0" w:footer="0" w:header="0"/>
        </w:sectPr>
      </w:pPr>
    </w:p>
    <w:bookmarkStart w:id="28" w:name="page29"/>
    <w:bookmarkEnd w:id="28"/>
    <w:p>
      <w:pPr>
        <w:spacing w:after="0"/>
        <w:rPr>
          <w:sz w:val="20"/>
          <w:szCs w:val="20"/>
          <w:color w:val="auto"/>
        </w:rPr>
      </w:pPr>
      <w:r>
        <w:rPr>
          <w:rFonts w:ascii="Arial" w:cs="Arial" w:eastAsia="Arial" w:hAnsi="Arial"/>
          <w:sz w:val="22"/>
          <w:szCs w:val="22"/>
          <w:u w:val="single" w:color="auto"/>
          <w:color w:val="auto"/>
        </w:rPr>
        <w:t>Volume per dealer</w:t>
      </w:r>
    </w:p>
    <w:p>
      <w:pPr>
        <w:spacing w:after="0" w:line="260" w:lineRule="exact"/>
        <w:rPr>
          <w:sz w:val="20"/>
          <w:szCs w:val="20"/>
          <w:color w:val="auto"/>
        </w:rPr>
      </w:pPr>
    </w:p>
    <w:p>
      <w:pPr>
        <w:spacing w:after="0" w:line="289" w:lineRule="auto"/>
        <w:rPr>
          <w:sz w:val="20"/>
          <w:szCs w:val="20"/>
          <w:color w:val="auto"/>
        </w:rPr>
      </w:pPr>
      <w:r>
        <w:rPr>
          <w:rFonts w:ascii="Arial" w:cs="Arial" w:eastAsia="Arial" w:hAnsi="Arial"/>
          <w:sz w:val="19"/>
          <w:szCs w:val="19"/>
          <w:color w:val="auto"/>
        </w:rPr>
        <w:t>After peaking in 2003 at 64.7 loans, volume per dealer declined in 12 of the next 16 years, a result we attribute to the challenge of achieving the same productivity per dealer as the number of dealers increases. In 2010 and 2011, volume per dealer increased due to a favorable competitive environment. (While the environment was favorable in 2008 and 2009 as well, we were capital-constrained, which caused us to reduce volume per dealer through pricing.) In 2015, volume per dealer also increased, a result we attribute to several changes we made to our program in that year, including offering longer loan terms and implementing an electronic contracting solution. The electronic contracting solution simplifies our origination process for the dealer and enables us to fund our dealers more rapidly, since they no longer need to send us a hard copy of the loan documents. Volume per dealer improved again in 2018, by 4.9%, a result we attribute to a new credit scorecard we implemented that year. Last year, volume per dealer declined 7.4% in a difficult competitive environment.</w:t>
      </w:r>
    </w:p>
    <w:p>
      <w:pPr>
        <w:spacing w:after="0" w:line="157" w:lineRule="exact"/>
        <w:rPr>
          <w:sz w:val="20"/>
          <w:szCs w:val="20"/>
          <w:color w:val="auto"/>
        </w:rPr>
      </w:pPr>
    </w:p>
    <w:p>
      <w:pPr>
        <w:ind w:right="100"/>
        <w:spacing w:after="0" w:line="271" w:lineRule="auto"/>
        <w:rPr>
          <w:sz w:val="20"/>
          <w:szCs w:val="20"/>
          <w:color w:val="auto"/>
        </w:rPr>
      </w:pPr>
      <w:r>
        <w:rPr>
          <w:rFonts w:ascii="Arial" w:cs="Arial" w:eastAsia="Arial" w:hAnsi="Arial"/>
          <w:sz w:val="21"/>
          <w:szCs w:val="21"/>
          <w:color w:val="auto"/>
        </w:rPr>
        <w:t>While we believe we have an opportunity to expand active dealers and unit volumes further, growing unit volume is not likely to be a priority in 2020. When enough time has passed to allow us to understand the impact of the COVID-19 crisis on loan performance and capital availability, we will be in better position to resume a strategy of growth.</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003066"/>
        </w:rPr>
        <w:t>PURCHASE PROGRAM</w:t>
      </w:r>
    </w:p>
    <w:p>
      <w:pPr>
        <w:spacing w:after="0" w:line="244" w:lineRule="exact"/>
        <w:rPr>
          <w:sz w:val="20"/>
          <w:szCs w:val="20"/>
          <w:color w:val="auto"/>
        </w:rPr>
      </w:pPr>
    </w:p>
    <w:p>
      <w:pPr>
        <w:spacing w:after="0" w:line="289" w:lineRule="auto"/>
        <w:rPr>
          <w:sz w:val="20"/>
          <w:szCs w:val="20"/>
          <w:color w:val="auto"/>
        </w:rPr>
      </w:pPr>
      <w:r>
        <w:rPr>
          <w:rFonts w:ascii="Arial" w:cs="Arial" w:eastAsia="Arial" w:hAnsi="Arial"/>
          <w:sz w:val="19"/>
          <w:szCs w:val="19"/>
          <w:color w:val="auto"/>
        </w:rPr>
        <w:t>We have two programs: the Portfolio program and the Purchase program. The Portfolio program, which we have offered since the late 1980s, has produced 81.4% of our unit volume since 2005. This program provides dealers with a cash payment at the time the loan is originated (the “advance”) and additional payments over time based on the performance of the loan (the “dealer holdback”). There are several aspects of the Portfolio program that we believe are advantageous. First, as described earlier, paying the dealer based on the performance of the loan creates an alignment of interests. Second, the dealer holdback provides a layer of protection in case our actual collection results are less than we forecasted. If that occurs, we offset a significant portion of the shortfall by reducing our dealer holdback liability. Finally, if loan performance is equal to or better than our expectations, the dealer ultimately makes more money from using the Portfolio program than from using the Purchase program. We love it when our dealers experience a financial reward for helping the customer succeed.</w:t>
      </w:r>
    </w:p>
    <w:p>
      <w:pPr>
        <w:spacing w:after="0" w:line="197"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The Purchase program is a more traditional indirect auto finance product in that the dealer receives only a single payment at loan origination in exchange for assigning the loan to us. There is no financial incentive for the dealer tied to the performance of the loan, and we are not insulated from credit risk. With Purchase loans, if actual collections are less than we forecasted, our revenue is impacted by the full amount of any shortfall.</w:t>
      </w:r>
    </w:p>
    <w:p>
      <w:pPr>
        <w:spacing w:after="0" w:line="188" w:lineRule="exact"/>
        <w:rPr>
          <w:sz w:val="20"/>
          <w:szCs w:val="20"/>
          <w:color w:val="auto"/>
        </w:rPr>
      </w:pPr>
    </w:p>
    <w:p>
      <w:pPr>
        <w:jc w:val="both"/>
        <w:ind w:right="340"/>
        <w:spacing w:after="0" w:line="302" w:lineRule="auto"/>
        <w:rPr>
          <w:sz w:val="20"/>
          <w:szCs w:val="20"/>
          <w:color w:val="auto"/>
        </w:rPr>
      </w:pPr>
      <w:r>
        <w:rPr>
          <w:rFonts w:ascii="Arial" w:cs="Arial" w:eastAsia="Arial" w:hAnsi="Arial"/>
          <w:sz w:val="19"/>
          <w:szCs w:val="19"/>
          <w:color w:val="auto"/>
        </w:rPr>
        <w:t>Given the advantages of the Portfolio program, we strongly prefer to invest in it as much of our capital as possible. However, because it generates high returns on capital, in most periods we have been unable to grow the program rapidly enough for it to absorb all of the capital generated. We developed the Purchase program both to attract dealers who have historically not been interested in our Portfolio program, and to gain an additional way to invest capital at attractive returns.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348" w:right="339" w:bottom="1440" w:gutter="0" w:footer="0" w:header="0"/>
        </w:sectPr>
      </w:pPr>
    </w:p>
    <w:bookmarkStart w:id="29" w:name="page30"/>
    <w:bookmarkEnd w:id="29"/>
    <w:p>
      <w:pPr>
        <w:spacing w:after="0"/>
        <w:rPr>
          <w:sz w:val="20"/>
          <w:szCs w:val="20"/>
          <w:color w:val="auto"/>
        </w:rPr>
      </w:pPr>
      <w:r>
        <w:rPr>
          <w:rFonts w:ascii="Arial" w:cs="Arial" w:eastAsia="Arial" w:hAnsi="Arial"/>
          <w:sz w:val="19"/>
          <w:szCs w:val="19"/>
          <w:color w:val="auto"/>
        </w:rPr>
        <w:t>The Purchase program has been offered since 2005. The following table summarizes volume from each program since that time: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60" w:type="dxa"/>
            <w:vAlign w:val="bottom"/>
            <w:gridSpan w:val="4"/>
          </w:tcPr>
          <w:p>
            <w:pPr>
              <w:spacing w:after="0"/>
              <w:rPr>
                <w:sz w:val="20"/>
                <w:szCs w:val="20"/>
                <w:color w:val="auto"/>
              </w:rPr>
            </w:pPr>
            <w:r>
              <w:rPr>
                <w:rFonts w:ascii="Arial" w:cs="Arial" w:eastAsia="Arial" w:hAnsi="Arial"/>
                <w:sz w:val="14"/>
                <w:szCs w:val="14"/>
                <w:b w:val="1"/>
                <w:bCs w:val="1"/>
                <w:color w:val="auto"/>
              </w:rPr>
              <w:t>Total</w:t>
            </w:r>
          </w:p>
        </w:tc>
        <w:tc>
          <w:tcPr>
            <w:tcW w:w="3180" w:type="dxa"/>
            <w:vAlign w:val="bottom"/>
            <w:gridSpan w:val="4"/>
          </w:tcPr>
          <w:p>
            <w:pPr>
              <w:ind w:left="1000"/>
              <w:spacing w:after="0"/>
              <w:rPr>
                <w:sz w:val="20"/>
                <w:szCs w:val="20"/>
                <w:color w:val="auto"/>
              </w:rPr>
            </w:pPr>
            <w:r>
              <w:rPr>
                <w:rFonts w:ascii="Arial" w:cs="Arial" w:eastAsia="Arial" w:hAnsi="Arial"/>
                <w:sz w:val="14"/>
                <w:szCs w:val="14"/>
                <w:b w:val="1"/>
                <w:bCs w:val="1"/>
                <w:color w:val="auto"/>
              </w:rPr>
              <w:t>Portfolio program</w:t>
            </w:r>
          </w:p>
        </w:tc>
        <w:tc>
          <w:tcPr>
            <w:tcW w:w="3060" w:type="dxa"/>
            <w:vAlign w:val="bottom"/>
            <w:gridSpan w:val="3"/>
          </w:tcPr>
          <w:p>
            <w:pPr>
              <w:jc w:val="right"/>
              <w:ind w:right="851"/>
              <w:spacing w:after="0"/>
              <w:rPr>
                <w:sz w:val="20"/>
                <w:szCs w:val="20"/>
                <w:color w:val="auto"/>
              </w:rPr>
            </w:pPr>
            <w:r>
              <w:rPr>
                <w:rFonts w:ascii="Arial" w:cs="Arial" w:eastAsia="Arial" w:hAnsi="Arial"/>
                <w:sz w:val="14"/>
                <w:szCs w:val="14"/>
                <w:b w:val="1"/>
                <w:bCs w:val="1"/>
                <w:color w:val="auto"/>
              </w:rPr>
              <w:t>Purchase program</w:t>
            </w:r>
          </w:p>
        </w:tc>
        <w:tc>
          <w:tcPr>
            <w:tcW w:w="0" w:type="dxa"/>
            <w:vAlign w:val="bottom"/>
          </w:tcPr>
          <w:p>
            <w:pPr>
              <w:spacing w:after="0"/>
              <w:rPr>
                <w:sz w:val="1"/>
                <w:szCs w:val="1"/>
                <w:color w:val="auto"/>
              </w:rPr>
            </w:pPr>
          </w:p>
        </w:tc>
      </w:tr>
      <w:tr>
        <w:trPr>
          <w:trHeight w:val="39"/>
        </w:trPr>
        <w:tc>
          <w:tcPr>
            <w:tcW w:w="1840" w:type="dxa"/>
            <w:vAlign w:val="bottom"/>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1840" w:type="dxa"/>
            <w:vAlign w:val="bottom"/>
            <w:gridSpan w:val="2"/>
          </w:tcPr>
          <w:p>
            <w:pPr>
              <w:ind w:left="420"/>
              <w:spacing w:after="0" w:line="133" w:lineRule="exact"/>
              <w:rPr>
                <w:sz w:val="20"/>
                <w:szCs w:val="20"/>
                <w:color w:val="auto"/>
              </w:rPr>
            </w:pPr>
            <w:r>
              <w:rPr>
                <w:rFonts w:ascii="Arial" w:cs="Arial" w:eastAsia="Arial" w:hAnsi="Arial"/>
                <w:sz w:val="14"/>
                <w:szCs w:val="14"/>
                <w:b w:val="1"/>
                <w:bCs w:val="1"/>
                <w:color w:val="auto"/>
              </w:rPr>
              <w:t>Consumer loan</w:t>
            </w:r>
          </w:p>
        </w:tc>
        <w:tc>
          <w:tcPr>
            <w:tcW w:w="240" w:type="dxa"/>
            <w:vAlign w:val="bottom"/>
          </w:tcPr>
          <w:p>
            <w:pPr>
              <w:spacing w:after="0"/>
              <w:rPr>
                <w:sz w:val="11"/>
                <w:szCs w:val="11"/>
                <w:color w:val="auto"/>
              </w:rPr>
            </w:pPr>
          </w:p>
        </w:tc>
        <w:tc>
          <w:tcPr>
            <w:tcW w:w="116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Unit volume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Year-to-year change</w:t>
            </w:r>
          </w:p>
        </w:tc>
        <w:tc>
          <w:tcPr>
            <w:tcW w:w="15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Unit volume</w:t>
            </w:r>
          </w:p>
        </w:tc>
        <w:tc>
          <w:tcPr>
            <w:tcW w:w="16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Year-to-year change</w:t>
            </w:r>
          </w:p>
        </w:tc>
        <w:tc>
          <w:tcPr>
            <w:tcW w:w="15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Unit volume</w:t>
            </w:r>
          </w:p>
        </w:tc>
        <w:tc>
          <w:tcPr>
            <w:tcW w:w="152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Year-to-year change</w:t>
            </w:r>
          </w:p>
        </w:tc>
        <w:tc>
          <w:tcPr>
            <w:tcW w:w="0" w:type="dxa"/>
            <w:vAlign w:val="bottom"/>
          </w:tcPr>
          <w:p>
            <w:pPr>
              <w:spacing w:after="0"/>
              <w:rPr>
                <w:sz w:val="1"/>
                <w:szCs w:val="1"/>
                <w:color w:val="auto"/>
              </w:rPr>
            </w:pPr>
          </w:p>
        </w:tc>
      </w:tr>
      <w:tr>
        <w:trPr>
          <w:trHeight w:val="192"/>
        </w:trPr>
        <w:tc>
          <w:tcPr>
            <w:tcW w:w="2080" w:type="dxa"/>
            <w:vAlign w:val="bottom"/>
            <w:gridSpan w:val="3"/>
          </w:tcPr>
          <w:p>
            <w:pPr>
              <w:ind w:left="400"/>
              <w:spacing w:after="0"/>
              <w:rPr>
                <w:sz w:val="20"/>
                <w:szCs w:val="20"/>
                <w:color w:val="auto"/>
              </w:rPr>
            </w:pPr>
            <w:r>
              <w:rPr>
                <w:rFonts w:ascii="Arial" w:cs="Arial" w:eastAsia="Arial" w:hAnsi="Arial"/>
                <w:sz w:val="14"/>
                <w:szCs w:val="14"/>
                <w:b w:val="1"/>
                <w:bCs w:val="1"/>
                <w:color w:val="auto"/>
              </w:rPr>
              <w:t>assignment year</w:t>
            </w:r>
          </w:p>
        </w:tc>
        <w:tc>
          <w:tcPr>
            <w:tcW w:w="11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1740" w:type="dxa"/>
            <w:vAlign w:val="bottom"/>
            <w:tcBorders>
              <w:top w:val="single" w:sz="8" w:color="auto"/>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2005</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CCEEFF"/>
            </w:tcBorders>
            <w:shd w:val="clear" w:color="auto" w:fill="CCEEFF"/>
          </w:tcPr>
          <w:p>
            <w:pPr>
              <w:spacing w:after="0"/>
              <w:rPr>
                <w:sz w:val="24"/>
                <w:szCs w:val="24"/>
                <w:color w:val="auto"/>
              </w:rPr>
            </w:pP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81,184</w:t>
            </w:r>
          </w:p>
        </w:tc>
        <w:tc>
          <w:tcPr>
            <w:tcW w:w="20" w:type="dxa"/>
            <w:vAlign w:val="bottom"/>
            <w:tcBorders>
              <w:top w:val="single" w:sz="8" w:color="auto"/>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540" w:type="dxa"/>
            <w:vAlign w:val="bottom"/>
            <w:tcBorders>
              <w:top w:val="single" w:sz="8" w:color="auto"/>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73,708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520" w:type="dxa"/>
            <w:vAlign w:val="bottom"/>
            <w:tcBorders>
              <w:top w:val="single" w:sz="8" w:color="auto"/>
              <w:bottom w:val="single" w:sz="8" w:color="CCEEFF"/>
            </w:tcBorders>
            <w:shd w:val="clear" w:color="auto" w:fill="CCEEFF"/>
          </w:tcPr>
          <w:p>
            <w:pPr>
              <w:spacing w:after="0"/>
              <w:rPr>
                <w:sz w:val="24"/>
                <w:szCs w:val="24"/>
                <w:color w:val="auto"/>
              </w:rPr>
            </w:pP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7,476</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520" w:type="dxa"/>
            <w:vAlign w:val="bottom"/>
            <w:tcBorders>
              <w:top w:val="single" w:sz="8" w:color="auto"/>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80"/>
              <w:spacing w:after="0"/>
              <w:rPr>
                <w:sz w:val="20"/>
                <w:szCs w:val="20"/>
                <w:color w:val="auto"/>
              </w:rPr>
            </w:pPr>
            <w:r>
              <w:rPr>
                <w:rFonts w:ascii="Arial" w:cs="Arial" w:eastAsia="Arial" w:hAnsi="Arial"/>
                <w:sz w:val="18"/>
                <w:szCs w:val="18"/>
                <w:i w:val="1"/>
                <w:iCs w:val="1"/>
                <w:color w:val="auto"/>
              </w:rPr>
              <w:t>2006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91,344</w:t>
            </w:r>
          </w:p>
        </w:tc>
        <w:tc>
          <w:tcPr>
            <w:tcW w:w="1660" w:type="dxa"/>
            <w:vAlign w:val="bottom"/>
            <w:gridSpan w:val="3"/>
          </w:tcPr>
          <w:p>
            <w:pPr>
              <w:jc w:val="right"/>
              <w:spacing w:after="0"/>
              <w:rPr>
                <w:sz w:val="20"/>
                <w:szCs w:val="20"/>
                <w:color w:val="auto"/>
              </w:rPr>
            </w:pPr>
            <w:r>
              <w:rPr>
                <w:rFonts w:ascii="Arial" w:cs="Arial" w:eastAsia="Arial" w:hAnsi="Arial"/>
                <w:sz w:val="18"/>
                <w:szCs w:val="18"/>
                <w:i w:val="1"/>
                <w:iCs w:val="1"/>
                <w:color w:val="auto"/>
              </w:rPr>
              <w:t>12.5 %</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i w:val="1"/>
                <w:iCs w:val="1"/>
                <w:color w:val="auto"/>
              </w:rPr>
              <w:t>87,519</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i w:val="1"/>
                <w:iCs w:val="1"/>
                <w:color w:val="auto"/>
              </w:rPr>
              <w:t>18.7 %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i w:val="1"/>
                <w:iCs w:val="1"/>
                <w:color w:val="auto"/>
              </w:rPr>
              <w:t>3,825</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i w:val="1"/>
                <w:iCs w:val="1"/>
                <w:color w:val="auto"/>
              </w:rPr>
              <w:t>-48.8 %</w:t>
            </w:r>
          </w:p>
        </w:tc>
        <w:tc>
          <w:tcPr>
            <w:tcW w:w="0" w:type="dxa"/>
            <w:vAlign w:val="bottom"/>
          </w:tcPr>
          <w:p>
            <w:pPr>
              <w:spacing w:after="0"/>
              <w:rPr>
                <w:sz w:val="1"/>
                <w:szCs w:val="1"/>
                <w:color w:val="auto"/>
              </w:rPr>
            </w:pPr>
          </w:p>
        </w:tc>
      </w:tr>
      <w:tr>
        <w:trPr>
          <w:trHeight w:val="54"/>
        </w:trPr>
        <w:tc>
          <w:tcPr>
            <w:tcW w:w="1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2007</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106,693</w:t>
            </w:r>
          </w:p>
        </w:tc>
        <w:tc>
          <w:tcPr>
            <w:tcW w:w="1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16.8 %</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87,872</w:t>
            </w:r>
          </w:p>
        </w:tc>
        <w:tc>
          <w:tcPr>
            <w:tcW w:w="10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0.4 %</w:t>
            </w:r>
          </w:p>
        </w:tc>
        <w:tc>
          <w:tcPr>
            <w:tcW w:w="1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18,821</w:t>
            </w:r>
          </w:p>
        </w:tc>
        <w:tc>
          <w:tcPr>
            <w:tcW w:w="12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392.1 %</w:t>
            </w:r>
          </w:p>
        </w:tc>
        <w:tc>
          <w:tcPr>
            <w:tcW w:w="0" w:type="dxa"/>
            <w:vAlign w:val="bottom"/>
          </w:tcPr>
          <w:p>
            <w:pPr>
              <w:spacing w:after="0"/>
              <w:rPr>
                <w:sz w:val="1"/>
                <w:szCs w:val="1"/>
                <w:color w:val="auto"/>
              </w:rPr>
            </w:pPr>
          </w:p>
        </w:tc>
      </w:tr>
      <w:tr>
        <w:trPr>
          <w:trHeight w:val="243"/>
        </w:trPr>
        <w:tc>
          <w:tcPr>
            <w:tcW w:w="1740" w:type="dxa"/>
            <w:vAlign w:val="bottom"/>
          </w:tcPr>
          <w:p>
            <w:pPr>
              <w:ind w:left="80"/>
              <w:spacing w:after="0"/>
              <w:rPr>
                <w:sz w:val="20"/>
                <w:szCs w:val="20"/>
                <w:color w:val="auto"/>
              </w:rPr>
            </w:pPr>
            <w:r>
              <w:rPr>
                <w:rFonts w:ascii="Arial" w:cs="Arial" w:eastAsia="Arial" w:hAnsi="Arial"/>
                <w:sz w:val="18"/>
                <w:szCs w:val="18"/>
                <w:i w:val="1"/>
                <w:iCs w:val="1"/>
                <w:color w:val="auto"/>
              </w:rPr>
              <w:t>2008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121,282</w:t>
            </w:r>
          </w:p>
        </w:tc>
        <w:tc>
          <w:tcPr>
            <w:tcW w:w="1660" w:type="dxa"/>
            <w:vAlign w:val="bottom"/>
            <w:gridSpan w:val="3"/>
          </w:tcPr>
          <w:p>
            <w:pPr>
              <w:jc w:val="right"/>
              <w:spacing w:after="0"/>
              <w:rPr>
                <w:sz w:val="20"/>
                <w:szCs w:val="20"/>
                <w:color w:val="auto"/>
              </w:rPr>
            </w:pPr>
            <w:r>
              <w:rPr>
                <w:rFonts w:ascii="Arial" w:cs="Arial" w:eastAsia="Arial" w:hAnsi="Arial"/>
                <w:sz w:val="18"/>
                <w:szCs w:val="18"/>
                <w:i w:val="1"/>
                <w:iCs w:val="1"/>
                <w:color w:val="auto"/>
              </w:rPr>
              <w:t>13.7 %</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i w:val="1"/>
                <w:iCs w:val="1"/>
                <w:color w:val="auto"/>
              </w:rPr>
              <w:t>85,092</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i w:val="1"/>
                <w:iCs w:val="1"/>
                <w:color w:val="auto"/>
              </w:rPr>
              <w:t>-3.2 %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i w:val="1"/>
                <w:iCs w:val="1"/>
                <w:color w:val="auto"/>
              </w:rPr>
              <w:t>36,190</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i w:val="1"/>
                <w:iCs w:val="1"/>
                <w:color w:val="auto"/>
              </w:rPr>
              <w:t>92.3 %</w:t>
            </w:r>
          </w:p>
        </w:tc>
        <w:tc>
          <w:tcPr>
            <w:tcW w:w="0" w:type="dxa"/>
            <w:vAlign w:val="bottom"/>
          </w:tcPr>
          <w:p>
            <w:pPr>
              <w:spacing w:after="0"/>
              <w:rPr>
                <w:sz w:val="1"/>
                <w:szCs w:val="1"/>
                <w:color w:val="auto"/>
              </w:rPr>
            </w:pPr>
          </w:p>
        </w:tc>
      </w:tr>
      <w:tr>
        <w:trPr>
          <w:trHeight w:val="54"/>
        </w:trPr>
        <w:tc>
          <w:tcPr>
            <w:tcW w:w="1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2009</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111,029</w:t>
            </w:r>
          </w:p>
        </w:tc>
        <w:tc>
          <w:tcPr>
            <w:tcW w:w="1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-8.5 %</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96,076</w:t>
            </w:r>
          </w:p>
        </w:tc>
        <w:tc>
          <w:tcPr>
            <w:tcW w:w="10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12.9 %</w:t>
            </w:r>
          </w:p>
        </w:tc>
        <w:tc>
          <w:tcPr>
            <w:tcW w:w="1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14,953</w:t>
            </w:r>
          </w:p>
        </w:tc>
        <w:tc>
          <w:tcPr>
            <w:tcW w:w="12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-58.7 %</w:t>
            </w:r>
          </w:p>
        </w:tc>
        <w:tc>
          <w:tcPr>
            <w:tcW w:w="0" w:type="dxa"/>
            <w:vAlign w:val="bottom"/>
          </w:tcPr>
          <w:p>
            <w:pPr>
              <w:spacing w:after="0"/>
              <w:rPr>
                <w:sz w:val="1"/>
                <w:szCs w:val="1"/>
                <w:color w:val="auto"/>
              </w:rPr>
            </w:pPr>
          </w:p>
        </w:tc>
      </w:tr>
      <w:tr>
        <w:trPr>
          <w:trHeight w:val="243"/>
        </w:trPr>
        <w:tc>
          <w:tcPr>
            <w:tcW w:w="1740" w:type="dxa"/>
            <w:vAlign w:val="bottom"/>
          </w:tcPr>
          <w:p>
            <w:pPr>
              <w:ind w:left="80"/>
              <w:spacing w:after="0"/>
              <w:rPr>
                <w:sz w:val="20"/>
                <w:szCs w:val="20"/>
                <w:color w:val="auto"/>
              </w:rPr>
            </w:pPr>
            <w:r>
              <w:rPr>
                <w:rFonts w:ascii="Arial" w:cs="Arial" w:eastAsia="Arial" w:hAnsi="Arial"/>
                <w:sz w:val="18"/>
                <w:szCs w:val="18"/>
                <w:i w:val="1"/>
                <w:iCs w:val="1"/>
                <w:color w:val="auto"/>
              </w:rPr>
              <w:t>2010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136,813</w:t>
            </w:r>
          </w:p>
        </w:tc>
        <w:tc>
          <w:tcPr>
            <w:tcW w:w="1660" w:type="dxa"/>
            <w:vAlign w:val="bottom"/>
            <w:gridSpan w:val="3"/>
          </w:tcPr>
          <w:p>
            <w:pPr>
              <w:jc w:val="right"/>
              <w:spacing w:after="0"/>
              <w:rPr>
                <w:sz w:val="20"/>
                <w:szCs w:val="20"/>
                <w:color w:val="auto"/>
              </w:rPr>
            </w:pPr>
            <w:r>
              <w:rPr>
                <w:rFonts w:ascii="Arial" w:cs="Arial" w:eastAsia="Arial" w:hAnsi="Arial"/>
                <w:sz w:val="18"/>
                <w:szCs w:val="18"/>
                <w:i w:val="1"/>
                <w:iCs w:val="1"/>
                <w:color w:val="auto"/>
              </w:rPr>
              <w:t>23.2 %</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i w:val="1"/>
                <w:iCs w:val="1"/>
                <w:color w:val="auto"/>
              </w:rPr>
              <w:t>124,388</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i w:val="1"/>
                <w:iCs w:val="1"/>
                <w:color w:val="auto"/>
              </w:rPr>
              <w:t>29.5 %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i w:val="1"/>
                <w:iCs w:val="1"/>
                <w:color w:val="auto"/>
              </w:rPr>
              <w:t>12,425</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i w:val="1"/>
                <w:iCs w:val="1"/>
                <w:color w:val="auto"/>
              </w:rPr>
              <w:t>-16.9 %</w:t>
            </w:r>
          </w:p>
        </w:tc>
        <w:tc>
          <w:tcPr>
            <w:tcW w:w="0" w:type="dxa"/>
            <w:vAlign w:val="bottom"/>
          </w:tcPr>
          <w:p>
            <w:pPr>
              <w:spacing w:after="0"/>
              <w:rPr>
                <w:sz w:val="1"/>
                <w:szCs w:val="1"/>
                <w:color w:val="auto"/>
              </w:rPr>
            </w:pPr>
          </w:p>
        </w:tc>
      </w:tr>
      <w:tr>
        <w:trPr>
          <w:trHeight w:val="54"/>
        </w:trPr>
        <w:tc>
          <w:tcPr>
            <w:tcW w:w="1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2011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178,074</w:t>
            </w:r>
          </w:p>
        </w:tc>
        <w:tc>
          <w:tcPr>
            <w:tcW w:w="1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30.2 %</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164,653</w:t>
            </w:r>
          </w:p>
        </w:tc>
        <w:tc>
          <w:tcPr>
            <w:tcW w:w="10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32.4 %</w:t>
            </w:r>
          </w:p>
        </w:tc>
        <w:tc>
          <w:tcPr>
            <w:tcW w:w="1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13,421</w:t>
            </w:r>
          </w:p>
        </w:tc>
        <w:tc>
          <w:tcPr>
            <w:tcW w:w="12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8.0 %</w:t>
            </w:r>
          </w:p>
        </w:tc>
        <w:tc>
          <w:tcPr>
            <w:tcW w:w="0" w:type="dxa"/>
            <w:vAlign w:val="bottom"/>
          </w:tcPr>
          <w:p>
            <w:pPr>
              <w:spacing w:after="0"/>
              <w:rPr>
                <w:sz w:val="1"/>
                <w:szCs w:val="1"/>
                <w:color w:val="auto"/>
              </w:rPr>
            </w:pPr>
          </w:p>
        </w:tc>
      </w:tr>
      <w:tr>
        <w:trPr>
          <w:trHeight w:val="243"/>
        </w:trPr>
        <w:tc>
          <w:tcPr>
            <w:tcW w:w="1740" w:type="dxa"/>
            <w:vAlign w:val="bottom"/>
          </w:tcPr>
          <w:p>
            <w:pPr>
              <w:ind w:left="80"/>
              <w:spacing w:after="0"/>
              <w:rPr>
                <w:sz w:val="20"/>
                <w:szCs w:val="20"/>
                <w:color w:val="auto"/>
              </w:rPr>
            </w:pPr>
            <w:r>
              <w:rPr>
                <w:rFonts w:ascii="Arial" w:cs="Arial" w:eastAsia="Arial" w:hAnsi="Arial"/>
                <w:sz w:val="18"/>
                <w:szCs w:val="18"/>
                <w:i w:val="1"/>
                <w:iCs w:val="1"/>
                <w:color w:val="auto"/>
              </w:rPr>
              <w:t>2012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190,023</w:t>
            </w:r>
          </w:p>
        </w:tc>
        <w:tc>
          <w:tcPr>
            <w:tcW w:w="1660" w:type="dxa"/>
            <w:vAlign w:val="bottom"/>
            <w:gridSpan w:val="3"/>
          </w:tcPr>
          <w:p>
            <w:pPr>
              <w:jc w:val="right"/>
              <w:spacing w:after="0"/>
              <w:rPr>
                <w:sz w:val="20"/>
                <w:szCs w:val="20"/>
                <w:color w:val="auto"/>
              </w:rPr>
            </w:pPr>
            <w:r>
              <w:rPr>
                <w:rFonts w:ascii="Arial" w:cs="Arial" w:eastAsia="Arial" w:hAnsi="Arial"/>
                <w:sz w:val="18"/>
                <w:szCs w:val="18"/>
                <w:i w:val="1"/>
                <w:iCs w:val="1"/>
                <w:color w:val="auto"/>
              </w:rPr>
              <w:t>6.7 %</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i w:val="1"/>
                <w:iCs w:val="1"/>
                <w:color w:val="auto"/>
              </w:rPr>
              <w:t>177,985</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i w:val="1"/>
                <w:iCs w:val="1"/>
                <w:color w:val="auto"/>
              </w:rPr>
              <w:t>8.1 %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i w:val="1"/>
                <w:iCs w:val="1"/>
                <w:color w:val="auto"/>
              </w:rPr>
              <w:t>12,038</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i w:val="1"/>
                <w:iCs w:val="1"/>
                <w:color w:val="auto"/>
              </w:rPr>
              <w:t>-10.3 %</w:t>
            </w:r>
          </w:p>
        </w:tc>
        <w:tc>
          <w:tcPr>
            <w:tcW w:w="0" w:type="dxa"/>
            <w:vAlign w:val="bottom"/>
          </w:tcPr>
          <w:p>
            <w:pPr>
              <w:spacing w:after="0"/>
              <w:rPr>
                <w:sz w:val="1"/>
                <w:szCs w:val="1"/>
                <w:color w:val="auto"/>
              </w:rPr>
            </w:pPr>
          </w:p>
        </w:tc>
      </w:tr>
      <w:tr>
        <w:trPr>
          <w:trHeight w:val="54"/>
        </w:trPr>
        <w:tc>
          <w:tcPr>
            <w:tcW w:w="1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2013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202,250</w:t>
            </w:r>
          </w:p>
        </w:tc>
        <w:tc>
          <w:tcPr>
            <w:tcW w:w="1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6.4 %</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189,101</w:t>
            </w:r>
          </w:p>
        </w:tc>
        <w:tc>
          <w:tcPr>
            <w:tcW w:w="10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6.2 %</w:t>
            </w:r>
          </w:p>
        </w:tc>
        <w:tc>
          <w:tcPr>
            <w:tcW w:w="1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13,149</w:t>
            </w:r>
          </w:p>
        </w:tc>
        <w:tc>
          <w:tcPr>
            <w:tcW w:w="12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9.2 %</w:t>
            </w:r>
          </w:p>
        </w:tc>
        <w:tc>
          <w:tcPr>
            <w:tcW w:w="0" w:type="dxa"/>
            <w:vAlign w:val="bottom"/>
          </w:tcPr>
          <w:p>
            <w:pPr>
              <w:spacing w:after="0"/>
              <w:rPr>
                <w:sz w:val="1"/>
                <w:szCs w:val="1"/>
                <w:color w:val="auto"/>
              </w:rPr>
            </w:pPr>
          </w:p>
        </w:tc>
      </w:tr>
      <w:tr>
        <w:trPr>
          <w:trHeight w:val="243"/>
        </w:trPr>
        <w:tc>
          <w:tcPr>
            <w:tcW w:w="1740" w:type="dxa"/>
            <w:vAlign w:val="bottom"/>
          </w:tcPr>
          <w:p>
            <w:pPr>
              <w:ind w:left="80"/>
              <w:spacing w:after="0"/>
              <w:rPr>
                <w:sz w:val="20"/>
                <w:szCs w:val="20"/>
                <w:color w:val="auto"/>
              </w:rPr>
            </w:pPr>
            <w:r>
              <w:rPr>
                <w:rFonts w:ascii="Arial" w:cs="Arial" w:eastAsia="Arial" w:hAnsi="Arial"/>
                <w:sz w:val="18"/>
                <w:szCs w:val="18"/>
                <w:i w:val="1"/>
                <w:iCs w:val="1"/>
                <w:color w:val="auto"/>
              </w:rPr>
              <w:t>2014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223,998</w:t>
            </w:r>
          </w:p>
        </w:tc>
        <w:tc>
          <w:tcPr>
            <w:tcW w:w="1660" w:type="dxa"/>
            <w:vAlign w:val="bottom"/>
            <w:gridSpan w:val="3"/>
          </w:tcPr>
          <w:p>
            <w:pPr>
              <w:jc w:val="right"/>
              <w:spacing w:after="0"/>
              <w:rPr>
                <w:sz w:val="20"/>
                <w:szCs w:val="20"/>
                <w:color w:val="auto"/>
              </w:rPr>
            </w:pPr>
            <w:r>
              <w:rPr>
                <w:rFonts w:ascii="Arial" w:cs="Arial" w:eastAsia="Arial" w:hAnsi="Arial"/>
                <w:sz w:val="18"/>
                <w:szCs w:val="18"/>
                <w:i w:val="1"/>
                <w:iCs w:val="1"/>
                <w:color w:val="auto"/>
              </w:rPr>
              <w:t>10.8 %</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i w:val="1"/>
                <w:iCs w:val="1"/>
                <w:color w:val="auto"/>
              </w:rPr>
              <w:t>203,155</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i w:val="1"/>
                <w:iCs w:val="1"/>
                <w:color w:val="auto"/>
              </w:rPr>
              <w:t>7.4 %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i w:val="1"/>
                <w:iCs w:val="1"/>
                <w:color w:val="auto"/>
              </w:rPr>
              <w:t>20,843</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i w:val="1"/>
                <w:iCs w:val="1"/>
                <w:color w:val="auto"/>
              </w:rPr>
              <w:t>58.5 %</w:t>
            </w:r>
          </w:p>
        </w:tc>
        <w:tc>
          <w:tcPr>
            <w:tcW w:w="0" w:type="dxa"/>
            <w:vAlign w:val="bottom"/>
          </w:tcPr>
          <w:p>
            <w:pPr>
              <w:spacing w:after="0"/>
              <w:rPr>
                <w:sz w:val="1"/>
                <w:szCs w:val="1"/>
                <w:color w:val="auto"/>
              </w:rPr>
            </w:pPr>
          </w:p>
        </w:tc>
      </w:tr>
      <w:tr>
        <w:trPr>
          <w:trHeight w:val="54"/>
        </w:trPr>
        <w:tc>
          <w:tcPr>
            <w:tcW w:w="1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2015</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298,288</w:t>
            </w:r>
          </w:p>
        </w:tc>
        <w:tc>
          <w:tcPr>
            <w:tcW w:w="1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33.2 %</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260,604</w:t>
            </w:r>
          </w:p>
        </w:tc>
        <w:tc>
          <w:tcPr>
            <w:tcW w:w="10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28.3 %</w:t>
            </w:r>
          </w:p>
        </w:tc>
        <w:tc>
          <w:tcPr>
            <w:tcW w:w="1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37,684</w:t>
            </w:r>
          </w:p>
        </w:tc>
        <w:tc>
          <w:tcPr>
            <w:tcW w:w="12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80.8 %</w:t>
            </w:r>
          </w:p>
        </w:tc>
        <w:tc>
          <w:tcPr>
            <w:tcW w:w="0" w:type="dxa"/>
            <w:vAlign w:val="bottom"/>
          </w:tcPr>
          <w:p>
            <w:pPr>
              <w:spacing w:after="0"/>
              <w:rPr>
                <w:sz w:val="1"/>
                <w:szCs w:val="1"/>
                <w:color w:val="auto"/>
              </w:rPr>
            </w:pPr>
          </w:p>
        </w:tc>
      </w:tr>
      <w:tr>
        <w:trPr>
          <w:trHeight w:val="243"/>
        </w:trPr>
        <w:tc>
          <w:tcPr>
            <w:tcW w:w="1740" w:type="dxa"/>
            <w:vAlign w:val="bottom"/>
          </w:tcPr>
          <w:p>
            <w:pPr>
              <w:ind w:left="80"/>
              <w:spacing w:after="0"/>
              <w:rPr>
                <w:sz w:val="20"/>
                <w:szCs w:val="20"/>
                <w:color w:val="auto"/>
              </w:rPr>
            </w:pPr>
            <w:r>
              <w:rPr>
                <w:rFonts w:ascii="Arial" w:cs="Arial" w:eastAsia="Arial" w:hAnsi="Arial"/>
                <w:sz w:val="18"/>
                <w:szCs w:val="18"/>
                <w:i w:val="1"/>
                <w:iCs w:val="1"/>
                <w:color w:val="auto"/>
              </w:rPr>
              <w:t>2016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330,710</w:t>
            </w:r>
          </w:p>
        </w:tc>
        <w:tc>
          <w:tcPr>
            <w:tcW w:w="1660" w:type="dxa"/>
            <w:vAlign w:val="bottom"/>
            <w:gridSpan w:val="3"/>
          </w:tcPr>
          <w:p>
            <w:pPr>
              <w:jc w:val="right"/>
              <w:spacing w:after="0"/>
              <w:rPr>
                <w:sz w:val="20"/>
                <w:szCs w:val="20"/>
                <w:color w:val="auto"/>
              </w:rPr>
            </w:pPr>
            <w:r>
              <w:rPr>
                <w:rFonts w:ascii="Arial" w:cs="Arial" w:eastAsia="Arial" w:hAnsi="Arial"/>
                <w:sz w:val="18"/>
                <w:szCs w:val="18"/>
                <w:i w:val="1"/>
                <w:iCs w:val="1"/>
                <w:color w:val="auto"/>
              </w:rPr>
              <w:t>10.9 %</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i w:val="1"/>
                <w:iCs w:val="1"/>
                <w:color w:val="auto"/>
              </w:rPr>
              <w:t>260,026</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i w:val="1"/>
                <w:iCs w:val="1"/>
                <w:color w:val="auto"/>
              </w:rPr>
              <w:t>-0.2 %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i w:val="1"/>
                <w:iCs w:val="1"/>
                <w:color w:val="auto"/>
              </w:rPr>
              <w:t>70,684</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i w:val="1"/>
                <w:iCs w:val="1"/>
                <w:color w:val="auto"/>
              </w:rPr>
              <w:t>87.6 %</w:t>
            </w:r>
          </w:p>
        </w:tc>
        <w:tc>
          <w:tcPr>
            <w:tcW w:w="0" w:type="dxa"/>
            <w:vAlign w:val="bottom"/>
          </w:tcPr>
          <w:p>
            <w:pPr>
              <w:spacing w:after="0"/>
              <w:rPr>
                <w:sz w:val="1"/>
                <w:szCs w:val="1"/>
                <w:color w:val="auto"/>
              </w:rPr>
            </w:pPr>
          </w:p>
        </w:tc>
      </w:tr>
      <w:tr>
        <w:trPr>
          <w:trHeight w:val="54"/>
        </w:trPr>
        <w:tc>
          <w:tcPr>
            <w:tcW w:w="1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2017</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328,507</w:t>
            </w:r>
          </w:p>
        </w:tc>
        <w:tc>
          <w:tcPr>
            <w:tcW w:w="1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-0.7 %</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238,313</w:t>
            </w:r>
          </w:p>
        </w:tc>
        <w:tc>
          <w:tcPr>
            <w:tcW w:w="10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-8.4 %</w:t>
            </w:r>
          </w:p>
        </w:tc>
        <w:tc>
          <w:tcPr>
            <w:tcW w:w="1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90,194</w:t>
            </w:r>
          </w:p>
        </w:tc>
        <w:tc>
          <w:tcPr>
            <w:tcW w:w="12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27.6 %</w:t>
            </w:r>
          </w:p>
        </w:tc>
        <w:tc>
          <w:tcPr>
            <w:tcW w:w="0" w:type="dxa"/>
            <w:vAlign w:val="bottom"/>
          </w:tcPr>
          <w:p>
            <w:pPr>
              <w:spacing w:after="0"/>
              <w:rPr>
                <w:sz w:val="1"/>
                <w:szCs w:val="1"/>
                <w:color w:val="auto"/>
              </w:rPr>
            </w:pPr>
          </w:p>
        </w:tc>
      </w:tr>
      <w:tr>
        <w:trPr>
          <w:trHeight w:val="243"/>
        </w:trPr>
        <w:tc>
          <w:tcPr>
            <w:tcW w:w="1740" w:type="dxa"/>
            <w:vAlign w:val="bottom"/>
          </w:tcPr>
          <w:p>
            <w:pPr>
              <w:ind w:left="80"/>
              <w:spacing w:after="0"/>
              <w:rPr>
                <w:sz w:val="20"/>
                <w:szCs w:val="20"/>
                <w:color w:val="auto"/>
              </w:rPr>
            </w:pPr>
            <w:r>
              <w:rPr>
                <w:rFonts w:ascii="Arial" w:cs="Arial" w:eastAsia="Arial" w:hAnsi="Arial"/>
                <w:sz w:val="18"/>
                <w:szCs w:val="18"/>
                <w:i w:val="1"/>
                <w:iCs w:val="1"/>
                <w:color w:val="auto"/>
              </w:rPr>
              <w:t>2018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373,329</w:t>
            </w:r>
          </w:p>
        </w:tc>
        <w:tc>
          <w:tcPr>
            <w:tcW w:w="1660" w:type="dxa"/>
            <w:vAlign w:val="bottom"/>
            <w:gridSpan w:val="3"/>
          </w:tcPr>
          <w:p>
            <w:pPr>
              <w:jc w:val="right"/>
              <w:spacing w:after="0"/>
              <w:rPr>
                <w:sz w:val="20"/>
                <w:szCs w:val="20"/>
                <w:color w:val="auto"/>
              </w:rPr>
            </w:pPr>
            <w:r>
              <w:rPr>
                <w:rFonts w:ascii="Arial" w:cs="Arial" w:eastAsia="Arial" w:hAnsi="Arial"/>
                <w:sz w:val="18"/>
                <w:szCs w:val="18"/>
                <w:i w:val="1"/>
                <w:iCs w:val="1"/>
                <w:color w:val="auto"/>
              </w:rPr>
              <w:t>13.6 %</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i w:val="1"/>
                <w:iCs w:val="1"/>
                <w:color w:val="auto"/>
              </w:rPr>
              <w:t>260,302</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i w:val="1"/>
                <w:iCs w:val="1"/>
                <w:color w:val="auto"/>
              </w:rPr>
              <w:t>9.2 %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i w:val="1"/>
                <w:iCs w:val="1"/>
                <w:color w:val="auto"/>
              </w:rPr>
              <w:t>113,027</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i w:val="1"/>
                <w:iCs w:val="1"/>
                <w:color w:val="auto"/>
              </w:rPr>
              <w:t>25.3 %</w:t>
            </w:r>
          </w:p>
        </w:tc>
        <w:tc>
          <w:tcPr>
            <w:tcW w:w="0" w:type="dxa"/>
            <w:vAlign w:val="bottom"/>
          </w:tcPr>
          <w:p>
            <w:pPr>
              <w:spacing w:after="0"/>
              <w:rPr>
                <w:sz w:val="1"/>
                <w:szCs w:val="1"/>
                <w:color w:val="auto"/>
              </w:rPr>
            </w:pPr>
          </w:p>
        </w:tc>
      </w:tr>
      <w:tr>
        <w:trPr>
          <w:trHeight w:val="54"/>
        </w:trPr>
        <w:tc>
          <w:tcPr>
            <w:tcW w:w="1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2019</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369,805</w:t>
            </w:r>
          </w:p>
        </w:tc>
        <w:tc>
          <w:tcPr>
            <w:tcW w:w="1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-0.9 %</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248,455</w:t>
            </w:r>
          </w:p>
        </w:tc>
        <w:tc>
          <w:tcPr>
            <w:tcW w:w="10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-4.6 %</w:t>
            </w:r>
          </w:p>
        </w:tc>
        <w:tc>
          <w:tcPr>
            <w:tcW w:w="1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121,350</w:t>
            </w:r>
          </w:p>
        </w:tc>
        <w:tc>
          <w:tcPr>
            <w:tcW w:w="12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7.4 %</w:t>
            </w:r>
          </w:p>
        </w:tc>
        <w:tc>
          <w:tcPr>
            <w:tcW w:w="0" w:type="dxa"/>
            <w:vAlign w:val="bottom"/>
          </w:tcPr>
          <w:p>
            <w:pPr>
              <w:spacing w:after="0"/>
              <w:rPr>
                <w:sz w:val="1"/>
                <w:szCs w:val="1"/>
                <w:color w:val="auto"/>
              </w:rPr>
            </w:pPr>
          </w:p>
        </w:tc>
      </w:tr>
      <w:tr>
        <w:trPr>
          <w:trHeight w:val="350"/>
        </w:trPr>
        <w:tc>
          <w:tcPr>
            <w:tcW w:w="2080" w:type="dxa"/>
            <w:vAlign w:val="bottom"/>
            <w:gridSpan w:val="3"/>
          </w:tcPr>
          <w:p>
            <w:pPr>
              <w:ind w:left="80"/>
              <w:spacing w:after="0"/>
              <w:rPr>
                <w:sz w:val="20"/>
                <w:szCs w:val="20"/>
                <w:color w:val="auto"/>
              </w:rPr>
            </w:pPr>
            <w:r>
              <w:rPr>
                <w:rFonts w:ascii="Arial" w:cs="Arial" w:eastAsia="Arial" w:hAnsi="Arial"/>
                <w:sz w:val="18"/>
                <w:szCs w:val="18"/>
                <w:i w:val="1"/>
                <w:iCs w:val="1"/>
                <w:color w:val="auto"/>
                <w:w w:val="96"/>
              </w:rPr>
              <w:t>Compound annual growth</w:t>
            </w:r>
          </w:p>
        </w:tc>
        <w:tc>
          <w:tcPr>
            <w:tcW w:w="1160" w:type="dxa"/>
            <w:vAlign w:val="bottom"/>
          </w:tcPr>
          <w:p>
            <w:pPr>
              <w:spacing w:after="0"/>
              <w:rPr>
                <w:sz w:val="24"/>
                <w:szCs w:val="24"/>
                <w:color w:val="auto"/>
              </w:rPr>
            </w:pPr>
          </w:p>
        </w:tc>
        <w:tc>
          <w:tcPr>
            <w:tcW w:w="1660" w:type="dxa"/>
            <w:vAlign w:val="bottom"/>
            <w:gridSpan w:val="3"/>
            <w:vMerge w:val="restart"/>
          </w:tcPr>
          <w:p>
            <w:pPr>
              <w:jc w:val="right"/>
              <w:spacing w:after="0"/>
              <w:rPr>
                <w:sz w:val="20"/>
                <w:szCs w:val="20"/>
                <w:color w:val="auto"/>
              </w:rPr>
            </w:pPr>
            <w:r>
              <w:rPr>
                <w:rFonts w:ascii="Arial" w:cs="Arial" w:eastAsia="Arial" w:hAnsi="Arial"/>
                <w:sz w:val="18"/>
                <w:szCs w:val="18"/>
                <w:i w:val="1"/>
                <w:iCs w:val="1"/>
                <w:color w:val="auto"/>
              </w:rPr>
              <w:t>11.4 %</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9.1 %</w:t>
            </w: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22.0 %</w:t>
            </w:r>
          </w:p>
        </w:tc>
        <w:tc>
          <w:tcPr>
            <w:tcW w:w="0" w:type="dxa"/>
            <w:vAlign w:val="bottom"/>
          </w:tcPr>
          <w:p>
            <w:pPr>
              <w:spacing w:after="0"/>
              <w:rPr>
                <w:sz w:val="1"/>
                <w:szCs w:val="1"/>
                <w:color w:val="auto"/>
              </w:rPr>
            </w:pPr>
          </w:p>
        </w:tc>
      </w:tr>
      <w:tr>
        <w:trPr>
          <w:trHeight w:val="230"/>
        </w:trPr>
        <w:tc>
          <w:tcPr>
            <w:tcW w:w="2080" w:type="dxa"/>
            <w:vAlign w:val="bottom"/>
            <w:gridSpan w:val="3"/>
          </w:tcPr>
          <w:p>
            <w:pPr>
              <w:ind w:left="80"/>
              <w:spacing w:after="0"/>
              <w:rPr>
                <w:sz w:val="20"/>
                <w:szCs w:val="20"/>
                <w:color w:val="auto"/>
              </w:rPr>
            </w:pPr>
            <w:r>
              <w:rPr>
                <w:rFonts w:ascii="Arial" w:cs="Arial" w:eastAsia="Arial" w:hAnsi="Arial"/>
                <w:sz w:val="18"/>
                <w:szCs w:val="18"/>
                <w:i w:val="1"/>
                <w:iCs w:val="1"/>
                <w:color w:val="auto"/>
              </w:rPr>
              <w:t>rate 2005</w:t>
            </w:r>
            <w:r>
              <w:rPr>
                <w:rFonts w:ascii="Arial" w:cs="Arial" w:eastAsia="Arial" w:hAnsi="Arial"/>
                <w:sz w:val="18"/>
                <w:szCs w:val="18"/>
                <w:color w:val="auto"/>
              </w:rPr>
              <w:t>–</w:t>
            </w:r>
            <w:r>
              <w:rPr>
                <w:rFonts w:ascii="Arial" w:cs="Arial" w:eastAsia="Arial" w:hAnsi="Arial"/>
                <w:sz w:val="18"/>
                <w:szCs w:val="18"/>
                <w:i w:val="1"/>
                <w:iCs w:val="1"/>
                <w:color w:val="auto"/>
              </w:rPr>
              <w:t>2019</w:t>
            </w:r>
          </w:p>
        </w:tc>
        <w:tc>
          <w:tcPr>
            <w:tcW w:w="1160" w:type="dxa"/>
            <w:vAlign w:val="bottom"/>
          </w:tcPr>
          <w:p>
            <w:pPr>
              <w:spacing w:after="0"/>
              <w:rPr>
                <w:sz w:val="20"/>
                <w:szCs w:val="20"/>
                <w:color w:val="auto"/>
              </w:rPr>
            </w:pPr>
          </w:p>
        </w:tc>
        <w:tc>
          <w:tcPr>
            <w:tcW w:w="166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right="280"/>
        <w:spacing w:after="0" w:line="312" w:lineRule="auto"/>
        <w:rPr>
          <w:sz w:val="20"/>
          <w:szCs w:val="20"/>
          <w:color w:val="auto"/>
        </w:rPr>
      </w:pPr>
      <w:r>
        <w:rPr>
          <w:rFonts w:ascii="Arial" w:cs="Arial" w:eastAsia="Arial" w:hAnsi="Arial"/>
          <w:sz w:val="19"/>
          <w:szCs w:val="19"/>
          <w:color w:val="auto"/>
        </w:rPr>
        <w:t>Purchase loans have been profitable each year, including those years impacted by the 2007-2009 financial crisis. However, we recognize that if collections fall short of our forecast, the impact on profitability will be much greater with Purchase loans than with Portfolio loans. In other words, while Purchase loans have been very profitable historically, they are more risky.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348" w:right="339" w:bottom="1440" w:gutter="0" w:footer="0" w:header="0"/>
        </w:sectPr>
      </w:pPr>
    </w:p>
    <w:bookmarkStart w:id="30" w:name="page31"/>
    <w:bookmarkEnd w:id="30"/>
    <w:p>
      <w:pPr>
        <w:spacing w:after="0"/>
        <w:rPr>
          <w:sz w:val="20"/>
          <w:szCs w:val="20"/>
          <w:color w:val="auto"/>
        </w:rPr>
      </w:pPr>
      <w:r>
        <w:rPr>
          <w:rFonts w:ascii="Arial" w:cs="Arial" w:eastAsia="Arial" w:hAnsi="Arial"/>
          <w:sz w:val="19"/>
          <w:szCs w:val="19"/>
          <w:color w:val="auto"/>
        </w:rPr>
        <w:t>The following table compares, for Portfolio loans and Purchase loans, our latest collection forecast with our initial forecast:</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Portfolio program</w:t>
            </w:r>
          </w:p>
        </w:tc>
        <w:tc>
          <w:tcPr>
            <w:tcW w:w="1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Purchase program</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40" w:type="dxa"/>
            <w:vAlign w:val="bottom"/>
            <w:tcBorders>
              <w:bottom w:val="single" w:sz="8" w:color="auto"/>
            </w:tcBorders>
            <w:gridSpan w:val="3"/>
          </w:tcPr>
          <w:p>
            <w:pPr>
              <w:jc w:val="right"/>
              <w:ind w:right="233"/>
              <w:spacing w:after="0"/>
              <w:rPr>
                <w:sz w:val="20"/>
                <w:szCs w:val="20"/>
                <w:color w:val="auto"/>
              </w:rPr>
            </w:pPr>
            <w:r>
              <w:rPr>
                <w:rFonts w:ascii="Arial" w:cs="Arial" w:eastAsia="Arial" w:hAnsi="Arial"/>
                <w:sz w:val="14"/>
                <w:szCs w:val="14"/>
                <w:b w:val="1"/>
                <w:bCs w:val="1"/>
                <w:color w:val="auto"/>
              </w:rPr>
              <w:t xml:space="preserve">Forecasted collection percentage as of </w:t>
            </w:r>
            <w:r>
              <w:rPr>
                <w:rFonts w:ascii="Arial" w:cs="Arial" w:eastAsia="Arial" w:hAnsi="Arial"/>
                <w:sz w:val="8"/>
                <w:szCs w:val="8"/>
                <w:b w:val="1"/>
                <w:bCs w:val="1"/>
                <w:color w:val="auto"/>
              </w:rPr>
              <w:t>1</w:t>
            </w: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40" w:type="dxa"/>
            <w:vAlign w:val="bottom"/>
            <w:tcBorders>
              <w:bottom w:val="single" w:sz="8" w:color="auto"/>
            </w:tcBorders>
            <w:gridSpan w:val="3"/>
          </w:tcPr>
          <w:p>
            <w:pPr>
              <w:jc w:val="right"/>
              <w:ind w:right="213"/>
              <w:spacing w:after="0"/>
              <w:rPr>
                <w:sz w:val="20"/>
                <w:szCs w:val="20"/>
                <w:color w:val="auto"/>
              </w:rPr>
            </w:pPr>
            <w:r>
              <w:rPr>
                <w:rFonts w:ascii="Arial" w:cs="Arial" w:eastAsia="Arial" w:hAnsi="Arial"/>
                <w:sz w:val="14"/>
                <w:szCs w:val="14"/>
                <w:b w:val="1"/>
                <w:bCs w:val="1"/>
                <w:color w:val="auto"/>
              </w:rPr>
              <w:t xml:space="preserve">Forecasted collection percentage as of </w:t>
            </w:r>
            <w:r>
              <w:rPr>
                <w:rFonts w:ascii="Arial" w:cs="Arial" w:eastAsia="Arial" w:hAnsi="Arial"/>
                <w:sz w:val="8"/>
                <w:szCs w:val="8"/>
                <w:b w:val="1"/>
                <w:bCs w:val="1"/>
                <w:color w:val="auto"/>
              </w:rPr>
              <w:t>1</w:t>
            </w: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1820" w:type="dxa"/>
            <w:vAlign w:val="bottom"/>
            <w:gridSpan w:val="2"/>
          </w:tcPr>
          <w:p>
            <w:pPr>
              <w:ind w:left="420"/>
              <w:spacing w:after="0" w:line="153" w:lineRule="exact"/>
              <w:rPr>
                <w:sz w:val="20"/>
                <w:szCs w:val="20"/>
                <w:color w:val="auto"/>
              </w:rPr>
            </w:pPr>
            <w:r>
              <w:rPr>
                <w:rFonts w:ascii="Arial" w:cs="Arial" w:eastAsia="Arial" w:hAnsi="Arial"/>
                <w:sz w:val="14"/>
                <w:szCs w:val="14"/>
                <w:b w:val="1"/>
                <w:bCs w:val="1"/>
                <w:color w:val="auto"/>
              </w:rPr>
              <w:t>Consumer loan</w:t>
            </w:r>
          </w:p>
        </w:tc>
        <w:tc>
          <w:tcPr>
            <w:tcW w:w="158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December 31,</w:t>
            </w:r>
          </w:p>
        </w:tc>
        <w:tc>
          <w:tcPr>
            <w:tcW w:w="156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rPr>
              <w:t>Initial</w:t>
            </w:r>
          </w:p>
        </w:tc>
        <w:tc>
          <w:tcPr>
            <w:tcW w:w="162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Variance</w:t>
            </w:r>
          </w:p>
        </w:tc>
        <w:tc>
          <w:tcPr>
            <w:tcW w:w="158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December 31,</w:t>
            </w:r>
          </w:p>
        </w:tc>
        <w:tc>
          <w:tcPr>
            <w:tcW w:w="156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rPr>
              <w:t>Initial</w:t>
            </w:r>
          </w:p>
        </w:tc>
        <w:tc>
          <w:tcPr>
            <w:tcW w:w="152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92"/>
        </w:trPr>
        <w:tc>
          <w:tcPr>
            <w:tcW w:w="1820" w:type="dxa"/>
            <w:vAlign w:val="bottom"/>
            <w:gridSpan w:val="2"/>
          </w:tcPr>
          <w:p>
            <w:pPr>
              <w:ind w:left="380"/>
              <w:spacing w:after="0"/>
              <w:rPr>
                <w:sz w:val="20"/>
                <w:szCs w:val="20"/>
                <w:color w:val="auto"/>
              </w:rPr>
            </w:pPr>
            <w:r>
              <w:rPr>
                <w:rFonts w:ascii="Arial" w:cs="Arial" w:eastAsia="Arial" w:hAnsi="Arial"/>
                <w:sz w:val="14"/>
                <w:szCs w:val="14"/>
                <w:b w:val="1"/>
                <w:bCs w:val="1"/>
                <w:color w:val="auto"/>
              </w:rPr>
              <w:t>assignment year</w:t>
            </w:r>
          </w:p>
        </w:tc>
        <w:tc>
          <w:tcPr>
            <w:tcW w:w="1460" w:type="dxa"/>
            <w:vAlign w:val="bottom"/>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forecast</w:t>
            </w:r>
          </w:p>
        </w:tc>
        <w:tc>
          <w:tcPr>
            <w:tcW w:w="1620" w:type="dxa"/>
            <w:vAlign w:val="bottom"/>
            <w:gridSpan w:val="2"/>
            <w:vMerge w:val="continue"/>
          </w:tcPr>
          <w:p>
            <w:pPr>
              <w:spacing w:after="0"/>
              <w:rPr>
                <w:sz w:val="16"/>
                <w:szCs w:val="16"/>
                <w:color w:val="auto"/>
              </w:rPr>
            </w:pPr>
          </w:p>
        </w:tc>
        <w:tc>
          <w:tcPr>
            <w:tcW w:w="1480" w:type="dxa"/>
            <w:vAlign w:val="bottom"/>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forecast</w:t>
            </w: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17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2005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-0.4 %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1.0 %</w:t>
            </w:r>
          </w:p>
        </w:tc>
        <w:tc>
          <w:tcPr>
            <w:tcW w:w="0" w:type="dxa"/>
            <w:vAlign w:val="bottom"/>
          </w:tcPr>
          <w:p>
            <w:pPr>
              <w:spacing w:after="0"/>
              <w:rPr>
                <w:sz w:val="1"/>
                <w:szCs w:val="1"/>
                <w:color w:val="auto"/>
              </w:rPr>
            </w:pPr>
          </w:p>
        </w:tc>
      </w:tr>
      <w:tr>
        <w:trPr>
          <w:trHeight w:val="243"/>
        </w:trPr>
        <w:tc>
          <w:tcPr>
            <w:tcW w:w="1700" w:type="dxa"/>
            <w:vAlign w:val="bottom"/>
          </w:tcPr>
          <w:p>
            <w:pPr>
              <w:ind w:left="40"/>
              <w:spacing w:after="0"/>
              <w:rPr>
                <w:sz w:val="20"/>
                <w:szCs w:val="20"/>
                <w:color w:val="auto"/>
              </w:rPr>
            </w:pPr>
            <w:r>
              <w:rPr>
                <w:rFonts w:ascii="Arial" w:cs="Arial" w:eastAsia="Arial" w:hAnsi="Arial"/>
                <w:sz w:val="18"/>
                <w:szCs w:val="18"/>
                <w:i w:val="1"/>
                <w:iCs w:val="1"/>
                <w:color w:val="auto"/>
              </w:rPr>
              <w:t>2006</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i w:val="1"/>
                <w:iCs w:val="1"/>
                <w:color w:val="auto"/>
              </w:rPr>
              <w:t>69.9%</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i w:val="1"/>
                <w:iCs w:val="1"/>
                <w:color w:val="auto"/>
              </w:rPr>
              <w:t>71.3%</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i w:val="1"/>
                <w:iCs w:val="1"/>
                <w:color w:val="auto"/>
              </w:rPr>
              <w:t>-1.4 %</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i w:val="1"/>
                <w:iCs w:val="1"/>
                <w:color w:val="auto"/>
              </w:rPr>
              <w:t>75.6%</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i w:val="1"/>
                <w:iCs w:val="1"/>
                <w:color w:val="auto"/>
              </w:rPr>
              <w:t>74.0%</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i w:val="1"/>
                <w:iCs w:val="1"/>
                <w:color w:val="auto"/>
              </w:rPr>
              <w:t>1.6 %</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2007</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68.0%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70.2%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-2.2 %</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68.6%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-4.1 %</w:t>
            </w:r>
          </w:p>
        </w:tc>
        <w:tc>
          <w:tcPr>
            <w:tcW w:w="0" w:type="dxa"/>
            <w:vAlign w:val="bottom"/>
          </w:tcPr>
          <w:p>
            <w:pPr>
              <w:spacing w:after="0"/>
              <w:rPr>
                <w:sz w:val="1"/>
                <w:szCs w:val="1"/>
                <w:color w:val="auto"/>
              </w:rPr>
            </w:pPr>
          </w:p>
        </w:tc>
      </w:tr>
      <w:tr>
        <w:trPr>
          <w:trHeight w:val="243"/>
        </w:trPr>
        <w:tc>
          <w:tcPr>
            <w:tcW w:w="1700" w:type="dxa"/>
            <w:vAlign w:val="bottom"/>
          </w:tcPr>
          <w:p>
            <w:pPr>
              <w:ind w:left="40"/>
              <w:spacing w:after="0"/>
              <w:rPr>
                <w:sz w:val="20"/>
                <w:szCs w:val="20"/>
                <w:color w:val="auto"/>
              </w:rPr>
            </w:pPr>
            <w:r>
              <w:rPr>
                <w:rFonts w:ascii="Arial" w:cs="Arial" w:eastAsia="Arial" w:hAnsi="Arial"/>
                <w:sz w:val="18"/>
                <w:szCs w:val="18"/>
                <w:i w:val="1"/>
                <w:iCs w:val="1"/>
                <w:color w:val="auto"/>
              </w:rPr>
              <w:t>2008</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i w:val="1"/>
                <w:iCs w:val="1"/>
                <w:color w:val="auto"/>
              </w:rPr>
              <w:t>70.8%</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i w:val="1"/>
                <w:iCs w:val="1"/>
                <w:color w:val="auto"/>
              </w:rPr>
              <w:t>70.2%</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i w:val="1"/>
                <w:iCs w:val="1"/>
                <w:color w:val="auto"/>
              </w:rPr>
              <w:t>0.6 %</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i w:val="1"/>
                <w:iCs w:val="1"/>
                <w:color w:val="auto"/>
              </w:rPr>
              <w:t>69.7%</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i w:val="1"/>
                <w:iCs w:val="1"/>
                <w:color w:val="auto"/>
              </w:rPr>
              <w:t>68.8%</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i w:val="1"/>
                <w:iCs w:val="1"/>
                <w:color w:val="auto"/>
              </w:rPr>
              <w:t>0.9 %</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2009</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79.3%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72.1%</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7.2 %</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80.8%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70.5%</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10.3 %</w:t>
            </w:r>
          </w:p>
        </w:tc>
        <w:tc>
          <w:tcPr>
            <w:tcW w:w="0" w:type="dxa"/>
            <w:vAlign w:val="bottom"/>
          </w:tcPr>
          <w:p>
            <w:pPr>
              <w:spacing w:after="0"/>
              <w:rPr>
                <w:sz w:val="1"/>
                <w:szCs w:val="1"/>
                <w:color w:val="auto"/>
              </w:rPr>
            </w:pPr>
          </w:p>
        </w:tc>
      </w:tr>
      <w:tr>
        <w:trPr>
          <w:trHeight w:val="243"/>
        </w:trPr>
        <w:tc>
          <w:tcPr>
            <w:tcW w:w="1700" w:type="dxa"/>
            <w:vAlign w:val="bottom"/>
          </w:tcPr>
          <w:p>
            <w:pPr>
              <w:ind w:left="40"/>
              <w:spacing w:after="0"/>
              <w:rPr>
                <w:sz w:val="20"/>
                <w:szCs w:val="20"/>
                <w:color w:val="auto"/>
              </w:rPr>
            </w:pPr>
            <w:r>
              <w:rPr>
                <w:rFonts w:ascii="Arial" w:cs="Arial" w:eastAsia="Arial" w:hAnsi="Arial"/>
                <w:sz w:val="18"/>
                <w:szCs w:val="18"/>
                <w:i w:val="1"/>
                <w:iCs w:val="1"/>
                <w:color w:val="auto"/>
              </w:rPr>
              <w:t>2010</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i w:val="1"/>
                <w:iCs w:val="1"/>
                <w:color w:val="auto"/>
              </w:rPr>
              <w:t>77.6%</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i w:val="1"/>
                <w:iCs w:val="1"/>
                <w:color w:val="auto"/>
              </w:rPr>
              <w:t>73.6%</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i w:val="1"/>
                <w:iCs w:val="1"/>
                <w:color w:val="auto"/>
              </w:rPr>
              <w:t>4.0 %</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i w:val="1"/>
                <w:iCs w:val="1"/>
                <w:color w:val="auto"/>
              </w:rPr>
              <w:t>78.7%</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i w:val="1"/>
                <w:iCs w:val="1"/>
                <w:color w:val="auto"/>
              </w:rPr>
              <w:t>73.1%</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i w:val="1"/>
                <w:iCs w:val="1"/>
                <w:color w:val="auto"/>
              </w:rPr>
              <w:t>5.6 %</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2011</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74.6%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72.4%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2.2 %</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76.4%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3.7 %</w:t>
            </w:r>
          </w:p>
        </w:tc>
        <w:tc>
          <w:tcPr>
            <w:tcW w:w="0" w:type="dxa"/>
            <w:vAlign w:val="bottom"/>
          </w:tcPr>
          <w:p>
            <w:pPr>
              <w:spacing w:after="0"/>
              <w:rPr>
                <w:sz w:val="1"/>
                <w:szCs w:val="1"/>
                <w:color w:val="auto"/>
              </w:rPr>
            </w:pPr>
          </w:p>
        </w:tc>
      </w:tr>
      <w:tr>
        <w:trPr>
          <w:trHeight w:val="243"/>
        </w:trPr>
        <w:tc>
          <w:tcPr>
            <w:tcW w:w="1700" w:type="dxa"/>
            <w:vAlign w:val="bottom"/>
          </w:tcPr>
          <w:p>
            <w:pPr>
              <w:ind w:left="40"/>
              <w:spacing w:after="0"/>
              <w:rPr>
                <w:sz w:val="20"/>
                <w:szCs w:val="20"/>
                <w:color w:val="auto"/>
              </w:rPr>
            </w:pPr>
            <w:r>
              <w:rPr>
                <w:rFonts w:ascii="Arial" w:cs="Arial" w:eastAsia="Arial" w:hAnsi="Arial"/>
                <w:sz w:val="18"/>
                <w:szCs w:val="18"/>
                <w:i w:val="1"/>
                <w:iCs w:val="1"/>
                <w:color w:val="auto"/>
              </w:rPr>
              <w:t>2012</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i w:val="1"/>
                <w:iCs w:val="1"/>
                <w:color w:val="auto"/>
              </w:rPr>
              <w:t>73.7%</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i w:val="1"/>
                <w:iCs w:val="1"/>
                <w:color w:val="auto"/>
              </w:rPr>
              <w:t>71.3%</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i w:val="1"/>
                <w:iCs w:val="1"/>
                <w:color w:val="auto"/>
              </w:rPr>
              <w:t>2.4 %</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i w:val="1"/>
                <w:iCs w:val="1"/>
                <w:color w:val="auto"/>
              </w:rPr>
              <w:t>75.9%</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i w:val="1"/>
                <w:iCs w:val="1"/>
                <w:color w:val="auto"/>
              </w:rPr>
              <w:t>71.4%</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i w:val="1"/>
                <w:iCs w:val="1"/>
                <w:color w:val="auto"/>
              </w:rPr>
              <w:t>4.5 %</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73.4%</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72.1%</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1.3 %</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74.4%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2.8 %</w:t>
            </w:r>
          </w:p>
        </w:tc>
        <w:tc>
          <w:tcPr>
            <w:tcW w:w="0" w:type="dxa"/>
            <w:vAlign w:val="bottom"/>
          </w:tcPr>
          <w:p>
            <w:pPr>
              <w:spacing w:after="0"/>
              <w:rPr>
                <w:sz w:val="1"/>
                <w:szCs w:val="1"/>
                <w:color w:val="auto"/>
              </w:rPr>
            </w:pPr>
          </w:p>
        </w:tc>
      </w:tr>
      <w:tr>
        <w:trPr>
          <w:trHeight w:val="243"/>
        </w:trPr>
        <w:tc>
          <w:tcPr>
            <w:tcW w:w="1700" w:type="dxa"/>
            <w:vAlign w:val="bottom"/>
          </w:tcPr>
          <w:p>
            <w:pPr>
              <w:ind w:left="40"/>
              <w:spacing w:after="0"/>
              <w:rPr>
                <w:sz w:val="20"/>
                <w:szCs w:val="20"/>
                <w:color w:val="auto"/>
              </w:rPr>
            </w:pPr>
            <w:r>
              <w:rPr>
                <w:rFonts w:ascii="Arial" w:cs="Arial" w:eastAsia="Arial" w:hAnsi="Arial"/>
                <w:sz w:val="18"/>
                <w:szCs w:val="18"/>
                <w:i w:val="1"/>
                <w:iCs w:val="1"/>
                <w:color w:val="auto"/>
              </w:rPr>
              <w:t>2014</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i w:val="1"/>
                <w:iCs w:val="1"/>
                <w:color w:val="auto"/>
              </w:rPr>
              <w:t>71.6%</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i w:val="1"/>
                <w:iCs w:val="1"/>
                <w:color w:val="auto"/>
              </w:rPr>
              <w:t>71.9%</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i w:val="1"/>
                <w:iCs w:val="1"/>
                <w:color w:val="auto"/>
              </w:rPr>
              <w:t>-0.3 %</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i w:val="1"/>
                <w:iCs w:val="1"/>
                <w:color w:val="auto"/>
              </w:rPr>
              <w:t>72.5%</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i w:val="1"/>
                <w:iCs w:val="1"/>
                <w:color w:val="auto"/>
              </w:rPr>
              <w:t>70.9%</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i w:val="1"/>
                <w:iCs w:val="1"/>
                <w:color w:val="auto"/>
              </w:rPr>
              <w:t>1.6 %</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2015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64.8%</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67.5%</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-2.7 %</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69.3%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68.5%</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0.8 %</w:t>
            </w:r>
          </w:p>
        </w:tc>
        <w:tc>
          <w:tcPr>
            <w:tcW w:w="0" w:type="dxa"/>
            <w:vAlign w:val="bottom"/>
          </w:tcPr>
          <w:p>
            <w:pPr>
              <w:spacing w:after="0"/>
              <w:rPr>
                <w:sz w:val="1"/>
                <w:szCs w:val="1"/>
                <w:color w:val="auto"/>
              </w:rPr>
            </w:pPr>
          </w:p>
        </w:tc>
      </w:tr>
      <w:tr>
        <w:trPr>
          <w:trHeight w:val="243"/>
        </w:trPr>
        <w:tc>
          <w:tcPr>
            <w:tcW w:w="1700" w:type="dxa"/>
            <w:vAlign w:val="bottom"/>
          </w:tcPr>
          <w:p>
            <w:pPr>
              <w:ind w:left="40"/>
              <w:spacing w:after="0"/>
              <w:rPr>
                <w:sz w:val="20"/>
                <w:szCs w:val="20"/>
                <w:color w:val="auto"/>
              </w:rPr>
            </w:pPr>
            <w:r>
              <w:rPr>
                <w:rFonts w:ascii="Arial" w:cs="Arial" w:eastAsia="Arial" w:hAnsi="Arial"/>
                <w:sz w:val="18"/>
                <w:szCs w:val="18"/>
                <w:i w:val="1"/>
                <w:iCs w:val="1"/>
                <w:color w:val="auto"/>
              </w:rPr>
              <w:t>2016</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i w:val="1"/>
                <w:iCs w:val="1"/>
                <w:color w:val="auto"/>
              </w:rPr>
              <w:t>63.2%</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i w:val="1"/>
                <w:iCs w:val="1"/>
                <w:color w:val="auto"/>
              </w:rPr>
              <w:t>65.1%</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i w:val="1"/>
                <w:iCs w:val="1"/>
                <w:color w:val="auto"/>
              </w:rPr>
              <w:t>-1.9 %</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i w:val="1"/>
                <w:iCs w:val="1"/>
                <w:color w:val="auto"/>
              </w:rPr>
              <w:t>66.6%</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i w:val="1"/>
                <w:iCs w:val="1"/>
                <w:color w:val="auto"/>
              </w:rPr>
              <w:t>66.5%</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i w:val="1"/>
                <w:iCs w:val="1"/>
                <w:color w:val="auto"/>
              </w:rPr>
              <w:t>0.1 %</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64.2%</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0.4 %</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66.3%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64.6%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1.7 %</w:t>
            </w:r>
          </w:p>
        </w:tc>
        <w:tc>
          <w:tcPr>
            <w:tcW w:w="0" w:type="dxa"/>
            <w:vAlign w:val="bottom"/>
          </w:tcPr>
          <w:p>
            <w:pPr>
              <w:spacing w:after="0"/>
              <w:rPr>
                <w:sz w:val="1"/>
                <w:szCs w:val="1"/>
                <w:color w:val="auto"/>
              </w:rPr>
            </w:pPr>
          </w:p>
        </w:tc>
      </w:tr>
      <w:tr>
        <w:trPr>
          <w:trHeight w:val="243"/>
        </w:trPr>
        <w:tc>
          <w:tcPr>
            <w:tcW w:w="1700" w:type="dxa"/>
            <w:vAlign w:val="bottom"/>
          </w:tcPr>
          <w:p>
            <w:pPr>
              <w:ind w:left="40"/>
              <w:spacing w:after="0"/>
              <w:rPr>
                <w:sz w:val="20"/>
                <w:szCs w:val="20"/>
                <w:color w:val="auto"/>
              </w:rPr>
            </w:pPr>
            <w:r>
              <w:rPr>
                <w:rFonts w:ascii="Arial" w:cs="Arial" w:eastAsia="Arial" w:hAnsi="Arial"/>
                <w:sz w:val="18"/>
                <w:szCs w:val="18"/>
                <w:i w:val="1"/>
                <w:iCs w:val="1"/>
                <w:color w:val="auto"/>
              </w:rPr>
              <w:t>2018</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i w:val="1"/>
                <w:iCs w:val="1"/>
                <w:color w:val="auto"/>
              </w:rPr>
              <w:t>64.7%</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i w:val="1"/>
                <w:iCs w:val="1"/>
                <w:color w:val="auto"/>
              </w:rPr>
              <w:t>63.6%</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i w:val="1"/>
                <w:iCs w:val="1"/>
                <w:color w:val="auto"/>
              </w:rPr>
              <w:t>1.1 %</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i w:val="1"/>
                <w:iCs w:val="1"/>
                <w:color w:val="auto"/>
              </w:rPr>
              <w:t>66.0%</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i w:val="1"/>
                <w:iCs w:val="1"/>
                <w:color w:val="auto"/>
              </w:rPr>
              <w:t>63.5%</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i w:val="1"/>
                <w:iCs w:val="1"/>
                <w:color w:val="auto"/>
              </w:rPr>
              <w:t>2.5 %</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64.4%</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63.9%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0.5 %</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64.2%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0.9 %</w:t>
            </w:r>
          </w:p>
        </w:tc>
        <w:tc>
          <w:tcPr>
            <w:tcW w:w="0" w:type="dxa"/>
            <w:vAlign w:val="bottom"/>
          </w:tcPr>
          <w:p>
            <w:pPr>
              <w:spacing w:after="0"/>
              <w:rPr>
                <w:sz w:val="1"/>
                <w:szCs w:val="1"/>
                <w:color w:val="auto"/>
              </w:rPr>
            </w:pPr>
          </w:p>
        </w:tc>
      </w:tr>
      <w:tr>
        <w:trPr>
          <w:trHeight w:val="463"/>
        </w:trPr>
        <w:tc>
          <w:tcPr>
            <w:tcW w:w="1820" w:type="dxa"/>
            <w:vAlign w:val="bottom"/>
            <w:gridSpan w:val="2"/>
          </w:tcPr>
          <w:p>
            <w:pPr>
              <w:ind w:left="80"/>
              <w:spacing w:after="0"/>
              <w:rPr>
                <w:sz w:val="20"/>
                <w:szCs w:val="20"/>
                <w:color w:val="auto"/>
              </w:rPr>
            </w:pPr>
            <w:r>
              <w:rPr>
                <w:rFonts w:ascii="Arial" w:cs="Arial" w:eastAsia="Arial" w:hAnsi="Arial"/>
                <w:sz w:val="18"/>
                <w:szCs w:val="18"/>
                <w:i w:val="1"/>
                <w:iCs w:val="1"/>
                <w:color w:val="auto"/>
              </w:rPr>
              <w:t>Average</w:t>
            </w:r>
            <w:r>
              <w:rPr>
                <w:rFonts w:ascii="Arial" w:cs="Arial" w:eastAsia="Arial" w:hAnsi="Arial"/>
                <w:sz w:val="25"/>
                <w:szCs w:val="25"/>
                <w:i w:val="1"/>
                <w:iCs w:val="1"/>
                <w:color w:val="auto"/>
                <w:vertAlign w:val="superscript"/>
              </w:rPr>
              <w:t>2</w:t>
            </w:r>
          </w:p>
        </w:tc>
        <w:tc>
          <w:tcPr>
            <w:tcW w:w="1460" w:type="dxa"/>
            <w:vAlign w:val="bottom"/>
          </w:tcPr>
          <w:p>
            <w:pPr>
              <w:jc w:val="right"/>
              <w:spacing w:after="0"/>
              <w:rPr>
                <w:sz w:val="20"/>
                <w:szCs w:val="20"/>
                <w:color w:val="auto"/>
              </w:rPr>
            </w:pPr>
            <w:r>
              <w:rPr>
                <w:rFonts w:ascii="Arial" w:cs="Arial" w:eastAsia="Arial" w:hAnsi="Arial"/>
                <w:sz w:val="18"/>
                <w:szCs w:val="18"/>
                <w:i w:val="1"/>
                <w:iCs w:val="1"/>
                <w:color w:val="auto"/>
              </w:rPr>
              <w:t>68.1%</w:t>
            </w:r>
          </w:p>
        </w:tc>
        <w:tc>
          <w:tcPr>
            <w:tcW w:w="1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i w:val="1"/>
                <w:iCs w:val="1"/>
                <w:color w:val="auto"/>
              </w:rPr>
              <w:t>67.7%</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i w:val="1"/>
                <w:iCs w:val="1"/>
                <w:color w:val="auto"/>
              </w:rPr>
              <w:t>0.4 %</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i w:val="1"/>
                <w:iCs w:val="1"/>
                <w:color w:val="auto"/>
              </w:rPr>
              <w:t>68.3%</w:t>
            </w:r>
          </w:p>
        </w:tc>
        <w:tc>
          <w:tcPr>
            <w:tcW w:w="1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i w:val="1"/>
                <w:iCs w:val="1"/>
                <w:color w:val="auto"/>
              </w:rPr>
              <w:t>66.6%</w:t>
            </w:r>
          </w:p>
        </w:tc>
        <w:tc>
          <w:tcPr>
            <w:tcW w:w="1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i w:val="1"/>
                <w:iCs w:val="1"/>
                <w:color w:val="auto"/>
              </w:rPr>
              <w:t>1.7 %</w:t>
            </w: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80" w:right="40" w:hanging="80"/>
        <w:spacing w:after="0" w:line="257" w:lineRule="auto"/>
        <w:rPr>
          <w:sz w:val="20"/>
          <w:szCs w:val="20"/>
          <w:color w:val="auto"/>
        </w:rPr>
      </w:pPr>
      <w:r>
        <w:rPr>
          <w:rFonts w:ascii="Arial" w:cs="Arial" w:eastAsia="Arial" w:hAnsi="Arial"/>
          <w:sz w:val="22"/>
          <w:szCs w:val="22"/>
          <w:color w:val="auto"/>
          <w:vertAlign w:val="superscript"/>
        </w:rPr>
        <w:t>1</w:t>
      </w:r>
      <w:r>
        <w:rPr>
          <w:rFonts w:ascii="Arial" w:cs="Arial" w:eastAsia="Arial" w:hAnsi="Arial"/>
          <w:sz w:val="13"/>
          <w:szCs w:val="13"/>
          <w:color w:val="auto"/>
        </w:rPr>
        <w:t>The forecasted collection rates presented for Portfolio loans and Purchase loans reflect the loan classification at the time of assignment. Under our Portfolio program, certain events may result in dealers’ forfeiting their rights to dealer holdback. We transfer the dealers’ loans from the Portfolio loan portfolio to the Purchase loan portfolio in the period this forfeiture occurs.</w:t>
      </w:r>
    </w:p>
    <w:p>
      <w:pPr>
        <w:spacing w:after="0" w:line="1"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2</w:t>
      </w:r>
      <w:r>
        <w:rPr>
          <w:rFonts w:ascii="Arial" w:cs="Arial" w:eastAsia="Arial" w:hAnsi="Arial"/>
          <w:sz w:val="14"/>
          <w:szCs w:val="14"/>
          <w:color w:val="auto"/>
        </w:rPr>
        <w:t>Calculated using a weighted average based on loan origination dollars.</w:t>
      </w:r>
    </w:p>
    <w:p>
      <w:pPr>
        <w:spacing w:after="0" w:line="191" w:lineRule="exact"/>
        <w:rPr>
          <w:sz w:val="20"/>
          <w:szCs w:val="20"/>
          <w:color w:val="auto"/>
        </w:rPr>
      </w:pPr>
    </w:p>
    <w:p>
      <w:pPr>
        <w:jc w:val="both"/>
        <w:ind w:right="200"/>
        <w:spacing w:after="0" w:line="312" w:lineRule="auto"/>
        <w:rPr>
          <w:sz w:val="20"/>
          <w:szCs w:val="20"/>
          <w:color w:val="auto"/>
        </w:rPr>
      </w:pPr>
      <w:r>
        <w:rPr>
          <w:rFonts w:ascii="Arial" w:cs="Arial" w:eastAsia="Arial" w:hAnsi="Arial"/>
          <w:sz w:val="19"/>
          <w:szCs w:val="19"/>
          <w:color w:val="auto"/>
        </w:rPr>
        <w:t>The table shows that over the last 15 years, Purchase loans have performed modestly better than Portfolio loans, as indicated by their weighted average variances (of 170 basis points and 40 basis points, respectively). Purchase loans did perform worse than Portfolio loans in 2007, but we have made changes to our Purchase program since that time based on what we have learned.</w:t>
      </w:r>
    </w:p>
    <w:p>
      <w:pPr>
        <w:spacing w:after="0" w:line="174" w:lineRule="exact"/>
        <w:rPr>
          <w:sz w:val="20"/>
          <w:szCs w:val="20"/>
          <w:color w:val="auto"/>
        </w:rPr>
      </w:pPr>
    </w:p>
    <w:p>
      <w:pPr>
        <w:jc w:val="both"/>
        <w:ind w:right="280"/>
        <w:spacing w:after="0" w:line="253" w:lineRule="auto"/>
        <w:rPr>
          <w:sz w:val="20"/>
          <w:szCs w:val="20"/>
          <w:color w:val="auto"/>
        </w:rPr>
      </w:pPr>
      <w:r>
        <w:rPr>
          <w:rFonts w:ascii="Arial" w:cs="Arial" w:eastAsia="Arial" w:hAnsi="Arial"/>
          <w:sz w:val="22"/>
          <w:szCs w:val="22"/>
          <w:color w:val="auto"/>
        </w:rPr>
        <w:t>Not all dealers are eligible for the Purchase program. We use data we have accumulated over time to decide which dealers are eligible. Most Purchase loans are generated from larger, franchised dealerships, a segment that has historically been difficult to penetrate with our Portfolio program.</w:t>
      </w:r>
    </w:p>
    <w:p>
      <w:pPr>
        <w:spacing w:after="0" w:line="226" w:lineRule="exact"/>
        <w:rPr>
          <w:sz w:val="20"/>
          <w:szCs w:val="20"/>
          <w:color w:val="auto"/>
        </w:rPr>
      </w:pPr>
    </w:p>
    <w:p>
      <w:pPr>
        <w:ind w:right="80"/>
        <w:spacing w:after="0" w:line="248" w:lineRule="auto"/>
        <w:rPr>
          <w:sz w:val="20"/>
          <w:szCs w:val="20"/>
          <w:color w:val="auto"/>
        </w:rPr>
      </w:pPr>
      <w:r>
        <w:rPr>
          <w:rFonts w:ascii="Arial" w:cs="Arial" w:eastAsia="Arial" w:hAnsi="Arial"/>
          <w:sz w:val="22"/>
          <w:szCs w:val="22"/>
          <w:color w:val="auto"/>
        </w:rPr>
        <w:t>In recent years, we have experienced rapid growth in Purchase loans as we have expanded our eligibility criteria and increased the amount we pay the dealer for the loans. We believe our current pricing still leaves us with a significant margin of safety and allows us to invest additional capital at attractive returns. If the competitive environment improves, we expect we will have more opportunity to invest our capital in Portfolio loans. If we do, we will likely reduce the portion of our capital invested in Purchase loans.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348" w:right="339" w:bottom="1440" w:gutter="0" w:footer="0" w:header="0"/>
        </w:sectPr>
      </w:pPr>
    </w:p>
    <w:bookmarkStart w:id="31" w:name="page32"/>
    <w:bookmarkEnd w:id="31"/>
    <w:p>
      <w:pPr>
        <w:spacing w:after="0"/>
        <w:rPr>
          <w:sz w:val="20"/>
          <w:szCs w:val="20"/>
          <w:color w:val="auto"/>
        </w:rPr>
      </w:pPr>
      <w:r>
        <w:rPr>
          <w:rFonts w:ascii="Arial" w:cs="Arial" w:eastAsia="Arial" w:hAnsi="Arial"/>
          <w:sz w:val="20"/>
          <w:szCs w:val="20"/>
          <w:b w:val="1"/>
          <w:bCs w:val="1"/>
          <w:color w:val="003066"/>
        </w:rPr>
        <w:t>SHAREHOLDER DISTRIBUTIONS</w:t>
      </w:r>
    </w:p>
    <w:p>
      <w:pPr>
        <w:spacing w:after="0" w:line="244" w:lineRule="exact"/>
        <w:rPr>
          <w:sz w:val="20"/>
          <w:szCs w:val="20"/>
          <w:color w:val="auto"/>
        </w:rPr>
      </w:pPr>
    </w:p>
    <w:p>
      <w:pPr>
        <w:ind w:right="300"/>
        <w:spacing w:after="0" w:line="263" w:lineRule="auto"/>
        <w:rPr>
          <w:sz w:val="20"/>
          <w:szCs w:val="20"/>
          <w:color w:val="auto"/>
        </w:rPr>
      </w:pPr>
      <w:r>
        <w:rPr>
          <w:rFonts w:ascii="Arial" w:cs="Arial" w:eastAsia="Arial" w:hAnsi="Arial"/>
          <w:sz w:val="22"/>
          <w:szCs w:val="22"/>
          <w:color w:val="auto"/>
        </w:rPr>
        <w:t>Like any profitable business, we generate cash. Historically, we have used this cash to fund originations growth, repay debt or fund share repurchases.</w:t>
      </w:r>
    </w:p>
    <w:p>
      <w:pPr>
        <w:spacing w:after="0" w:line="175" w:lineRule="exact"/>
        <w:rPr>
          <w:sz w:val="20"/>
          <w:szCs w:val="20"/>
          <w:color w:val="auto"/>
        </w:rPr>
      </w:pPr>
    </w:p>
    <w:p>
      <w:pPr>
        <w:spacing w:after="0" w:line="290" w:lineRule="auto"/>
        <w:rPr>
          <w:sz w:val="20"/>
          <w:szCs w:val="20"/>
          <w:color w:val="auto"/>
        </w:rPr>
      </w:pPr>
      <w:r>
        <w:rPr>
          <w:rFonts w:ascii="Arial" w:cs="Arial" w:eastAsia="Arial" w:hAnsi="Arial"/>
          <w:sz w:val="19"/>
          <w:szCs w:val="19"/>
          <w:color w:val="auto"/>
        </w:rPr>
        <w:t>We have used excess capital to repurchase shares when prices are at or below our estimate of intrinsic value (which is the discounted value of future cash flows). As long as the share price is at or below intrinsic value, we prefer share repurchases to dividends for several reasons. First, repurchasing shares below intrinsic value increases the value of the remaining shares. Second, distributing capital to shareholders through a share repurchase gives shareholders the option to defer taxes by electing not to sell any of their holdings. A dividend does not allow shareholders to defer taxes in this manner. Finally, repurchasing shares enables shareholders to increase their ownership, receive cash or do both based on their individual circumstances and view of the value of a Credit Acceptance share. (They do both if the proportion of shares they sell is smaller than the ownership stake they gain through the repurchase.) A dividend does not provide similar flexibility.</w:t>
      </w:r>
    </w:p>
    <w:p>
      <w:pPr>
        <w:spacing w:after="0" w:line="156" w:lineRule="exact"/>
        <w:rPr>
          <w:sz w:val="20"/>
          <w:szCs w:val="20"/>
          <w:color w:val="auto"/>
        </w:rPr>
      </w:pPr>
    </w:p>
    <w:p>
      <w:pPr>
        <w:ind w:right="320"/>
        <w:spacing w:after="0" w:line="287" w:lineRule="auto"/>
        <w:rPr>
          <w:sz w:val="20"/>
          <w:szCs w:val="20"/>
          <w:color w:val="auto"/>
        </w:rPr>
      </w:pPr>
      <w:r>
        <w:rPr>
          <w:rFonts w:ascii="Arial" w:cs="Arial" w:eastAsia="Arial" w:hAnsi="Arial"/>
          <w:sz w:val="21"/>
          <w:szCs w:val="21"/>
          <w:color w:val="auto"/>
        </w:rPr>
        <w:t>Since beginning our share repurchase program in mid-1999, we have repurchased approximately 35.1 million shares at a total cost of $2.3 billion. In 2019, we repurchased approximately 670,000 shares at a total cost of $282.2 million.</w:t>
      </w:r>
    </w:p>
    <w:p>
      <w:pPr>
        <w:spacing w:after="0" w:line="151" w:lineRule="exact"/>
        <w:rPr>
          <w:sz w:val="20"/>
          <w:szCs w:val="20"/>
          <w:color w:val="auto"/>
        </w:rPr>
      </w:pPr>
    </w:p>
    <w:p>
      <w:pPr>
        <w:spacing w:after="0" w:line="286" w:lineRule="auto"/>
        <w:rPr>
          <w:sz w:val="20"/>
          <w:szCs w:val="20"/>
          <w:color w:val="auto"/>
        </w:rPr>
      </w:pPr>
      <w:r>
        <w:rPr>
          <w:rFonts w:ascii="Arial" w:cs="Arial" w:eastAsia="Arial" w:hAnsi="Arial"/>
          <w:sz w:val="19"/>
          <w:szCs w:val="19"/>
          <w:color w:val="auto"/>
        </w:rPr>
        <w:t>At times, it will appear we have excess capital, but we won’t be active in repurchasing our shares. This can occur for several reasons. First, the assessment of our capital position involves a high degree of judgment. We need to consider future expected capital needs and the likelihood that this capital will be available. Simply put, when our debt-to-equity ratio falls below the normal trend line, it doesn’t necessarily mean we have concluded that we have excess capital. Our first priority is always to make sure we have enough capital to fund our business, and such assessments are always made using what we believe are conservative assumptions. Second, we may have excess capital but conclude our shares are overvalued relative to intrinsic value or are trading at a level where we believe it’s likely they could be purchased at a lower price at some point in the future. The assessment of intrinsic value is also highly judgmental. Fortunately for shareholders, we have two members of our Board, Tom Tryforos and Scott Vassalluzzo, who have had long and remarkable careers in investing in equities and are perfectly suited for the task of assessing the value of our business. My track record is less impressive. For reasons I can’t defend, I have often argued on the side of waiting for a lower price. After many years of being wrong, I have learned to defer to Tom and Scott on this topic. The final reason we may be inactive in repurchasing shares has been the most common one over the years. We have often found ourselves with excess capital at a time when the share price was attractive, but we were in possession of what we believed to be material information that had not yet been made public. During such periods, we suspend our share repurchases until the information has been disclosed.</w:t>
      </w:r>
    </w:p>
    <w:p>
      <w:pPr>
        <w:spacing w:after="0" w:line="200" w:lineRule="exact"/>
        <w:rPr>
          <w:sz w:val="20"/>
          <w:szCs w:val="20"/>
          <w:color w:val="auto"/>
        </w:rPr>
      </w:pPr>
    </w:p>
    <w:p>
      <w:pPr>
        <w:spacing w:after="0" w:line="218"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Unless we disclose a different intention, shareholders should assume we are following the approach outlined in this section. Our first priority will be to fund the business. If we conclude we have excess capital, we will return that capital to shareholders through share repurchases. If we are inactive for a period, shareholders should not assume that we believe our shares are overvalued.</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320" w:top="333" w:right="379" w:bottom="1440" w:gutter="0" w:footer="0" w:header="0"/>
        </w:sectPr>
      </w:pPr>
    </w:p>
    <w:bookmarkStart w:id="32" w:name="page33"/>
    <w:bookmarkEnd w:id="32"/>
    <w:p>
      <w:pPr>
        <w:spacing w:after="0"/>
        <w:rPr>
          <w:sz w:val="20"/>
          <w:szCs w:val="20"/>
          <w:color w:val="auto"/>
        </w:rPr>
      </w:pPr>
      <w:r>
        <w:rPr>
          <w:rFonts w:ascii="Arial" w:cs="Arial" w:eastAsia="Arial" w:hAnsi="Arial"/>
          <w:sz w:val="20"/>
          <w:szCs w:val="20"/>
          <w:b w:val="1"/>
          <w:bCs w:val="1"/>
          <w:color w:val="003066"/>
        </w:rPr>
        <w:t>KEY SUCCESS FACTORS</w:t>
      </w:r>
    </w:p>
    <w:p>
      <w:pPr>
        <w:spacing w:after="0" w:line="244" w:lineRule="exact"/>
        <w:rPr>
          <w:sz w:val="20"/>
          <w:szCs w:val="20"/>
          <w:color w:val="auto"/>
        </w:rPr>
      </w:pPr>
    </w:p>
    <w:p>
      <w:pPr>
        <w:ind w:right="280"/>
        <w:spacing w:after="0" w:line="263" w:lineRule="auto"/>
        <w:rPr>
          <w:sz w:val="20"/>
          <w:szCs w:val="20"/>
          <w:color w:val="auto"/>
        </w:rPr>
      </w:pPr>
      <w:r>
        <w:rPr>
          <w:rFonts w:ascii="Arial" w:cs="Arial" w:eastAsia="Arial" w:hAnsi="Arial"/>
          <w:sz w:val="22"/>
          <w:szCs w:val="22"/>
          <w:color w:val="auto"/>
        </w:rPr>
        <w:t>Our financial success is a result of having a unique and valuable product and of putting in many years of hard work to develop the business.</w:t>
      </w:r>
    </w:p>
    <w:p>
      <w:pPr>
        <w:spacing w:after="0" w:line="175" w:lineRule="exact"/>
        <w:rPr>
          <w:sz w:val="20"/>
          <w:szCs w:val="20"/>
          <w:color w:val="auto"/>
        </w:rPr>
      </w:pPr>
    </w:p>
    <w:p>
      <w:pPr>
        <w:ind w:right="100"/>
        <w:spacing w:after="0" w:line="248" w:lineRule="auto"/>
        <w:rPr>
          <w:sz w:val="20"/>
          <w:szCs w:val="20"/>
          <w:color w:val="auto"/>
        </w:rPr>
      </w:pPr>
      <w:r>
        <w:rPr>
          <w:rFonts w:ascii="Arial" w:cs="Arial" w:eastAsia="Arial" w:hAnsi="Arial"/>
          <w:sz w:val="22"/>
          <w:szCs w:val="22"/>
          <w:color w:val="auto"/>
        </w:rPr>
        <w:t>Our core product has remained essentially unchanged for 47 years. We provide auto loans to consumers regardless of their credit history. Our customers consist of individuals who have typically been turned away by other lenders. Traditional lenders have many reasons for declining a loan. We have always believed that a significant number of individuals, if given an opportunity to establish or reestablish a positive credit history, will take advantage of it. As a result of this belief, we have changed the lives of millions of people.</w:t>
      </w:r>
    </w:p>
    <w:p>
      <w:pPr>
        <w:spacing w:after="0" w:line="192" w:lineRule="exact"/>
        <w:rPr>
          <w:sz w:val="20"/>
          <w:szCs w:val="20"/>
          <w:color w:val="auto"/>
        </w:rPr>
      </w:pPr>
    </w:p>
    <w:p>
      <w:pPr>
        <w:ind w:right="120"/>
        <w:spacing w:after="0" w:line="253" w:lineRule="auto"/>
        <w:rPr>
          <w:sz w:val="20"/>
          <w:szCs w:val="20"/>
          <w:color w:val="auto"/>
        </w:rPr>
      </w:pPr>
      <w:r>
        <w:rPr>
          <w:rFonts w:ascii="Arial" w:cs="Arial" w:eastAsia="Arial" w:hAnsi="Arial"/>
          <w:sz w:val="22"/>
          <w:szCs w:val="22"/>
          <w:color w:val="auto"/>
        </w:rPr>
        <w:t>However, as we have found, having a unique and valuable product is only one of the elements we need if we are to make our business successful. There are others, and many have taken years to develop. The following summarizes the key elements of our success today:</w:t>
      </w:r>
    </w:p>
    <w:p>
      <w:pPr>
        <w:spacing w:after="0" w:line="185" w:lineRule="exact"/>
        <w:rPr>
          <w:sz w:val="20"/>
          <w:szCs w:val="20"/>
          <w:color w:val="auto"/>
        </w:rPr>
      </w:pPr>
    </w:p>
    <w:p>
      <w:pPr>
        <w:jc w:val="both"/>
        <w:ind w:left="660" w:right="260" w:hanging="328"/>
        <w:spacing w:after="0" w:line="266" w:lineRule="auto"/>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We have developed the ability to offer financing for consumers, regardless of their credit history, while maintaining an appropriate return on capital. It took years to develop the processes and accumulate the customer and loan performance data that we use to make profitable loans in our segment of the market.</w:t>
      </w:r>
    </w:p>
    <w:p>
      <w:pPr>
        <w:spacing w:after="0" w:line="184" w:lineRule="exact"/>
        <w:rPr>
          <w:rFonts w:ascii="Arial" w:cs="Arial" w:eastAsia="Arial" w:hAnsi="Arial"/>
          <w:sz w:val="22"/>
          <w:szCs w:val="22"/>
          <w:color w:val="auto"/>
        </w:rPr>
      </w:pPr>
    </w:p>
    <w:p>
      <w:pPr>
        <w:ind w:left="660" w:right="120" w:hanging="328"/>
        <w:spacing w:after="0" w:line="279" w:lineRule="auto"/>
        <w:tabs>
          <w:tab w:leader="none" w:pos="660" w:val="left"/>
        </w:tabs>
        <w:numPr>
          <w:ilvl w:val="0"/>
          <w:numId w:val="4"/>
        </w:numPr>
        <w:rPr>
          <w:rFonts w:ascii="Arial" w:cs="Arial" w:eastAsia="Arial" w:hAnsi="Arial"/>
          <w:sz w:val="21"/>
          <w:szCs w:val="21"/>
          <w:color w:val="auto"/>
        </w:rPr>
      </w:pPr>
      <w:r>
        <w:rPr>
          <w:rFonts w:ascii="Arial" w:cs="Arial" w:eastAsia="Arial" w:hAnsi="Arial"/>
          <w:sz w:val="21"/>
          <w:szCs w:val="21"/>
          <w:color w:val="auto"/>
        </w:rPr>
        <w:t>We understand the daily execution required to successfully service a portfolio of automobile loans to customers in our target market. There are many examples of companies in our industry that underestimated the effort involved and produced poor financial results. Approximately 40% of our team members work directly on some aspect of servicing our loan portfolio, and we are fortunate to have such a capable and engaged group.</w:t>
      </w:r>
    </w:p>
    <w:p>
      <w:pPr>
        <w:spacing w:after="0" w:line="173" w:lineRule="exact"/>
        <w:rPr>
          <w:rFonts w:ascii="Arial" w:cs="Arial" w:eastAsia="Arial" w:hAnsi="Arial"/>
          <w:sz w:val="21"/>
          <w:szCs w:val="21"/>
          <w:color w:val="auto"/>
        </w:rPr>
      </w:pPr>
    </w:p>
    <w:p>
      <w:pPr>
        <w:ind w:left="660" w:hanging="328"/>
        <w:spacing w:after="0" w:line="317" w:lineRule="auto"/>
        <w:tabs>
          <w:tab w:leader="none" w:pos="660" w:val="left"/>
        </w:tabs>
        <w:numPr>
          <w:ilvl w:val="0"/>
          <w:numId w:val="4"/>
        </w:numPr>
        <w:rPr>
          <w:rFonts w:ascii="Arial" w:cs="Arial" w:eastAsia="Arial" w:hAnsi="Arial"/>
          <w:sz w:val="19"/>
          <w:szCs w:val="19"/>
          <w:color w:val="auto"/>
        </w:rPr>
      </w:pPr>
      <w:r>
        <w:rPr>
          <w:rFonts w:ascii="Arial" w:cs="Arial" w:eastAsia="Arial" w:hAnsi="Arial"/>
          <w:sz w:val="19"/>
          <w:szCs w:val="19"/>
          <w:color w:val="auto"/>
        </w:rPr>
        <w:t>We have learned how to develop relationships with dealers that are profitable. Forging a profitable relationship requires us to select the right dealer, align incentives, communicate constantly and create processes to enforce standards. In our segment of the market, the dealer has significant influence over loan performance. Learning how to create relationships with dealers who share our passion for changing lives has been one of our most important accomplishments.</w:t>
      </w:r>
    </w:p>
    <w:p>
      <w:pPr>
        <w:spacing w:after="0" w:line="141" w:lineRule="exact"/>
        <w:rPr>
          <w:rFonts w:ascii="Arial" w:cs="Arial" w:eastAsia="Arial" w:hAnsi="Arial"/>
          <w:sz w:val="19"/>
          <w:szCs w:val="19"/>
          <w:color w:val="auto"/>
        </w:rPr>
      </w:pPr>
    </w:p>
    <w:p>
      <w:pPr>
        <w:ind w:left="660" w:right="120" w:hanging="328"/>
        <w:spacing w:after="0" w:line="311" w:lineRule="auto"/>
        <w:tabs>
          <w:tab w:leader="none" w:pos="660" w:val="left"/>
        </w:tabs>
        <w:numPr>
          <w:ilvl w:val="0"/>
          <w:numId w:val="4"/>
        </w:numPr>
        <w:rPr>
          <w:rFonts w:ascii="Arial" w:cs="Arial" w:eastAsia="Arial" w:hAnsi="Arial"/>
          <w:sz w:val="19"/>
          <w:szCs w:val="19"/>
          <w:color w:val="auto"/>
        </w:rPr>
      </w:pPr>
      <w:r>
        <w:rPr>
          <w:rFonts w:ascii="Arial" w:cs="Arial" w:eastAsia="Arial" w:hAnsi="Arial"/>
          <w:sz w:val="19"/>
          <w:szCs w:val="19"/>
          <w:color w:val="auto"/>
        </w:rPr>
        <w:t>We have developed a strong management team. Because we are successful at retaining our managers, they become stronger each year as they gain experience with our business. Our senior management team, consisting of 29 individuals, averages 16 years of experience with our company. While we have added talent selectively over the past few years, the experience of our team is a key advantage. Our success in growing the business while simultaneously improving our returns on capital could not have occurred without the dedication and energy of this talented group.</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333" w:right="359" w:bottom="1440" w:gutter="0" w:footer="0" w:header="0"/>
        </w:sectPr>
      </w:pPr>
    </w:p>
    <w:bookmarkStart w:id="33" w:name="page34"/>
    <w:bookmarkEnd w:id="33"/>
    <w:p>
      <w:pPr>
        <w:ind w:left="328" w:right="20" w:hanging="328"/>
        <w:spacing w:after="0" w:line="266" w:lineRule="auto"/>
        <w:tabs>
          <w:tab w:leader="none" w:pos="328" w:val="left"/>
        </w:tabs>
        <w:numPr>
          <w:ilvl w:val="0"/>
          <w:numId w:val="5"/>
        </w:numPr>
        <w:rPr>
          <w:rFonts w:ascii="Arial" w:cs="Arial" w:eastAsia="Arial" w:hAnsi="Arial"/>
          <w:sz w:val="22"/>
          <w:szCs w:val="22"/>
          <w:color w:val="auto"/>
        </w:rPr>
      </w:pPr>
      <w:r>
        <w:rPr>
          <w:rFonts w:ascii="Arial" w:cs="Arial" w:eastAsia="Arial" w:hAnsi="Arial"/>
          <w:sz w:val="22"/>
          <w:szCs w:val="22"/>
          <w:color w:val="auto"/>
        </w:rPr>
        <w:t>We have strengthened our focus on our core business. At times in our history, our focus had been diluted by the pursuit of other, non-core opportunities. Today, we offer one product and focus 100% of our energy and capital on perfecting this product and providing it profitably.</w:t>
      </w:r>
    </w:p>
    <w:p>
      <w:pPr>
        <w:spacing w:after="0" w:line="184" w:lineRule="exact"/>
        <w:rPr>
          <w:rFonts w:ascii="Arial" w:cs="Arial" w:eastAsia="Arial" w:hAnsi="Arial"/>
          <w:sz w:val="22"/>
          <w:szCs w:val="22"/>
          <w:color w:val="auto"/>
        </w:rPr>
      </w:pPr>
    </w:p>
    <w:p>
      <w:pPr>
        <w:ind w:left="328" w:right="20" w:hanging="328"/>
        <w:spacing w:after="0" w:line="261" w:lineRule="auto"/>
        <w:tabs>
          <w:tab w:leader="none" w:pos="328" w:val="left"/>
        </w:tabs>
        <w:numPr>
          <w:ilvl w:val="0"/>
          <w:numId w:val="5"/>
        </w:numPr>
        <w:rPr>
          <w:rFonts w:ascii="Arial" w:cs="Arial" w:eastAsia="Arial" w:hAnsi="Arial"/>
          <w:sz w:val="22"/>
          <w:szCs w:val="22"/>
          <w:color w:val="auto"/>
        </w:rPr>
      </w:pPr>
      <w:r>
        <w:rPr>
          <w:rFonts w:ascii="Arial" w:cs="Arial" w:eastAsia="Arial" w:hAnsi="Arial"/>
          <w:sz w:val="22"/>
          <w:szCs w:val="22"/>
          <w:color w:val="auto"/>
        </w:rPr>
        <w:t>We have developed a unique software application, CAPS, for originating auto loans. Traditional indirect lending is inefficient. Many traditional lenders take one to four hours to process a loan application, and they decline most of the applications they process. We take 60 seconds, and we approve 100% of the applications submitted, 24 hours a day, seven days a week. In addition, our CAPS system makes our program easier for dealers to use, and allows us to deploy much more precise risk-adjusted pricing.</w:t>
      </w:r>
    </w:p>
    <w:p>
      <w:pPr>
        <w:spacing w:after="0" w:line="190" w:lineRule="exact"/>
        <w:rPr>
          <w:rFonts w:ascii="Arial" w:cs="Arial" w:eastAsia="Arial" w:hAnsi="Arial"/>
          <w:sz w:val="22"/>
          <w:szCs w:val="22"/>
          <w:color w:val="auto"/>
        </w:rPr>
      </w:pPr>
    </w:p>
    <w:p>
      <w:pPr>
        <w:ind w:left="328" w:right="120" w:hanging="328"/>
        <w:spacing w:after="0" w:line="276" w:lineRule="auto"/>
        <w:tabs>
          <w:tab w:leader="none" w:pos="328" w:val="left"/>
        </w:tabs>
        <w:numPr>
          <w:ilvl w:val="0"/>
          <w:numId w:val="5"/>
        </w:numPr>
        <w:rPr>
          <w:rFonts w:ascii="Arial" w:cs="Arial" w:eastAsia="Arial" w:hAnsi="Arial"/>
          <w:sz w:val="22"/>
          <w:szCs w:val="22"/>
          <w:color w:val="auto"/>
        </w:rPr>
      </w:pPr>
      <w:r>
        <w:rPr>
          <w:rFonts w:ascii="Arial" w:cs="Arial" w:eastAsia="Arial" w:hAnsi="Arial"/>
          <w:sz w:val="22"/>
          <w:szCs w:val="22"/>
          <w:color w:val="auto"/>
        </w:rPr>
        <w:t>We have developed a high-quality field sales force. Our sales team provides real value to our dealers. Team members act as consultants as we teach dealers how to successfully serve our market segment.</w:t>
      </w:r>
    </w:p>
    <w:p>
      <w:pPr>
        <w:spacing w:after="0" w:line="228" w:lineRule="exact"/>
        <w:rPr>
          <w:rFonts w:ascii="Arial" w:cs="Arial" w:eastAsia="Arial" w:hAnsi="Arial"/>
          <w:sz w:val="22"/>
          <w:szCs w:val="22"/>
          <w:color w:val="auto"/>
        </w:rPr>
      </w:pPr>
    </w:p>
    <w:p>
      <w:pPr>
        <w:ind w:left="328" w:right="300" w:hanging="328"/>
        <w:spacing w:after="0" w:line="317" w:lineRule="auto"/>
        <w:tabs>
          <w:tab w:leader="none" w:pos="328" w:val="left"/>
        </w:tabs>
        <w:numPr>
          <w:ilvl w:val="0"/>
          <w:numId w:val="5"/>
        </w:numPr>
        <w:rPr>
          <w:rFonts w:ascii="Arial" w:cs="Arial" w:eastAsia="Arial" w:hAnsi="Arial"/>
          <w:sz w:val="19"/>
          <w:szCs w:val="19"/>
          <w:color w:val="auto"/>
        </w:rPr>
      </w:pPr>
      <w:r>
        <w:rPr>
          <w:rFonts w:ascii="Arial" w:cs="Arial" w:eastAsia="Arial" w:hAnsi="Arial"/>
          <w:sz w:val="19"/>
          <w:szCs w:val="19"/>
          <w:color w:val="auto"/>
        </w:rPr>
        <w:t>We have developed the ability to execute our loan origination process consistently over time. Consistent execution is difficult, as it requires us to maintain an appropriate balance between providing excellent service to our dealers and ensuring the loans we originate meet our standards. We measure both loan compliance and dealer satisfaction to assess our performance, and use these measures to make adjustments when necessary.</w:t>
      </w:r>
    </w:p>
    <w:p>
      <w:pPr>
        <w:spacing w:after="0" w:line="141" w:lineRule="exact"/>
        <w:rPr>
          <w:rFonts w:ascii="Arial" w:cs="Arial" w:eastAsia="Arial" w:hAnsi="Arial"/>
          <w:sz w:val="19"/>
          <w:szCs w:val="19"/>
          <w:color w:val="auto"/>
        </w:rPr>
      </w:pPr>
    </w:p>
    <w:p>
      <w:pPr>
        <w:ind w:left="328" w:hanging="328"/>
        <w:spacing w:after="0" w:line="311" w:lineRule="auto"/>
        <w:tabs>
          <w:tab w:leader="none" w:pos="328" w:val="left"/>
        </w:tabs>
        <w:numPr>
          <w:ilvl w:val="0"/>
          <w:numId w:val="5"/>
        </w:numPr>
        <w:rPr>
          <w:rFonts w:ascii="Arial" w:cs="Arial" w:eastAsia="Arial" w:hAnsi="Arial"/>
          <w:sz w:val="19"/>
          <w:szCs w:val="19"/>
          <w:color w:val="auto"/>
        </w:rPr>
      </w:pPr>
      <w:r>
        <w:rPr>
          <w:rFonts w:ascii="Arial" w:cs="Arial" w:eastAsia="Arial" w:hAnsi="Arial"/>
          <w:sz w:val="19"/>
          <w:szCs w:val="19"/>
          <w:color w:val="auto"/>
        </w:rPr>
        <w:t>We believe we are well positioned from a capital perspective. As mentioned earlier, we maintain diverse funding sources, have lengthened the term of our debt facilities and maintain substantial unused and available credit lines. We believe our capital structure remains conservative and our lending relationships, which we have developed over a long period of time, remain strong. We believe our lenders were impressed with our performance during the 2007-2009 financial crisis, and their confidence in our company was enhanced as a result.</w:t>
      </w:r>
    </w:p>
    <w:p>
      <w:pPr>
        <w:spacing w:after="0" w:line="150" w:lineRule="exact"/>
        <w:rPr>
          <w:rFonts w:ascii="Arial" w:cs="Arial" w:eastAsia="Arial" w:hAnsi="Arial"/>
          <w:sz w:val="19"/>
          <w:szCs w:val="19"/>
          <w:color w:val="auto"/>
        </w:rPr>
      </w:pPr>
    </w:p>
    <w:p>
      <w:pPr>
        <w:ind w:left="328" w:hanging="328"/>
        <w:spacing w:after="0" w:line="308" w:lineRule="auto"/>
        <w:tabs>
          <w:tab w:leader="none" w:pos="328" w:val="left"/>
        </w:tabs>
        <w:numPr>
          <w:ilvl w:val="0"/>
          <w:numId w:val="5"/>
        </w:numPr>
        <w:rPr>
          <w:rFonts w:ascii="Arial" w:cs="Arial" w:eastAsia="Arial" w:hAnsi="Arial"/>
          <w:sz w:val="19"/>
          <w:szCs w:val="19"/>
          <w:color w:val="auto"/>
        </w:rPr>
      </w:pPr>
      <w:r>
        <w:rPr>
          <w:rFonts w:ascii="Arial" w:cs="Arial" w:eastAsia="Arial" w:hAnsi="Arial"/>
          <w:sz w:val="19"/>
          <w:szCs w:val="19"/>
          <w:color w:val="auto"/>
        </w:rPr>
        <w:t xml:space="preserve">We devote a large portion of our time to something we call organizational health. Organizational health is about putting our team members in position to do their best work. For that, we focus consistently on 10 elements of operational effectiveness, including setting clear expectations, managing performance, providing training, maintaining effective incentive compensation plans, establishing the right environment and providing the technology and processes required for operational excellence. These efforts make a difference. Recently, we were named to </w:t>
      </w:r>
      <w:r>
        <w:rPr>
          <w:rFonts w:ascii="Arial" w:cs="Arial" w:eastAsia="Arial" w:hAnsi="Arial"/>
          <w:sz w:val="19"/>
          <w:szCs w:val="19"/>
          <w:i w:val="1"/>
          <w:iCs w:val="1"/>
          <w:color w:val="auto"/>
        </w:rPr>
        <w:t>Fortune</w:t>
      </w:r>
      <w:r>
        <w:rPr>
          <w:rFonts w:ascii="Arial" w:cs="Arial" w:eastAsia="Arial" w:hAnsi="Arial"/>
          <w:sz w:val="19"/>
          <w:szCs w:val="19"/>
          <w:color w:val="auto"/>
        </w:rPr>
        <w:t xml:space="preserve"> magazine’s 2020 list of 100 Best Companies to Work For. This is the seventh consecutive year we have achieved this honor.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72"/>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868"/>
          </w:cols>
          <w:pgMar w:left="652" w:top="348" w:right="379" w:bottom="1440" w:gutter="0" w:footer="0" w:header="0"/>
        </w:sectPr>
      </w:pPr>
    </w:p>
    <w:bookmarkStart w:id="34" w:name="page35"/>
    <w:bookmarkEnd w:id="34"/>
    <w:p>
      <w:pPr>
        <w:spacing w:after="0"/>
        <w:rPr>
          <w:sz w:val="20"/>
          <w:szCs w:val="20"/>
          <w:color w:val="auto"/>
        </w:rPr>
      </w:pPr>
      <w:r>
        <w:rPr>
          <w:rFonts w:ascii="Arial" w:cs="Arial" w:eastAsia="Arial" w:hAnsi="Arial"/>
          <w:sz w:val="20"/>
          <w:szCs w:val="20"/>
          <w:b w:val="1"/>
          <w:bCs w:val="1"/>
          <w:color w:val="003066"/>
        </w:rPr>
        <w:t>A FINAL NOTE</w:t>
      </w:r>
    </w:p>
    <w:p>
      <w:pPr>
        <w:spacing w:after="0" w:line="244"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 xml:space="preserve">As mentioned above, for seven consecutive years, we have been recognized as one of </w:t>
      </w:r>
      <w:r>
        <w:rPr>
          <w:rFonts w:ascii="Arial" w:cs="Arial" w:eastAsia="Arial" w:hAnsi="Arial"/>
          <w:sz w:val="21"/>
          <w:szCs w:val="21"/>
          <w:i w:val="1"/>
          <w:iCs w:val="1"/>
          <w:color w:val="auto"/>
        </w:rPr>
        <w:t>Fortune</w:t>
      </w:r>
      <w:r>
        <w:rPr>
          <w:rFonts w:ascii="Arial" w:cs="Arial" w:eastAsia="Arial" w:hAnsi="Arial"/>
          <w:sz w:val="21"/>
          <w:szCs w:val="21"/>
          <w:color w:val="auto"/>
        </w:rPr>
        <w:t xml:space="preserve"> magazine’s 100 Best Companies to Work For. There are many advantages to creating a great workplace. It enhances our ability to hire and retain talented team members, and the environment we provide increases the likelihood that those individuals will stay engaged and perform up to their full potential. The advantages of a great culture have never been more apparent than over the past few months. As the virus began to spread, our team members moved quickly to create and implement a response. Prior to this crisis, we were not a “work from home” culture—almost all of our work took place in the office. We started reviewing alternatives in late February, and by March 17</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almost all of our team members were working from home. Our IT team, led by our CIO, Noah Kotch, deserves tremendous credit for this accomplishment.</w:t>
      </w:r>
    </w:p>
    <w:p>
      <w:pPr>
        <w:spacing w:after="0" w:line="192" w:lineRule="exact"/>
        <w:rPr>
          <w:sz w:val="20"/>
          <w:szCs w:val="20"/>
          <w:color w:val="auto"/>
        </w:rPr>
      </w:pPr>
    </w:p>
    <w:p>
      <w:pPr>
        <w:ind w:right="180"/>
        <w:spacing w:after="0" w:line="263" w:lineRule="auto"/>
        <w:rPr>
          <w:sz w:val="20"/>
          <w:szCs w:val="20"/>
          <w:color w:val="auto"/>
        </w:rPr>
      </w:pPr>
      <w:r>
        <w:rPr>
          <w:rFonts w:ascii="Arial" w:cs="Arial" w:eastAsia="Arial" w:hAnsi="Arial"/>
          <w:sz w:val="21"/>
          <w:szCs w:val="21"/>
          <w:color w:val="auto"/>
        </w:rPr>
        <w:t>We have now been working remotely for ten weeks, and I am very proud of how our team members have responded to the challenges created by this crisis. Many of our team members have children who are home from school not to mention having to deal with many other distractions caused by this crisis and yet they have consistently made their work responsibilities a priority. We have continued to execute all critical operational functions at a high level and have provided outstanding service to our customers and dealers throughout this period.</w:t>
      </w:r>
    </w:p>
    <w:p>
      <w:pPr>
        <w:spacing w:after="0" w:line="175" w:lineRule="exact"/>
        <w:rPr>
          <w:sz w:val="20"/>
          <w:szCs w:val="20"/>
          <w:color w:val="auto"/>
        </w:rPr>
      </w:pPr>
    </w:p>
    <w:p>
      <w:pPr>
        <w:ind w:right="60"/>
        <w:spacing w:after="0" w:line="248" w:lineRule="auto"/>
        <w:rPr>
          <w:sz w:val="20"/>
          <w:szCs w:val="20"/>
          <w:color w:val="auto"/>
        </w:rPr>
      </w:pPr>
      <w:r>
        <w:rPr>
          <w:rFonts w:ascii="Arial" w:cs="Arial" w:eastAsia="Arial" w:hAnsi="Arial"/>
          <w:sz w:val="22"/>
          <w:szCs w:val="22"/>
          <w:color w:val="auto"/>
        </w:rPr>
        <w:t>Our guiding principle during this time has been to “look out for each other”. We have used this principle as a basis for every decision we have made so far. Our goal is to survive this crisis and move forward to accomplish the long-term goals that we have established. We expect to confront many difficulties. While I can’t predict the ultimate outcome, I can promise that these challenges will be met by a determined group of 2,012 individuals working together, looking out for each other and motivated to achieve a successful outcome. I am grateful for all of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5349240" cy="342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4924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Brett A. Roberts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Chief Executive Officer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May 20,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6"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Certain statements herein are forward-looking statements that are subject to certain risks. Please see “Forward-Looking Statements” on page 38 of our Annual Report on Form 10-K for the year ended December 31, 2019 and on our Current Report on Form 8-K filed April 20, 2020.</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333"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color w:val="003066"/>
        </w:rPr>
        <w:t>EXHIBIT A</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003066"/>
        </w:rPr>
        <w:t>RECONCILIATION OF GAAP FINANCIAL RESULTS TO NON-GAAP MEASURES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260" w:type="dxa"/>
            <w:vAlign w:val="bottom"/>
          </w:tcPr>
          <w:p>
            <w:pPr>
              <w:ind w:left="80"/>
              <w:spacing w:after="0"/>
              <w:rPr>
                <w:sz w:val="20"/>
                <w:szCs w:val="20"/>
                <w:color w:val="auto"/>
              </w:rPr>
            </w:pPr>
            <w:r>
              <w:rPr>
                <w:rFonts w:ascii="Arial" w:cs="Arial" w:eastAsia="Arial" w:hAnsi="Arial"/>
                <w:sz w:val="14"/>
                <w:szCs w:val="14"/>
                <w:color w:val="auto"/>
              </w:rPr>
              <w:t>($ in millions)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GAAP net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Floating yield</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3"/>
          </w:tcPr>
          <w:p>
            <w:pPr>
              <w:jc w:val="right"/>
              <w:ind w:right="51"/>
              <w:spacing w:after="0"/>
              <w:rPr>
                <w:sz w:val="20"/>
                <w:szCs w:val="20"/>
                <w:color w:val="auto"/>
              </w:rPr>
            </w:pPr>
            <w:r>
              <w:rPr>
                <w:rFonts w:ascii="Arial" w:cs="Arial" w:eastAsia="Arial" w:hAnsi="Arial"/>
                <w:sz w:val="14"/>
                <w:szCs w:val="14"/>
                <w:b w:val="1"/>
                <w:bCs w:val="1"/>
                <w:color w:val="auto"/>
                <w:w w:val="91"/>
              </w:rPr>
              <w:t>Senior notes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Income tax</w:t>
            </w:r>
          </w:p>
        </w:tc>
        <w:tc>
          <w:tcPr>
            <w:tcW w:w="340" w:type="dxa"/>
            <w:vAlign w:val="bottom"/>
          </w:tcPr>
          <w:p>
            <w:pPr>
              <w:spacing w:after="0"/>
              <w:rPr>
                <w:sz w:val="14"/>
                <w:szCs w:val="14"/>
                <w:color w:val="auto"/>
              </w:rPr>
            </w:pPr>
          </w:p>
        </w:tc>
        <w:tc>
          <w:tcPr>
            <w:tcW w:w="88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6"/>
              </w:rPr>
              <w:t>Other</w:t>
            </w:r>
          </w:p>
        </w:tc>
        <w:tc>
          <w:tcPr>
            <w:tcW w:w="12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4"/>
              </w:rPr>
              <w:t>Adjusted net</w:t>
            </w:r>
          </w:p>
        </w:tc>
        <w:tc>
          <w:tcPr>
            <w:tcW w:w="11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Imputed cost of</w:t>
            </w:r>
          </w:p>
        </w:tc>
        <w:tc>
          <w:tcPr>
            <w:tcW w:w="100" w:type="dxa"/>
            <w:vAlign w:val="bottom"/>
          </w:tcPr>
          <w:p>
            <w:pPr>
              <w:spacing w:after="0"/>
              <w:rPr>
                <w:sz w:val="14"/>
                <w:szCs w:val="14"/>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Economic Profit</w:t>
            </w:r>
          </w:p>
        </w:tc>
        <w:tc>
          <w:tcPr>
            <w:tcW w:w="0" w:type="dxa"/>
            <w:vAlign w:val="bottom"/>
          </w:tcPr>
          <w:p>
            <w:pPr>
              <w:spacing w:after="0"/>
              <w:rPr>
                <w:sz w:val="1"/>
                <w:szCs w:val="1"/>
                <w:color w:val="auto"/>
              </w:rPr>
            </w:pPr>
          </w:p>
        </w:tc>
      </w:tr>
      <w:tr>
        <w:trPr>
          <w:trHeight w:val="186"/>
        </w:trPr>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income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adjustment</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adjustment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w:t>
            </w:r>
          </w:p>
        </w:tc>
        <w:tc>
          <w:tcPr>
            <w:tcW w:w="122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89"/>
              </w:rPr>
              <w:t>adjustments</w:t>
            </w:r>
          </w:p>
        </w:tc>
        <w:tc>
          <w:tcPr>
            <w:tcW w:w="12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9"/>
              </w:rPr>
              <w:t>income</w:t>
            </w:r>
          </w:p>
        </w:tc>
        <w:tc>
          <w:tcPr>
            <w:tcW w:w="240" w:type="dxa"/>
            <w:vAlign w:val="bottom"/>
          </w:tcPr>
          <w:p>
            <w:pPr>
              <w:spacing w:after="0"/>
              <w:rPr>
                <w:sz w:val="16"/>
                <w:szCs w:val="16"/>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equity</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26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1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2001</w:t>
            </w: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i w:val="1"/>
                <w:iCs w:val="1"/>
                <w:color w:val="auto"/>
              </w:rPr>
              <w:t>24.7</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w w:val="99"/>
              </w:rPr>
              <w:t>$</w:t>
            </w: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w:t>
            </w:r>
          </w:p>
        </w:tc>
        <w:tc>
          <w:tcPr>
            <w:tcW w:w="9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i w:val="1"/>
                <w:iCs w:val="1"/>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i w:val="1"/>
                <w:iCs w:val="1"/>
                <w:color w:val="auto"/>
                <w:w w:val="99"/>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7"/>
              </w:rPr>
              <w:t>(1.1)</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71"/>
              <w:spacing w:after="0"/>
              <w:rPr>
                <w:sz w:val="20"/>
                <w:szCs w:val="20"/>
                <w:color w:val="auto"/>
              </w:rPr>
            </w:pPr>
            <w:r>
              <w:rPr>
                <w:rFonts w:ascii="Arial" w:cs="Arial" w:eastAsia="Arial" w:hAnsi="Arial"/>
                <w:sz w:val="18"/>
                <w:szCs w:val="18"/>
                <w:i w:val="1"/>
                <w:iCs w:val="1"/>
                <w:color w:val="auto"/>
                <w:w w:val="99"/>
              </w:rPr>
              <w:t>$</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i w:val="1"/>
                <w:iCs w:val="1"/>
                <w:color w:val="auto"/>
                <w:w w:val="96"/>
              </w:rPr>
              <w:t>26.8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i w:val="1"/>
                <w:iCs w:val="1"/>
                <w:color w:val="auto"/>
                <w:w w:val="79"/>
              </w:rPr>
              <w:t>$</w:t>
            </w: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(30.0)</w:t>
            </w:r>
          </w:p>
        </w:tc>
        <w:tc>
          <w:tcPr>
            <w:tcW w:w="40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i w:val="1"/>
                <w:i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(3.2)</w:t>
            </w:r>
          </w:p>
        </w:tc>
        <w:tc>
          <w:tcPr>
            <w:tcW w:w="0" w:type="dxa"/>
            <w:vAlign w:val="bottom"/>
          </w:tcPr>
          <w:p>
            <w:pPr>
              <w:spacing w:after="0"/>
              <w:rPr>
                <w:sz w:val="1"/>
                <w:szCs w:val="1"/>
                <w:color w:val="auto"/>
              </w:rPr>
            </w:pPr>
          </w:p>
        </w:tc>
      </w:tr>
      <w:tr>
        <w:trPr>
          <w:trHeight w:val="243"/>
        </w:trPr>
        <w:tc>
          <w:tcPr>
            <w:tcW w:w="1260" w:type="dxa"/>
            <w:vAlign w:val="bottom"/>
          </w:tcPr>
          <w:p>
            <w:pPr>
              <w:ind w:left="80"/>
              <w:spacing w:after="0"/>
              <w:rPr>
                <w:sz w:val="20"/>
                <w:szCs w:val="20"/>
                <w:color w:val="auto"/>
              </w:rPr>
            </w:pPr>
            <w:r>
              <w:rPr>
                <w:rFonts w:ascii="Arial" w:cs="Arial" w:eastAsia="Arial" w:hAnsi="Arial"/>
                <w:sz w:val="18"/>
                <w:szCs w:val="18"/>
                <w:i w:val="1"/>
                <w:iCs w:val="1"/>
                <w:color w:val="auto"/>
              </w:rPr>
              <w:t>2002</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i w:val="1"/>
                <w:iCs w:val="1"/>
                <w:color w:val="auto"/>
              </w:rPr>
              <w:t>29.8</w:t>
            </w:r>
          </w:p>
        </w:tc>
        <w:tc>
          <w:tcPr>
            <w:tcW w:w="20" w:type="dxa"/>
            <w:vAlign w:val="bottom"/>
          </w:tcPr>
          <w:p>
            <w:pPr>
              <w:spacing w:after="0"/>
              <w:rPr>
                <w:sz w:val="21"/>
                <w:szCs w:val="21"/>
                <w:color w:val="auto"/>
              </w:rPr>
            </w:pPr>
          </w:p>
        </w:tc>
        <w:tc>
          <w:tcPr>
            <w:tcW w:w="24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i w:val="1"/>
                <w:iCs w:val="1"/>
                <w:color w:val="auto"/>
              </w:rPr>
              <w:t>2.8</w:t>
            </w:r>
          </w:p>
        </w:tc>
        <w:tc>
          <w:tcPr>
            <w:tcW w:w="12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w w:val="99"/>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340" w:type="dxa"/>
            <w:vAlign w:val="bottom"/>
            <w:gridSpan w:val="3"/>
          </w:tcPr>
          <w:p>
            <w:pPr>
              <w:jc w:val="right"/>
              <w:ind w:right="80"/>
              <w:spacing w:after="0"/>
              <w:rPr>
                <w:sz w:val="20"/>
                <w:szCs w:val="20"/>
                <w:color w:val="auto"/>
              </w:rPr>
            </w:pPr>
            <w:r>
              <w:rPr>
                <w:rFonts w:ascii="Arial" w:cs="Arial" w:eastAsia="Arial" w:hAnsi="Arial"/>
                <w:sz w:val="18"/>
                <w:szCs w:val="18"/>
                <w:i w:val="1"/>
                <w:iCs w:val="1"/>
                <w:color w:val="auto"/>
              </w:rPr>
              <w:t>$</w:t>
            </w:r>
          </w:p>
        </w:tc>
        <w:tc>
          <w:tcPr>
            <w:tcW w:w="920" w:type="dxa"/>
            <w:vAlign w:val="bottom"/>
            <w:gridSpan w:val="2"/>
          </w:tcPr>
          <w:p>
            <w:pPr>
              <w:jc w:val="right"/>
              <w:ind w:right="28"/>
              <w:spacing w:after="0"/>
              <w:rPr>
                <w:sz w:val="20"/>
                <w:szCs w:val="20"/>
                <w:color w:val="auto"/>
              </w:rPr>
            </w:pPr>
            <w:r>
              <w:rPr>
                <w:rFonts w:ascii="Arial" w:cs="Arial" w:eastAsia="Arial" w:hAnsi="Arial"/>
                <w:sz w:val="18"/>
                <w:szCs w:val="18"/>
                <w:i w:val="1"/>
                <w:iCs w:val="1"/>
                <w:color w:val="auto"/>
              </w:rPr>
              <w:t>2.9</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i w:val="1"/>
                <w:iCs w:val="1"/>
                <w:color w:val="auto"/>
                <w:w w:val="99"/>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i w:val="1"/>
                <w:iCs w:val="1"/>
                <w:color w:val="auto"/>
                <w:w w:val="97"/>
              </w:rPr>
              <w:t>(4.5)</w:t>
            </w:r>
          </w:p>
        </w:tc>
        <w:tc>
          <w:tcPr>
            <w:tcW w:w="100" w:type="dxa"/>
            <w:vAlign w:val="bottom"/>
          </w:tcPr>
          <w:p>
            <w:pPr>
              <w:spacing w:after="0"/>
              <w:rPr>
                <w:sz w:val="21"/>
                <w:szCs w:val="21"/>
                <w:color w:val="auto"/>
              </w:rPr>
            </w:pPr>
          </w:p>
        </w:tc>
        <w:tc>
          <w:tcPr>
            <w:tcW w:w="580" w:type="dxa"/>
            <w:vAlign w:val="bottom"/>
          </w:tcPr>
          <w:p>
            <w:pPr>
              <w:jc w:val="right"/>
              <w:ind w:right="371"/>
              <w:spacing w:after="0"/>
              <w:rPr>
                <w:sz w:val="20"/>
                <w:szCs w:val="20"/>
                <w:color w:val="auto"/>
              </w:rPr>
            </w:pPr>
            <w:r>
              <w:rPr>
                <w:rFonts w:ascii="Arial" w:cs="Arial" w:eastAsia="Arial" w:hAnsi="Arial"/>
                <w:sz w:val="18"/>
                <w:szCs w:val="18"/>
                <w:i w:val="1"/>
                <w:iCs w:val="1"/>
                <w:color w:val="auto"/>
                <w:w w:val="99"/>
              </w:rPr>
              <w:t>$</w:t>
            </w:r>
          </w:p>
        </w:tc>
        <w:tc>
          <w:tcPr>
            <w:tcW w:w="80" w:type="dxa"/>
            <w:vAlign w:val="bottom"/>
          </w:tcPr>
          <w:p>
            <w:pPr>
              <w:spacing w:after="0"/>
              <w:rPr>
                <w:sz w:val="21"/>
                <w:szCs w:val="21"/>
                <w:color w:val="auto"/>
              </w:rPr>
            </w:pPr>
          </w:p>
        </w:tc>
        <w:tc>
          <w:tcPr>
            <w:tcW w:w="460" w:type="dxa"/>
            <w:vAlign w:val="bottom"/>
            <w:gridSpan w:val="2"/>
          </w:tcPr>
          <w:p>
            <w:pPr>
              <w:jc w:val="right"/>
              <w:ind w:right="28"/>
              <w:spacing w:after="0"/>
              <w:rPr>
                <w:sz w:val="20"/>
                <w:szCs w:val="20"/>
                <w:color w:val="auto"/>
              </w:rPr>
            </w:pPr>
            <w:r>
              <w:rPr>
                <w:rFonts w:ascii="Arial" w:cs="Arial" w:eastAsia="Arial" w:hAnsi="Arial"/>
                <w:sz w:val="18"/>
                <w:szCs w:val="18"/>
                <w:i w:val="1"/>
                <w:iCs w:val="1"/>
                <w:color w:val="auto"/>
                <w:w w:val="96"/>
              </w:rPr>
              <w:t>31.0</w:t>
            </w:r>
          </w:p>
        </w:tc>
        <w:tc>
          <w:tcPr>
            <w:tcW w:w="120" w:type="dxa"/>
            <w:vAlign w:val="bottom"/>
          </w:tcPr>
          <w:p>
            <w:pPr>
              <w:spacing w:after="0"/>
              <w:rPr>
                <w:sz w:val="21"/>
                <w:szCs w:val="21"/>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i w:val="1"/>
                <w:iCs w:val="1"/>
                <w:color w:val="auto"/>
                <w:w w:val="79"/>
              </w:rPr>
              <w:t>$</w:t>
            </w:r>
          </w:p>
        </w:tc>
        <w:tc>
          <w:tcPr>
            <w:tcW w:w="880" w:type="dxa"/>
            <w:vAlign w:val="bottom"/>
            <w:gridSpan w:val="3"/>
          </w:tcPr>
          <w:p>
            <w:pPr>
              <w:jc w:val="right"/>
              <w:spacing w:after="0"/>
              <w:rPr>
                <w:sz w:val="20"/>
                <w:szCs w:val="20"/>
                <w:color w:val="auto"/>
              </w:rPr>
            </w:pPr>
            <w:r>
              <w:rPr>
                <w:rFonts w:ascii="Arial" w:cs="Arial" w:eastAsia="Arial" w:hAnsi="Arial"/>
                <w:sz w:val="18"/>
                <w:szCs w:val="18"/>
                <w:i w:val="1"/>
                <w:iCs w:val="1"/>
                <w:color w:val="auto"/>
              </w:rPr>
              <w:t>(35.6)</w:t>
            </w:r>
          </w:p>
        </w:tc>
        <w:tc>
          <w:tcPr>
            <w:tcW w:w="400" w:type="dxa"/>
            <w:vAlign w:val="bottom"/>
            <w:gridSpan w:val="2"/>
          </w:tcPr>
          <w:p>
            <w:pPr>
              <w:jc w:val="right"/>
              <w:ind w:right="108"/>
              <w:spacing w:after="0"/>
              <w:rPr>
                <w:sz w:val="20"/>
                <w:szCs w:val="20"/>
                <w:color w:val="auto"/>
              </w:rPr>
            </w:pPr>
            <w:r>
              <w:rPr>
                <w:rFonts w:ascii="Arial" w:cs="Arial" w:eastAsia="Arial" w:hAnsi="Arial"/>
                <w:sz w:val="18"/>
                <w:szCs w:val="18"/>
                <w:i w:val="1"/>
                <w:iCs w:val="1"/>
                <w:color w:val="auto"/>
              </w:rPr>
              <w:t>$</w:t>
            </w:r>
          </w:p>
        </w:tc>
        <w:tc>
          <w:tcPr>
            <w:tcW w:w="820" w:type="dxa"/>
            <w:vAlign w:val="bottom"/>
          </w:tcPr>
          <w:p>
            <w:pPr>
              <w:jc w:val="right"/>
              <w:spacing w:after="0"/>
              <w:rPr>
                <w:sz w:val="20"/>
                <w:szCs w:val="20"/>
                <w:color w:val="auto"/>
              </w:rPr>
            </w:pPr>
            <w:r>
              <w:rPr>
                <w:rFonts w:ascii="Arial" w:cs="Arial" w:eastAsia="Arial" w:hAnsi="Arial"/>
                <w:sz w:val="18"/>
                <w:szCs w:val="18"/>
                <w:i w:val="1"/>
                <w:iCs w:val="1"/>
                <w:color w:val="auto"/>
              </w:rPr>
              <w:t>(4.6)</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2003</w:t>
            </w: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i w:val="1"/>
                <w:iCs w:val="1"/>
                <w:color w:val="auto"/>
              </w:rPr>
              <w:t>24.7</w:t>
            </w: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1.4</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w w:val="99"/>
              </w:rPr>
              <w:t>$</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w:t>
            </w:r>
          </w:p>
        </w:tc>
        <w:tc>
          <w:tcPr>
            <w:tcW w:w="9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i w:val="1"/>
                <w:iCs w:val="1"/>
                <w:color w:val="auto"/>
              </w:rPr>
              <w:t>5.7</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i w:val="1"/>
                <w:iCs w:val="1"/>
                <w:color w:val="auto"/>
                <w:w w:val="99"/>
              </w:rPr>
              <w:t>$</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i w:val="1"/>
                <w:iCs w:val="1"/>
                <w:color w:val="auto"/>
              </w:rPr>
              <w:t>5.6</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371"/>
              <w:spacing w:after="0"/>
              <w:rPr>
                <w:sz w:val="20"/>
                <w:szCs w:val="20"/>
                <w:color w:val="auto"/>
              </w:rPr>
            </w:pPr>
            <w:r>
              <w:rPr>
                <w:rFonts w:ascii="Arial" w:cs="Arial" w:eastAsia="Arial" w:hAnsi="Arial"/>
                <w:sz w:val="18"/>
                <w:szCs w:val="18"/>
                <w:i w:val="1"/>
                <w:iCs w:val="1"/>
                <w:color w:val="auto"/>
                <w:w w:val="99"/>
              </w:rPr>
              <w:t>$</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i w:val="1"/>
                <w:iCs w:val="1"/>
                <w:color w:val="auto"/>
                <w:w w:val="96"/>
              </w:rPr>
              <w:t>37.4</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i w:val="1"/>
                <w:iCs w:val="1"/>
                <w:color w:val="auto"/>
                <w:w w:val="79"/>
              </w:rPr>
              <w:t>$</w:t>
            </w: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(34.5)</w:t>
            </w:r>
          </w:p>
        </w:tc>
        <w:tc>
          <w:tcPr>
            <w:tcW w:w="40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i w:val="1"/>
                <w:iCs w:val="1"/>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2.9</w:t>
            </w:r>
          </w:p>
        </w:tc>
        <w:tc>
          <w:tcPr>
            <w:tcW w:w="0" w:type="dxa"/>
            <w:vAlign w:val="bottom"/>
          </w:tcPr>
          <w:p>
            <w:pPr>
              <w:spacing w:after="0"/>
              <w:rPr>
                <w:sz w:val="1"/>
                <w:szCs w:val="1"/>
                <w:color w:val="auto"/>
              </w:rPr>
            </w:pPr>
          </w:p>
        </w:tc>
      </w:tr>
      <w:tr>
        <w:trPr>
          <w:trHeight w:val="243"/>
        </w:trPr>
        <w:tc>
          <w:tcPr>
            <w:tcW w:w="1260" w:type="dxa"/>
            <w:vAlign w:val="bottom"/>
          </w:tcPr>
          <w:p>
            <w:pPr>
              <w:ind w:left="80"/>
              <w:spacing w:after="0"/>
              <w:rPr>
                <w:sz w:val="20"/>
                <w:szCs w:val="20"/>
                <w:color w:val="auto"/>
              </w:rPr>
            </w:pPr>
            <w:r>
              <w:rPr>
                <w:rFonts w:ascii="Arial" w:cs="Arial" w:eastAsia="Arial" w:hAnsi="Arial"/>
                <w:sz w:val="18"/>
                <w:szCs w:val="18"/>
                <w:i w:val="1"/>
                <w:iCs w:val="1"/>
                <w:color w:val="auto"/>
              </w:rPr>
              <w:t>2004</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i w:val="1"/>
                <w:iCs w:val="1"/>
                <w:color w:val="auto"/>
              </w:rPr>
              <w:t>57.3</w:t>
            </w:r>
          </w:p>
        </w:tc>
        <w:tc>
          <w:tcPr>
            <w:tcW w:w="20" w:type="dxa"/>
            <w:vAlign w:val="bottom"/>
          </w:tcPr>
          <w:p>
            <w:pPr>
              <w:spacing w:after="0"/>
              <w:rPr>
                <w:sz w:val="21"/>
                <w:szCs w:val="21"/>
                <w:color w:val="auto"/>
              </w:rPr>
            </w:pPr>
          </w:p>
        </w:tc>
        <w:tc>
          <w:tcPr>
            <w:tcW w:w="24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(0.1)</w:t>
            </w:r>
          </w:p>
        </w:tc>
        <w:tc>
          <w:tcPr>
            <w:tcW w:w="12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w w:val="99"/>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340" w:type="dxa"/>
            <w:vAlign w:val="bottom"/>
            <w:gridSpan w:val="3"/>
          </w:tcPr>
          <w:p>
            <w:pPr>
              <w:jc w:val="right"/>
              <w:ind w:right="80"/>
              <w:spacing w:after="0"/>
              <w:rPr>
                <w:sz w:val="20"/>
                <w:szCs w:val="20"/>
                <w:color w:val="auto"/>
              </w:rPr>
            </w:pPr>
            <w:r>
              <w:rPr>
                <w:rFonts w:ascii="Arial" w:cs="Arial" w:eastAsia="Arial" w:hAnsi="Arial"/>
                <w:sz w:val="18"/>
                <w:szCs w:val="18"/>
                <w:i w:val="1"/>
                <w:iCs w:val="1"/>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i w:val="1"/>
                <w:iCs w:val="1"/>
                <w:color w:val="auto"/>
              </w:rPr>
              <w:t>(1.8)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i w:val="1"/>
                <w:iCs w:val="1"/>
                <w:color w:val="auto"/>
                <w:w w:val="99"/>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i w:val="1"/>
                <w:iCs w:val="1"/>
                <w:color w:val="auto"/>
                <w:w w:val="97"/>
              </w:rPr>
              <w:t>(3.2)</w:t>
            </w:r>
          </w:p>
        </w:tc>
        <w:tc>
          <w:tcPr>
            <w:tcW w:w="100" w:type="dxa"/>
            <w:vAlign w:val="bottom"/>
          </w:tcPr>
          <w:p>
            <w:pPr>
              <w:spacing w:after="0"/>
              <w:rPr>
                <w:sz w:val="21"/>
                <w:szCs w:val="21"/>
                <w:color w:val="auto"/>
              </w:rPr>
            </w:pPr>
          </w:p>
        </w:tc>
        <w:tc>
          <w:tcPr>
            <w:tcW w:w="580" w:type="dxa"/>
            <w:vAlign w:val="bottom"/>
          </w:tcPr>
          <w:p>
            <w:pPr>
              <w:jc w:val="right"/>
              <w:ind w:right="371"/>
              <w:spacing w:after="0"/>
              <w:rPr>
                <w:sz w:val="20"/>
                <w:szCs w:val="20"/>
                <w:color w:val="auto"/>
              </w:rPr>
            </w:pPr>
            <w:r>
              <w:rPr>
                <w:rFonts w:ascii="Arial" w:cs="Arial" w:eastAsia="Arial" w:hAnsi="Arial"/>
                <w:sz w:val="18"/>
                <w:szCs w:val="18"/>
                <w:i w:val="1"/>
                <w:iCs w:val="1"/>
                <w:color w:val="auto"/>
                <w:w w:val="99"/>
              </w:rPr>
              <w:t>$</w:t>
            </w:r>
          </w:p>
        </w:tc>
        <w:tc>
          <w:tcPr>
            <w:tcW w:w="80" w:type="dxa"/>
            <w:vAlign w:val="bottom"/>
          </w:tcPr>
          <w:p>
            <w:pPr>
              <w:spacing w:after="0"/>
              <w:rPr>
                <w:sz w:val="21"/>
                <w:szCs w:val="21"/>
                <w:color w:val="auto"/>
              </w:rPr>
            </w:pPr>
          </w:p>
        </w:tc>
        <w:tc>
          <w:tcPr>
            <w:tcW w:w="460" w:type="dxa"/>
            <w:vAlign w:val="bottom"/>
            <w:gridSpan w:val="2"/>
          </w:tcPr>
          <w:p>
            <w:pPr>
              <w:jc w:val="right"/>
              <w:ind w:right="28"/>
              <w:spacing w:after="0"/>
              <w:rPr>
                <w:sz w:val="20"/>
                <w:szCs w:val="20"/>
                <w:color w:val="auto"/>
              </w:rPr>
            </w:pPr>
            <w:r>
              <w:rPr>
                <w:rFonts w:ascii="Arial" w:cs="Arial" w:eastAsia="Arial" w:hAnsi="Arial"/>
                <w:sz w:val="18"/>
                <w:szCs w:val="18"/>
                <w:i w:val="1"/>
                <w:iCs w:val="1"/>
                <w:color w:val="auto"/>
                <w:w w:val="96"/>
              </w:rPr>
              <w:t>52.2</w:t>
            </w:r>
          </w:p>
        </w:tc>
        <w:tc>
          <w:tcPr>
            <w:tcW w:w="120" w:type="dxa"/>
            <w:vAlign w:val="bottom"/>
          </w:tcPr>
          <w:p>
            <w:pPr>
              <w:spacing w:after="0"/>
              <w:rPr>
                <w:sz w:val="21"/>
                <w:szCs w:val="21"/>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i w:val="1"/>
                <w:iCs w:val="1"/>
                <w:color w:val="auto"/>
                <w:w w:val="79"/>
              </w:rPr>
              <w:t>$</w:t>
            </w:r>
          </w:p>
        </w:tc>
        <w:tc>
          <w:tcPr>
            <w:tcW w:w="880" w:type="dxa"/>
            <w:vAlign w:val="bottom"/>
            <w:gridSpan w:val="3"/>
          </w:tcPr>
          <w:p>
            <w:pPr>
              <w:jc w:val="right"/>
              <w:spacing w:after="0"/>
              <w:rPr>
                <w:sz w:val="20"/>
                <w:szCs w:val="20"/>
                <w:color w:val="auto"/>
              </w:rPr>
            </w:pPr>
            <w:r>
              <w:rPr>
                <w:rFonts w:ascii="Arial" w:cs="Arial" w:eastAsia="Arial" w:hAnsi="Arial"/>
                <w:sz w:val="18"/>
                <w:szCs w:val="18"/>
                <w:i w:val="1"/>
                <w:iCs w:val="1"/>
                <w:color w:val="auto"/>
              </w:rPr>
              <w:t>(34.4)</w:t>
            </w:r>
          </w:p>
        </w:tc>
        <w:tc>
          <w:tcPr>
            <w:tcW w:w="400" w:type="dxa"/>
            <w:vAlign w:val="bottom"/>
            <w:gridSpan w:val="2"/>
          </w:tcPr>
          <w:p>
            <w:pPr>
              <w:jc w:val="right"/>
              <w:ind w:right="108"/>
              <w:spacing w:after="0"/>
              <w:rPr>
                <w:sz w:val="20"/>
                <w:szCs w:val="20"/>
                <w:color w:val="auto"/>
              </w:rPr>
            </w:pPr>
            <w:r>
              <w:rPr>
                <w:rFonts w:ascii="Arial" w:cs="Arial" w:eastAsia="Arial" w:hAnsi="Arial"/>
                <w:sz w:val="18"/>
                <w:szCs w:val="18"/>
                <w:i w:val="1"/>
                <w:iCs w:val="1"/>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i w:val="1"/>
                <w:iCs w:val="1"/>
                <w:color w:val="auto"/>
              </w:rPr>
              <w:t>17.8</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2005</w:t>
            </w: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i w:val="1"/>
                <w:iCs w:val="1"/>
                <w:color w:val="auto"/>
              </w:rPr>
              <w:t>72.6</w:t>
            </w: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(2.2)</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w w:val="99"/>
              </w:rPr>
              <w:t>$</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w:t>
            </w:r>
          </w:p>
        </w:tc>
        <w:tc>
          <w:tcPr>
            <w:tcW w:w="9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i w:val="1"/>
                <w:iCs w:val="1"/>
                <w:color w:val="auto"/>
              </w:rPr>
              <w:t>0.1</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i w:val="1"/>
                <w:iCs w:val="1"/>
                <w:color w:val="auto"/>
                <w:w w:val="99"/>
              </w:rPr>
              <w:t>$</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7"/>
              </w:rPr>
              <w:t>(7.3)</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371"/>
              <w:spacing w:after="0"/>
              <w:rPr>
                <w:sz w:val="20"/>
                <w:szCs w:val="20"/>
                <w:color w:val="auto"/>
              </w:rPr>
            </w:pPr>
            <w:r>
              <w:rPr>
                <w:rFonts w:ascii="Arial" w:cs="Arial" w:eastAsia="Arial" w:hAnsi="Arial"/>
                <w:sz w:val="18"/>
                <w:szCs w:val="18"/>
                <w:i w:val="1"/>
                <w:iCs w:val="1"/>
                <w:color w:val="auto"/>
                <w:w w:val="99"/>
              </w:rPr>
              <w:t>$</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i w:val="1"/>
                <w:iCs w:val="1"/>
                <w:color w:val="auto"/>
                <w:w w:val="96"/>
              </w:rPr>
              <w:t>63.2</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i w:val="1"/>
                <w:iCs w:val="1"/>
                <w:color w:val="auto"/>
                <w:w w:val="79"/>
              </w:rPr>
              <w:t>$</w:t>
            </w: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(34.5)</w:t>
            </w:r>
          </w:p>
        </w:tc>
        <w:tc>
          <w:tcPr>
            <w:tcW w:w="40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i w:val="1"/>
                <w:iCs w:val="1"/>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28.7</w:t>
            </w:r>
          </w:p>
        </w:tc>
        <w:tc>
          <w:tcPr>
            <w:tcW w:w="0" w:type="dxa"/>
            <w:vAlign w:val="bottom"/>
          </w:tcPr>
          <w:p>
            <w:pPr>
              <w:spacing w:after="0"/>
              <w:rPr>
                <w:sz w:val="1"/>
                <w:szCs w:val="1"/>
                <w:color w:val="auto"/>
              </w:rPr>
            </w:pPr>
          </w:p>
        </w:tc>
      </w:tr>
      <w:tr>
        <w:trPr>
          <w:trHeight w:val="243"/>
        </w:trPr>
        <w:tc>
          <w:tcPr>
            <w:tcW w:w="1260" w:type="dxa"/>
            <w:vAlign w:val="bottom"/>
          </w:tcPr>
          <w:p>
            <w:pPr>
              <w:ind w:left="80"/>
              <w:spacing w:after="0"/>
              <w:rPr>
                <w:sz w:val="20"/>
                <w:szCs w:val="20"/>
                <w:color w:val="auto"/>
              </w:rPr>
            </w:pPr>
            <w:r>
              <w:rPr>
                <w:rFonts w:ascii="Arial" w:cs="Arial" w:eastAsia="Arial" w:hAnsi="Arial"/>
                <w:sz w:val="18"/>
                <w:szCs w:val="18"/>
                <w:i w:val="1"/>
                <w:iCs w:val="1"/>
                <w:color w:val="auto"/>
              </w:rPr>
              <w:t>2006</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i w:val="1"/>
                <w:iCs w:val="1"/>
                <w:color w:val="auto"/>
              </w:rPr>
              <w:t>58.6</w:t>
            </w:r>
          </w:p>
        </w:tc>
        <w:tc>
          <w:tcPr>
            <w:tcW w:w="20" w:type="dxa"/>
            <w:vAlign w:val="bottom"/>
          </w:tcPr>
          <w:p>
            <w:pPr>
              <w:spacing w:after="0"/>
              <w:rPr>
                <w:sz w:val="21"/>
                <w:szCs w:val="21"/>
                <w:color w:val="auto"/>
              </w:rPr>
            </w:pPr>
          </w:p>
        </w:tc>
        <w:tc>
          <w:tcPr>
            <w:tcW w:w="24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i w:val="1"/>
                <w:iCs w:val="1"/>
                <w:color w:val="auto"/>
              </w:rPr>
              <w:t>0.4</w:t>
            </w:r>
          </w:p>
        </w:tc>
        <w:tc>
          <w:tcPr>
            <w:tcW w:w="12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w w:val="99"/>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340" w:type="dxa"/>
            <w:vAlign w:val="bottom"/>
            <w:gridSpan w:val="3"/>
          </w:tcPr>
          <w:p>
            <w:pPr>
              <w:jc w:val="right"/>
              <w:ind w:right="80"/>
              <w:spacing w:after="0"/>
              <w:rPr>
                <w:sz w:val="20"/>
                <w:szCs w:val="20"/>
                <w:color w:val="auto"/>
              </w:rPr>
            </w:pPr>
            <w:r>
              <w:rPr>
                <w:rFonts w:ascii="Arial" w:cs="Arial" w:eastAsia="Arial" w:hAnsi="Arial"/>
                <w:sz w:val="18"/>
                <w:szCs w:val="18"/>
                <w:i w:val="1"/>
                <w:iCs w:val="1"/>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i w:val="1"/>
                <w:iCs w:val="1"/>
                <w:color w:val="auto"/>
              </w:rPr>
              <w:t>(1.7)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i w:val="1"/>
                <w:iCs w:val="1"/>
                <w:color w:val="auto"/>
                <w:w w:val="99"/>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i w:val="1"/>
                <w:iCs w:val="1"/>
                <w:color w:val="auto"/>
              </w:rPr>
              <w:t>4.4</w:t>
            </w:r>
          </w:p>
        </w:tc>
        <w:tc>
          <w:tcPr>
            <w:tcW w:w="100" w:type="dxa"/>
            <w:vAlign w:val="bottom"/>
          </w:tcPr>
          <w:p>
            <w:pPr>
              <w:spacing w:after="0"/>
              <w:rPr>
                <w:sz w:val="21"/>
                <w:szCs w:val="21"/>
                <w:color w:val="auto"/>
              </w:rPr>
            </w:pPr>
          </w:p>
        </w:tc>
        <w:tc>
          <w:tcPr>
            <w:tcW w:w="580" w:type="dxa"/>
            <w:vAlign w:val="bottom"/>
          </w:tcPr>
          <w:p>
            <w:pPr>
              <w:jc w:val="right"/>
              <w:ind w:right="371"/>
              <w:spacing w:after="0"/>
              <w:rPr>
                <w:sz w:val="20"/>
                <w:szCs w:val="20"/>
                <w:color w:val="auto"/>
              </w:rPr>
            </w:pPr>
            <w:r>
              <w:rPr>
                <w:rFonts w:ascii="Arial" w:cs="Arial" w:eastAsia="Arial" w:hAnsi="Arial"/>
                <w:sz w:val="18"/>
                <w:szCs w:val="18"/>
                <w:i w:val="1"/>
                <w:iCs w:val="1"/>
                <w:color w:val="auto"/>
                <w:w w:val="99"/>
              </w:rPr>
              <w:t>$</w:t>
            </w:r>
          </w:p>
        </w:tc>
        <w:tc>
          <w:tcPr>
            <w:tcW w:w="80" w:type="dxa"/>
            <w:vAlign w:val="bottom"/>
          </w:tcPr>
          <w:p>
            <w:pPr>
              <w:spacing w:after="0"/>
              <w:rPr>
                <w:sz w:val="21"/>
                <w:szCs w:val="21"/>
                <w:color w:val="auto"/>
              </w:rPr>
            </w:pPr>
          </w:p>
        </w:tc>
        <w:tc>
          <w:tcPr>
            <w:tcW w:w="460" w:type="dxa"/>
            <w:vAlign w:val="bottom"/>
            <w:gridSpan w:val="2"/>
          </w:tcPr>
          <w:p>
            <w:pPr>
              <w:jc w:val="right"/>
              <w:ind w:right="28"/>
              <w:spacing w:after="0"/>
              <w:rPr>
                <w:sz w:val="20"/>
                <w:szCs w:val="20"/>
                <w:color w:val="auto"/>
              </w:rPr>
            </w:pPr>
            <w:r>
              <w:rPr>
                <w:rFonts w:ascii="Arial" w:cs="Arial" w:eastAsia="Arial" w:hAnsi="Arial"/>
                <w:sz w:val="18"/>
                <w:szCs w:val="18"/>
                <w:i w:val="1"/>
                <w:iCs w:val="1"/>
                <w:color w:val="auto"/>
                <w:w w:val="96"/>
              </w:rPr>
              <w:t>61.7</w:t>
            </w:r>
          </w:p>
        </w:tc>
        <w:tc>
          <w:tcPr>
            <w:tcW w:w="120" w:type="dxa"/>
            <w:vAlign w:val="bottom"/>
          </w:tcPr>
          <w:p>
            <w:pPr>
              <w:spacing w:after="0"/>
              <w:rPr>
                <w:sz w:val="21"/>
                <w:szCs w:val="21"/>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i w:val="1"/>
                <w:iCs w:val="1"/>
                <w:color w:val="auto"/>
                <w:w w:val="79"/>
              </w:rPr>
              <w:t>$</w:t>
            </w:r>
          </w:p>
        </w:tc>
        <w:tc>
          <w:tcPr>
            <w:tcW w:w="880" w:type="dxa"/>
            <w:vAlign w:val="bottom"/>
            <w:gridSpan w:val="3"/>
          </w:tcPr>
          <w:p>
            <w:pPr>
              <w:jc w:val="right"/>
              <w:spacing w:after="0"/>
              <w:rPr>
                <w:sz w:val="20"/>
                <w:szCs w:val="20"/>
                <w:color w:val="auto"/>
              </w:rPr>
            </w:pPr>
            <w:r>
              <w:rPr>
                <w:rFonts w:ascii="Arial" w:cs="Arial" w:eastAsia="Arial" w:hAnsi="Arial"/>
                <w:sz w:val="18"/>
                <w:szCs w:val="18"/>
                <w:i w:val="1"/>
                <w:iCs w:val="1"/>
                <w:color w:val="auto"/>
              </w:rPr>
              <w:t>(29.6)</w:t>
            </w:r>
          </w:p>
        </w:tc>
        <w:tc>
          <w:tcPr>
            <w:tcW w:w="400" w:type="dxa"/>
            <w:vAlign w:val="bottom"/>
            <w:gridSpan w:val="2"/>
          </w:tcPr>
          <w:p>
            <w:pPr>
              <w:jc w:val="right"/>
              <w:ind w:right="108"/>
              <w:spacing w:after="0"/>
              <w:rPr>
                <w:sz w:val="20"/>
                <w:szCs w:val="20"/>
                <w:color w:val="auto"/>
              </w:rPr>
            </w:pPr>
            <w:r>
              <w:rPr>
                <w:rFonts w:ascii="Arial" w:cs="Arial" w:eastAsia="Arial" w:hAnsi="Arial"/>
                <w:sz w:val="18"/>
                <w:szCs w:val="18"/>
                <w:i w:val="1"/>
                <w:iCs w:val="1"/>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i w:val="1"/>
                <w:iCs w:val="1"/>
                <w:color w:val="auto"/>
              </w:rPr>
              <w:t>32.1</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2007</w:t>
            </w: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i w:val="1"/>
                <w:iCs w:val="1"/>
                <w:color w:val="auto"/>
              </w:rPr>
              <w:t>54.9</w:t>
            </w: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3.6</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w w:val="99"/>
              </w:rPr>
              <w:t>$</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(1.2)</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i w:val="1"/>
                <w:iCs w:val="1"/>
                <w:color w:val="auto"/>
                <w:w w:val="99"/>
              </w:rPr>
              <w:t>$</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i w:val="1"/>
                <w:iCs w:val="1"/>
                <w:color w:val="auto"/>
              </w:rPr>
              <w:t>4.4</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371"/>
              <w:spacing w:after="0"/>
              <w:rPr>
                <w:sz w:val="20"/>
                <w:szCs w:val="20"/>
                <w:color w:val="auto"/>
              </w:rPr>
            </w:pPr>
            <w:r>
              <w:rPr>
                <w:rFonts w:ascii="Arial" w:cs="Arial" w:eastAsia="Arial" w:hAnsi="Arial"/>
                <w:sz w:val="18"/>
                <w:szCs w:val="18"/>
                <w:i w:val="1"/>
                <w:iCs w:val="1"/>
                <w:color w:val="auto"/>
                <w:w w:val="99"/>
              </w:rPr>
              <w:t>$</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i w:val="1"/>
                <w:iCs w:val="1"/>
                <w:color w:val="auto"/>
                <w:w w:val="96"/>
              </w:rPr>
              <w:t>61.7</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i w:val="1"/>
                <w:iCs w:val="1"/>
                <w:color w:val="auto"/>
                <w:w w:val="79"/>
              </w:rPr>
              <w:t>$</w:t>
            </w: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(27.2)</w:t>
            </w:r>
          </w:p>
        </w:tc>
        <w:tc>
          <w:tcPr>
            <w:tcW w:w="40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i w:val="1"/>
                <w:iCs w:val="1"/>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34.5</w:t>
            </w:r>
          </w:p>
        </w:tc>
        <w:tc>
          <w:tcPr>
            <w:tcW w:w="0" w:type="dxa"/>
            <w:vAlign w:val="bottom"/>
          </w:tcPr>
          <w:p>
            <w:pPr>
              <w:spacing w:after="0"/>
              <w:rPr>
                <w:sz w:val="1"/>
                <w:szCs w:val="1"/>
                <w:color w:val="auto"/>
              </w:rPr>
            </w:pPr>
          </w:p>
        </w:tc>
      </w:tr>
      <w:tr>
        <w:trPr>
          <w:trHeight w:val="243"/>
        </w:trPr>
        <w:tc>
          <w:tcPr>
            <w:tcW w:w="1260" w:type="dxa"/>
            <w:vAlign w:val="bottom"/>
          </w:tcPr>
          <w:p>
            <w:pPr>
              <w:ind w:left="80"/>
              <w:spacing w:after="0"/>
              <w:rPr>
                <w:sz w:val="20"/>
                <w:szCs w:val="20"/>
                <w:color w:val="auto"/>
              </w:rPr>
            </w:pPr>
            <w:r>
              <w:rPr>
                <w:rFonts w:ascii="Arial" w:cs="Arial" w:eastAsia="Arial" w:hAnsi="Arial"/>
                <w:sz w:val="18"/>
                <w:szCs w:val="18"/>
                <w:i w:val="1"/>
                <w:iCs w:val="1"/>
                <w:color w:val="auto"/>
              </w:rPr>
              <w:t>2008</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i w:val="1"/>
                <w:iCs w:val="1"/>
                <w:color w:val="auto"/>
              </w:rPr>
              <w:t>67.2</w:t>
            </w:r>
          </w:p>
        </w:tc>
        <w:tc>
          <w:tcPr>
            <w:tcW w:w="20" w:type="dxa"/>
            <w:vAlign w:val="bottom"/>
          </w:tcPr>
          <w:p>
            <w:pPr>
              <w:spacing w:after="0"/>
              <w:rPr>
                <w:sz w:val="21"/>
                <w:szCs w:val="21"/>
                <w:color w:val="auto"/>
              </w:rPr>
            </w:pPr>
          </w:p>
        </w:tc>
        <w:tc>
          <w:tcPr>
            <w:tcW w:w="24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i w:val="1"/>
                <w:iCs w:val="1"/>
                <w:color w:val="auto"/>
              </w:rPr>
              <w:t>13.1</w:t>
            </w:r>
          </w:p>
        </w:tc>
        <w:tc>
          <w:tcPr>
            <w:tcW w:w="12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w w:val="99"/>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340" w:type="dxa"/>
            <w:vAlign w:val="bottom"/>
            <w:gridSpan w:val="3"/>
          </w:tcPr>
          <w:p>
            <w:pPr>
              <w:jc w:val="right"/>
              <w:ind w:right="80"/>
              <w:spacing w:after="0"/>
              <w:rPr>
                <w:sz w:val="20"/>
                <w:szCs w:val="20"/>
                <w:color w:val="auto"/>
              </w:rPr>
            </w:pPr>
            <w:r>
              <w:rPr>
                <w:rFonts w:ascii="Arial" w:cs="Arial" w:eastAsia="Arial" w:hAnsi="Arial"/>
                <w:sz w:val="18"/>
                <w:szCs w:val="18"/>
                <w:i w:val="1"/>
                <w:iCs w:val="1"/>
                <w:color w:val="auto"/>
              </w:rPr>
              <w:t>$</w:t>
            </w:r>
          </w:p>
        </w:tc>
        <w:tc>
          <w:tcPr>
            <w:tcW w:w="920" w:type="dxa"/>
            <w:vAlign w:val="bottom"/>
            <w:gridSpan w:val="2"/>
          </w:tcPr>
          <w:p>
            <w:pPr>
              <w:jc w:val="right"/>
              <w:ind w:right="28"/>
              <w:spacing w:after="0"/>
              <w:rPr>
                <w:sz w:val="20"/>
                <w:szCs w:val="20"/>
                <w:color w:val="auto"/>
              </w:rPr>
            </w:pPr>
            <w:r>
              <w:rPr>
                <w:rFonts w:ascii="Arial" w:cs="Arial" w:eastAsia="Arial" w:hAnsi="Arial"/>
                <w:sz w:val="18"/>
                <w:szCs w:val="18"/>
                <w:i w:val="1"/>
                <w:iCs w:val="1"/>
                <w:color w:val="auto"/>
              </w:rPr>
              <w:t>0.4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i w:val="1"/>
                <w:iCs w:val="1"/>
                <w:color w:val="auto"/>
                <w:w w:val="99"/>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i w:val="1"/>
                <w:iCs w:val="1"/>
                <w:color w:val="auto"/>
              </w:rPr>
              <w:t>2.1</w:t>
            </w:r>
          </w:p>
        </w:tc>
        <w:tc>
          <w:tcPr>
            <w:tcW w:w="100" w:type="dxa"/>
            <w:vAlign w:val="bottom"/>
          </w:tcPr>
          <w:p>
            <w:pPr>
              <w:spacing w:after="0"/>
              <w:rPr>
                <w:sz w:val="21"/>
                <w:szCs w:val="21"/>
                <w:color w:val="auto"/>
              </w:rPr>
            </w:pPr>
          </w:p>
        </w:tc>
        <w:tc>
          <w:tcPr>
            <w:tcW w:w="580" w:type="dxa"/>
            <w:vAlign w:val="bottom"/>
          </w:tcPr>
          <w:p>
            <w:pPr>
              <w:jc w:val="right"/>
              <w:ind w:right="371"/>
              <w:spacing w:after="0"/>
              <w:rPr>
                <w:sz w:val="20"/>
                <w:szCs w:val="20"/>
                <w:color w:val="auto"/>
              </w:rPr>
            </w:pPr>
            <w:r>
              <w:rPr>
                <w:rFonts w:ascii="Arial" w:cs="Arial" w:eastAsia="Arial" w:hAnsi="Arial"/>
                <w:sz w:val="18"/>
                <w:szCs w:val="18"/>
                <w:i w:val="1"/>
                <w:iCs w:val="1"/>
                <w:color w:val="auto"/>
                <w:w w:val="99"/>
              </w:rPr>
              <w:t>$</w:t>
            </w:r>
          </w:p>
        </w:tc>
        <w:tc>
          <w:tcPr>
            <w:tcW w:w="80" w:type="dxa"/>
            <w:vAlign w:val="bottom"/>
          </w:tcPr>
          <w:p>
            <w:pPr>
              <w:spacing w:after="0"/>
              <w:rPr>
                <w:sz w:val="21"/>
                <w:szCs w:val="21"/>
                <w:color w:val="auto"/>
              </w:rPr>
            </w:pPr>
          </w:p>
        </w:tc>
        <w:tc>
          <w:tcPr>
            <w:tcW w:w="460" w:type="dxa"/>
            <w:vAlign w:val="bottom"/>
            <w:gridSpan w:val="2"/>
          </w:tcPr>
          <w:p>
            <w:pPr>
              <w:jc w:val="right"/>
              <w:ind w:right="28"/>
              <w:spacing w:after="0"/>
              <w:rPr>
                <w:sz w:val="20"/>
                <w:szCs w:val="20"/>
                <w:color w:val="auto"/>
              </w:rPr>
            </w:pPr>
            <w:r>
              <w:rPr>
                <w:rFonts w:ascii="Arial" w:cs="Arial" w:eastAsia="Arial" w:hAnsi="Arial"/>
                <w:sz w:val="18"/>
                <w:szCs w:val="18"/>
                <w:i w:val="1"/>
                <w:iCs w:val="1"/>
                <w:color w:val="auto"/>
                <w:w w:val="96"/>
              </w:rPr>
              <w:t>82.8</w:t>
            </w:r>
          </w:p>
        </w:tc>
        <w:tc>
          <w:tcPr>
            <w:tcW w:w="120" w:type="dxa"/>
            <w:vAlign w:val="bottom"/>
          </w:tcPr>
          <w:p>
            <w:pPr>
              <w:spacing w:after="0"/>
              <w:rPr>
                <w:sz w:val="21"/>
                <w:szCs w:val="21"/>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i w:val="1"/>
                <w:iCs w:val="1"/>
                <w:color w:val="auto"/>
                <w:w w:val="79"/>
              </w:rPr>
              <w:t>$</w:t>
            </w:r>
          </w:p>
        </w:tc>
        <w:tc>
          <w:tcPr>
            <w:tcW w:w="880" w:type="dxa"/>
            <w:vAlign w:val="bottom"/>
            <w:gridSpan w:val="3"/>
          </w:tcPr>
          <w:p>
            <w:pPr>
              <w:jc w:val="right"/>
              <w:spacing w:after="0"/>
              <w:rPr>
                <w:sz w:val="20"/>
                <w:szCs w:val="20"/>
                <w:color w:val="auto"/>
              </w:rPr>
            </w:pPr>
            <w:r>
              <w:rPr>
                <w:rFonts w:ascii="Arial" w:cs="Arial" w:eastAsia="Arial" w:hAnsi="Arial"/>
                <w:sz w:val="18"/>
                <w:szCs w:val="18"/>
                <w:i w:val="1"/>
                <w:iCs w:val="1"/>
                <w:color w:val="auto"/>
              </w:rPr>
              <w:t>(35.8)</w:t>
            </w:r>
          </w:p>
        </w:tc>
        <w:tc>
          <w:tcPr>
            <w:tcW w:w="400" w:type="dxa"/>
            <w:vAlign w:val="bottom"/>
            <w:gridSpan w:val="2"/>
          </w:tcPr>
          <w:p>
            <w:pPr>
              <w:jc w:val="right"/>
              <w:ind w:right="108"/>
              <w:spacing w:after="0"/>
              <w:rPr>
                <w:sz w:val="20"/>
                <w:szCs w:val="20"/>
                <w:color w:val="auto"/>
              </w:rPr>
            </w:pPr>
            <w:r>
              <w:rPr>
                <w:rFonts w:ascii="Arial" w:cs="Arial" w:eastAsia="Arial" w:hAnsi="Arial"/>
                <w:sz w:val="18"/>
                <w:szCs w:val="18"/>
                <w:i w:val="1"/>
                <w:iCs w:val="1"/>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i w:val="1"/>
                <w:iCs w:val="1"/>
                <w:color w:val="auto"/>
              </w:rPr>
              <w:t>47.0</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2009</w:t>
            </w: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i w:val="1"/>
                <w:iCs w:val="1"/>
                <w:color w:val="auto"/>
              </w:rPr>
              <w:t>146.3</w:t>
            </w: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(19.6)</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w w:val="99"/>
              </w:rPr>
              <w:t>$</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(1.8)</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i w:val="1"/>
                <w:iCs w:val="1"/>
                <w:color w:val="auto"/>
                <w:w w:val="99"/>
              </w:rPr>
              <w:t>$</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i w:val="1"/>
                <w:iCs w:val="1"/>
                <w:color w:val="auto"/>
              </w:rPr>
              <w:t>0.1</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371"/>
              <w:spacing w:after="0"/>
              <w:rPr>
                <w:sz w:val="20"/>
                <w:szCs w:val="20"/>
                <w:color w:val="auto"/>
              </w:rPr>
            </w:pPr>
            <w:r>
              <w:rPr>
                <w:rFonts w:ascii="Arial" w:cs="Arial" w:eastAsia="Arial" w:hAnsi="Arial"/>
                <w:sz w:val="18"/>
                <w:szCs w:val="18"/>
                <w:i w:val="1"/>
                <w:iCs w:val="1"/>
                <w:color w:val="auto"/>
                <w:w w:val="99"/>
              </w:rPr>
              <w:t>$</w:t>
            </w:r>
          </w:p>
        </w:tc>
        <w:tc>
          <w:tcPr>
            <w:tcW w:w="5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i w:val="1"/>
                <w:iCs w:val="1"/>
                <w:color w:val="auto"/>
                <w:w w:val="93"/>
              </w:rPr>
              <w:t>125.0</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i w:val="1"/>
                <w:iCs w:val="1"/>
                <w:color w:val="auto"/>
                <w:w w:val="79"/>
              </w:rPr>
              <w:t>$</w:t>
            </w: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(45.9)</w:t>
            </w:r>
          </w:p>
        </w:tc>
        <w:tc>
          <w:tcPr>
            <w:tcW w:w="40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i w:val="1"/>
                <w:iCs w:val="1"/>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79.1</w:t>
            </w:r>
          </w:p>
        </w:tc>
        <w:tc>
          <w:tcPr>
            <w:tcW w:w="0" w:type="dxa"/>
            <w:vAlign w:val="bottom"/>
          </w:tcPr>
          <w:p>
            <w:pPr>
              <w:spacing w:after="0"/>
              <w:rPr>
                <w:sz w:val="1"/>
                <w:szCs w:val="1"/>
                <w:color w:val="auto"/>
              </w:rPr>
            </w:pPr>
          </w:p>
        </w:tc>
      </w:tr>
      <w:tr>
        <w:trPr>
          <w:trHeight w:val="243"/>
        </w:trPr>
        <w:tc>
          <w:tcPr>
            <w:tcW w:w="1260" w:type="dxa"/>
            <w:vAlign w:val="bottom"/>
          </w:tcPr>
          <w:p>
            <w:pPr>
              <w:ind w:left="80"/>
              <w:spacing w:after="0"/>
              <w:rPr>
                <w:sz w:val="20"/>
                <w:szCs w:val="20"/>
                <w:color w:val="auto"/>
              </w:rPr>
            </w:pPr>
            <w:r>
              <w:rPr>
                <w:rFonts w:ascii="Arial" w:cs="Arial" w:eastAsia="Arial" w:hAnsi="Arial"/>
                <w:sz w:val="18"/>
                <w:szCs w:val="18"/>
                <w:i w:val="1"/>
                <w:iCs w:val="1"/>
                <w:color w:val="auto"/>
              </w:rPr>
              <w:t>2010</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i w:val="1"/>
                <w:iCs w:val="1"/>
                <w:color w:val="auto"/>
              </w:rPr>
              <w:t>170.1</w:t>
            </w:r>
          </w:p>
        </w:tc>
        <w:tc>
          <w:tcPr>
            <w:tcW w:w="20" w:type="dxa"/>
            <w:vAlign w:val="bottom"/>
          </w:tcPr>
          <w:p>
            <w:pPr>
              <w:spacing w:after="0"/>
              <w:rPr>
                <w:sz w:val="21"/>
                <w:szCs w:val="21"/>
                <w:color w:val="auto"/>
              </w:rPr>
            </w:pPr>
          </w:p>
        </w:tc>
        <w:tc>
          <w:tcPr>
            <w:tcW w:w="24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i w:val="1"/>
                <w:iCs w:val="1"/>
                <w:color w:val="auto"/>
              </w:rPr>
              <w:t>0.5</w:t>
            </w:r>
          </w:p>
        </w:tc>
        <w:tc>
          <w:tcPr>
            <w:tcW w:w="12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w w:val="99"/>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340" w:type="dxa"/>
            <w:vAlign w:val="bottom"/>
            <w:gridSpan w:val="3"/>
          </w:tcPr>
          <w:p>
            <w:pPr>
              <w:jc w:val="right"/>
              <w:ind w:right="80"/>
              <w:spacing w:after="0"/>
              <w:rPr>
                <w:sz w:val="20"/>
                <w:szCs w:val="20"/>
                <w:color w:val="auto"/>
              </w:rPr>
            </w:pPr>
            <w:r>
              <w:rPr>
                <w:rFonts w:ascii="Arial" w:cs="Arial" w:eastAsia="Arial" w:hAnsi="Arial"/>
                <w:sz w:val="18"/>
                <w:szCs w:val="18"/>
                <w:i w:val="1"/>
                <w:iCs w:val="1"/>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i w:val="1"/>
                <w:iCs w:val="1"/>
                <w:color w:val="auto"/>
              </w:rPr>
              <w:t>(10.4)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i w:val="1"/>
                <w:iCs w:val="1"/>
                <w:color w:val="auto"/>
                <w:w w:val="99"/>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i w:val="1"/>
                <w:iCs w:val="1"/>
                <w:color w:val="auto"/>
              </w:rPr>
              <w:t>0.3</w:t>
            </w:r>
          </w:p>
        </w:tc>
        <w:tc>
          <w:tcPr>
            <w:tcW w:w="100" w:type="dxa"/>
            <w:vAlign w:val="bottom"/>
          </w:tcPr>
          <w:p>
            <w:pPr>
              <w:spacing w:after="0"/>
              <w:rPr>
                <w:sz w:val="21"/>
                <w:szCs w:val="21"/>
                <w:color w:val="auto"/>
              </w:rPr>
            </w:pPr>
          </w:p>
        </w:tc>
        <w:tc>
          <w:tcPr>
            <w:tcW w:w="580" w:type="dxa"/>
            <w:vAlign w:val="bottom"/>
          </w:tcPr>
          <w:p>
            <w:pPr>
              <w:jc w:val="right"/>
              <w:ind w:right="371"/>
              <w:spacing w:after="0"/>
              <w:rPr>
                <w:sz w:val="20"/>
                <w:szCs w:val="20"/>
                <w:color w:val="auto"/>
              </w:rPr>
            </w:pPr>
            <w:r>
              <w:rPr>
                <w:rFonts w:ascii="Arial" w:cs="Arial" w:eastAsia="Arial" w:hAnsi="Arial"/>
                <w:sz w:val="18"/>
                <w:szCs w:val="18"/>
                <w:i w:val="1"/>
                <w:iCs w:val="1"/>
                <w:color w:val="auto"/>
                <w:w w:val="99"/>
              </w:rPr>
              <w:t>$</w:t>
            </w:r>
          </w:p>
        </w:tc>
        <w:tc>
          <w:tcPr>
            <w:tcW w:w="540" w:type="dxa"/>
            <w:vAlign w:val="bottom"/>
            <w:gridSpan w:val="3"/>
          </w:tcPr>
          <w:p>
            <w:pPr>
              <w:jc w:val="right"/>
              <w:ind w:right="28"/>
              <w:spacing w:after="0"/>
              <w:rPr>
                <w:sz w:val="20"/>
                <w:szCs w:val="20"/>
                <w:color w:val="auto"/>
              </w:rPr>
            </w:pPr>
            <w:r>
              <w:rPr>
                <w:rFonts w:ascii="Arial" w:cs="Arial" w:eastAsia="Arial" w:hAnsi="Arial"/>
                <w:sz w:val="18"/>
                <w:szCs w:val="18"/>
                <w:i w:val="1"/>
                <w:iCs w:val="1"/>
                <w:color w:val="auto"/>
                <w:w w:val="93"/>
              </w:rPr>
              <w:t>160.5</w:t>
            </w:r>
          </w:p>
        </w:tc>
        <w:tc>
          <w:tcPr>
            <w:tcW w:w="120" w:type="dxa"/>
            <w:vAlign w:val="bottom"/>
          </w:tcPr>
          <w:p>
            <w:pPr>
              <w:spacing w:after="0"/>
              <w:rPr>
                <w:sz w:val="21"/>
                <w:szCs w:val="21"/>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i w:val="1"/>
                <w:iCs w:val="1"/>
                <w:color w:val="auto"/>
                <w:w w:val="79"/>
              </w:rPr>
              <w:t>$</w:t>
            </w:r>
          </w:p>
        </w:tc>
        <w:tc>
          <w:tcPr>
            <w:tcW w:w="880" w:type="dxa"/>
            <w:vAlign w:val="bottom"/>
            <w:gridSpan w:val="3"/>
          </w:tcPr>
          <w:p>
            <w:pPr>
              <w:jc w:val="right"/>
              <w:spacing w:after="0"/>
              <w:rPr>
                <w:sz w:val="20"/>
                <w:szCs w:val="20"/>
                <w:color w:val="auto"/>
              </w:rPr>
            </w:pPr>
            <w:r>
              <w:rPr>
                <w:rFonts w:ascii="Arial" w:cs="Arial" w:eastAsia="Arial" w:hAnsi="Arial"/>
                <w:sz w:val="18"/>
                <w:szCs w:val="18"/>
                <w:i w:val="1"/>
                <w:iCs w:val="1"/>
                <w:color w:val="auto"/>
              </w:rPr>
              <w:t>(47.8)</w:t>
            </w:r>
          </w:p>
        </w:tc>
        <w:tc>
          <w:tcPr>
            <w:tcW w:w="400" w:type="dxa"/>
            <w:vAlign w:val="bottom"/>
            <w:gridSpan w:val="2"/>
          </w:tcPr>
          <w:p>
            <w:pPr>
              <w:jc w:val="right"/>
              <w:ind w:right="108"/>
              <w:spacing w:after="0"/>
              <w:rPr>
                <w:sz w:val="20"/>
                <w:szCs w:val="20"/>
                <w:color w:val="auto"/>
              </w:rPr>
            </w:pPr>
            <w:r>
              <w:rPr>
                <w:rFonts w:ascii="Arial" w:cs="Arial" w:eastAsia="Arial" w:hAnsi="Arial"/>
                <w:sz w:val="18"/>
                <w:szCs w:val="18"/>
                <w:i w:val="1"/>
                <w:iCs w:val="1"/>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i w:val="1"/>
                <w:iCs w:val="1"/>
                <w:color w:val="auto"/>
              </w:rPr>
              <w:t>112.7</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2011</w:t>
            </w: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i w:val="1"/>
                <w:iCs w:val="1"/>
                <w:color w:val="auto"/>
              </w:rPr>
              <w:t>188.0</w:t>
            </w: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7.1</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w w:val="99"/>
              </w:rPr>
              <w:t>$</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(1.3)</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i w:val="1"/>
                <w:iCs w:val="1"/>
                <w:color w:val="auto"/>
                <w:w w:val="99"/>
              </w:rPr>
              <w:t>$</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i w:val="1"/>
                <w:iCs w:val="1"/>
                <w:color w:val="auto"/>
              </w:rPr>
              <w:t>0.3</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371"/>
              <w:spacing w:after="0"/>
              <w:rPr>
                <w:sz w:val="20"/>
                <w:szCs w:val="20"/>
                <w:color w:val="auto"/>
              </w:rPr>
            </w:pPr>
            <w:r>
              <w:rPr>
                <w:rFonts w:ascii="Arial" w:cs="Arial" w:eastAsia="Arial" w:hAnsi="Arial"/>
                <w:sz w:val="18"/>
                <w:szCs w:val="18"/>
                <w:i w:val="1"/>
                <w:iCs w:val="1"/>
                <w:color w:val="auto"/>
                <w:w w:val="99"/>
              </w:rPr>
              <w:t>$</w:t>
            </w:r>
          </w:p>
        </w:tc>
        <w:tc>
          <w:tcPr>
            <w:tcW w:w="5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i w:val="1"/>
                <w:iCs w:val="1"/>
                <w:color w:val="auto"/>
                <w:w w:val="93"/>
              </w:rPr>
              <w:t>194.1</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i w:val="1"/>
                <w:iCs w:val="1"/>
                <w:color w:val="auto"/>
                <w:w w:val="79"/>
              </w:rPr>
              <w:t>$</w:t>
            </w: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(51.0)</w:t>
            </w:r>
          </w:p>
        </w:tc>
        <w:tc>
          <w:tcPr>
            <w:tcW w:w="40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i w:val="1"/>
                <w:iCs w:val="1"/>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143.1</w:t>
            </w:r>
          </w:p>
        </w:tc>
        <w:tc>
          <w:tcPr>
            <w:tcW w:w="0" w:type="dxa"/>
            <w:vAlign w:val="bottom"/>
          </w:tcPr>
          <w:p>
            <w:pPr>
              <w:spacing w:after="0"/>
              <w:rPr>
                <w:sz w:val="1"/>
                <w:szCs w:val="1"/>
                <w:color w:val="auto"/>
              </w:rPr>
            </w:pPr>
          </w:p>
        </w:tc>
      </w:tr>
      <w:tr>
        <w:trPr>
          <w:trHeight w:val="243"/>
        </w:trPr>
        <w:tc>
          <w:tcPr>
            <w:tcW w:w="1260" w:type="dxa"/>
            <w:vAlign w:val="bottom"/>
          </w:tcPr>
          <w:p>
            <w:pPr>
              <w:ind w:left="80"/>
              <w:spacing w:after="0"/>
              <w:rPr>
                <w:sz w:val="20"/>
                <w:szCs w:val="20"/>
                <w:color w:val="auto"/>
              </w:rPr>
            </w:pPr>
            <w:r>
              <w:rPr>
                <w:rFonts w:ascii="Arial" w:cs="Arial" w:eastAsia="Arial" w:hAnsi="Arial"/>
                <w:sz w:val="18"/>
                <w:szCs w:val="18"/>
                <w:i w:val="1"/>
                <w:iCs w:val="1"/>
                <w:color w:val="auto"/>
              </w:rPr>
              <w:t>2012</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i w:val="1"/>
                <w:iCs w:val="1"/>
                <w:color w:val="auto"/>
              </w:rPr>
              <w:t>219.7</w:t>
            </w:r>
          </w:p>
        </w:tc>
        <w:tc>
          <w:tcPr>
            <w:tcW w:w="20" w:type="dxa"/>
            <w:vAlign w:val="bottom"/>
          </w:tcPr>
          <w:p>
            <w:pPr>
              <w:spacing w:after="0"/>
              <w:rPr>
                <w:sz w:val="21"/>
                <w:szCs w:val="21"/>
                <w:color w:val="auto"/>
              </w:rPr>
            </w:pPr>
          </w:p>
        </w:tc>
        <w:tc>
          <w:tcPr>
            <w:tcW w:w="24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w w:val="99"/>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340" w:type="dxa"/>
            <w:vAlign w:val="bottom"/>
            <w:gridSpan w:val="3"/>
          </w:tcPr>
          <w:p>
            <w:pPr>
              <w:jc w:val="right"/>
              <w:ind w:right="80"/>
              <w:spacing w:after="0"/>
              <w:rPr>
                <w:sz w:val="20"/>
                <w:szCs w:val="20"/>
                <w:color w:val="auto"/>
              </w:rPr>
            </w:pPr>
            <w:r>
              <w:rPr>
                <w:rFonts w:ascii="Arial" w:cs="Arial" w:eastAsia="Arial" w:hAnsi="Arial"/>
                <w:sz w:val="18"/>
                <w:szCs w:val="18"/>
                <w:i w:val="1"/>
                <w:iCs w:val="1"/>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i w:val="1"/>
                <w:iCs w:val="1"/>
                <w:color w:val="auto"/>
              </w:rPr>
              <w:t>(3.5)</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i w:val="1"/>
                <w:iCs w:val="1"/>
                <w:color w:val="auto"/>
                <w:w w:val="99"/>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w:t>
            </w:r>
          </w:p>
        </w:tc>
        <w:tc>
          <w:tcPr>
            <w:tcW w:w="580" w:type="dxa"/>
            <w:vAlign w:val="bottom"/>
          </w:tcPr>
          <w:p>
            <w:pPr>
              <w:jc w:val="right"/>
              <w:ind w:right="371"/>
              <w:spacing w:after="0"/>
              <w:rPr>
                <w:sz w:val="20"/>
                <w:szCs w:val="20"/>
                <w:color w:val="auto"/>
              </w:rPr>
            </w:pPr>
            <w:r>
              <w:rPr>
                <w:rFonts w:ascii="Arial" w:cs="Arial" w:eastAsia="Arial" w:hAnsi="Arial"/>
                <w:sz w:val="18"/>
                <w:szCs w:val="18"/>
                <w:i w:val="1"/>
                <w:iCs w:val="1"/>
                <w:color w:val="auto"/>
                <w:w w:val="99"/>
              </w:rPr>
              <w:t>$</w:t>
            </w:r>
          </w:p>
        </w:tc>
        <w:tc>
          <w:tcPr>
            <w:tcW w:w="540" w:type="dxa"/>
            <w:vAlign w:val="bottom"/>
            <w:gridSpan w:val="3"/>
          </w:tcPr>
          <w:p>
            <w:pPr>
              <w:jc w:val="right"/>
              <w:ind w:right="28"/>
              <w:spacing w:after="0"/>
              <w:rPr>
                <w:sz w:val="20"/>
                <w:szCs w:val="20"/>
                <w:color w:val="auto"/>
              </w:rPr>
            </w:pPr>
            <w:r>
              <w:rPr>
                <w:rFonts w:ascii="Arial" w:cs="Arial" w:eastAsia="Arial" w:hAnsi="Arial"/>
                <w:sz w:val="18"/>
                <w:szCs w:val="18"/>
                <w:i w:val="1"/>
                <w:iCs w:val="1"/>
                <w:color w:val="auto"/>
                <w:w w:val="93"/>
              </w:rPr>
              <w:t>216.2</w:t>
            </w:r>
          </w:p>
        </w:tc>
        <w:tc>
          <w:tcPr>
            <w:tcW w:w="120" w:type="dxa"/>
            <w:vAlign w:val="bottom"/>
          </w:tcPr>
          <w:p>
            <w:pPr>
              <w:spacing w:after="0"/>
              <w:rPr>
                <w:sz w:val="21"/>
                <w:szCs w:val="21"/>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i w:val="1"/>
                <w:iCs w:val="1"/>
                <w:color w:val="auto"/>
                <w:w w:val="79"/>
              </w:rPr>
              <w:t>$</w:t>
            </w:r>
          </w:p>
        </w:tc>
        <w:tc>
          <w:tcPr>
            <w:tcW w:w="880" w:type="dxa"/>
            <w:vAlign w:val="bottom"/>
            <w:gridSpan w:val="3"/>
          </w:tcPr>
          <w:p>
            <w:pPr>
              <w:jc w:val="right"/>
              <w:spacing w:after="0"/>
              <w:rPr>
                <w:sz w:val="20"/>
                <w:szCs w:val="20"/>
                <w:color w:val="auto"/>
              </w:rPr>
            </w:pPr>
            <w:r>
              <w:rPr>
                <w:rFonts w:ascii="Arial" w:cs="Arial" w:eastAsia="Arial" w:hAnsi="Arial"/>
                <w:sz w:val="18"/>
                <w:szCs w:val="18"/>
                <w:i w:val="1"/>
                <w:iCs w:val="1"/>
                <w:color w:val="auto"/>
              </w:rPr>
              <w:t>(56.6)</w:t>
            </w:r>
          </w:p>
        </w:tc>
        <w:tc>
          <w:tcPr>
            <w:tcW w:w="400" w:type="dxa"/>
            <w:vAlign w:val="bottom"/>
            <w:gridSpan w:val="2"/>
          </w:tcPr>
          <w:p>
            <w:pPr>
              <w:jc w:val="right"/>
              <w:ind w:right="108"/>
              <w:spacing w:after="0"/>
              <w:rPr>
                <w:sz w:val="20"/>
                <w:szCs w:val="20"/>
                <w:color w:val="auto"/>
              </w:rPr>
            </w:pPr>
            <w:r>
              <w:rPr>
                <w:rFonts w:ascii="Arial" w:cs="Arial" w:eastAsia="Arial" w:hAnsi="Arial"/>
                <w:sz w:val="18"/>
                <w:szCs w:val="18"/>
                <w:i w:val="1"/>
                <w:iCs w:val="1"/>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i w:val="1"/>
                <w:iCs w:val="1"/>
                <w:color w:val="auto"/>
              </w:rPr>
              <w:t>159.6</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2013</w:t>
            </w: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i w:val="1"/>
                <w:iCs w:val="1"/>
                <w:color w:val="auto"/>
              </w:rPr>
              <w:t>253.1</w:t>
            </w: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(2.5)</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w w:val="99"/>
              </w:rPr>
              <w:t>$</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(2.3)</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i w:val="1"/>
                <w:iCs w:val="1"/>
                <w:color w:val="auto"/>
                <w:w w:val="99"/>
              </w:rPr>
              <w:t>$</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w:t>
            </w:r>
          </w:p>
        </w:tc>
        <w:tc>
          <w:tcPr>
            <w:tcW w:w="580" w:type="dxa"/>
            <w:vAlign w:val="bottom"/>
            <w:tcBorders>
              <w:bottom w:val="single" w:sz="8" w:color="CCEEFF"/>
            </w:tcBorders>
            <w:shd w:val="clear" w:color="auto" w:fill="CCEEFF"/>
          </w:tcPr>
          <w:p>
            <w:pPr>
              <w:jc w:val="right"/>
              <w:ind w:right="371"/>
              <w:spacing w:after="0"/>
              <w:rPr>
                <w:sz w:val="20"/>
                <w:szCs w:val="20"/>
                <w:color w:val="auto"/>
              </w:rPr>
            </w:pPr>
            <w:r>
              <w:rPr>
                <w:rFonts w:ascii="Arial" w:cs="Arial" w:eastAsia="Arial" w:hAnsi="Arial"/>
                <w:sz w:val="18"/>
                <w:szCs w:val="18"/>
                <w:i w:val="1"/>
                <w:iCs w:val="1"/>
                <w:color w:val="auto"/>
                <w:w w:val="99"/>
              </w:rPr>
              <w:t>$</w:t>
            </w:r>
          </w:p>
        </w:tc>
        <w:tc>
          <w:tcPr>
            <w:tcW w:w="5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i w:val="1"/>
                <w:iCs w:val="1"/>
                <w:color w:val="auto"/>
                <w:w w:val="93"/>
              </w:rPr>
              <w:t>248.3</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i w:val="1"/>
                <w:iCs w:val="1"/>
                <w:color w:val="auto"/>
                <w:w w:val="79"/>
              </w:rPr>
              <w:t>$</w:t>
            </w: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(75.1)</w:t>
            </w:r>
          </w:p>
        </w:tc>
        <w:tc>
          <w:tcPr>
            <w:tcW w:w="40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i w:val="1"/>
                <w:iCs w:val="1"/>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173.2</w:t>
            </w:r>
          </w:p>
        </w:tc>
        <w:tc>
          <w:tcPr>
            <w:tcW w:w="0" w:type="dxa"/>
            <w:vAlign w:val="bottom"/>
          </w:tcPr>
          <w:p>
            <w:pPr>
              <w:spacing w:after="0"/>
              <w:rPr>
                <w:sz w:val="1"/>
                <w:szCs w:val="1"/>
                <w:color w:val="auto"/>
              </w:rPr>
            </w:pPr>
          </w:p>
        </w:tc>
      </w:tr>
      <w:tr>
        <w:trPr>
          <w:trHeight w:val="243"/>
        </w:trPr>
        <w:tc>
          <w:tcPr>
            <w:tcW w:w="1260" w:type="dxa"/>
            <w:vAlign w:val="bottom"/>
          </w:tcPr>
          <w:p>
            <w:pPr>
              <w:ind w:left="80"/>
              <w:spacing w:after="0"/>
              <w:rPr>
                <w:sz w:val="20"/>
                <w:szCs w:val="20"/>
                <w:color w:val="auto"/>
              </w:rPr>
            </w:pPr>
            <w:r>
              <w:rPr>
                <w:rFonts w:ascii="Arial" w:cs="Arial" w:eastAsia="Arial" w:hAnsi="Arial"/>
                <w:sz w:val="18"/>
                <w:szCs w:val="18"/>
                <w:i w:val="1"/>
                <w:iCs w:val="1"/>
                <w:color w:val="auto"/>
              </w:rPr>
              <w:t>2014</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i w:val="1"/>
                <w:iCs w:val="1"/>
                <w:color w:val="auto"/>
              </w:rPr>
              <w:t>266.2</w:t>
            </w:r>
          </w:p>
        </w:tc>
        <w:tc>
          <w:tcPr>
            <w:tcW w:w="20" w:type="dxa"/>
            <w:vAlign w:val="bottom"/>
          </w:tcPr>
          <w:p>
            <w:pPr>
              <w:spacing w:after="0"/>
              <w:rPr>
                <w:sz w:val="21"/>
                <w:szCs w:val="21"/>
                <w:color w:val="auto"/>
              </w:rPr>
            </w:pPr>
          </w:p>
        </w:tc>
        <w:tc>
          <w:tcPr>
            <w:tcW w:w="24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(6.0)</w:t>
            </w:r>
          </w:p>
        </w:tc>
        <w:tc>
          <w:tcPr>
            <w:tcW w:w="12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w w:val="99"/>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i w:val="1"/>
                <w:iCs w:val="1"/>
                <w:color w:val="auto"/>
              </w:rPr>
              <w:t>12.5</w:t>
            </w:r>
          </w:p>
        </w:tc>
        <w:tc>
          <w:tcPr>
            <w:tcW w:w="340" w:type="dxa"/>
            <w:vAlign w:val="bottom"/>
            <w:gridSpan w:val="3"/>
          </w:tcPr>
          <w:p>
            <w:pPr>
              <w:jc w:val="right"/>
              <w:ind w:right="80"/>
              <w:spacing w:after="0"/>
              <w:rPr>
                <w:sz w:val="20"/>
                <w:szCs w:val="20"/>
                <w:color w:val="auto"/>
              </w:rPr>
            </w:pPr>
            <w:r>
              <w:rPr>
                <w:rFonts w:ascii="Arial" w:cs="Arial" w:eastAsia="Arial" w:hAnsi="Arial"/>
                <w:sz w:val="18"/>
                <w:szCs w:val="18"/>
                <w:i w:val="1"/>
                <w:iCs w:val="1"/>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i w:val="1"/>
                <w:iCs w:val="1"/>
                <w:color w:val="auto"/>
              </w:rPr>
              <w:t>(1.0)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i w:val="1"/>
                <w:iCs w:val="1"/>
                <w:color w:val="auto"/>
                <w:w w:val="99"/>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w:t>
            </w:r>
          </w:p>
        </w:tc>
        <w:tc>
          <w:tcPr>
            <w:tcW w:w="580" w:type="dxa"/>
            <w:vAlign w:val="bottom"/>
          </w:tcPr>
          <w:p>
            <w:pPr>
              <w:jc w:val="right"/>
              <w:ind w:right="371"/>
              <w:spacing w:after="0"/>
              <w:rPr>
                <w:sz w:val="20"/>
                <w:szCs w:val="20"/>
                <w:color w:val="auto"/>
              </w:rPr>
            </w:pPr>
            <w:r>
              <w:rPr>
                <w:rFonts w:ascii="Arial" w:cs="Arial" w:eastAsia="Arial" w:hAnsi="Arial"/>
                <w:sz w:val="18"/>
                <w:szCs w:val="18"/>
                <w:i w:val="1"/>
                <w:iCs w:val="1"/>
                <w:color w:val="auto"/>
                <w:w w:val="99"/>
              </w:rPr>
              <w:t>$</w:t>
            </w:r>
          </w:p>
        </w:tc>
        <w:tc>
          <w:tcPr>
            <w:tcW w:w="540" w:type="dxa"/>
            <w:vAlign w:val="bottom"/>
            <w:gridSpan w:val="3"/>
          </w:tcPr>
          <w:p>
            <w:pPr>
              <w:jc w:val="right"/>
              <w:ind w:right="28"/>
              <w:spacing w:after="0"/>
              <w:rPr>
                <w:sz w:val="20"/>
                <w:szCs w:val="20"/>
                <w:color w:val="auto"/>
              </w:rPr>
            </w:pPr>
            <w:r>
              <w:rPr>
                <w:rFonts w:ascii="Arial" w:cs="Arial" w:eastAsia="Arial" w:hAnsi="Arial"/>
                <w:sz w:val="18"/>
                <w:szCs w:val="18"/>
                <w:i w:val="1"/>
                <w:iCs w:val="1"/>
                <w:color w:val="auto"/>
                <w:w w:val="93"/>
              </w:rPr>
              <w:t>271.7</w:t>
            </w:r>
          </w:p>
        </w:tc>
        <w:tc>
          <w:tcPr>
            <w:tcW w:w="120" w:type="dxa"/>
            <w:vAlign w:val="bottom"/>
          </w:tcPr>
          <w:p>
            <w:pPr>
              <w:spacing w:after="0"/>
              <w:rPr>
                <w:sz w:val="21"/>
                <w:szCs w:val="21"/>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i w:val="1"/>
                <w:iCs w:val="1"/>
                <w:color w:val="auto"/>
                <w:w w:val="79"/>
              </w:rPr>
              <w:t>$</w:t>
            </w:r>
          </w:p>
        </w:tc>
        <w:tc>
          <w:tcPr>
            <w:tcW w:w="880" w:type="dxa"/>
            <w:vAlign w:val="bottom"/>
            <w:gridSpan w:val="3"/>
          </w:tcPr>
          <w:p>
            <w:pPr>
              <w:jc w:val="right"/>
              <w:spacing w:after="0"/>
              <w:rPr>
                <w:sz w:val="20"/>
                <w:szCs w:val="20"/>
                <w:color w:val="auto"/>
              </w:rPr>
            </w:pPr>
            <w:r>
              <w:rPr>
                <w:rFonts w:ascii="Arial" w:cs="Arial" w:eastAsia="Arial" w:hAnsi="Arial"/>
                <w:sz w:val="18"/>
                <w:szCs w:val="18"/>
                <w:i w:val="1"/>
                <w:iCs w:val="1"/>
                <w:color w:val="auto"/>
              </w:rPr>
              <w:t>(87.5)</w:t>
            </w:r>
          </w:p>
        </w:tc>
        <w:tc>
          <w:tcPr>
            <w:tcW w:w="400" w:type="dxa"/>
            <w:vAlign w:val="bottom"/>
            <w:gridSpan w:val="2"/>
          </w:tcPr>
          <w:p>
            <w:pPr>
              <w:jc w:val="right"/>
              <w:ind w:right="108"/>
              <w:spacing w:after="0"/>
              <w:rPr>
                <w:sz w:val="20"/>
                <w:szCs w:val="20"/>
                <w:color w:val="auto"/>
              </w:rPr>
            </w:pPr>
            <w:r>
              <w:rPr>
                <w:rFonts w:ascii="Arial" w:cs="Arial" w:eastAsia="Arial" w:hAnsi="Arial"/>
                <w:sz w:val="18"/>
                <w:szCs w:val="18"/>
                <w:i w:val="1"/>
                <w:iCs w:val="1"/>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i w:val="1"/>
                <w:iCs w:val="1"/>
                <w:color w:val="auto"/>
              </w:rPr>
              <w:t>184.2</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2015</w:t>
            </w: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i w:val="1"/>
                <w:iCs w:val="1"/>
                <w:color w:val="auto"/>
              </w:rPr>
              <w:t>299.7</w:t>
            </w: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12.9</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w w:val="99"/>
              </w:rPr>
              <w:t>$</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(2.0)</w:t>
            </w: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(0.8)</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i w:val="1"/>
                <w:iCs w:val="1"/>
                <w:color w:val="auto"/>
                <w:w w:val="99"/>
              </w:rPr>
              <w:t>$</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w:t>
            </w:r>
          </w:p>
        </w:tc>
        <w:tc>
          <w:tcPr>
            <w:tcW w:w="580" w:type="dxa"/>
            <w:vAlign w:val="bottom"/>
            <w:tcBorders>
              <w:bottom w:val="single" w:sz="8" w:color="CCEEFF"/>
            </w:tcBorders>
            <w:shd w:val="clear" w:color="auto" w:fill="CCEEFF"/>
          </w:tcPr>
          <w:p>
            <w:pPr>
              <w:jc w:val="right"/>
              <w:ind w:right="371"/>
              <w:spacing w:after="0"/>
              <w:rPr>
                <w:sz w:val="20"/>
                <w:szCs w:val="20"/>
                <w:color w:val="auto"/>
              </w:rPr>
            </w:pPr>
            <w:r>
              <w:rPr>
                <w:rFonts w:ascii="Arial" w:cs="Arial" w:eastAsia="Arial" w:hAnsi="Arial"/>
                <w:sz w:val="18"/>
                <w:szCs w:val="18"/>
                <w:i w:val="1"/>
                <w:iCs w:val="1"/>
                <w:color w:val="auto"/>
                <w:w w:val="99"/>
              </w:rPr>
              <w:t>$</w:t>
            </w:r>
          </w:p>
        </w:tc>
        <w:tc>
          <w:tcPr>
            <w:tcW w:w="5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i w:val="1"/>
                <w:iCs w:val="1"/>
                <w:color w:val="auto"/>
                <w:w w:val="93"/>
              </w:rPr>
              <w:t>309.8</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i w:val="1"/>
                <w:iCs w:val="1"/>
                <w:color w:val="auto"/>
                <w:w w:val="79"/>
              </w:rPr>
              <w:t>$</w:t>
            </w: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(93.2)</w:t>
            </w:r>
          </w:p>
        </w:tc>
        <w:tc>
          <w:tcPr>
            <w:tcW w:w="40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i w:val="1"/>
                <w:iCs w:val="1"/>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216.6</w:t>
            </w:r>
          </w:p>
        </w:tc>
        <w:tc>
          <w:tcPr>
            <w:tcW w:w="0" w:type="dxa"/>
            <w:vAlign w:val="bottom"/>
          </w:tcPr>
          <w:p>
            <w:pPr>
              <w:spacing w:after="0"/>
              <w:rPr>
                <w:sz w:val="1"/>
                <w:szCs w:val="1"/>
                <w:color w:val="auto"/>
              </w:rPr>
            </w:pPr>
          </w:p>
        </w:tc>
      </w:tr>
      <w:tr>
        <w:trPr>
          <w:trHeight w:val="243"/>
        </w:trPr>
        <w:tc>
          <w:tcPr>
            <w:tcW w:w="1260" w:type="dxa"/>
            <w:vAlign w:val="bottom"/>
          </w:tcPr>
          <w:p>
            <w:pPr>
              <w:ind w:left="80"/>
              <w:spacing w:after="0"/>
              <w:rPr>
                <w:sz w:val="20"/>
                <w:szCs w:val="20"/>
                <w:color w:val="auto"/>
              </w:rPr>
            </w:pPr>
            <w:r>
              <w:rPr>
                <w:rFonts w:ascii="Arial" w:cs="Arial" w:eastAsia="Arial" w:hAnsi="Arial"/>
                <w:sz w:val="18"/>
                <w:szCs w:val="18"/>
                <w:i w:val="1"/>
                <w:iCs w:val="1"/>
                <w:color w:val="auto"/>
              </w:rPr>
              <w:t>2016</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i w:val="1"/>
                <w:iCs w:val="1"/>
                <w:color w:val="auto"/>
              </w:rPr>
              <w:t>332.8</w:t>
            </w:r>
          </w:p>
        </w:tc>
        <w:tc>
          <w:tcPr>
            <w:tcW w:w="20" w:type="dxa"/>
            <w:vAlign w:val="bottom"/>
          </w:tcPr>
          <w:p>
            <w:pPr>
              <w:spacing w:after="0"/>
              <w:rPr>
                <w:sz w:val="21"/>
                <w:szCs w:val="21"/>
                <w:color w:val="auto"/>
              </w:rPr>
            </w:pPr>
          </w:p>
        </w:tc>
        <w:tc>
          <w:tcPr>
            <w:tcW w:w="24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i w:val="1"/>
                <w:iCs w:val="1"/>
                <w:color w:val="auto"/>
              </w:rPr>
              <w:t>28.1</w:t>
            </w:r>
          </w:p>
        </w:tc>
        <w:tc>
          <w:tcPr>
            <w:tcW w:w="12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w w:val="99"/>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i w:val="1"/>
                <w:iCs w:val="1"/>
                <w:color w:val="auto"/>
              </w:rPr>
              <w:t>(2.1)</w:t>
            </w:r>
          </w:p>
        </w:tc>
        <w:tc>
          <w:tcPr>
            <w:tcW w:w="340" w:type="dxa"/>
            <w:vAlign w:val="bottom"/>
            <w:gridSpan w:val="3"/>
          </w:tcPr>
          <w:p>
            <w:pPr>
              <w:jc w:val="right"/>
              <w:ind w:right="80"/>
              <w:spacing w:after="0"/>
              <w:rPr>
                <w:sz w:val="20"/>
                <w:szCs w:val="20"/>
                <w:color w:val="auto"/>
              </w:rPr>
            </w:pPr>
            <w:r>
              <w:rPr>
                <w:rFonts w:ascii="Arial" w:cs="Arial" w:eastAsia="Arial" w:hAnsi="Arial"/>
                <w:sz w:val="18"/>
                <w:szCs w:val="18"/>
                <w:i w:val="1"/>
                <w:iCs w:val="1"/>
                <w:color w:val="auto"/>
              </w:rPr>
              <w:t>$</w:t>
            </w:r>
          </w:p>
        </w:tc>
        <w:tc>
          <w:tcPr>
            <w:tcW w:w="920" w:type="dxa"/>
            <w:vAlign w:val="bottom"/>
            <w:gridSpan w:val="2"/>
          </w:tcPr>
          <w:p>
            <w:pPr>
              <w:jc w:val="right"/>
              <w:ind w:right="28"/>
              <w:spacing w:after="0"/>
              <w:rPr>
                <w:sz w:val="20"/>
                <w:szCs w:val="20"/>
                <w:color w:val="auto"/>
              </w:rPr>
            </w:pPr>
            <w:r>
              <w:rPr>
                <w:rFonts w:ascii="Arial" w:cs="Arial" w:eastAsia="Arial" w:hAnsi="Arial"/>
                <w:sz w:val="18"/>
                <w:szCs w:val="18"/>
                <w:i w:val="1"/>
                <w:iCs w:val="1"/>
                <w:color w:val="auto"/>
              </w:rPr>
              <w:t>1.8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i w:val="1"/>
                <w:iCs w:val="1"/>
                <w:color w:val="auto"/>
                <w:w w:val="99"/>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w:t>
            </w:r>
          </w:p>
        </w:tc>
        <w:tc>
          <w:tcPr>
            <w:tcW w:w="580" w:type="dxa"/>
            <w:vAlign w:val="bottom"/>
          </w:tcPr>
          <w:p>
            <w:pPr>
              <w:jc w:val="right"/>
              <w:ind w:right="371"/>
              <w:spacing w:after="0"/>
              <w:rPr>
                <w:sz w:val="20"/>
                <w:szCs w:val="20"/>
                <w:color w:val="auto"/>
              </w:rPr>
            </w:pPr>
            <w:r>
              <w:rPr>
                <w:rFonts w:ascii="Arial" w:cs="Arial" w:eastAsia="Arial" w:hAnsi="Arial"/>
                <w:sz w:val="18"/>
                <w:szCs w:val="18"/>
                <w:i w:val="1"/>
                <w:iCs w:val="1"/>
                <w:color w:val="auto"/>
                <w:w w:val="99"/>
              </w:rPr>
              <w:t>$</w:t>
            </w:r>
          </w:p>
        </w:tc>
        <w:tc>
          <w:tcPr>
            <w:tcW w:w="540" w:type="dxa"/>
            <w:vAlign w:val="bottom"/>
            <w:gridSpan w:val="3"/>
          </w:tcPr>
          <w:p>
            <w:pPr>
              <w:jc w:val="right"/>
              <w:ind w:right="28"/>
              <w:spacing w:after="0"/>
              <w:rPr>
                <w:sz w:val="20"/>
                <w:szCs w:val="20"/>
                <w:color w:val="auto"/>
              </w:rPr>
            </w:pPr>
            <w:r>
              <w:rPr>
                <w:rFonts w:ascii="Arial" w:cs="Arial" w:eastAsia="Arial" w:hAnsi="Arial"/>
                <w:sz w:val="18"/>
                <w:szCs w:val="18"/>
                <w:i w:val="1"/>
                <w:iCs w:val="1"/>
                <w:color w:val="auto"/>
                <w:w w:val="93"/>
              </w:rPr>
              <w:t>360.6</w:t>
            </w:r>
          </w:p>
        </w:tc>
        <w:tc>
          <w:tcPr>
            <w:tcW w:w="120" w:type="dxa"/>
            <w:vAlign w:val="bottom"/>
          </w:tcPr>
          <w:p>
            <w:pPr>
              <w:spacing w:after="0"/>
              <w:rPr>
                <w:sz w:val="21"/>
                <w:szCs w:val="21"/>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i w:val="1"/>
                <w:iCs w:val="1"/>
                <w:color w:val="auto"/>
                <w:w w:val="79"/>
              </w:rPr>
              <w:t>$</w:t>
            </w:r>
          </w:p>
        </w:tc>
        <w:tc>
          <w:tcPr>
            <w:tcW w:w="880" w:type="dxa"/>
            <w:vAlign w:val="bottom"/>
            <w:gridSpan w:val="3"/>
          </w:tcPr>
          <w:p>
            <w:pPr>
              <w:jc w:val="right"/>
              <w:spacing w:after="0"/>
              <w:rPr>
                <w:sz w:val="20"/>
                <w:szCs w:val="20"/>
                <w:color w:val="auto"/>
              </w:rPr>
            </w:pPr>
            <w:r>
              <w:rPr>
                <w:rFonts w:ascii="Arial" w:cs="Arial" w:eastAsia="Arial" w:hAnsi="Arial"/>
                <w:sz w:val="18"/>
                <w:szCs w:val="18"/>
                <w:i w:val="1"/>
                <w:iCs w:val="1"/>
                <w:color w:val="auto"/>
              </w:rPr>
              <w:t>(113.8)</w:t>
            </w:r>
          </w:p>
        </w:tc>
        <w:tc>
          <w:tcPr>
            <w:tcW w:w="400" w:type="dxa"/>
            <w:vAlign w:val="bottom"/>
            <w:gridSpan w:val="2"/>
          </w:tcPr>
          <w:p>
            <w:pPr>
              <w:jc w:val="right"/>
              <w:ind w:right="108"/>
              <w:spacing w:after="0"/>
              <w:rPr>
                <w:sz w:val="20"/>
                <w:szCs w:val="20"/>
                <w:color w:val="auto"/>
              </w:rPr>
            </w:pPr>
            <w:r>
              <w:rPr>
                <w:rFonts w:ascii="Arial" w:cs="Arial" w:eastAsia="Arial" w:hAnsi="Arial"/>
                <w:sz w:val="18"/>
                <w:szCs w:val="18"/>
                <w:i w:val="1"/>
                <w:iCs w:val="1"/>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i w:val="1"/>
                <w:iCs w:val="1"/>
                <w:color w:val="auto"/>
              </w:rPr>
              <w:t>246.8</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2017</w:t>
            </w: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i w:val="1"/>
                <w:iCs w:val="1"/>
                <w:color w:val="auto"/>
              </w:rPr>
              <w:t>470.2</w:t>
            </w: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34.1</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w w:val="99"/>
              </w:rPr>
              <w:t>$</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(2.1)</w:t>
            </w: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(102.4)</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i w:val="1"/>
                <w:iCs w:val="1"/>
                <w:color w:val="auto"/>
                <w:w w:val="99"/>
              </w:rPr>
              <w:t>$</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w:t>
            </w:r>
          </w:p>
        </w:tc>
        <w:tc>
          <w:tcPr>
            <w:tcW w:w="580" w:type="dxa"/>
            <w:vAlign w:val="bottom"/>
            <w:tcBorders>
              <w:bottom w:val="single" w:sz="8" w:color="CCEEFF"/>
            </w:tcBorders>
            <w:shd w:val="clear" w:color="auto" w:fill="CCEEFF"/>
          </w:tcPr>
          <w:p>
            <w:pPr>
              <w:jc w:val="right"/>
              <w:ind w:right="371"/>
              <w:spacing w:after="0"/>
              <w:rPr>
                <w:sz w:val="20"/>
                <w:szCs w:val="20"/>
                <w:color w:val="auto"/>
              </w:rPr>
            </w:pPr>
            <w:r>
              <w:rPr>
                <w:rFonts w:ascii="Arial" w:cs="Arial" w:eastAsia="Arial" w:hAnsi="Arial"/>
                <w:sz w:val="18"/>
                <w:szCs w:val="18"/>
                <w:i w:val="1"/>
                <w:iCs w:val="1"/>
                <w:color w:val="auto"/>
                <w:w w:val="99"/>
              </w:rPr>
              <w:t>$</w:t>
            </w:r>
          </w:p>
        </w:tc>
        <w:tc>
          <w:tcPr>
            <w:tcW w:w="5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i w:val="1"/>
                <w:iCs w:val="1"/>
                <w:color w:val="auto"/>
                <w:w w:val="93"/>
              </w:rPr>
              <w:t>399.8</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i w:val="1"/>
                <w:iCs w:val="1"/>
                <w:color w:val="auto"/>
                <w:w w:val="79"/>
              </w:rPr>
              <w:t>$</w:t>
            </w: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(142.8)</w:t>
            </w:r>
          </w:p>
        </w:tc>
        <w:tc>
          <w:tcPr>
            <w:tcW w:w="40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i w:val="1"/>
                <w:iCs w:val="1"/>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257.0</w:t>
            </w:r>
          </w:p>
        </w:tc>
        <w:tc>
          <w:tcPr>
            <w:tcW w:w="0" w:type="dxa"/>
            <w:vAlign w:val="bottom"/>
          </w:tcPr>
          <w:p>
            <w:pPr>
              <w:spacing w:after="0"/>
              <w:rPr>
                <w:sz w:val="1"/>
                <w:szCs w:val="1"/>
                <w:color w:val="auto"/>
              </w:rPr>
            </w:pPr>
          </w:p>
        </w:tc>
      </w:tr>
      <w:tr>
        <w:trPr>
          <w:trHeight w:val="243"/>
        </w:trPr>
        <w:tc>
          <w:tcPr>
            <w:tcW w:w="1260" w:type="dxa"/>
            <w:vAlign w:val="bottom"/>
          </w:tcPr>
          <w:p>
            <w:pPr>
              <w:ind w:left="80"/>
              <w:spacing w:after="0"/>
              <w:rPr>
                <w:sz w:val="20"/>
                <w:szCs w:val="20"/>
                <w:color w:val="auto"/>
              </w:rPr>
            </w:pPr>
            <w:r>
              <w:rPr>
                <w:rFonts w:ascii="Arial" w:cs="Arial" w:eastAsia="Arial" w:hAnsi="Arial"/>
                <w:sz w:val="18"/>
                <w:szCs w:val="18"/>
                <w:i w:val="1"/>
                <w:iCs w:val="1"/>
                <w:color w:val="auto"/>
              </w:rPr>
              <w:t>2018</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i w:val="1"/>
                <w:iCs w:val="1"/>
                <w:color w:val="auto"/>
              </w:rPr>
              <w:t>574.0</w:t>
            </w:r>
          </w:p>
        </w:tc>
        <w:tc>
          <w:tcPr>
            <w:tcW w:w="20" w:type="dxa"/>
            <w:vAlign w:val="bottom"/>
          </w:tcPr>
          <w:p>
            <w:pPr>
              <w:spacing w:after="0"/>
              <w:rPr>
                <w:sz w:val="21"/>
                <w:szCs w:val="21"/>
                <w:color w:val="auto"/>
              </w:rPr>
            </w:pPr>
          </w:p>
        </w:tc>
        <w:tc>
          <w:tcPr>
            <w:tcW w:w="24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(24.4)</w:t>
            </w:r>
          </w:p>
        </w:tc>
        <w:tc>
          <w:tcPr>
            <w:tcW w:w="12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w w:val="99"/>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i w:val="1"/>
                <w:iCs w:val="1"/>
                <w:color w:val="auto"/>
              </w:rPr>
              <w:t>(2.5)</w:t>
            </w:r>
          </w:p>
        </w:tc>
        <w:tc>
          <w:tcPr>
            <w:tcW w:w="340" w:type="dxa"/>
            <w:vAlign w:val="bottom"/>
            <w:gridSpan w:val="3"/>
          </w:tcPr>
          <w:p>
            <w:pPr>
              <w:jc w:val="right"/>
              <w:ind w:right="80"/>
              <w:spacing w:after="0"/>
              <w:rPr>
                <w:sz w:val="20"/>
                <w:szCs w:val="20"/>
                <w:color w:val="auto"/>
              </w:rPr>
            </w:pPr>
            <w:r>
              <w:rPr>
                <w:rFonts w:ascii="Arial" w:cs="Arial" w:eastAsia="Arial" w:hAnsi="Arial"/>
                <w:sz w:val="18"/>
                <w:szCs w:val="18"/>
                <w:i w:val="1"/>
                <w:iCs w:val="1"/>
                <w:color w:val="auto"/>
              </w:rPr>
              <w:t>$</w:t>
            </w:r>
          </w:p>
        </w:tc>
        <w:tc>
          <w:tcPr>
            <w:tcW w:w="920" w:type="dxa"/>
            <w:vAlign w:val="bottom"/>
            <w:gridSpan w:val="2"/>
          </w:tcPr>
          <w:p>
            <w:pPr>
              <w:jc w:val="right"/>
              <w:ind w:right="28"/>
              <w:spacing w:after="0"/>
              <w:rPr>
                <w:sz w:val="20"/>
                <w:szCs w:val="20"/>
                <w:color w:val="auto"/>
              </w:rPr>
            </w:pPr>
            <w:r>
              <w:rPr>
                <w:rFonts w:ascii="Arial" w:cs="Arial" w:eastAsia="Arial" w:hAnsi="Arial"/>
                <w:sz w:val="18"/>
                <w:szCs w:val="18"/>
                <w:i w:val="1"/>
                <w:iCs w:val="1"/>
                <w:color w:val="auto"/>
              </w:rPr>
              <w:t>7.4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i w:val="1"/>
                <w:iCs w:val="1"/>
                <w:color w:val="auto"/>
                <w:w w:val="99"/>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w:t>
            </w:r>
          </w:p>
        </w:tc>
        <w:tc>
          <w:tcPr>
            <w:tcW w:w="580" w:type="dxa"/>
            <w:vAlign w:val="bottom"/>
          </w:tcPr>
          <w:p>
            <w:pPr>
              <w:jc w:val="right"/>
              <w:ind w:right="371"/>
              <w:spacing w:after="0"/>
              <w:rPr>
                <w:sz w:val="20"/>
                <w:szCs w:val="20"/>
                <w:color w:val="auto"/>
              </w:rPr>
            </w:pPr>
            <w:r>
              <w:rPr>
                <w:rFonts w:ascii="Arial" w:cs="Arial" w:eastAsia="Arial" w:hAnsi="Arial"/>
                <w:sz w:val="18"/>
                <w:szCs w:val="18"/>
                <w:i w:val="1"/>
                <w:iCs w:val="1"/>
                <w:color w:val="auto"/>
                <w:w w:val="99"/>
              </w:rPr>
              <w:t>$</w:t>
            </w:r>
          </w:p>
        </w:tc>
        <w:tc>
          <w:tcPr>
            <w:tcW w:w="540" w:type="dxa"/>
            <w:vAlign w:val="bottom"/>
            <w:gridSpan w:val="3"/>
          </w:tcPr>
          <w:p>
            <w:pPr>
              <w:jc w:val="right"/>
              <w:ind w:right="28"/>
              <w:spacing w:after="0"/>
              <w:rPr>
                <w:sz w:val="20"/>
                <w:szCs w:val="20"/>
                <w:color w:val="auto"/>
              </w:rPr>
            </w:pPr>
            <w:r>
              <w:rPr>
                <w:rFonts w:ascii="Arial" w:cs="Arial" w:eastAsia="Arial" w:hAnsi="Arial"/>
                <w:sz w:val="18"/>
                <w:szCs w:val="18"/>
                <w:i w:val="1"/>
                <w:iCs w:val="1"/>
                <w:color w:val="auto"/>
                <w:w w:val="93"/>
              </w:rPr>
              <w:t>554.5</w:t>
            </w:r>
          </w:p>
        </w:tc>
        <w:tc>
          <w:tcPr>
            <w:tcW w:w="120" w:type="dxa"/>
            <w:vAlign w:val="bottom"/>
          </w:tcPr>
          <w:p>
            <w:pPr>
              <w:spacing w:after="0"/>
              <w:rPr>
                <w:sz w:val="21"/>
                <w:szCs w:val="21"/>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i w:val="1"/>
                <w:iCs w:val="1"/>
                <w:color w:val="auto"/>
                <w:w w:val="79"/>
              </w:rPr>
              <w:t>$</w:t>
            </w:r>
          </w:p>
        </w:tc>
        <w:tc>
          <w:tcPr>
            <w:tcW w:w="880" w:type="dxa"/>
            <w:vAlign w:val="bottom"/>
            <w:gridSpan w:val="3"/>
          </w:tcPr>
          <w:p>
            <w:pPr>
              <w:jc w:val="right"/>
              <w:spacing w:after="0"/>
              <w:rPr>
                <w:sz w:val="20"/>
                <w:szCs w:val="20"/>
                <w:color w:val="auto"/>
              </w:rPr>
            </w:pPr>
            <w:r>
              <w:rPr>
                <w:rFonts w:ascii="Arial" w:cs="Arial" w:eastAsia="Arial" w:hAnsi="Arial"/>
                <w:sz w:val="18"/>
                <w:szCs w:val="18"/>
                <w:i w:val="1"/>
                <w:iCs w:val="1"/>
                <w:color w:val="auto"/>
              </w:rPr>
              <w:t>(214.1)</w:t>
            </w:r>
          </w:p>
        </w:tc>
        <w:tc>
          <w:tcPr>
            <w:tcW w:w="400" w:type="dxa"/>
            <w:vAlign w:val="bottom"/>
            <w:gridSpan w:val="2"/>
          </w:tcPr>
          <w:p>
            <w:pPr>
              <w:jc w:val="right"/>
              <w:ind w:right="108"/>
              <w:spacing w:after="0"/>
              <w:rPr>
                <w:sz w:val="20"/>
                <w:szCs w:val="20"/>
                <w:color w:val="auto"/>
              </w:rPr>
            </w:pPr>
            <w:r>
              <w:rPr>
                <w:rFonts w:ascii="Arial" w:cs="Arial" w:eastAsia="Arial" w:hAnsi="Arial"/>
                <w:sz w:val="18"/>
                <w:szCs w:val="18"/>
                <w:i w:val="1"/>
                <w:iCs w:val="1"/>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i w:val="1"/>
                <w:iCs w:val="1"/>
                <w:color w:val="auto"/>
              </w:rPr>
              <w:t>340.4</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gridSpan w:val="2"/>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2019</w:t>
            </w:r>
          </w:p>
        </w:tc>
        <w:tc>
          <w:tcPr>
            <w:tcW w:w="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i w:val="1"/>
                <w:iCs w:val="1"/>
                <w:color w:val="auto"/>
              </w:rPr>
              <w:t>656.1</w:t>
            </w: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i w:val="1"/>
                <w:iCs w:val="1"/>
                <w:color w:val="auto"/>
              </w:rPr>
              <w:t>0.2</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w w:val="99"/>
              </w:rPr>
              <w:t>$</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(0.8)</w:t>
            </w:r>
          </w:p>
        </w:tc>
        <w:tc>
          <w:tcPr>
            <w:tcW w:w="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w:t>
            </w:r>
          </w:p>
        </w:tc>
        <w:tc>
          <w:tcPr>
            <w:tcW w:w="9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i w:val="1"/>
                <w:iCs w:val="1"/>
                <w:color w:val="auto"/>
              </w:rPr>
              <w:t>2.9</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i w:val="1"/>
                <w:iCs w:val="1"/>
                <w:color w:val="auto"/>
                <w:w w:val="99"/>
              </w:rPr>
              <w:t>$</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w:t>
            </w:r>
          </w:p>
        </w:tc>
        <w:tc>
          <w:tcPr>
            <w:tcW w:w="580" w:type="dxa"/>
            <w:vAlign w:val="bottom"/>
            <w:tcBorders>
              <w:bottom w:val="single" w:sz="8" w:color="CCEEFF"/>
            </w:tcBorders>
            <w:shd w:val="clear" w:color="auto" w:fill="CCEEFF"/>
          </w:tcPr>
          <w:p>
            <w:pPr>
              <w:jc w:val="right"/>
              <w:ind w:right="371"/>
              <w:spacing w:after="0"/>
              <w:rPr>
                <w:sz w:val="20"/>
                <w:szCs w:val="20"/>
                <w:color w:val="auto"/>
              </w:rPr>
            </w:pPr>
            <w:r>
              <w:rPr>
                <w:rFonts w:ascii="Arial" w:cs="Arial" w:eastAsia="Arial" w:hAnsi="Arial"/>
                <w:sz w:val="18"/>
                <w:szCs w:val="18"/>
                <w:i w:val="1"/>
                <w:iCs w:val="1"/>
                <w:color w:val="auto"/>
                <w:w w:val="99"/>
              </w:rPr>
              <w:t>$</w:t>
            </w:r>
          </w:p>
        </w:tc>
        <w:tc>
          <w:tcPr>
            <w:tcW w:w="5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i w:val="1"/>
                <w:iCs w:val="1"/>
                <w:color w:val="auto"/>
                <w:w w:val="93"/>
              </w:rPr>
              <w:t>658.4</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i w:val="1"/>
                <w:iCs w:val="1"/>
                <w:color w:val="auto"/>
                <w:w w:val="79"/>
              </w:rPr>
              <w:t>$</w:t>
            </w: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i w:val="1"/>
                <w:iCs w:val="1"/>
                <w:color w:val="auto"/>
              </w:rPr>
              <w:t>(225.7)</w:t>
            </w:r>
          </w:p>
        </w:tc>
        <w:tc>
          <w:tcPr>
            <w:tcW w:w="40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i w:val="1"/>
                <w:iCs w:val="1"/>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432.7</w:t>
            </w:r>
          </w:p>
        </w:tc>
        <w:tc>
          <w:tcPr>
            <w:tcW w:w="0" w:type="dxa"/>
            <w:vAlign w:val="bottom"/>
          </w:tcPr>
          <w:p>
            <w:pPr>
              <w:spacing w:after="0"/>
              <w:rPr>
                <w:sz w:val="1"/>
                <w:szCs w:val="1"/>
                <w:color w:val="auto"/>
              </w:rPr>
            </w:pPr>
          </w:p>
        </w:tc>
      </w:tr>
      <w:tr>
        <w:trPr>
          <w:trHeight w:val="325"/>
        </w:trPr>
        <w:tc>
          <w:tcPr>
            <w:tcW w:w="1260" w:type="dxa"/>
            <w:vAlign w:val="bottom"/>
          </w:tcPr>
          <w:p>
            <w:pPr>
              <w:ind w:left="80"/>
              <w:spacing w:after="0"/>
              <w:rPr>
                <w:sz w:val="20"/>
                <w:szCs w:val="20"/>
                <w:color w:val="auto"/>
              </w:rPr>
            </w:pPr>
            <w:r>
              <w:rPr>
                <w:rFonts w:ascii="Arial" w:cs="Arial" w:eastAsia="Arial" w:hAnsi="Arial"/>
                <w:sz w:val="14"/>
                <w:szCs w:val="14"/>
                <w:color w:val="auto"/>
              </w:rPr>
              <w:t>($ in millions)</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260" w:type="dxa"/>
            <w:vAlign w:val="bottom"/>
          </w:tcPr>
          <w:p>
            <w:pPr>
              <w:spacing w:after="0"/>
              <w:rPr>
                <w:sz w:val="14"/>
                <w:szCs w:val="14"/>
                <w:color w:val="auto"/>
              </w:rPr>
            </w:pPr>
          </w:p>
        </w:tc>
        <w:tc>
          <w:tcPr>
            <w:tcW w:w="13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4"/>
              </w:rPr>
              <w:t>GAAP average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Floating yield</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4"/>
              </w:rPr>
              <w:t>Senior notes</w:t>
            </w:r>
          </w:p>
        </w:tc>
        <w:tc>
          <w:tcPr>
            <w:tcW w:w="120" w:type="dxa"/>
            <w:vAlign w:val="bottom"/>
          </w:tcPr>
          <w:p>
            <w:pPr>
              <w:spacing w:after="0"/>
              <w:rPr>
                <w:sz w:val="14"/>
                <w:szCs w:val="14"/>
                <w:color w:val="auto"/>
              </w:rPr>
            </w:pPr>
          </w:p>
        </w:tc>
        <w:tc>
          <w:tcPr>
            <w:tcW w:w="12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Deferred debt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3"/>
          </w:tcPr>
          <w:p>
            <w:pPr>
              <w:jc w:val="right"/>
              <w:ind w:right="151"/>
              <w:spacing w:after="0"/>
              <w:rPr>
                <w:sz w:val="20"/>
                <w:szCs w:val="20"/>
                <w:color w:val="auto"/>
              </w:rPr>
            </w:pPr>
            <w:r>
              <w:rPr>
                <w:rFonts w:ascii="Arial" w:cs="Arial" w:eastAsia="Arial" w:hAnsi="Arial"/>
                <w:sz w:val="14"/>
                <w:szCs w:val="14"/>
                <w:b w:val="1"/>
                <w:bCs w:val="1"/>
                <w:color w:val="auto"/>
              </w:rPr>
              <w:t>Income tax</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Other adjustments</w:t>
            </w:r>
          </w:p>
        </w:tc>
        <w:tc>
          <w:tcPr>
            <w:tcW w:w="140" w:type="dxa"/>
            <w:vAlign w:val="bottom"/>
          </w:tcPr>
          <w:p>
            <w:pPr>
              <w:spacing w:after="0"/>
              <w:rPr>
                <w:sz w:val="14"/>
                <w:szCs w:val="14"/>
                <w:color w:val="auto"/>
              </w:rPr>
            </w:pPr>
          </w:p>
        </w:tc>
        <w:tc>
          <w:tcPr>
            <w:tcW w:w="12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w w:val="90"/>
              </w:rPr>
              <w:t>Adjusted average</w:t>
            </w:r>
          </w:p>
        </w:tc>
        <w:tc>
          <w:tcPr>
            <w:tcW w:w="0" w:type="dxa"/>
            <w:vAlign w:val="bottom"/>
          </w:tcPr>
          <w:p>
            <w:pPr>
              <w:spacing w:after="0"/>
              <w:rPr>
                <w:sz w:val="1"/>
                <w:szCs w:val="1"/>
                <w:color w:val="auto"/>
              </w:rPr>
            </w:pPr>
          </w:p>
        </w:tc>
      </w:tr>
      <w:tr>
        <w:trPr>
          <w:trHeight w:val="186"/>
        </w:trPr>
        <w:tc>
          <w:tcPr>
            <w:tcW w:w="1260" w:type="dxa"/>
            <w:vAlign w:val="bottom"/>
          </w:tcPr>
          <w:p>
            <w:pPr>
              <w:spacing w:after="0"/>
              <w:rPr>
                <w:sz w:val="16"/>
                <w:szCs w:val="16"/>
                <w:color w:val="auto"/>
              </w:rPr>
            </w:pPr>
          </w:p>
        </w:tc>
        <w:tc>
          <w:tcPr>
            <w:tcW w:w="13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capital invested</w:t>
            </w:r>
            <w:r>
              <w:rPr>
                <w:rFonts w:ascii="Arial" w:cs="Arial" w:eastAsia="Arial" w:hAnsi="Arial"/>
                <w:sz w:val="8"/>
                <w:szCs w:val="8"/>
                <w:b w:val="1"/>
                <w:bCs w:val="1"/>
                <w:color w:val="auto"/>
                <w:w w:val="91"/>
              </w:rPr>
              <w:t>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adjustment</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adjustment</w:t>
            </w:r>
          </w:p>
        </w:tc>
        <w:tc>
          <w:tcPr>
            <w:tcW w:w="120" w:type="dxa"/>
            <w:vAlign w:val="bottom"/>
          </w:tcPr>
          <w:p>
            <w:pPr>
              <w:spacing w:after="0"/>
              <w:rPr>
                <w:sz w:val="16"/>
                <w:szCs w:val="16"/>
                <w:color w:val="auto"/>
              </w:rPr>
            </w:pPr>
          </w:p>
        </w:tc>
        <w:tc>
          <w:tcPr>
            <w:tcW w:w="160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0"/>
              </w:rPr>
              <w:t>issuance adjustment</w:t>
            </w:r>
            <w:r>
              <w:rPr>
                <w:rFonts w:ascii="Arial" w:cs="Arial" w:eastAsia="Arial" w:hAnsi="Arial"/>
                <w:sz w:val="8"/>
                <w:szCs w:val="8"/>
                <w:b w:val="1"/>
                <w:bCs w:val="1"/>
                <w:color w:val="auto"/>
                <w:w w:val="90"/>
              </w:rPr>
              <w:t>2</w:t>
            </w:r>
          </w:p>
        </w:tc>
        <w:tc>
          <w:tcPr>
            <w:tcW w:w="1120" w:type="dxa"/>
            <w:vAlign w:val="bottom"/>
            <w:gridSpan w:val="3"/>
          </w:tcPr>
          <w:p>
            <w:pPr>
              <w:jc w:val="right"/>
              <w:ind w:right="151"/>
              <w:spacing w:after="0"/>
              <w:rPr>
                <w:sz w:val="20"/>
                <w:szCs w:val="20"/>
                <w:color w:val="auto"/>
              </w:rPr>
            </w:pPr>
            <w:r>
              <w:rPr>
                <w:rFonts w:ascii="Arial" w:cs="Arial" w:eastAsia="Arial" w:hAnsi="Arial"/>
                <w:sz w:val="14"/>
                <w:szCs w:val="14"/>
                <w:b w:val="1"/>
                <w:bCs w:val="1"/>
                <w:color w:val="auto"/>
              </w:rPr>
              <w:t>adjustment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5"/>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w w:val="95"/>
              </w:rPr>
              <w:t>capital invested</w:t>
            </w:r>
          </w:p>
        </w:tc>
        <w:tc>
          <w:tcPr>
            <w:tcW w:w="0" w:type="dxa"/>
            <w:vAlign w:val="bottom"/>
          </w:tcPr>
          <w:p>
            <w:pPr>
              <w:spacing w:after="0"/>
              <w:rPr>
                <w:sz w:val="1"/>
                <w:szCs w:val="1"/>
                <w:color w:val="auto"/>
              </w:rPr>
            </w:pPr>
          </w:p>
        </w:tc>
      </w:tr>
      <w:tr>
        <w:trPr>
          <w:trHeight w:val="39"/>
        </w:trPr>
        <w:tc>
          <w:tcPr>
            <w:tcW w:w="12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gridSpan w:val="2"/>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1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2001</w:t>
            </w: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i w:val="1"/>
                <w:iCs w:val="1"/>
                <w:color w:val="auto"/>
                <w:w w:val="99"/>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i w:val="1"/>
                <w:iCs w:val="1"/>
                <w:color w:val="auto"/>
              </w:rPr>
              <w:t>466.2</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w:t>
            </w:r>
          </w:p>
        </w:tc>
        <w:tc>
          <w:tcPr>
            <w:tcW w:w="11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i w:val="1"/>
                <w:iCs w:val="1"/>
                <w:color w:val="auto"/>
              </w:rPr>
              <w:t>$</w:t>
            </w:r>
          </w:p>
        </w:tc>
        <w:tc>
          <w:tcPr>
            <w:tcW w:w="7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w w:val="99"/>
              </w:rPr>
              <w:t>—</w:t>
            </w:r>
          </w:p>
        </w:tc>
        <w:tc>
          <w:tcPr>
            <w:tcW w:w="920" w:type="dxa"/>
            <w:vAlign w:val="bottom"/>
            <w:tcBorders>
              <w:bottom w:val="single" w:sz="8" w:color="CCEEFF"/>
            </w:tcBorders>
            <w:gridSpan w:val="2"/>
            <w:shd w:val="clear" w:color="auto" w:fill="CCEEFF"/>
          </w:tcPr>
          <w:p>
            <w:pPr>
              <w:jc w:val="right"/>
              <w:ind w:right="608"/>
              <w:spacing w:after="0"/>
              <w:rPr>
                <w:sz w:val="20"/>
                <w:szCs w:val="20"/>
                <w:color w:val="auto"/>
              </w:rPr>
            </w:pPr>
            <w:r>
              <w:rPr>
                <w:rFonts w:ascii="Arial" w:cs="Arial" w:eastAsia="Arial" w:hAnsi="Arial"/>
                <w:sz w:val="18"/>
                <w:szCs w:val="18"/>
                <w:i w:val="1"/>
                <w:iCs w:val="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0.6</w:t>
            </w:r>
          </w:p>
        </w:tc>
        <w:tc>
          <w:tcPr>
            <w:tcW w:w="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i w:val="1"/>
                <w:iCs w:val="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469.9</w:t>
            </w:r>
          </w:p>
        </w:tc>
        <w:tc>
          <w:tcPr>
            <w:tcW w:w="0" w:type="dxa"/>
            <w:vAlign w:val="bottom"/>
          </w:tcPr>
          <w:p>
            <w:pPr>
              <w:spacing w:after="0"/>
              <w:rPr>
                <w:sz w:val="1"/>
                <w:szCs w:val="1"/>
                <w:color w:val="auto"/>
              </w:rPr>
            </w:pPr>
          </w:p>
        </w:tc>
      </w:tr>
      <w:tr>
        <w:trPr>
          <w:trHeight w:val="243"/>
        </w:trPr>
        <w:tc>
          <w:tcPr>
            <w:tcW w:w="1260" w:type="dxa"/>
            <w:vAlign w:val="bottom"/>
          </w:tcPr>
          <w:p>
            <w:pPr>
              <w:ind w:left="80"/>
              <w:spacing w:after="0"/>
              <w:rPr>
                <w:sz w:val="20"/>
                <w:szCs w:val="20"/>
                <w:color w:val="auto"/>
              </w:rPr>
            </w:pPr>
            <w:r>
              <w:rPr>
                <w:rFonts w:ascii="Arial" w:cs="Arial" w:eastAsia="Arial" w:hAnsi="Arial"/>
                <w:sz w:val="18"/>
                <w:szCs w:val="18"/>
                <w:i w:val="1"/>
                <w:iCs w:val="1"/>
                <w:color w:val="auto"/>
              </w:rPr>
              <w:t>2002</w:t>
            </w:r>
          </w:p>
        </w:tc>
        <w:tc>
          <w:tcPr>
            <w:tcW w:w="220" w:type="dxa"/>
            <w:vAlign w:val="bottom"/>
          </w:tcPr>
          <w:p>
            <w:pPr>
              <w:jc w:val="right"/>
              <w:ind w:right="11"/>
              <w:spacing w:after="0"/>
              <w:rPr>
                <w:sz w:val="20"/>
                <w:szCs w:val="20"/>
                <w:color w:val="auto"/>
              </w:rPr>
            </w:pPr>
            <w:r>
              <w:rPr>
                <w:rFonts w:ascii="Arial" w:cs="Arial" w:eastAsia="Arial" w:hAnsi="Arial"/>
                <w:sz w:val="18"/>
                <w:szCs w:val="18"/>
                <w:i w:val="1"/>
                <w:iCs w:val="1"/>
                <w:color w:val="auto"/>
                <w:w w:val="99"/>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i w:val="1"/>
                <w:iCs w:val="1"/>
                <w:color w:val="auto"/>
              </w:rPr>
              <w:t>457.1</w:t>
            </w:r>
          </w:p>
        </w:tc>
        <w:tc>
          <w:tcPr>
            <w:tcW w:w="20" w:type="dxa"/>
            <w:vAlign w:val="bottom"/>
          </w:tcPr>
          <w:p>
            <w:pPr>
              <w:spacing w:after="0"/>
              <w:rPr>
                <w:sz w:val="21"/>
                <w:szCs w:val="21"/>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5.8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i w:val="1"/>
                <w:iCs w:val="1"/>
                <w:color w:val="auto"/>
              </w:rPr>
              <w:t>$</w:t>
            </w: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w w:val="99"/>
              </w:rPr>
              <w:t>—</w:t>
            </w:r>
          </w:p>
        </w:tc>
        <w:tc>
          <w:tcPr>
            <w:tcW w:w="920" w:type="dxa"/>
            <w:vAlign w:val="bottom"/>
            <w:gridSpan w:val="2"/>
          </w:tcPr>
          <w:p>
            <w:pPr>
              <w:jc w:val="right"/>
              <w:ind w:right="608"/>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i w:val="1"/>
                <w:iCs w:val="1"/>
                <w:color w:val="auto"/>
              </w:rPr>
              <w:t>0.5</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80" w:type="dxa"/>
            <w:vAlign w:val="bottom"/>
          </w:tcPr>
          <w:p>
            <w:pPr>
              <w:spacing w:after="0"/>
              <w:rPr>
                <w:sz w:val="21"/>
                <w:szCs w:val="21"/>
                <w:color w:val="auto"/>
              </w:rPr>
            </w:pPr>
          </w:p>
        </w:tc>
        <w:tc>
          <w:tcPr>
            <w:tcW w:w="460" w:type="dxa"/>
            <w:vAlign w:val="bottom"/>
            <w:gridSpan w:val="2"/>
          </w:tcPr>
          <w:p>
            <w:pPr>
              <w:jc w:val="right"/>
              <w:ind w:right="168"/>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i w:val="1"/>
                <w:iCs w:val="1"/>
                <w:color w:val="auto"/>
              </w:rPr>
              <w:t>(1.4)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i w:val="1"/>
                <w:iCs w:val="1"/>
                <w:color w:val="auto"/>
              </w:rPr>
              <w:t>462.0</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gridSpan w:val="2"/>
          </w:tcPr>
          <w:p>
            <w:pPr>
              <w:spacing w:after="0"/>
              <w:rPr>
                <w:sz w:val="4"/>
                <w:szCs w:val="4"/>
                <w:color w:val="auto"/>
              </w:rPr>
            </w:pPr>
          </w:p>
        </w:tc>
        <w:tc>
          <w:tcPr>
            <w:tcW w:w="110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2003</w:t>
            </w: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i w:val="1"/>
                <w:iCs w:val="1"/>
                <w:color w:val="auto"/>
                <w:w w:val="99"/>
              </w:rPr>
              <w:t>$</w:t>
            </w:r>
          </w:p>
        </w:tc>
        <w:tc>
          <w:tcPr>
            <w:tcW w:w="1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i w:val="1"/>
                <w:iCs w:val="1"/>
                <w:color w:val="auto"/>
              </w:rPr>
              <w:t>430.3</w:t>
            </w: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w:t>
            </w:r>
          </w:p>
        </w:tc>
        <w:tc>
          <w:tcPr>
            <w:tcW w:w="11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7.9</w:t>
            </w: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608"/>
              <w:spacing w:after="0"/>
              <w:rPr>
                <w:sz w:val="20"/>
                <w:szCs w:val="20"/>
                <w:color w:val="auto"/>
              </w:rPr>
            </w:pPr>
            <w:r>
              <w:rPr>
                <w:rFonts w:ascii="Arial" w:cs="Arial" w:eastAsia="Arial" w:hAnsi="Arial"/>
                <w:sz w:val="18"/>
                <w:szCs w:val="18"/>
                <w:i w:val="1"/>
                <w:iCs w:val="1"/>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1.7</w:t>
            </w:r>
          </w:p>
        </w:tc>
        <w:tc>
          <w:tcPr>
            <w:tcW w:w="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i w:val="1"/>
                <w:iCs w:val="1"/>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437.5</w:t>
            </w:r>
          </w:p>
        </w:tc>
        <w:tc>
          <w:tcPr>
            <w:tcW w:w="0" w:type="dxa"/>
            <w:vAlign w:val="bottom"/>
          </w:tcPr>
          <w:p>
            <w:pPr>
              <w:spacing w:after="0"/>
              <w:rPr>
                <w:sz w:val="1"/>
                <w:szCs w:val="1"/>
                <w:color w:val="auto"/>
              </w:rPr>
            </w:pPr>
          </w:p>
        </w:tc>
      </w:tr>
      <w:tr>
        <w:trPr>
          <w:trHeight w:val="243"/>
        </w:trPr>
        <w:tc>
          <w:tcPr>
            <w:tcW w:w="1260" w:type="dxa"/>
            <w:vAlign w:val="bottom"/>
          </w:tcPr>
          <w:p>
            <w:pPr>
              <w:ind w:left="80"/>
              <w:spacing w:after="0"/>
              <w:rPr>
                <w:sz w:val="20"/>
                <w:szCs w:val="20"/>
                <w:color w:val="auto"/>
              </w:rPr>
            </w:pPr>
            <w:r>
              <w:rPr>
                <w:rFonts w:ascii="Arial" w:cs="Arial" w:eastAsia="Arial" w:hAnsi="Arial"/>
                <w:sz w:val="18"/>
                <w:szCs w:val="18"/>
                <w:i w:val="1"/>
                <w:iCs w:val="1"/>
                <w:color w:val="auto"/>
              </w:rPr>
              <w:t>2004</w:t>
            </w:r>
          </w:p>
        </w:tc>
        <w:tc>
          <w:tcPr>
            <w:tcW w:w="220" w:type="dxa"/>
            <w:vAlign w:val="bottom"/>
          </w:tcPr>
          <w:p>
            <w:pPr>
              <w:jc w:val="right"/>
              <w:ind w:right="11"/>
              <w:spacing w:after="0"/>
              <w:rPr>
                <w:sz w:val="20"/>
                <w:szCs w:val="20"/>
                <w:color w:val="auto"/>
              </w:rPr>
            </w:pPr>
            <w:r>
              <w:rPr>
                <w:rFonts w:ascii="Arial" w:cs="Arial" w:eastAsia="Arial" w:hAnsi="Arial"/>
                <w:sz w:val="18"/>
                <w:szCs w:val="18"/>
                <w:i w:val="1"/>
                <w:iCs w:val="1"/>
                <w:color w:val="auto"/>
                <w:w w:val="99"/>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i w:val="1"/>
                <w:iCs w:val="1"/>
                <w:color w:val="auto"/>
              </w:rPr>
              <w:t>476.5</w:t>
            </w:r>
          </w:p>
        </w:tc>
        <w:tc>
          <w:tcPr>
            <w:tcW w:w="20" w:type="dxa"/>
            <w:vAlign w:val="bottom"/>
          </w:tcPr>
          <w:p>
            <w:pPr>
              <w:spacing w:after="0"/>
              <w:rPr>
                <w:sz w:val="21"/>
                <w:szCs w:val="21"/>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8.7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i w:val="1"/>
                <w:iCs w:val="1"/>
                <w:color w:val="auto"/>
              </w:rPr>
              <w:t>$</w:t>
            </w: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w w:val="99"/>
              </w:rPr>
              <w:t>—</w:t>
            </w:r>
          </w:p>
        </w:tc>
        <w:tc>
          <w:tcPr>
            <w:tcW w:w="920" w:type="dxa"/>
            <w:vAlign w:val="bottom"/>
            <w:gridSpan w:val="2"/>
          </w:tcPr>
          <w:p>
            <w:pPr>
              <w:jc w:val="right"/>
              <w:ind w:right="608"/>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i w:val="1"/>
                <w:iCs w:val="1"/>
                <w:color w:val="auto"/>
              </w:rPr>
              <w:t>1.8</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80" w:type="dxa"/>
            <w:vAlign w:val="bottom"/>
          </w:tcPr>
          <w:p>
            <w:pPr>
              <w:spacing w:after="0"/>
              <w:rPr>
                <w:sz w:val="21"/>
                <w:szCs w:val="21"/>
                <w:color w:val="auto"/>
              </w:rPr>
            </w:pPr>
          </w:p>
        </w:tc>
        <w:tc>
          <w:tcPr>
            <w:tcW w:w="460" w:type="dxa"/>
            <w:vAlign w:val="bottom"/>
            <w:gridSpan w:val="2"/>
          </w:tcPr>
          <w:p>
            <w:pPr>
              <w:jc w:val="right"/>
              <w:ind w:right="168"/>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i w:val="1"/>
                <w:iCs w:val="1"/>
                <w:color w:val="auto"/>
              </w:rPr>
              <w:t>(3.3)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i w:val="1"/>
                <w:iCs w:val="1"/>
                <w:color w:val="auto"/>
              </w:rPr>
              <w:t>483.7</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gridSpan w:val="2"/>
          </w:tcPr>
          <w:p>
            <w:pPr>
              <w:spacing w:after="0"/>
              <w:rPr>
                <w:sz w:val="4"/>
                <w:szCs w:val="4"/>
                <w:color w:val="auto"/>
              </w:rPr>
            </w:pPr>
          </w:p>
        </w:tc>
        <w:tc>
          <w:tcPr>
            <w:tcW w:w="110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2005</w:t>
            </w: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i w:val="1"/>
                <w:iCs w:val="1"/>
                <w:color w:val="auto"/>
                <w:w w:val="99"/>
              </w:rPr>
              <w:t>$</w:t>
            </w:r>
          </w:p>
        </w:tc>
        <w:tc>
          <w:tcPr>
            <w:tcW w:w="1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i w:val="1"/>
                <w:iCs w:val="1"/>
                <w:color w:val="auto"/>
              </w:rPr>
              <w:t>519.4</w:t>
            </w: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w:t>
            </w:r>
          </w:p>
        </w:tc>
        <w:tc>
          <w:tcPr>
            <w:tcW w:w="11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7.5</w:t>
            </w: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608"/>
              <w:spacing w:after="0"/>
              <w:rPr>
                <w:sz w:val="20"/>
                <w:szCs w:val="20"/>
                <w:color w:val="auto"/>
              </w:rPr>
            </w:pPr>
            <w:r>
              <w:rPr>
                <w:rFonts w:ascii="Arial" w:cs="Arial" w:eastAsia="Arial" w:hAnsi="Arial"/>
                <w:sz w:val="18"/>
                <w:szCs w:val="18"/>
                <w:i w:val="1"/>
                <w:iCs w:val="1"/>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w:t>
            </w:r>
          </w:p>
        </w:tc>
        <w:tc>
          <w:tcPr>
            <w:tcW w:w="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i w:val="1"/>
                <w:iCs w:val="1"/>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523.4</w:t>
            </w:r>
          </w:p>
        </w:tc>
        <w:tc>
          <w:tcPr>
            <w:tcW w:w="0" w:type="dxa"/>
            <w:vAlign w:val="bottom"/>
          </w:tcPr>
          <w:p>
            <w:pPr>
              <w:spacing w:after="0"/>
              <w:rPr>
                <w:sz w:val="1"/>
                <w:szCs w:val="1"/>
                <w:color w:val="auto"/>
              </w:rPr>
            </w:pPr>
          </w:p>
        </w:tc>
      </w:tr>
      <w:tr>
        <w:trPr>
          <w:trHeight w:val="243"/>
        </w:trPr>
        <w:tc>
          <w:tcPr>
            <w:tcW w:w="1260" w:type="dxa"/>
            <w:vAlign w:val="bottom"/>
          </w:tcPr>
          <w:p>
            <w:pPr>
              <w:ind w:left="80"/>
              <w:spacing w:after="0"/>
              <w:rPr>
                <w:sz w:val="20"/>
                <w:szCs w:val="20"/>
                <w:color w:val="auto"/>
              </w:rPr>
            </w:pPr>
            <w:r>
              <w:rPr>
                <w:rFonts w:ascii="Arial" w:cs="Arial" w:eastAsia="Arial" w:hAnsi="Arial"/>
                <w:sz w:val="18"/>
                <w:szCs w:val="18"/>
                <w:i w:val="1"/>
                <w:iCs w:val="1"/>
                <w:color w:val="auto"/>
              </w:rPr>
              <w:t>2006</w:t>
            </w:r>
          </w:p>
        </w:tc>
        <w:tc>
          <w:tcPr>
            <w:tcW w:w="220" w:type="dxa"/>
            <w:vAlign w:val="bottom"/>
          </w:tcPr>
          <w:p>
            <w:pPr>
              <w:jc w:val="right"/>
              <w:ind w:right="11"/>
              <w:spacing w:after="0"/>
              <w:rPr>
                <w:sz w:val="20"/>
                <w:szCs w:val="20"/>
                <w:color w:val="auto"/>
              </w:rPr>
            </w:pPr>
            <w:r>
              <w:rPr>
                <w:rFonts w:ascii="Arial" w:cs="Arial" w:eastAsia="Arial" w:hAnsi="Arial"/>
                <w:sz w:val="18"/>
                <w:szCs w:val="18"/>
                <w:i w:val="1"/>
                <w:iCs w:val="1"/>
                <w:color w:val="auto"/>
                <w:w w:val="99"/>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i w:val="1"/>
                <w:iCs w:val="1"/>
                <w:color w:val="auto"/>
              </w:rPr>
              <w:t>548.0</w:t>
            </w:r>
          </w:p>
        </w:tc>
        <w:tc>
          <w:tcPr>
            <w:tcW w:w="20" w:type="dxa"/>
            <w:vAlign w:val="bottom"/>
          </w:tcPr>
          <w:p>
            <w:pPr>
              <w:spacing w:after="0"/>
              <w:rPr>
                <w:sz w:val="21"/>
                <w:szCs w:val="21"/>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5.5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i w:val="1"/>
                <w:iCs w:val="1"/>
                <w:color w:val="auto"/>
              </w:rPr>
              <w:t>$</w:t>
            </w: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w w:val="99"/>
              </w:rPr>
              <w:t>—</w:t>
            </w:r>
          </w:p>
        </w:tc>
        <w:tc>
          <w:tcPr>
            <w:tcW w:w="920" w:type="dxa"/>
            <w:vAlign w:val="bottom"/>
            <w:gridSpan w:val="2"/>
          </w:tcPr>
          <w:p>
            <w:pPr>
              <w:jc w:val="right"/>
              <w:ind w:right="608"/>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i w:val="1"/>
                <w:iCs w:val="1"/>
                <w:color w:val="auto"/>
              </w:rPr>
              <w:t>2.0</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80" w:type="dxa"/>
            <w:vAlign w:val="bottom"/>
          </w:tcPr>
          <w:p>
            <w:pPr>
              <w:spacing w:after="0"/>
              <w:rPr>
                <w:sz w:val="21"/>
                <w:szCs w:val="21"/>
                <w:color w:val="auto"/>
              </w:rPr>
            </w:pPr>
          </w:p>
        </w:tc>
        <w:tc>
          <w:tcPr>
            <w:tcW w:w="460" w:type="dxa"/>
            <w:vAlign w:val="bottom"/>
            <w:gridSpan w:val="2"/>
          </w:tcPr>
          <w:p>
            <w:pPr>
              <w:jc w:val="right"/>
              <w:ind w:right="168"/>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i w:val="1"/>
                <w:iCs w:val="1"/>
                <w:color w:val="auto"/>
              </w:rPr>
              <w:t>(7.0)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i w:val="1"/>
                <w:iCs w:val="1"/>
                <w:color w:val="auto"/>
              </w:rPr>
              <w:t>548.5</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gridSpan w:val="2"/>
          </w:tcPr>
          <w:p>
            <w:pPr>
              <w:spacing w:after="0"/>
              <w:rPr>
                <w:sz w:val="4"/>
                <w:szCs w:val="4"/>
                <w:color w:val="auto"/>
              </w:rPr>
            </w:pPr>
          </w:p>
        </w:tc>
        <w:tc>
          <w:tcPr>
            <w:tcW w:w="110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2007</w:t>
            </w: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i w:val="1"/>
                <w:iCs w:val="1"/>
                <w:color w:val="auto"/>
                <w:w w:val="99"/>
              </w:rPr>
              <w:t>$</w:t>
            </w:r>
          </w:p>
        </w:tc>
        <w:tc>
          <w:tcPr>
            <w:tcW w:w="1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i w:val="1"/>
                <w:iCs w:val="1"/>
                <w:color w:val="auto"/>
              </w:rPr>
              <w:t>706.1</w:t>
            </w: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w:t>
            </w:r>
          </w:p>
        </w:tc>
        <w:tc>
          <w:tcPr>
            <w:tcW w:w="11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8.2</w:t>
            </w: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608"/>
              <w:spacing w:after="0"/>
              <w:rPr>
                <w:sz w:val="20"/>
                <w:szCs w:val="20"/>
                <w:color w:val="auto"/>
              </w:rPr>
            </w:pPr>
            <w:r>
              <w:rPr>
                <w:rFonts w:ascii="Arial" w:cs="Arial" w:eastAsia="Arial" w:hAnsi="Arial"/>
                <w:sz w:val="18"/>
                <w:szCs w:val="18"/>
                <w:i w:val="1"/>
                <w:iCs w:val="1"/>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1.7</w:t>
            </w:r>
          </w:p>
        </w:tc>
        <w:tc>
          <w:tcPr>
            <w:tcW w:w="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i w:val="1"/>
                <w:iCs w:val="1"/>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710.1</w:t>
            </w:r>
          </w:p>
        </w:tc>
        <w:tc>
          <w:tcPr>
            <w:tcW w:w="0" w:type="dxa"/>
            <w:vAlign w:val="bottom"/>
          </w:tcPr>
          <w:p>
            <w:pPr>
              <w:spacing w:after="0"/>
              <w:rPr>
                <w:sz w:val="1"/>
                <w:szCs w:val="1"/>
                <w:color w:val="auto"/>
              </w:rPr>
            </w:pPr>
          </w:p>
        </w:tc>
      </w:tr>
      <w:tr>
        <w:trPr>
          <w:trHeight w:val="243"/>
        </w:trPr>
        <w:tc>
          <w:tcPr>
            <w:tcW w:w="1260" w:type="dxa"/>
            <w:vAlign w:val="bottom"/>
          </w:tcPr>
          <w:p>
            <w:pPr>
              <w:ind w:left="80"/>
              <w:spacing w:after="0"/>
              <w:rPr>
                <w:sz w:val="20"/>
                <w:szCs w:val="20"/>
                <w:color w:val="auto"/>
              </w:rPr>
            </w:pPr>
            <w:r>
              <w:rPr>
                <w:rFonts w:ascii="Arial" w:cs="Arial" w:eastAsia="Arial" w:hAnsi="Arial"/>
                <w:sz w:val="18"/>
                <w:szCs w:val="18"/>
                <w:i w:val="1"/>
                <w:iCs w:val="1"/>
                <w:color w:val="auto"/>
              </w:rPr>
              <w:t>2008</w:t>
            </w:r>
          </w:p>
        </w:tc>
        <w:tc>
          <w:tcPr>
            <w:tcW w:w="220" w:type="dxa"/>
            <w:vAlign w:val="bottom"/>
          </w:tcPr>
          <w:p>
            <w:pPr>
              <w:jc w:val="right"/>
              <w:ind w:right="11"/>
              <w:spacing w:after="0"/>
              <w:rPr>
                <w:sz w:val="20"/>
                <w:szCs w:val="20"/>
                <w:color w:val="auto"/>
              </w:rPr>
            </w:pPr>
            <w:r>
              <w:rPr>
                <w:rFonts w:ascii="Arial" w:cs="Arial" w:eastAsia="Arial" w:hAnsi="Arial"/>
                <w:sz w:val="18"/>
                <w:szCs w:val="18"/>
                <w:i w:val="1"/>
                <w:iCs w:val="1"/>
                <w:color w:val="auto"/>
                <w:w w:val="99"/>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i w:val="1"/>
                <w:iCs w:val="1"/>
                <w:color w:val="auto"/>
              </w:rPr>
              <w:t>960.7</w:t>
            </w:r>
          </w:p>
        </w:tc>
        <w:tc>
          <w:tcPr>
            <w:tcW w:w="20" w:type="dxa"/>
            <w:vAlign w:val="bottom"/>
          </w:tcPr>
          <w:p>
            <w:pPr>
              <w:spacing w:after="0"/>
              <w:rPr>
                <w:sz w:val="21"/>
                <w:szCs w:val="21"/>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13.8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i w:val="1"/>
                <w:iCs w:val="1"/>
                <w:color w:val="auto"/>
              </w:rPr>
              <w:t>$</w:t>
            </w: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w w:val="99"/>
              </w:rPr>
              <w:t>—</w:t>
            </w:r>
          </w:p>
        </w:tc>
        <w:tc>
          <w:tcPr>
            <w:tcW w:w="920" w:type="dxa"/>
            <w:vAlign w:val="bottom"/>
            <w:gridSpan w:val="2"/>
          </w:tcPr>
          <w:p>
            <w:pPr>
              <w:jc w:val="right"/>
              <w:ind w:right="608"/>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i w:val="1"/>
                <w:iCs w:val="1"/>
                <w:color w:val="auto"/>
              </w:rPr>
              <w:t>2.9</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80" w:type="dxa"/>
            <w:vAlign w:val="bottom"/>
          </w:tcPr>
          <w:p>
            <w:pPr>
              <w:spacing w:after="0"/>
              <w:rPr>
                <w:sz w:val="21"/>
                <w:szCs w:val="21"/>
                <w:color w:val="auto"/>
              </w:rPr>
            </w:pPr>
          </w:p>
        </w:tc>
        <w:tc>
          <w:tcPr>
            <w:tcW w:w="460" w:type="dxa"/>
            <w:vAlign w:val="bottom"/>
            <w:gridSpan w:val="2"/>
          </w:tcPr>
          <w:p>
            <w:pPr>
              <w:jc w:val="right"/>
              <w:ind w:right="168"/>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i w:val="1"/>
                <w:iCs w:val="1"/>
                <w:color w:val="auto"/>
              </w:rPr>
              <w:t>(2.4)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i w:val="1"/>
                <w:iCs w:val="1"/>
                <w:color w:val="auto"/>
              </w:rPr>
              <w:t>975.0</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gridSpan w:val="2"/>
          </w:tcPr>
          <w:p>
            <w:pPr>
              <w:spacing w:after="0"/>
              <w:rPr>
                <w:sz w:val="4"/>
                <w:szCs w:val="4"/>
                <w:color w:val="auto"/>
              </w:rPr>
            </w:pPr>
          </w:p>
        </w:tc>
        <w:tc>
          <w:tcPr>
            <w:tcW w:w="110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2009</w:t>
            </w: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i w:val="1"/>
                <w:iCs w:val="1"/>
                <w:color w:val="auto"/>
                <w:w w:val="99"/>
              </w:rPr>
              <w:t>$</w:t>
            </w:r>
          </w:p>
        </w:tc>
        <w:tc>
          <w:tcPr>
            <w:tcW w:w="1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i w:val="1"/>
                <w:iCs w:val="1"/>
                <w:color w:val="auto"/>
              </w:rPr>
              <w:t>983.6</w:t>
            </w: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w:t>
            </w:r>
          </w:p>
        </w:tc>
        <w:tc>
          <w:tcPr>
            <w:tcW w:w="11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13.2</w:t>
            </w: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608"/>
              <w:spacing w:after="0"/>
              <w:rPr>
                <w:sz w:val="20"/>
                <w:szCs w:val="20"/>
                <w:color w:val="auto"/>
              </w:rPr>
            </w:pPr>
            <w:r>
              <w:rPr>
                <w:rFonts w:ascii="Arial" w:cs="Arial" w:eastAsia="Arial" w:hAnsi="Arial"/>
                <w:sz w:val="18"/>
                <w:szCs w:val="18"/>
                <w:i w:val="1"/>
                <w:iCs w:val="1"/>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2.9</w:t>
            </w:r>
          </w:p>
        </w:tc>
        <w:tc>
          <w:tcPr>
            <w:tcW w:w="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i w:val="1"/>
                <w:iCs w:val="1"/>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998.7</w:t>
            </w:r>
          </w:p>
        </w:tc>
        <w:tc>
          <w:tcPr>
            <w:tcW w:w="0" w:type="dxa"/>
            <w:vAlign w:val="bottom"/>
          </w:tcPr>
          <w:p>
            <w:pPr>
              <w:spacing w:after="0"/>
              <w:rPr>
                <w:sz w:val="1"/>
                <w:szCs w:val="1"/>
                <w:color w:val="auto"/>
              </w:rPr>
            </w:pPr>
          </w:p>
        </w:tc>
      </w:tr>
      <w:tr>
        <w:trPr>
          <w:trHeight w:val="243"/>
        </w:trPr>
        <w:tc>
          <w:tcPr>
            <w:tcW w:w="1260" w:type="dxa"/>
            <w:vAlign w:val="bottom"/>
          </w:tcPr>
          <w:p>
            <w:pPr>
              <w:ind w:left="80"/>
              <w:spacing w:after="0"/>
              <w:rPr>
                <w:sz w:val="20"/>
                <w:szCs w:val="20"/>
                <w:color w:val="auto"/>
              </w:rPr>
            </w:pPr>
            <w:r>
              <w:rPr>
                <w:rFonts w:ascii="Arial" w:cs="Arial" w:eastAsia="Arial" w:hAnsi="Arial"/>
                <w:sz w:val="18"/>
                <w:szCs w:val="18"/>
                <w:i w:val="1"/>
                <w:iCs w:val="1"/>
                <w:color w:val="auto"/>
              </w:rPr>
              <w:t>2010</w:t>
            </w:r>
          </w:p>
        </w:tc>
        <w:tc>
          <w:tcPr>
            <w:tcW w:w="220" w:type="dxa"/>
            <w:vAlign w:val="bottom"/>
          </w:tcPr>
          <w:p>
            <w:pPr>
              <w:jc w:val="right"/>
              <w:ind w:right="11"/>
              <w:spacing w:after="0"/>
              <w:rPr>
                <w:sz w:val="20"/>
                <w:szCs w:val="20"/>
                <w:color w:val="auto"/>
              </w:rPr>
            </w:pPr>
            <w:r>
              <w:rPr>
                <w:rFonts w:ascii="Arial" w:cs="Arial" w:eastAsia="Arial" w:hAnsi="Arial"/>
                <w:sz w:val="18"/>
                <w:szCs w:val="18"/>
                <w:i w:val="1"/>
                <w:iCs w:val="1"/>
                <w:color w:val="auto"/>
                <w:w w:val="99"/>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i w:val="1"/>
                <w:iCs w:val="1"/>
                <w:color w:val="auto"/>
              </w:rPr>
              <w:t>1,057.3</w:t>
            </w:r>
          </w:p>
        </w:tc>
        <w:tc>
          <w:tcPr>
            <w:tcW w:w="20" w:type="dxa"/>
            <w:vAlign w:val="bottom"/>
          </w:tcPr>
          <w:p>
            <w:pPr>
              <w:spacing w:after="0"/>
              <w:rPr>
                <w:sz w:val="21"/>
                <w:szCs w:val="21"/>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5.2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i w:val="1"/>
                <w:iCs w:val="1"/>
                <w:color w:val="auto"/>
              </w:rPr>
              <w:t>$</w:t>
            </w: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w w:val="99"/>
              </w:rPr>
              <w:t>—</w:t>
            </w:r>
          </w:p>
        </w:tc>
        <w:tc>
          <w:tcPr>
            <w:tcW w:w="920" w:type="dxa"/>
            <w:vAlign w:val="bottom"/>
            <w:gridSpan w:val="2"/>
          </w:tcPr>
          <w:p>
            <w:pPr>
              <w:jc w:val="right"/>
              <w:ind w:right="608"/>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i w:val="1"/>
                <w:iCs w:val="1"/>
                <w:color w:val="auto"/>
                <w:w w:val="85"/>
              </w:rPr>
              <w:t>12.2</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80" w:type="dxa"/>
            <w:vAlign w:val="bottom"/>
          </w:tcPr>
          <w:p>
            <w:pPr>
              <w:spacing w:after="0"/>
              <w:rPr>
                <w:sz w:val="21"/>
                <w:szCs w:val="21"/>
                <w:color w:val="auto"/>
              </w:rPr>
            </w:pPr>
          </w:p>
        </w:tc>
        <w:tc>
          <w:tcPr>
            <w:tcW w:w="460" w:type="dxa"/>
            <w:vAlign w:val="bottom"/>
            <w:gridSpan w:val="2"/>
          </w:tcPr>
          <w:p>
            <w:pPr>
              <w:jc w:val="right"/>
              <w:ind w:right="168"/>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i w:val="1"/>
                <w:iCs w:val="1"/>
                <w:color w:val="auto"/>
              </w:rPr>
              <w:t>(0.5)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i w:val="1"/>
                <w:iCs w:val="1"/>
                <w:color w:val="auto"/>
              </w:rPr>
              <w:t>1,074.2</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gridSpan w:val="2"/>
          </w:tcPr>
          <w:p>
            <w:pPr>
              <w:spacing w:after="0"/>
              <w:rPr>
                <w:sz w:val="4"/>
                <w:szCs w:val="4"/>
                <w:color w:val="auto"/>
              </w:rPr>
            </w:pPr>
          </w:p>
        </w:tc>
        <w:tc>
          <w:tcPr>
            <w:tcW w:w="110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2011</w:t>
            </w: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i w:val="1"/>
                <w:iCs w:val="1"/>
                <w:color w:val="auto"/>
                <w:w w:val="99"/>
              </w:rPr>
              <w:t>$</w:t>
            </w:r>
          </w:p>
        </w:tc>
        <w:tc>
          <w:tcPr>
            <w:tcW w:w="1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i w:val="1"/>
                <w:iCs w:val="1"/>
                <w:color w:val="auto"/>
              </w:rPr>
              <w:t>1,346.0</w:t>
            </w: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w:t>
            </w:r>
          </w:p>
        </w:tc>
        <w:tc>
          <w:tcPr>
            <w:tcW w:w="11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9.4</w:t>
            </w: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608"/>
              <w:spacing w:after="0"/>
              <w:rPr>
                <w:sz w:val="20"/>
                <w:szCs w:val="20"/>
                <w:color w:val="auto"/>
              </w:rPr>
            </w:pPr>
            <w:r>
              <w:rPr>
                <w:rFonts w:ascii="Arial" w:cs="Arial" w:eastAsia="Arial" w:hAnsi="Arial"/>
                <w:sz w:val="18"/>
                <w:szCs w:val="18"/>
                <w:i w:val="1"/>
                <w:iCs w:val="1"/>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85"/>
              </w:rPr>
              <w:t>16.0</w:t>
            </w:r>
          </w:p>
        </w:tc>
        <w:tc>
          <w:tcPr>
            <w:tcW w:w="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i w:val="1"/>
                <w:iCs w:val="1"/>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1,371.1</w:t>
            </w:r>
          </w:p>
        </w:tc>
        <w:tc>
          <w:tcPr>
            <w:tcW w:w="0" w:type="dxa"/>
            <w:vAlign w:val="bottom"/>
          </w:tcPr>
          <w:p>
            <w:pPr>
              <w:spacing w:after="0"/>
              <w:rPr>
                <w:sz w:val="1"/>
                <w:szCs w:val="1"/>
                <w:color w:val="auto"/>
              </w:rPr>
            </w:pPr>
          </w:p>
        </w:tc>
      </w:tr>
      <w:tr>
        <w:trPr>
          <w:trHeight w:val="243"/>
        </w:trPr>
        <w:tc>
          <w:tcPr>
            <w:tcW w:w="1260" w:type="dxa"/>
            <w:vAlign w:val="bottom"/>
          </w:tcPr>
          <w:p>
            <w:pPr>
              <w:ind w:left="80"/>
              <w:spacing w:after="0"/>
              <w:rPr>
                <w:sz w:val="20"/>
                <w:szCs w:val="20"/>
                <w:color w:val="auto"/>
              </w:rPr>
            </w:pPr>
            <w:r>
              <w:rPr>
                <w:rFonts w:ascii="Arial" w:cs="Arial" w:eastAsia="Arial" w:hAnsi="Arial"/>
                <w:sz w:val="18"/>
                <w:szCs w:val="18"/>
                <w:i w:val="1"/>
                <w:iCs w:val="1"/>
                <w:color w:val="auto"/>
              </w:rPr>
              <w:t>2012</w:t>
            </w:r>
          </w:p>
        </w:tc>
        <w:tc>
          <w:tcPr>
            <w:tcW w:w="220" w:type="dxa"/>
            <w:vAlign w:val="bottom"/>
          </w:tcPr>
          <w:p>
            <w:pPr>
              <w:jc w:val="right"/>
              <w:ind w:right="11"/>
              <w:spacing w:after="0"/>
              <w:rPr>
                <w:sz w:val="20"/>
                <w:szCs w:val="20"/>
                <w:color w:val="auto"/>
              </w:rPr>
            </w:pPr>
            <w:r>
              <w:rPr>
                <w:rFonts w:ascii="Arial" w:cs="Arial" w:eastAsia="Arial" w:hAnsi="Arial"/>
                <w:sz w:val="18"/>
                <w:szCs w:val="18"/>
                <w:i w:val="1"/>
                <w:iCs w:val="1"/>
                <w:color w:val="auto"/>
                <w:w w:val="99"/>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i w:val="1"/>
                <w:iCs w:val="1"/>
                <w:color w:val="auto"/>
              </w:rPr>
              <w:t>1,715.3</w:t>
            </w:r>
          </w:p>
        </w:tc>
        <w:tc>
          <w:tcPr>
            <w:tcW w:w="20" w:type="dxa"/>
            <w:vAlign w:val="bottom"/>
          </w:tcPr>
          <w:p>
            <w:pPr>
              <w:spacing w:after="0"/>
              <w:rPr>
                <w:sz w:val="21"/>
                <w:szCs w:val="21"/>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11.1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i w:val="1"/>
                <w:iCs w:val="1"/>
                <w:color w:val="auto"/>
              </w:rPr>
              <w:t>$</w:t>
            </w: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w w:val="99"/>
              </w:rPr>
              <w:t>—</w:t>
            </w:r>
          </w:p>
        </w:tc>
        <w:tc>
          <w:tcPr>
            <w:tcW w:w="920" w:type="dxa"/>
            <w:vAlign w:val="bottom"/>
            <w:gridSpan w:val="2"/>
          </w:tcPr>
          <w:p>
            <w:pPr>
              <w:jc w:val="right"/>
              <w:ind w:right="608"/>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i w:val="1"/>
                <w:iCs w:val="1"/>
                <w:color w:val="auto"/>
                <w:w w:val="85"/>
              </w:rPr>
              <w:t>16.4</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80" w:type="dxa"/>
            <w:vAlign w:val="bottom"/>
          </w:tcPr>
          <w:p>
            <w:pPr>
              <w:spacing w:after="0"/>
              <w:rPr>
                <w:sz w:val="21"/>
                <w:szCs w:val="21"/>
                <w:color w:val="auto"/>
              </w:rPr>
            </w:pPr>
          </w:p>
        </w:tc>
        <w:tc>
          <w:tcPr>
            <w:tcW w:w="460" w:type="dxa"/>
            <w:vAlign w:val="bottom"/>
            <w:gridSpan w:val="2"/>
          </w:tcPr>
          <w:p>
            <w:pPr>
              <w:jc w:val="right"/>
              <w:ind w:right="168"/>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i w:val="1"/>
                <w:iCs w:val="1"/>
                <w:color w:val="auto"/>
              </w:rPr>
              <w:t>1,742.8</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gridSpan w:val="2"/>
          </w:tcPr>
          <w:p>
            <w:pPr>
              <w:spacing w:after="0"/>
              <w:rPr>
                <w:sz w:val="4"/>
                <w:szCs w:val="4"/>
                <w:color w:val="auto"/>
              </w:rPr>
            </w:pPr>
          </w:p>
        </w:tc>
        <w:tc>
          <w:tcPr>
            <w:tcW w:w="110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2013</w:t>
            </w: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i w:val="1"/>
                <w:iCs w:val="1"/>
                <w:color w:val="auto"/>
                <w:w w:val="99"/>
              </w:rPr>
              <w:t>$</w:t>
            </w:r>
          </w:p>
        </w:tc>
        <w:tc>
          <w:tcPr>
            <w:tcW w:w="1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i w:val="1"/>
                <w:iCs w:val="1"/>
                <w:color w:val="auto"/>
              </w:rPr>
              <w:t>2,024.5</w:t>
            </w: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w:t>
            </w:r>
          </w:p>
        </w:tc>
        <w:tc>
          <w:tcPr>
            <w:tcW w:w="11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9.9</w:t>
            </w: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608"/>
              <w:spacing w:after="0"/>
              <w:rPr>
                <w:sz w:val="20"/>
                <w:szCs w:val="20"/>
                <w:color w:val="auto"/>
              </w:rPr>
            </w:pPr>
            <w:r>
              <w:rPr>
                <w:rFonts w:ascii="Arial" w:cs="Arial" w:eastAsia="Arial" w:hAnsi="Arial"/>
                <w:sz w:val="18"/>
                <w:szCs w:val="18"/>
                <w:i w:val="1"/>
                <w:iCs w:val="1"/>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85"/>
              </w:rPr>
              <w:t>14.8</w:t>
            </w:r>
          </w:p>
        </w:tc>
        <w:tc>
          <w:tcPr>
            <w:tcW w:w="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2,049.2</w:t>
            </w:r>
          </w:p>
        </w:tc>
        <w:tc>
          <w:tcPr>
            <w:tcW w:w="0" w:type="dxa"/>
            <w:vAlign w:val="bottom"/>
          </w:tcPr>
          <w:p>
            <w:pPr>
              <w:spacing w:after="0"/>
              <w:rPr>
                <w:sz w:val="1"/>
                <w:szCs w:val="1"/>
                <w:color w:val="auto"/>
              </w:rPr>
            </w:pPr>
          </w:p>
        </w:tc>
      </w:tr>
      <w:tr>
        <w:trPr>
          <w:trHeight w:val="243"/>
        </w:trPr>
        <w:tc>
          <w:tcPr>
            <w:tcW w:w="1260" w:type="dxa"/>
            <w:vAlign w:val="bottom"/>
          </w:tcPr>
          <w:p>
            <w:pPr>
              <w:ind w:left="80"/>
              <w:spacing w:after="0"/>
              <w:rPr>
                <w:sz w:val="20"/>
                <w:szCs w:val="20"/>
                <w:color w:val="auto"/>
              </w:rPr>
            </w:pPr>
            <w:r>
              <w:rPr>
                <w:rFonts w:ascii="Arial" w:cs="Arial" w:eastAsia="Arial" w:hAnsi="Arial"/>
                <w:sz w:val="18"/>
                <w:szCs w:val="18"/>
                <w:i w:val="1"/>
                <w:iCs w:val="1"/>
                <w:color w:val="auto"/>
              </w:rPr>
              <w:t>2014</w:t>
            </w:r>
          </w:p>
        </w:tc>
        <w:tc>
          <w:tcPr>
            <w:tcW w:w="220" w:type="dxa"/>
            <w:vAlign w:val="bottom"/>
          </w:tcPr>
          <w:p>
            <w:pPr>
              <w:jc w:val="right"/>
              <w:ind w:right="11"/>
              <w:spacing w:after="0"/>
              <w:rPr>
                <w:sz w:val="20"/>
                <w:szCs w:val="20"/>
                <w:color w:val="auto"/>
              </w:rPr>
            </w:pPr>
            <w:r>
              <w:rPr>
                <w:rFonts w:ascii="Arial" w:cs="Arial" w:eastAsia="Arial" w:hAnsi="Arial"/>
                <w:sz w:val="18"/>
                <w:szCs w:val="18"/>
                <w:i w:val="1"/>
                <w:iCs w:val="1"/>
                <w:color w:val="auto"/>
                <w:w w:val="99"/>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i w:val="1"/>
                <w:iCs w:val="1"/>
                <w:color w:val="auto"/>
              </w:rPr>
              <w:t>2,324.8</w:t>
            </w:r>
          </w:p>
        </w:tc>
        <w:tc>
          <w:tcPr>
            <w:tcW w:w="20" w:type="dxa"/>
            <w:vAlign w:val="bottom"/>
          </w:tcPr>
          <w:p>
            <w:pPr>
              <w:spacing w:after="0"/>
              <w:rPr>
                <w:sz w:val="21"/>
                <w:szCs w:val="21"/>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6.7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i w:val="1"/>
                <w:iCs w:val="1"/>
                <w:color w:val="auto"/>
              </w:rPr>
              <w:t>$</w:t>
            </w:r>
          </w:p>
        </w:tc>
        <w:tc>
          <w:tcPr>
            <w:tcW w:w="1040" w:type="dxa"/>
            <w:vAlign w:val="bottom"/>
            <w:gridSpan w:val="4"/>
          </w:tcPr>
          <w:p>
            <w:pPr>
              <w:jc w:val="right"/>
              <w:ind w:right="40"/>
              <w:spacing w:after="0"/>
              <w:rPr>
                <w:sz w:val="20"/>
                <w:szCs w:val="20"/>
                <w:color w:val="auto"/>
              </w:rPr>
            </w:pPr>
            <w:r>
              <w:rPr>
                <w:rFonts w:ascii="Arial" w:cs="Arial" w:eastAsia="Arial" w:hAnsi="Arial"/>
                <w:sz w:val="18"/>
                <w:szCs w:val="18"/>
                <w:i w:val="1"/>
                <w:iCs w:val="1"/>
                <w:color w:val="auto"/>
              </w:rPr>
              <w:t>(7.0)</w:t>
            </w:r>
          </w:p>
        </w:tc>
        <w:tc>
          <w:tcPr>
            <w:tcW w:w="920" w:type="dxa"/>
            <w:vAlign w:val="bottom"/>
            <w:gridSpan w:val="2"/>
          </w:tcPr>
          <w:p>
            <w:pPr>
              <w:jc w:val="right"/>
              <w:ind w:right="608"/>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i w:val="1"/>
                <w:iCs w:val="1"/>
                <w:color w:val="auto"/>
                <w:w w:val="85"/>
              </w:rPr>
              <w:t>13.6</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60" w:type="dxa"/>
            <w:vAlign w:val="bottom"/>
            <w:gridSpan w:val="2"/>
          </w:tcPr>
          <w:p>
            <w:pPr>
              <w:jc w:val="right"/>
              <w:ind w:right="168"/>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i w:val="1"/>
                <w:iCs w:val="1"/>
                <w:color w:val="auto"/>
              </w:rPr>
              <w:t>2,338.1</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gridSpan w:val="2"/>
          </w:tcPr>
          <w:p>
            <w:pPr>
              <w:spacing w:after="0"/>
              <w:rPr>
                <w:sz w:val="4"/>
                <w:szCs w:val="4"/>
                <w:color w:val="auto"/>
              </w:rPr>
            </w:pPr>
          </w:p>
        </w:tc>
        <w:tc>
          <w:tcPr>
            <w:tcW w:w="110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gridSpan w:val="4"/>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2015</w:t>
            </w: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i w:val="1"/>
                <w:iCs w:val="1"/>
                <w:color w:val="auto"/>
                <w:w w:val="99"/>
              </w:rPr>
              <w:t>$</w:t>
            </w:r>
          </w:p>
        </w:tc>
        <w:tc>
          <w:tcPr>
            <w:tcW w:w="1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i w:val="1"/>
                <w:iCs w:val="1"/>
                <w:color w:val="auto"/>
              </w:rPr>
              <w:t>2,792.8</w:t>
            </w: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w:t>
            </w:r>
          </w:p>
        </w:tc>
        <w:tc>
          <w:tcPr>
            <w:tcW w:w="11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7.0</w:t>
            </w: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i w:val="1"/>
                <w:iCs w:val="1"/>
                <w:color w:val="auto"/>
              </w:rPr>
              <w:t>$</w:t>
            </w:r>
          </w:p>
        </w:tc>
        <w:tc>
          <w:tcPr>
            <w:tcW w:w="10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14.7</w:t>
            </w:r>
          </w:p>
        </w:tc>
        <w:tc>
          <w:tcPr>
            <w:tcW w:w="920" w:type="dxa"/>
            <w:vAlign w:val="bottom"/>
            <w:tcBorders>
              <w:bottom w:val="single" w:sz="8" w:color="CCEEFF"/>
            </w:tcBorders>
            <w:gridSpan w:val="2"/>
            <w:shd w:val="clear" w:color="auto" w:fill="CCEEFF"/>
          </w:tcPr>
          <w:p>
            <w:pPr>
              <w:jc w:val="right"/>
              <w:ind w:right="608"/>
              <w:spacing w:after="0"/>
              <w:rPr>
                <w:sz w:val="20"/>
                <w:szCs w:val="20"/>
                <w:color w:val="auto"/>
              </w:rPr>
            </w:pPr>
            <w:r>
              <w:rPr>
                <w:rFonts w:ascii="Arial" w:cs="Arial" w:eastAsia="Arial" w:hAnsi="Arial"/>
                <w:sz w:val="18"/>
                <w:szCs w:val="18"/>
                <w:i w:val="1"/>
                <w:iCs w:val="1"/>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85"/>
              </w:rPr>
              <w:t>17.4</w:t>
            </w:r>
          </w:p>
        </w:tc>
        <w:tc>
          <w:tcPr>
            <w:tcW w:w="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w:t>
            </w:r>
          </w:p>
        </w:tc>
        <w:tc>
          <w:tcPr>
            <w:tcW w:w="4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i w:val="1"/>
                <w:iCs w:val="1"/>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2,831.9</w:t>
            </w:r>
          </w:p>
        </w:tc>
        <w:tc>
          <w:tcPr>
            <w:tcW w:w="0" w:type="dxa"/>
            <w:vAlign w:val="bottom"/>
          </w:tcPr>
          <w:p>
            <w:pPr>
              <w:spacing w:after="0"/>
              <w:rPr>
                <w:sz w:val="1"/>
                <w:szCs w:val="1"/>
                <w:color w:val="auto"/>
              </w:rPr>
            </w:pPr>
          </w:p>
        </w:tc>
      </w:tr>
      <w:tr>
        <w:trPr>
          <w:trHeight w:val="243"/>
        </w:trPr>
        <w:tc>
          <w:tcPr>
            <w:tcW w:w="1260" w:type="dxa"/>
            <w:vAlign w:val="bottom"/>
          </w:tcPr>
          <w:p>
            <w:pPr>
              <w:ind w:left="80"/>
              <w:spacing w:after="0"/>
              <w:rPr>
                <w:sz w:val="20"/>
                <w:szCs w:val="20"/>
                <w:color w:val="auto"/>
              </w:rPr>
            </w:pPr>
            <w:r>
              <w:rPr>
                <w:rFonts w:ascii="Arial" w:cs="Arial" w:eastAsia="Arial" w:hAnsi="Arial"/>
                <w:sz w:val="18"/>
                <w:szCs w:val="18"/>
                <w:i w:val="1"/>
                <w:iCs w:val="1"/>
                <w:color w:val="auto"/>
              </w:rPr>
              <w:t>2016</w:t>
            </w:r>
          </w:p>
        </w:tc>
        <w:tc>
          <w:tcPr>
            <w:tcW w:w="220" w:type="dxa"/>
            <w:vAlign w:val="bottom"/>
          </w:tcPr>
          <w:p>
            <w:pPr>
              <w:jc w:val="right"/>
              <w:ind w:right="11"/>
              <w:spacing w:after="0"/>
              <w:rPr>
                <w:sz w:val="20"/>
                <w:szCs w:val="20"/>
                <w:color w:val="auto"/>
              </w:rPr>
            </w:pPr>
            <w:r>
              <w:rPr>
                <w:rFonts w:ascii="Arial" w:cs="Arial" w:eastAsia="Arial" w:hAnsi="Arial"/>
                <w:sz w:val="18"/>
                <w:szCs w:val="18"/>
                <w:i w:val="1"/>
                <w:iCs w:val="1"/>
                <w:color w:val="auto"/>
                <w:w w:val="99"/>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i w:val="1"/>
                <w:iCs w:val="1"/>
                <w:color w:val="auto"/>
              </w:rPr>
              <w:t>3,513.1</w:t>
            </w:r>
          </w:p>
        </w:tc>
        <w:tc>
          <w:tcPr>
            <w:tcW w:w="20" w:type="dxa"/>
            <w:vAlign w:val="bottom"/>
          </w:tcPr>
          <w:p>
            <w:pPr>
              <w:spacing w:after="0"/>
              <w:rPr>
                <w:sz w:val="21"/>
                <w:szCs w:val="21"/>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29.6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i w:val="1"/>
                <w:iCs w:val="1"/>
                <w:color w:val="auto"/>
              </w:rPr>
              <w:t>$</w:t>
            </w:r>
          </w:p>
        </w:tc>
        <w:tc>
          <w:tcPr>
            <w:tcW w:w="1040" w:type="dxa"/>
            <w:vAlign w:val="bottom"/>
            <w:gridSpan w:val="4"/>
          </w:tcPr>
          <w:p>
            <w:pPr>
              <w:jc w:val="right"/>
              <w:ind w:right="100"/>
              <w:spacing w:after="0"/>
              <w:rPr>
                <w:sz w:val="20"/>
                <w:szCs w:val="20"/>
                <w:color w:val="auto"/>
              </w:rPr>
            </w:pPr>
            <w:r>
              <w:rPr>
                <w:rFonts w:ascii="Arial" w:cs="Arial" w:eastAsia="Arial" w:hAnsi="Arial"/>
                <w:sz w:val="18"/>
                <w:szCs w:val="18"/>
                <w:i w:val="1"/>
                <w:iCs w:val="1"/>
                <w:color w:val="auto"/>
              </w:rPr>
              <w:t>12.7</w:t>
            </w:r>
          </w:p>
        </w:tc>
        <w:tc>
          <w:tcPr>
            <w:tcW w:w="920" w:type="dxa"/>
            <w:vAlign w:val="bottom"/>
            <w:gridSpan w:val="2"/>
          </w:tcPr>
          <w:p>
            <w:pPr>
              <w:jc w:val="right"/>
              <w:ind w:right="608"/>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i w:val="1"/>
                <w:iCs w:val="1"/>
                <w:color w:val="auto"/>
                <w:w w:val="85"/>
              </w:rPr>
              <w:t>16.6</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60" w:type="dxa"/>
            <w:vAlign w:val="bottom"/>
            <w:gridSpan w:val="2"/>
          </w:tcPr>
          <w:p>
            <w:pPr>
              <w:jc w:val="right"/>
              <w:ind w:right="168"/>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i w:val="1"/>
                <w:iCs w:val="1"/>
                <w:color w:val="auto"/>
              </w:rPr>
              <w:t>3,572.0</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gridSpan w:val="2"/>
          </w:tcPr>
          <w:p>
            <w:pPr>
              <w:spacing w:after="0"/>
              <w:rPr>
                <w:sz w:val="4"/>
                <w:szCs w:val="4"/>
                <w:color w:val="auto"/>
              </w:rPr>
            </w:pPr>
          </w:p>
        </w:tc>
        <w:tc>
          <w:tcPr>
            <w:tcW w:w="110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gridSpan w:val="4"/>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2017</w:t>
            </w: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i w:val="1"/>
                <w:iCs w:val="1"/>
                <w:color w:val="auto"/>
                <w:w w:val="99"/>
              </w:rPr>
              <w:t>$</w:t>
            </w:r>
          </w:p>
        </w:tc>
        <w:tc>
          <w:tcPr>
            <w:tcW w:w="1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i w:val="1"/>
                <w:iCs w:val="1"/>
                <w:color w:val="auto"/>
              </w:rPr>
              <w:t>4,200.2</w:t>
            </w: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w:t>
            </w:r>
          </w:p>
        </w:tc>
        <w:tc>
          <w:tcPr>
            <w:tcW w:w="11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51.6</w:t>
            </w: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i w:val="1"/>
                <w:iCs w:val="1"/>
                <w:color w:val="auto"/>
              </w:rPr>
              <w:t>$</w:t>
            </w:r>
          </w:p>
        </w:tc>
        <w:tc>
          <w:tcPr>
            <w:tcW w:w="10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10.6</w:t>
            </w:r>
          </w:p>
        </w:tc>
        <w:tc>
          <w:tcPr>
            <w:tcW w:w="920" w:type="dxa"/>
            <w:vAlign w:val="bottom"/>
            <w:tcBorders>
              <w:bottom w:val="single" w:sz="8" w:color="CCEEFF"/>
            </w:tcBorders>
            <w:gridSpan w:val="2"/>
            <w:shd w:val="clear" w:color="auto" w:fill="CCEEFF"/>
          </w:tcPr>
          <w:p>
            <w:pPr>
              <w:jc w:val="right"/>
              <w:ind w:right="608"/>
              <w:spacing w:after="0"/>
              <w:rPr>
                <w:sz w:val="20"/>
                <w:szCs w:val="20"/>
                <w:color w:val="auto"/>
              </w:rPr>
            </w:pPr>
            <w:r>
              <w:rPr>
                <w:rFonts w:ascii="Arial" w:cs="Arial" w:eastAsia="Arial" w:hAnsi="Arial"/>
                <w:sz w:val="18"/>
                <w:szCs w:val="18"/>
                <w:i w:val="1"/>
                <w:iCs w:val="1"/>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85"/>
              </w:rPr>
              <w:t>18.1</w:t>
            </w:r>
          </w:p>
        </w:tc>
        <w:tc>
          <w:tcPr>
            <w:tcW w:w="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i w:val="1"/>
                <w:iCs w:val="1"/>
                <w:color w:val="auto"/>
              </w:rPr>
              <w:t>$</w:t>
            </w:r>
          </w:p>
        </w:tc>
        <w:tc>
          <w:tcPr>
            <w:tcW w:w="4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(4.1)</w:t>
            </w:r>
          </w:p>
        </w:tc>
        <w:tc>
          <w:tcPr>
            <w:tcW w:w="46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i w:val="1"/>
                <w:iCs w:val="1"/>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4,276.4</w:t>
            </w:r>
          </w:p>
        </w:tc>
        <w:tc>
          <w:tcPr>
            <w:tcW w:w="0" w:type="dxa"/>
            <w:vAlign w:val="bottom"/>
          </w:tcPr>
          <w:p>
            <w:pPr>
              <w:spacing w:after="0"/>
              <w:rPr>
                <w:sz w:val="1"/>
                <w:szCs w:val="1"/>
                <w:color w:val="auto"/>
              </w:rPr>
            </w:pPr>
          </w:p>
        </w:tc>
      </w:tr>
      <w:tr>
        <w:trPr>
          <w:trHeight w:val="243"/>
        </w:trPr>
        <w:tc>
          <w:tcPr>
            <w:tcW w:w="1260" w:type="dxa"/>
            <w:vAlign w:val="bottom"/>
          </w:tcPr>
          <w:p>
            <w:pPr>
              <w:ind w:left="80"/>
              <w:spacing w:after="0"/>
              <w:rPr>
                <w:sz w:val="20"/>
                <w:szCs w:val="20"/>
                <w:color w:val="auto"/>
              </w:rPr>
            </w:pPr>
            <w:r>
              <w:rPr>
                <w:rFonts w:ascii="Arial" w:cs="Arial" w:eastAsia="Arial" w:hAnsi="Arial"/>
                <w:sz w:val="18"/>
                <w:szCs w:val="18"/>
                <w:i w:val="1"/>
                <w:iCs w:val="1"/>
                <w:color w:val="auto"/>
              </w:rPr>
              <w:t>2018</w:t>
            </w:r>
          </w:p>
        </w:tc>
        <w:tc>
          <w:tcPr>
            <w:tcW w:w="220" w:type="dxa"/>
            <w:vAlign w:val="bottom"/>
          </w:tcPr>
          <w:p>
            <w:pPr>
              <w:jc w:val="right"/>
              <w:ind w:right="11"/>
              <w:spacing w:after="0"/>
              <w:rPr>
                <w:sz w:val="20"/>
                <w:szCs w:val="20"/>
                <w:color w:val="auto"/>
              </w:rPr>
            </w:pPr>
            <w:r>
              <w:rPr>
                <w:rFonts w:ascii="Arial" w:cs="Arial" w:eastAsia="Arial" w:hAnsi="Arial"/>
                <w:sz w:val="18"/>
                <w:szCs w:val="18"/>
                <w:i w:val="1"/>
                <w:iCs w:val="1"/>
                <w:color w:val="auto"/>
                <w:w w:val="99"/>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i w:val="1"/>
                <w:iCs w:val="1"/>
                <w:color w:val="auto"/>
              </w:rPr>
              <w:t>5,425.8</w:t>
            </w:r>
          </w:p>
        </w:tc>
        <w:tc>
          <w:tcPr>
            <w:tcW w:w="20" w:type="dxa"/>
            <w:vAlign w:val="bottom"/>
          </w:tcPr>
          <w:p>
            <w:pPr>
              <w:spacing w:after="0"/>
              <w:rPr>
                <w:sz w:val="21"/>
                <w:szCs w:val="21"/>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80.8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i w:val="1"/>
                <w:iCs w:val="1"/>
                <w:color w:val="auto"/>
              </w:rPr>
              <w:t>$</w:t>
            </w:r>
          </w:p>
        </w:tc>
        <w:tc>
          <w:tcPr>
            <w:tcW w:w="700" w:type="dxa"/>
            <w:vAlign w:val="bottom"/>
          </w:tcPr>
          <w:p>
            <w:pPr>
              <w:spacing w:after="0"/>
              <w:rPr>
                <w:sz w:val="21"/>
                <w:szCs w:val="21"/>
                <w:color w:val="auto"/>
              </w:rPr>
            </w:pPr>
          </w:p>
        </w:tc>
        <w:tc>
          <w:tcPr>
            <w:tcW w:w="3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w w:val="87"/>
              </w:rPr>
              <w:t>9.7</w:t>
            </w:r>
          </w:p>
        </w:tc>
        <w:tc>
          <w:tcPr>
            <w:tcW w:w="920" w:type="dxa"/>
            <w:vAlign w:val="bottom"/>
            <w:gridSpan w:val="2"/>
          </w:tcPr>
          <w:p>
            <w:pPr>
              <w:jc w:val="right"/>
              <w:ind w:right="608"/>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i w:val="1"/>
                <w:iCs w:val="1"/>
                <w:color w:val="auto"/>
                <w:w w:val="85"/>
              </w:rPr>
              <w:t>22.4</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i w:val="1"/>
                <w:iCs w:val="1"/>
                <w:color w:val="auto"/>
              </w:rPr>
              <w:t>(117.8)</w:t>
            </w:r>
          </w:p>
        </w:tc>
        <w:tc>
          <w:tcPr>
            <w:tcW w:w="460" w:type="dxa"/>
            <w:vAlign w:val="bottom"/>
            <w:gridSpan w:val="2"/>
          </w:tcPr>
          <w:p>
            <w:pPr>
              <w:jc w:val="right"/>
              <w:ind w:right="168"/>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i w:val="1"/>
                <w:iCs w:val="1"/>
                <w:color w:val="auto"/>
              </w:rPr>
              <w:t>5,420.9</w:t>
            </w:r>
          </w:p>
        </w:tc>
        <w:tc>
          <w:tcPr>
            <w:tcW w:w="0" w:type="dxa"/>
            <w:vAlign w:val="bottom"/>
          </w:tcPr>
          <w:p>
            <w:pPr>
              <w:spacing w:after="0"/>
              <w:rPr>
                <w:sz w:val="1"/>
                <w:szCs w:val="1"/>
                <w:color w:val="auto"/>
              </w:rPr>
            </w:pPr>
          </w:p>
        </w:tc>
      </w:tr>
      <w:tr>
        <w:trPr>
          <w:trHeight w:val="297"/>
        </w:trPr>
        <w:tc>
          <w:tcPr>
            <w:tcW w:w="1260" w:type="dxa"/>
            <w:vAlign w:val="bottom"/>
          </w:tcPr>
          <w:p>
            <w:pPr>
              <w:ind w:left="80"/>
              <w:spacing w:after="0"/>
              <w:rPr>
                <w:sz w:val="20"/>
                <w:szCs w:val="20"/>
                <w:color w:val="auto"/>
              </w:rPr>
            </w:pPr>
            <w:r>
              <w:rPr>
                <w:rFonts w:ascii="Arial" w:cs="Arial" w:eastAsia="Arial" w:hAnsi="Arial"/>
                <w:sz w:val="18"/>
                <w:szCs w:val="18"/>
                <w:i w:val="1"/>
                <w:iCs w:val="1"/>
                <w:color w:val="auto"/>
              </w:rPr>
              <w:t>2019</w:t>
            </w:r>
          </w:p>
        </w:tc>
        <w:tc>
          <w:tcPr>
            <w:tcW w:w="220" w:type="dxa"/>
            <w:vAlign w:val="bottom"/>
          </w:tcPr>
          <w:p>
            <w:pPr>
              <w:jc w:val="right"/>
              <w:ind w:right="11"/>
              <w:spacing w:after="0"/>
              <w:rPr>
                <w:sz w:val="20"/>
                <w:szCs w:val="20"/>
                <w:color w:val="auto"/>
              </w:rPr>
            </w:pPr>
            <w:r>
              <w:rPr>
                <w:rFonts w:ascii="Arial" w:cs="Arial" w:eastAsia="Arial" w:hAnsi="Arial"/>
                <w:sz w:val="18"/>
                <w:szCs w:val="18"/>
                <w:i w:val="1"/>
                <w:iCs w:val="1"/>
                <w:color w:val="auto"/>
                <w:w w:val="99"/>
              </w:rPr>
              <w:t>$</w:t>
            </w:r>
          </w:p>
        </w:tc>
        <w:tc>
          <w:tcPr>
            <w:tcW w:w="180" w:type="dxa"/>
            <w:vAlign w:val="bottom"/>
          </w:tcPr>
          <w:p>
            <w:pPr>
              <w:spacing w:after="0"/>
              <w:rPr>
                <w:sz w:val="24"/>
                <w:szCs w:val="24"/>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i w:val="1"/>
                <w:iCs w:val="1"/>
                <w:color w:val="auto"/>
              </w:rPr>
              <w:t>6,399.2</w:t>
            </w:r>
          </w:p>
        </w:tc>
        <w:tc>
          <w:tcPr>
            <w:tcW w:w="20" w:type="dxa"/>
            <w:vAlign w:val="bottom"/>
          </w:tcPr>
          <w:p>
            <w:pPr>
              <w:spacing w:after="0"/>
              <w:rPr>
                <w:sz w:val="24"/>
                <w:szCs w:val="24"/>
                <w:color w:val="auto"/>
              </w:rPr>
            </w:pPr>
          </w:p>
        </w:tc>
        <w:tc>
          <w:tcPr>
            <w:tcW w:w="24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i w:val="1"/>
                <w:iCs w:val="1"/>
                <w:color w:val="auto"/>
              </w:rPr>
              <w:t>66.2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i w:val="1"/>
                <w:iCs w:val="1"/>
                <w:color w:val="auto"/>
              </w:rPr>
              <w:t>$</w:t>
            </w:r>
          </w:p>
        </w:tc>
        <w:tc>
          <w:tcPr>
            <w:tcW w:w="700" w:type="dxa"/>
            <w:vAlign w:val="bottom"/>
          </w:tcPr>
          <w:p>
            <w:pPr>
              <w:spacing w:after="0"/>
              <w:rPr>
                <w:sz w:val="24"/>
                <w:szCs w:val="24"/>
                <w:color w:val="auto"/>
              </w:rPr>
            </w:pPr>
          </w:p>
        </w:tc>
        <w:tc>
          <w:tcPr>
            <w:tcW w:w="3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w w:val="87"/>
              </w:rPr>
              <w:t>0.6</w:t>
            </w:r>
          </w:p>
        </w:tc>
        <w:tc>
          <w:tcPr>
            <w:tcW w:w="920" w:type="dxa"/>
            <w:vAlign w:val="bottom"/>
            <w:gridSpan w:val="2"/>
          </w:tcPr>
          <w:p>
            <w:pPr>
              <w:jc w:val="right"/>
              <w:ind w:right="608"/>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i w:val="1"/>
                <w:iCs w:val="1"/>
                <w:color w:val="auto"/>
                <w:w w:val="85"/>
              </w:rPr>
              <w:t>24.7</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i w:val="1"/>
                <w:iCs w:val="1"/>
                <w:color w:val="auto"/>
              </w:rPr>
              <w:t>(118.5)</w:t>
            </w:r>
          </w:p>
        </w:tc>
        <w:tc>
          <w:tcPr>
            <w:tcW w:w="460" w:type="dxa"/>
            <w:vAlign w:val="bottom"/>
            <w:gridSpan w:val="2"/>
          </w:tcPr>
          <w:p>
            <w:pPr>
              <w:jc w:val="right"/>
              <w:ind w:right="168"/>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i w:val="1"/>
                <w:iCs w:val="1"/>
                <w:color w:val="auto"/>
                <w:w w:val="99"/>
              </w:rPr>
              <w: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i w:val="1"/>
                <w:iCs w:val="1"/>
                <w:color w:val="auto"/>
              </w:rPr>
              <w:t>6,372.2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9"/>
          <w:szCs w:val="9"/>
          <w:color w:val="auto"/>
        </w:rPr>
        <w:t>1</w:t>
      </w:r>
      <w:r>
        <w:rPr>
          <w:rFonts w:ascii="Arial" w:cs="Arial" w:eastAsia="Arial" w:hAnsi="Arial"/>
          <w:sz w:val="14"/>
          <w:szCs w:val="14"/>
          <w:color w:val="auto"/>
        </w:rPr>
        <w:t>Average capital invested is defined as average debt plus average shareholders’ equity.</w:t>
      </w:r>
    </w:p>
    <w:p>
      <w:pPr>
        <w:spacing w:after="0" w:line="13" w:lineRule="exact"/>
        <w:rPr>
          <w:sz w:val="20"/>
          <w:szCs w:val="20"/>
          <w:color w:val="auto"/>
        </w:rPr>
      </w:pPr>
    </w:p>
    <w:p>
      <w:pPr>
        <w:ind w:left="80" w:right="220" w:hanging="80"/>
        <w:spacing w:after="0" w:line="248" w:lineRule="auto"/>
        <w:rPr>
          <w:sz w:val="20"/>
          <w:szCs w:val="20"/>
          <w:color w:val="auto"/>
        </w:rPr>
      </w:pPr>
      <w:r>
        <w:rPr>
          <w:rFonts w:ascii="Arial" w:cs="Arial" w:eastAsia="Arial" w:hAnsi="Arial"/>
          <w:sz w:val="9"/>
          <w:szCs w:val="9"/>
          <w:color w:val="auto"/>
        </w:rPr>
        <w:t>2</w:t>
      </w:r>
      <w:r>
        <w:rPr>
          <w:rFonts w:ascii="Arial" w:cs="Arial" w:eastAsia="Arial" w:hAnsi="Arial"/>
          <w:sz w:val="14"/>
          <w:szCs w:val="14"/>
          <w:color w:val="auto"/>
        </w:rPr>
        <w:t>The deferred debt issuance adjustment reverses the impact of the reclassification of deferred debt issuance costs from other assets to GAAP average debt as a result of the adoption by the</w:t>
      </w:r>
      <w:r>
        <w:rPr>
          <w:rFonts w:ascii="Arial" w:cs="Arial" w:eastAsia="Arial" w:hAnsi="Arial"/>
          <w:sz w:val="9"/>
          <w:szCs w:val="9"/>
          <w:color w:val="auto"/>
        </w:rPr>
        <w:t xml:space="preserve"> </w:t>
      </w:r>
      <w:r>
        <w:rPr>
          <w:rFonts w:ascii="Arial" w:cs="Arial" w:eastAsia="Arial" w:hAnsi="Arial"/>
          <w:sz w:val="14"/>
          <w:szCs w:val="14"/>
          <w:color w:val="auto"/>
        </w:rPr>
        <w:t>Financial Accounting Standards Board of Accounting Standards Update (ASU) No. 2015-03, as amended by ASU No. 2015-05. The net effect of this adjustment is to report adjusted average capital on the same basis as reported in historical shareholder letters.</w:t>
      </w:r>
    </w:p>
    <w:p>
      <w:pPr>
        <w:sectPr>
          <w:pgSz w:w="11900" w:h="16838" w:orient="portrait"/>
          <w:cols w:equalWidth="0" w:num="1">
            <w:col w:w="11240"/>
          </w:cols>
          <w:pgMar w:left="320" w:top="342" w:right="339" w:bottom="1440" w:gutter="0" w:footer="0" w:header="0"/>
        </w:sectPr>
      </w:pP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40"/>
          </w:cols>
          <w:pgMar w:left="320" w:top="342" w:right="339" w:bottom="1440" w:gutter="0" w:footer="0" w:header="0"/>
          <w:type w:val="continuous"/>
        </w:sectPr>
      </w:pPr>
    </w:p>
    <w:bookmarkStart w:id="36" w:name="page37"/>
    <w:bookmarkEnd w:id="36"/>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GAAP return on</w:t>
            </w:r>
          </w:p>
        </w:tc>
        <w:tc>
          <w:tcPr>
            <w:tcW w:w="60" w:type="dxa"/>
            <w:vAlign w:val="bottom"/>
          </w:tcPr>
          <w:p>
            <w:pPr>
              <w:spacing w:after="0"/>
              <w:rPr>
                <w:sz w:val="14"/>
                <w:szCs w:val="14"/>
                <w:color w:val="auto"/>
              </w:rPr>
            </w:pPr>
          </w:p>
        </w:tc>
        <w:tc>
          <w:tcPr>
            <w:tcW w:w="14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Floating yield</w:t>
            </w:r>
          </w:p>
        </w:tc>
        <w:tc>
          <w:tcPr>
            <w:tcW w:w="40" w:type="dxa"/>
            <w:vAlign w:val="bottom"/>
          </w:tcPr>
          <w:p>
            <w:pPr>
              <w:spacing w:after="0"/>
              <w:rPr>
                <w:sz w:val="14"/>
                <w:szCs w:val="1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Senior notes</w:t>
            </w:r>
          </w:p>
        </w:tc>
        <w:tc>
          <w:tcPr>
            <w:tcW w:w="15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Deferred debt</w:t>
            </w:r>
          </w:p>
        </w:tc>
        <w:tc>
          <w:tcPr>
            <w:tcW w:w="1500" w:type="dxa"/>
            <w:vAlign w:val="bottom"/>
            <w:gridSpan w:val="3"/>
          </w:tcPr>
          <w:p>
            <w:pPr>
              <w:ind w:left="340"/>
              <w:spacing w:after="0"/>
              <w:rPr>
                <w:sz w:val="20"/>
                <w:szCs w:val="20"/>
                <w:color w:val="auto"/>
              </w:rPr>
            </w:pPr>
            <w:r>
              <w:rPr>
                <w:rFonts w:ascii="Arial" w:cs="Arial" w:eastAsia="Arial" w:hAnsi="Arial"/>
                <w:sz w:val="14"/>
                <w:szCs w:val="14"/>
                <w:b w:val="1"/>
                <w:bCs w:val="1"/>
                <w:color w:val="auto"/>
              </w:rPr>
              <w:t>Income tax</w:t>
            </w:r>
          </w:p>
        </w:tc>
        <w:tc>
          <w:tcPr>
            <w:tcW w:w="14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Other adjustments</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4"/>
              </w:rPr>
              <w:t>Adjusted return on</w:t>
            </w:r>
          </w:p>
        </w:tc>
        <w:tc>
          <w:tcPr>
            <w:tcW w:w="0" w:type="dxa"/>
            <w:vAlign w:val="bottom"/>
          </w:tcPr>
          <w:p>
            <w:pPr>
              <w:spacing w:after="0"/>
              <w:rPr>
                <w:sz w:val="1"/>
                <w:szCs w:val="1"/>
                <w:color w:val="auto"/>
              </w:rPr>
            </w:pPr>
          </w:p>
        </w:tc>
      </w:tr>
      <w:tr>
        <w:trPr>
          <w:trHeight w:val="186"/>
        </w:trPr>
        <w:tc>
          <w:tcPr>
            <w:tcW w:w="1040" w:type="dxa"/>
            <w:vAlign w:val="bottom"/>
          </w:tcPr>
          <w:p>
            <w:pPr>
              <w:spacing w:after="0"/>
              <w:rPr>
                <w:sz w:val="16"/>
                <w:szCs w:val="16"/>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capital</w:t>
            </w:r>
            <w:r>
              <w:rPr>
                <w:rFonts w:ascii="Arial" w:cs="Arial" w:eastAsia="Arial" w:hAnsi="Arial"/>
                <w:sz w:val="8"/>
                <w:szCs w:val="8"/>
                <w:b w:val="1"/>
                <w:bCs w:val="1"/>
                <w:color w:val="auto"/>
                <w:w w:val="94"/>
              </w:rPr>
              <w:t>3</w:t>
            </w:r>
          </w:p>
        </w:tc>
        <w:tc>
          <w:tcPr>
            <w:tcW w:w="60" w:type="dxa"/>
            <w:vAlign w:val="bottom"/>
          </w:tcPr>
          <w:p>
            <w:pPr>
              <w:spacing w:after="0"/>
              <w:rPr>
                <w:sz w:val="16"/>
                <w:szCs w:val="16"/>
                <w:color w:val="auto"/>
              </w:rPr>
            </w:pPr>
          </w:p>
        </w:tc>
        <w:tc>
          <w:tcPr>
            <w:tcW w:w="14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adjustment</w:t>
            </w:r>
          </w:p>
        </w:tc>
        <w:tc>
          <w:tcPr>
            <w:tcW w:w="40" w:type="dxa"/>
            <w:vAlign w:val="bottom"/>
          </w:tcPr>
          <w:p>
            <w:pPr>
              <w:spacing w:after="0"/>
              <w:rPr>
                <w:sz w:val="16"/>
                <w:szCs w:val="16"/>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adjustment</w:t>
            </w:r>
          </w:p>
        </w:tc>
        <w:tc>
          <w:tcPr>
            <w:tcW w:w="15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issuance adjustment</w:t>
            </w:r>
            <w:r>
              <w:rPr>
                <w:rFonts w:ascii="Arial" w:cs="Arial" w:eastAsia="Arial" w:hAnsi="Arial"/>
                <w:sz w:val="8"/>
                <w:szCs w:val="8"/>
                <w:b w:val="1"/>
                <w:bCs w:val="1"/>
                <w:color w:val="auto"/>
                <w:w w:val="90"/>
              </w:rPr>
              <w:t>2</w:t>
            </w:r>
          </w:p>
        </w:tc>
        <w:tc>
          <w:tcPr>
            <w:tcW w:w="1500" w:type="dxa"/>
            <w:vAlign w:val="bottom"/>
            <w:gridSpan w:val="3"/>
          </w:tcPr>
          <w:p>
            <w:pPr>
              <w:ind w:left="340"/>
              <w:spacing w:after="0"/>
              <w:rPr>
                <w:sz w:val="20"/>
                <w:szCs w:val="20"/>
                <w:color w:val="auto"/>
              </w:rPr>
            </w:pPr>
            <w:r>
              <w:rPr>
                <w:rFonts w:ascii="Arial" w:cs="Arial" w:eastAsia="Arial" w:hAnsi="Arial"/>
                <w:sz w:val="14"/>
                <w:szCs w:val="14"/>
                <w:b w:val="1"/>
                <w:bCs w:val="1"/>
                <w:color w:val="auto"/>
              </w:rPr>
              <w:t>adjustment</w:t>
            </w:r>
          </w:p>
        </w:tc>
        <w:tc>
          <w:tcPr>
            <w:tcW w:w="1480" w:type="dxa"/>
            <w:vAlign w:val="bottom"/>
            <w:gridSpan w:val="3"/>
            <w:vMerge w:val="continue"/>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0" w:type="dxa"/>
            <w:vAlign w:val="bottom"/>
          </w:tcPr>
          <w:p>
            <w:pPr>
              <w:spacing w:after="0"/>
              <w:rPr>
                <w:sz w:val="1"/>
                <w:szCs w:val="1"/>
                <w:color w:val="auto"/>
              </w:rPr>
            </w:pPr>
          </w:p>
        </w:tc>
      </w:tr>
      <w:tr>
        <w:trPr>
          <w:trHeight w:val="39"/>
        </w:trPr>
        <w:tc>
          <w:tcPr>
            <w:tcW w:w="104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10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2001</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7.3%</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0.2 %</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0.0 %</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0.4 %</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-0.2 %</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7.7%</w:t>
            </w:r>
          </w:p>
        </w:tc>
        <w:tc>
          <w:tcPr>
            <w:tcW w:w="0" w:type="dxa"/>
            <w:vAlign w:val="bottom"/>
          </w:tcPr>
          <w:p>
            <w:pPr>
              <w:spacing w:after="0"/>
              <w:rPr>
                <w:sz w:val="1"/>
                <w:szCs w:val="1"/>
                <w:color w:val="auto"/>
              </w:rPr>
            </w:pPr>
          </w:p>
        </w:tc>
      </w:tr>
      <w:tr>
        <w:trPr>
          <w:trHeight w:val="243"/>
        </w:trPr>
        <w:tc>
          <w:tcPr>
            <w:tcW w:w="1040" w:type="dxa"/>
            <w:vAlign w:val="bottom"/>
          </w:tcPr>
          <w:p>
            <w:pPr>
              <w:ind w:left="80"/>
              <w:spacing w:after="0"/>
              <w:rPr>
                <w:sz w:val="20"/>
                <w:szCs w:val="20"/>
                <w:color w:val="auto"/>
              </w:rPr>
            </w:pPr>
            <w:r>
              <w:rPr>
                <w:rFonts w:ascii="Arial" w:cs="Arial" w:eastAsia="Arial" w:hAnsi="Arial"/>
                <w:sz w:val="18"/>
                <w:szCs w:val="18"/>
                <w:i w:val="1"/>
                <w:iCs w:val="1"/>
                <w:color w:val="auto"/>
              </w:rPr>
              <w:t>2002</w:t>
            </w: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7.7%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i w:val="1"/>
                <w:iCs w:val="1"/>
                <w:color w:val="auto"/>
              </w:rPr>
              <w:t>0.5 %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i w:val="1"/>
                <w:iCs w:val="1"/>
                <w:color w:val="auto"/>
              </w:rPr>
              <w:t>0.0 %</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0.6 %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-0.9 %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7.9%</w:t>
            </w:r>
          </w:p>
        </w:tc>
        <w:tc>
          <w:tcPr>
            <w:tcW w:w="0" w:type="dxa"/>
            <w:vAlign w:val="bottom"/>
          </w:tcPr>
          <w:p>
            <w:pPr>
              <w:spacing w:after="0"/>
              <w:rPr>
                <w:sz w:val="1"/>
                <w:szCs w:val="1"/>
                <w:color w:val="auto"/>
              </w:rPr>
            </w:pPr>
          </w:p>
        </w:tc>
      </w:tr>
      <w:tr>
        <w:trPr>
          <w:trHeight w:val="54"/>
        </w:trPr>
        <w:tc>
          <w:tcPr>
            <w:tcW w:w="10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0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2003</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6.9%</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0.2 %</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0.0 %</w:t>
            </w: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1.3 %</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1.3 %</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9.7%</w:t>
            </w:r>
          </w:p>
        </w:tc>
        <w:tc>
          <w:tcPr>
            <w:tcW w:w="0" w:type="dxa"/>
            <w:vAlign w:val="bottom"/>
          </w:tcPr>
          <w:p>
            <w:pPr>
              <w:spacing w:after="0"/>
              <w:rPr>
                <w:sz w:val="1"/>
                <w:szCs w:val="1"/>
                <w:color w:val="auto"/>
              </w:rPr>
            </w:pPr>
          </w:p>
        </w:tc>
      </w:tr>
      <w:tr>
        <w:trPr>
          <w:trHeight w:val="243"/>
        </w:trPr>
        <w:tc>
          <w:tcPr>
            <w:tcW w:w="1040" w:type="dxa"/>
            <w:vAlign w:val="bottom"/>
          </w:tcPr>
          <w:p>
            <w:pPr>
              <w:ind w:left="80"/>
              <w:spacing w:after="0"/>
              <w:rPr>
                <w:sz w:val="20"/>
                <w:szCs w:val="20"/>
                <w:color w:val="auto"/>
              </w:rPr>
            </w:pPr>
            <w:r>
              <w:rPr>
                <w:rFonts w:ascii="Arial" w:cs="Arial" w:eastAsia="Arial" w:hAnsi="Arial"/>
                <w:sz w:val="18"/>
                <w:szCs w:val="18"/>
                <w:i w:val="1"/>
                <w:iCs w:val="1"/>
                <w:color w:val="auto"/>
              </w:rPr>
              <w:t>2004</w:t>
            </w: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13.5%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i w:val="1"/>
                <w:iCs w:val="1"/>
                <w:color w:val="auto"/>
              </w:rPr>
              <w:t>-0.3 %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i w:val="1"/>
                <w:iCs w:val="1"/>
                <w:color w:val="auto"/>
              </w:rPr>
              <w:t>0.0 %</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-0.3 %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-0.6 %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12.3%</w:t>
            </w:r>
          </w:p>
        </w:tc>
        <w:tc>
          <w:tcPr>
            <w:tcW w:w="0" w:type="dxa"/>
            <w:vAlign w:val="bottom"/>
          </w:tcPr>
          <w:p>
            <w:pPr>
              <w:spacing w:after="0"/>
              <w:rPr>
                <w:sz w:val="1"/>
                <w:szCs w:val="1"/>
                <w:color w:val="auto"/>
              </w:rPr>
            </w:pPr>
          </w:p>
        </w:tc>
      </w:tr>
      <w:tr>
        <w:trPr>
          <w:trHeight w:val="54"/>
        </w:trPr>
        <w:tc>
          <w:tcPr>
            <w:tcW w:w="10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0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2005</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15.6%</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-0.6 %</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0.0 %</w:t>
            </w: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-1.3 %</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13.7%</w:t>
            </w:r>
          </w:p>
        </w:tc>
        <w:tc>
          <w:tcPr>
            <w:tcW w:w="0" w:type="dxa"/>
            <w:vAlign w:val="bottom"/>
          </w:tcPr>
          <w:p>
            <w:pPr>
              <w:spacing w:after="0"/>
              <w:rPr>
                <w:sz w:val="1"/>
                <w:szCs w:val="1"/>
                <w:color w:val="auto"/>
              </w:rPr>
            </w:pPr>
          </w:p>
        </w:tc>
      </w:tr>
      <w:tr>
        <w:trPr>
          <w:trHeight w:val="243"/>
        </w:trPr>
        <w:tc>
          <w:tcPr>
            <w:tcW w:w="1040" w:type="dxa"/>
            <w:vAlign w:val="bottom"/>
          </w:tcPr>
          <w:p>
            <w:pPr>
              <w:ind w:left="80"/>
              <w:spacing w:after="0"/>
              <w:rPr>
                <w:sz w:val="20"/>
                <w:szCs w:val="20"/>
                <w:color w:val="auto"/>
              </w:rPr>
            </w:pPr>
            <w:r>
              <w:rPr>
                <w:rFonts w:ascii="Arial" w:cs="Arial" w:eastAsia="Arial" w:hAnsi="Arial"/>
                <w:sz w:val="18"/>
                <w:szCs w:val="18"/>
                <w:i w:val="1"/>
                <w:iCs w:val="1"/>
                <w:color w:val="auto"/>
              </w:rPr>
              <w:t>2006</w:t>
            </w: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13.3%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i w:val="1"/>
                <w:iCs w:val="1"/>
                <w:color w:val="auto"/>
              </w:rPr>
              <w:t>-0.1 %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i w:val="1"/>
                <w:iCs w:val="1"/>
                <w:color w:val="auto"/>
              </w:rPr>
              <w:t>0.0 %</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-0.3 %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1.0 %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13.9%</w:t>
            </w:r>
          </w:p>
        </w:tc>
        <w:tc>
          <w:tcPr>
            <w:tcW w:w="0" w:type="dxa"/>
            <w:vAlign w:val="bottom"/>
          </w:tcPr>
          <w:p>
            <w:pPr>
              <w:spacing w:after="0"/>
              <w:rPr>
                <w:sz w:val="1"/>
                <w:szCs w:val="1"/>
                <w:color w:val="auto"/>
              </w:rPr>
            </w:pPr>
          </w:p>
        </w:tc>
      </w:tr>
      <w:tr>
        <w:trPr>
          <w:trHeight w:val="54"/>
        </w:trPr>
        <w:tc>
          <w:tcPr>
            <w:tcW w:w="10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0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2007</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11.0%</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0.4 %</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0.0 %</w:t>
            </w: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-0.2 %</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0.7 %</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11.9%</w:t>
            </w:r>
          </w:p>
        </w:tc>
        <w:tc>
          <w:tcPr>
            <w:tcW w:w="0" w:type="dxa"/>
            <w:vAlign w:val="bottom"/>
          </w:tcPr>
          <w:p>
            <w:pPr>
              <w:spacing w:after="0"/>
              <w:rPr>
                <w:sz w:val="1"/>
                <w:szCs w:val="1"/>
                <w:color w:val="auto"/>
              </w:rPr>
            </w:pPr>
          </w:p>
        </w:tc>
      </w:tr>
      <w:tr>
        <w:trPr>
          <w:trHeight w:val="243"/>
        </w:trPr>
        <w:tc>
          <w:tcPr>
            <w:tcW w:w="1040" w:type="dxa"/>
            <w:vAlign w:val="bottom"/>
          </w:tcPr>
          <w:p>
            <w:pPr>
              <w:ind w:left="80"/>
              <w:spacing w:after="0"/>
              <w:rPr>
                <w:sz w:val="20"/>
                <w:szCs w:val="20"/>
                <w:color w:val="auto"/>
              </w:rPr>
            </w:pPr>
            <w:r>
              <w:rPr>
                <w:rFonts w:ascii="Arial" w:cs="Arial" w:eastAsia="Arial" w:hAnsi="Arial"/>
                <w:sz w:val="18"/>
                <w:szCs w:val="18"/>
                <w:i w:val="1"/>
                <w:iCs w:val="1"/>
                <w:color w:val="auto"/>
              </w:rPr>
              <w:t>2008</w:t>
            </w: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9.8%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i w:val="1"/>
                <w:iCs w:val="1"/>
                <w:color w:val="auto"/>
              </w:rPr>
              <w:t>1.2 %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i w:val="1"/>
                <w:iCs w:val="1"/>
                <w:color w:val="auto"/>
              </w:rPr>
              <w:t>0.0 %</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0.3 %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11.3%</w:t>
            </w:r>
          </w:p>
        </w:tc>
        <w:tc>
          <w:tcPr>
            <w:tcW w:w="0" w:type="dxa"/>
            <w:vAlign w:val="bottom"/>
          </w:tcPr>
          <w:p>
            <w:pPr>
              <w:spacing w:after="0"/>
              <w:rPr>
                <w:sz w:val="1"/>
                <w:szCs w:val="1"/>
                <w:color w:val="auto"/>
              </w:rPr>
            </w:pPr>
          </w:p>
        </w:tc>
      </w:tr>
      <w:tr>
        <w:trPr>
          <w:trHeight w:val="54"/>
        </w:trPr>
        <w:tc>
          <w:tcPr>
            <w:tcW w:w="10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0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2009</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17.0%</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-2.2 %</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0.0 %</w:t>
            </w: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-0.2 %</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14.6%</w:t>
            </w:r>
          </w:p>
        </w:tc>
        <w:tc>
          <w:tcPr>
            <w:tcW w:w="0" w:type="dxa"/>
            <w:vAlign w:val="bottom"/>
          </w:tcPr>
          <w:p>
            <w:pPr>
              <w:spacing w:after="0"/>
              <w:rPr>
                <w:sz w:val="1"/>
                <w:szCs w:val="1"/>
                <w:color w:val="auto"/>
              </w:rPr>
            </w:pPr>
          </w:p>
        </w:tc>
      </w:tr>
      <w:tr>
        <w:trPr>
          <w:trHeight w:val="243"/>
        </w:trPr>
        <w:tc>
          <w:tcPr>
            <w:tcW w:w="1040" w:type="dxa"/>
            <w:vAlign w:val="bottom"/>
          </w:tcPr>
          <w:p>
            <w:pPr>
              <w:ind w:left="80"/>
              <w:spacing w:after="0"/>
              <w:rPr>
                <w:sz w:val="20"/>
                <w:szCs w:val="20"/>
                <w:color w:val="auto"/>
              </w:rPr>
            </w:pPr>
            <w:r>
              <w:rPr>
                <w:rFonts w:ascii="Arial" w:cs="Arial" w:eastAsia="Arial" w:hAnsi="Arial"/>
                <w:sz w:val="18"/>
                <w:szCs w:val="18"/>
                <w:i w:val="1"/>
                <w:iCs w:val="1"/>
                <w:color w:val="auto"/>
              </w:rPr>
              <w:t>2010</w:t>
            </w: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18.9%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i w:val="1"/>
                <w:iCs w:val="1"/>
                <w:color w:val="auto"/>
              </w:rPr>
              <w:t>0.0 %</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-0.2 %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-1.0 %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17.7%</w:t>
            </w:r>
          </w:p>
        </w:tc>
        <w:tc>
          <w:tcPr>
            <w:tcW w:w="0" w:type="dxa"/>
            <w:vAlign w:val="bottom"/>
          </w:tcPr>
          <w:p>
            <w:pPr>
              <w:spacing w:after="0"/>
              <w:rPr>
                <w:sz w:val="1"/>
                <w:szCs w:val="1"/>
                <w:color w:val="auto"/>
              </w:rPr>
            </w:pPr>
          </w:p>
        </w:tc>
      </w:tr>
      <w:tr>
        <w:trPr>
          <w:trHeight w:val="54"/>
        </w:trPr>
        <w:tc>
          <w:tcPr>
            <w:tcW w:w="10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0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2011</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16.7%</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0.4 %</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0.0 %</w:t>
            </w: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-0.2 %</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-0.1 %</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16.8%</w:t>
            </w:r>
          </w:p>
        </w:tc>
        <w:tc>
          <w:tcPr>
            <w:tcW w:w="0" w:type="dxa"/>
            <w:vAlign w:val="bottom"/>
          </w:tcPr>
          <w:p>
            <w:pPr>
              <w:spacing w:after="0"/>
              <w:rPr>
                <w:sz w:val="1"/>
                <w:szCs w:val="1"/>
                <w:color w:val="auto"/>
              </w:rPr>
            </w:pPr>
          </w:p>
        </w:tc>
      </w:tr>
      <w:tr>
        <w:trPr>
          <w:trHeight w:val="243"/>
        </w:trPr>
        <w:tc>
          <w:tcPr>
            <w:tcW w:w="1040" w:type="dxa"/>
            <w:vAlign w:val="bottom"/>
          </w:tcPr>
          <w:p>
            <w:pPr>
              <w:ind w:left="80"/>
              <w:spacing w:after="0"/>
              <w:rPr>
                <w:sz w:val="20"/>
                <w:szCs w:val="20"/>
                <w:color w:val="auto"/>
              </w:rPr>
            </w:pPr>
            <w:r>
              <w:rPr>
                <w:rFonts w:ascii="Arial" w:cs="Arial" w:eastAsia="Arial" w:hAnsi="Arial"/>
                <w:sz w:val="18"/>
                <w:szCs w:val="18"/>
                <w:i w:val="1"/>
                <w:iCs w:val="1"/>
                <w:color w:val="auto"/>
              </w:rPr>
              <w:t>2012</w:t>
            </w: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15.1%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i w:val="1"/>
                <w:iCs w:val="1"/>
                <w:color w:val="auto"/>
              </w:rPr>
              <w:t>-0.1 %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i w:val="1"/>
                <w:iCs w:val="1"/>
                <w:color w:val="auto"/>
              </w:rPr>
              <w:t>0.0 %</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-0.1 %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-0.2 %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14.7%</w:t>
            </w:r>
          </w:p>
        </w:tc>
        <w:tc>
          <w:tcPr>
            <w:tcW w:w="0" w:type="dxa"/>
            <w:vAlign w:val="bottom"/>
          </w:tcPr>
          <w:p>
            <w:pPr>
              <w:spacing w:after="0"/>
              <w:rPr>
                <w:sz w:val="1"/>
                <w:szCs w:val="1"/>
                <w:color w:val="auto"/>
              </w:rPr>
            </w:pPr>
          </w:p>
        </w:tc>
      </w:tr>
      <w:tr>
        <w:trPr>
          <w:trHeight w:val="54"/>
        </w:trPr>
        <w:tc>
          <w:tcPr>
            <w:tcW w:w="10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0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2013</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14.5%</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-0.2 %</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0.0 %</w:t>
            </w: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-0.1 %</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-0.1 %</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14.1%</w:t>
            </w:r>
          </w:p>
        </w:tc>
        <w:tc>
          <w:tcPr>
            <w:tcW w:w="0" w:type="dxa"/>
            <w:vAlign w:val="bottom"/>
          </w:tcPr>
          <w:p>
            <w:pPr>
              <w:spacing w:after="0"/>
              <w:rPr>
                <w:sz w:val="1"/>
                <w:szCs w:val="1"/>
                <w:color w:val="auto"/>
              </w:rPr>
            </w:pPr>
          </w:p>
        </w:tc>
      </w:tr>
      <w:tr>
        <w:trPr>
          <w:trHeight w:val="243"/>
        </w:trPr>
        <w:tc>
          <w:tcPr>
            <w:tcW w:w="1040" w:type="dxa"/>
            <w:vAlign w:val="bottom"/>
          </w:tcPr>
          <w:p>
            <w:pPr>
              <w:ind w:left="80"/>
              <w:spacing w:after="0"/>
              <w:rPr>
                <w:sz w:val="20"/>
                <w:szCs w:val="20"/>
                <w:color w:val="auto"/>
              </w:rPr>
            </w:pPr>
            <w:r>
              <w:rPr>
                <w:rFonts w:ascii="Arial" w:cs="Arial" w:eastAsia="Arial" w:hAnsi="Arial"/>
                <w:sz w:val="18"/>
                <w:szCs w:val="18"/>
                <w:i w:val="1"/>
                <w:iCs w:val="1"/>
                <w:color w:val="auto"/>
              </w:rPr>
              <w:t>2014</w:t>
            </w: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13.1%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i w:val="1"/>
                <w:iCs w:val="1"/>
                <w:color w:val="auto"/>
              </w:rPr>
              <w:t>-0.3 %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i w:val="1"/>
                <w:iCs w:val="1"/>
                <w:color w:val="auto"/>
              </w:rPr>
              <w:t>0.5 %</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-0.1 %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13.2%</w:t>
            </w:r>
          </w:p>
        </w:tc>
        <w:tc>
          <w:tcPr>
            <w:tcW w:w="0" w:type="dxa"/>
            <w:vAlign w:val="bottom"/>
          </w:tcPr>
          <w:p>
            <w:pPr>
              <w:spacing w:after="0"/>
              <w:rPr>
                <w:sz w:val="1"/>
                <w:szCs w:val="1"/>
                <w:color w:val="auto"/>
              </w:rPr>
            </w:pPr>
          </w:p>
        </w:tc>
      </w:tr>
      <w:tr>
        <w:trPr>
          <w:trHeight w:val="54"/>
        </w:trPr>
        <w:tc>
          <w:tcPr>
            <w:tcW w:w="10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0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2015</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12.5%</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0.4 %</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-0.1 %</w:t>
            </w: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-0.1 %</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12.7%</w:t>
            </w:r>
          </w:p>
        </w:tc>
        <w:tc>
          <w:tcPr>
            <w:tcW w:w="0" w:type="dxa"/>
            <w:vAlign w:val="bottom"/>
          </w:tcPr>
          <w:p>
            <w:pPr>
              <w:spacing w:after="0"/>
              <w:rPr>
                <w:sz w:val="1"/>
                <w:szCs w:val="1"/>
                <w:color w:val="auto"/>
              </w:rPr>
            </w:pPr>
          </w:p>
        </w:tc>
      </w:tr>
      <w:tr>
        <w:trPr>
          <w:trHeight w:val="243"/>
        </w:trPr>
        <w:tc>
          <w:tcPr>
            <w:tcW w:w="1040" w:type="dxa"/>
            <w:vAlign w:val="bottom"/>
          </w:tcPr>
          <w:p>
            <w:pPr>
              <w:ind w:left="80"/>
              <w:spacing w:after="0"/>
              <w:rPr>
                <w:sz w:val="20"/>
                <w:szCs w:val="20"/>
                <w:color w:val="auto"/>
              </w:rPr>
            </w:pPr>
            <w:r>
              <w:rPr>
                <w:rFonts w:ascii="Arial" w:cs="Arial" w:eastAsia="Arial" w:hAnsi="Arial"/>
                <w:sz w:val="18"/>
                <w:szCs w:val="18"/>
                <w:i w:val="1"/>
                <w:iCs w:val="1"/>
                <w:color w:val="auto"/>
              </w:rPr>
              <w:t>2016</w:t>
            </w: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11.3%</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i w:val="1"/>
                <w:iCs w:val="1"/>
                <w:color w:val="auto"/>
              </w:rPr>
              <w:t>0.7 %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i w:val="1"/>
                <w:iCs w:val="1"/>
                <w:color w:val="auto"/>
              </w:rPr>
              <w:t>-0.1 %</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11.9%</w:t>
            </w:r>
          </w:p>
        </w:tc>
        <w:tc>
          <w:tcPr>
            <w:tcW w:w="0" w:type="dxa"/>
            <w:vAlign w:val="bottom"/>
          </w:tcPr>
          <w:p>
            <w:pPr>
              <w:spacing w:after="0"/>
              <w:rPr>
                <w:sz w:val="1"/>
                <w:szCs w:val="1"/>
                <w:color w:val="auto"/>
              </w:rPr>
            </w:pPr>
          </w:p>
        </w:tc>
      </w:tr>
      <w:tr>
        <w:trPr>
          <w:trHeight w:val="54"/>
        </w:trPr>
        <w:tc>
          <w:tcPr>
            <w:tcW w:w="10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0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2017</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13.0%</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0.7 %</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-0.1 %</w:t>
            </w: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-0.1 %</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-2.3 %</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11.2%</w:t>
            </w:r>
          </w:p>
        </w:tc>
        <w:tc>
          <w:tcPr>
            <w:tcW w:w="0" w:type="dxa"/>
            <w:vAlign w:val="bottom"/>
          </w:tcPr>
          <w:p>
            <w:pPr>
              <w:spacing w:after="0"/>
              <w:rPr>
                <w:sz w:val="1"/>
                <w:szCs w:val="1"/>
                <w:color w:val="auto"/>
              </w:rPr>
            </w:pPr>
          </w:p>
        </w:tc>
      </w:tr>
      <w:tr>
        <w:trPr>
          <w:trHeight w:val="243"/>
        </w:trPr>
        <w:tc>
          <w:tcPr>
            <w:tcW w:w="1040" w:type="dxa"/>
            <w:vAlign w:val="bottom"/>
          </w:tcPr>
          <w:p>
            <w:pPr>
              <w:ind w:left="80"/>
              <w:spacing w:after="0"/>
              <w:rPr>
                <w:sz w:val="20"/>
                <w:szCs w:val="20"/>
                <w:color w:val="auto"/>
              </w:rPr>
            </w:pPr>
            <w:r>
              <w:rPr>
                <w:rFonts w:ascii="Arial" w:cs="Arial" w:eastAsia="Arial" w:hAnsi="Arial"/>
                <w:sz w:val="18"/>
                <w:szCs w:val="18"/>
                <w:i w:val="1"/>
                <w:iCs w:val="1"/>
                <w:color w:val="auto"/>
              </w:rPr>
              <w:t>2018</w:t>
            </w: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12.8%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i w:val="1"/>
                <w:iCs w:val="1"/>
                <w:color w:val="auto"/>
              </w:rPr>
              <w:t>-0.6 %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i w:val="1"/>
                <w:iCs w:val="1"/>
                <w:color w:val="auto"/>
              </w:rPr>
              <w:t>-0.1 %</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0.4 %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12.5%</w:t>
            </w:r>
          </w:p>
        </w:tc>
        <w:tc>
          <w:tcPr>
            <w:tcW w:w="0" w:type="dxa"/>
            <w:vAlign w:val="bottom"/>
          </w:tcPr>
          <w:p>
            <w:pPr>
              <w:spacing w:after="0"/>
              <w:rPr>
                <w:sz w:val="1"/>
                <w:szCs w:val="1"/>
                <w:color w:val="auto"/>
              </w:rPr>
            </w:pPr>
          </w:p>
        </w:tc>
      </w:tr>
      <w:tr>
        <w:trPr>
          <w:trHeight w:val="54"/>
        </w:trPr>
        <w:tc>
          <w:tcPr>
            <w:tcW w:w="10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0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2019</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12.6%</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-0.1 %</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0.0 %</w:t>
            </w: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0.2 %</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12.7%</w:t>
            </w:r>
          </w:p>
        </w:tc>
        <w:tc>
          <w:tcPr>
            <w:tcW w:w="0" w:type="dxa"/>
            <w:vAlign w:val="bottom"/>
          </w:tcPr>
          <w:p>
            <w:pPr>
              <w:spacing w:after="0"/>
              <w:rPr>
                <w:sz w:val="1"/>
                <w:szCs w:val="1"/>
                <w:color w:val="auto"/>
              </w:rPr>
            </w:pPr>
          </w:p>
        </w:tc>
      </w:tr>
      <w:tr>
        <w:trPr>
          <w:trHeight w:val="288"/>
        </w:trPr>
        <w:tc>
          <w:tcPr>
            <w:tcW w:w="1040" w:type="dxa"/>
            <w:vAlign w:val="bottom"/>
          </w:tcPr>
          <w:p>
            <w:pPr>
              <w:spacing w:after="0"/>
              <w:rPr>
                <w:sz w:val="24"/>
                <w:szCs w:val="24"/>
                <w:color w:val="auto"/>
              </w:rPr>
            </w:pPr>
          </w:p>
        </w:tc>
        <w:tc>
          <w:tcPr>
            <w:tcW w:w="13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5"/>
              </w:rPr>
              <w:t>GAAP weighted</w:t>
            </w:r>
          </w:p>
        </w:tc>
        <w:tc>
          <w:tcPr>
            <w:tcW w:w="60" w:type="dxa"/>
            <w:vAlign w:val="bottom"/>
          </w:tcPr>
          <w:p>
            <w:pPr>
              <w:spacing w:after="0"/>
              <w:rPr>
                <w:sz w:val="24"/>
                <w:szCs w:val="24"/>
                <w:color w:val="auto"/>
              </w:rPr>
            </w:pPr>
          </w:p>
        </w:tc>
        <w:tc>
          <w:tcPr>
            <w:tcW w:w="14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3"/>
              </w:rPr>
              <w:t>Floating yield</w:t>
            </w:r>
          </w:p>
        </w:tc>
        <w:tc>
          <w:tcPr>
            <w:tcW w:w="40" w:type="dxa"/>
            <w:vAlign w:val="bottom"/>
          </w:tcPr>
          <w:p>
            <w:pPr>
              <w:spacing w:after="0"/>
              <w:rPr>
                <w:sz w:val="24"/>
                <w:szCs w:val="24"/>
                <w:color w:val="auto"/>
              </w:rPr>
            </w:pP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7"/>
              </w:rPr>
              <w:t>Senior notes</w:t>
            </w:r>
          </w:p>
        </w:tc>
        <w:tc>
          <w:tcPr>
            <w:tcW w:w="15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Deferred debt</w:t>
            </w:r>
          </w:p>
        </w:tc>
        <w:tc>
          <w:tcPr>
            <w:tcW w:w="150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Income tax</w:t>
            </w: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1"/>
              </w:rPr>
              <w:t>Adjusted weighted</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3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average cost of</w:t>
            </w:r>
          </w:p>
        </w:tc>
        <w:tc>
          <w:tcPr>
            <w:tcW w:w="6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4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Other adjustments</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average cost of</w:t>
            </w:r>
          </w:p>
        </w:tc>
        <w:tc>
          <w:tcPr>
            <w:tcW w:w="0" w:type="dxa"/>
            <w:vAlign w:val="bottom"/>
          </w:tcPr>
          <w:p>
            <w:pPr>
              <w:spacing w:after="0"/>
              <w:rPr>
                <w:sz w:val="1"/>
                <w:szCs w:val="1"/>
                <w:color w:val="auto"/>
              </w:rPr>
            </w:pPr>
          </w:p>
        </w:tc>
      </w:tr>
      <w:tr>
        <w:trPr>
          <w:trHeight w:val="186"/>
        </w:trPr>
        <w:tc>
          <w:tcPr>
            <w:tcW w:w="1040" w:type="dxa"/>
            <w:vAlign w:val="bottom"/>
          </w:tcPr>
          <w:p>
            <w:pPr>
              <w:spacing w:after="0"/>
              <w:rPr>
                <w:sz w:val="16"/>
                <w:szCs w:val="16"/>
                <w:color w:val="auto"/>
              </w:rPr>
            </w:pPr>
          </w:p>
        </w:tc>
        <w:tc>
          <w:tcPr>
            <w:tcW w:w="13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capital</w:t>
            </w:r>
            <w:r>
              <w:rPr>
                <w:rFonts w:ascii="Arial" w:cs="Arial" w:eastAsia="Arial" w:hAnsi="Arial"/>
                <w:sz w:val="8"/>
                <w:szCs w:val="8"/>
                <w:b w:val="1"/>
                <w:bCs w:val="1"/>
                <w:color w:val="auto"/>
                <w:w w:val="94"/>
              </w:rPr>
              <w:t>4</w:t>
            </w:r>
          </w:p>
        </w:tc>
        <w:tc>
          <w:tcPr>
            <w:tcW w:w="60" w:type="dxa"/>
            <w:vAlign w:val="bottom"/>
          </w:tcPr>
          <w:p>
            <w:pPr>
              <w:spacing w:after="0"/>
              <w:rPr>
                <w:sz w:val="16"/>
                <w:szCs w:val="16"/>
                <w:color w:val="auto"/>
              </w:rPr>
            </w:pPr>
          </w:p>
        </w:tc>
        <w:tc>
          <w:tcPr>
            <w:tcW w:w="14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adjustment</w:t>
            </w:r>
          </w:p>
        </w:tc>
        <w:tc>
          <w:tcPr>
            <w:tcW w:w="40" w:type="dxa"/>
            <w:vAlign w:val="bottom"/>
          </w:tcPr>
          <w:p>
            <w:pPr>
              <w:spacing w:after="0"/>
              <w:rPr>
                <w:sz w:val="16"/>
                <w:szCs w:val="16"/>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adjustment</w:t>
            </w:r>
          </w:p>
        </w:tc>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issuance adjustment</w:t>
            </w:r>
            <w:r>
              <w:rPr>
                <w:rFonts w:ascii="Arial" w:cs="Arial" w:eastAsia="Arial" w:hAnsi="Arial"/>
                <w:sz w:val="8"/>
                <w:szCs w:val="8"/>
                <w:b w:val="1"/>
                <w:bCs w:val="1"/>
                <w:color w:val="auto"/>
                <w:w w:val="89"/>
              </w:rPr>
              <w:t>2</w:t>
            </w:r>
          </w:p>
        </w:tc>
        <w:tc>
          <w:tcPr>
            <w:tcW w:w="1500" w:type="dxa"/>
            <w:vAlign w:val="bottom"/>
            <w:gridSpan w:val="3"/>
          </w:tcPr>
          <w:p>
            <w:pPr>
              <w:ind w:left="360"/>
              <w:spacing w:after="0"/>
              <w:rPr>
                <w:sz w:val="20"/>
                <w:szCs w:val="20"/>
                <w:color w:val="auto"/>
              </w:rPr>
            </w:pPr>
            <w:r>
              <w:rPr>
                <w:rFonts w:ascii="Arial" w:cs="Arial" w:eastAsia="Arial" w:hAnsi="Arial"/>
                <w:sz w:val="14"/>
                <w:szCs w:val="14"/>
                <w:b w:val="1"/>
                <w:bCs w:val="1"/>
                <w:color w:val="auto"/>
              </w:rPr>
              <w:t>adjustment</w:t>
            </w:r>
          </w:p>
        </w:tc>
        <w:tc>
          <w:tcPr>
            <w:tcW w:w="1480" w:type="dxa"/>
            <w:vAlign w:val="bottom"/>
            <w:gridSpan w:val="3"/>
            <w:vMerge w:val="continue"/>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4"/>
              </w:rPr>
              <w:t>capital</w:t>
            </w:r>
            <w:r>
              <w:rPr>
                <w:rFonts w:ascii="Arial" w:cs="Arial" w:eastAsia="Arial" w:hAnsi="Arial"/>
                <w:sz w:val="8"/>
                <w:szCs w:val="8"/>
                <w:b w:val="1"/>
                <w:bCs w:val="1"/>
                <w:color w:val="auto"/>
                <w:w w:val="94"/>
              </w:rPr>
              <w:t>5</w:t>
            </w:r>
          </w:p>
        </w:tc>
        <w:tc>
          <w:tcPr>
            <w:tcW w:w="0" w:type="dxa"/>
            <w:vAlign w:val="bottom"/>
          </w:tcPr>
          <w:p>
            <w:pPr>
              <w:spacing w:after="0"/>
              <w:rPr>
                <w:sz w:val="1"/>
                <w:szCs w:val="1"/>
                <w:color w:val="auto"/>
              </w:rPr>
            </w:pPr>
          </w:p>
        </w:tc>
      </w:tr>
      <w:tr>
        <w:trPr>
          <w:trHeight w:val="39"/>
        </w:trPr>
        <w:tc>
          <w:tcPr>
            <w:tcW w:w="104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10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2001</w:t>
            </w:r>
          </w:p>
        </w:tc>
        <w:tc>
          <w:tcPr>
            <w:tcW w:w="1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8.4%</w:t>
            </w:r>
          </w:p>
        </w:tc>
        <w:tc>
          <w:tcPr>
            <w:tcW w:w="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0.0%</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8.4%</w:t>
            </w:r>
          </w:p>
        </w:tc>
        <w:tc>
          <w:tcPr>
            <w:tcW w:w="0" w:type="dxa"/>
            <w:vAlign w:val="bottom"/>
          </w:tcPr>
          <w:p>
            <w:pPr>
              <w:spacing w:after="0"/>
              <w:rPr>
                <w:sz w:val="1"/>
                <w:szCs w:val="1"/>
                <w:color w:val="auto"/>
              </w:rPr>
            </w:pPr>
          </w:p>
        </w:tc>
      </w:tr>
      <w:tr>
        <w:trPr>
          <w:trHeight w:val="243"/>
        </w:trPr>
        <w:tc>
          <w:tcPr>
            <w:tcW w:w="1040" w:type="dxa"/>
            <w:vAlign w:val="bottom"/>
          </w:tcPr>
          <w:p>
            <w:pPr>
              <w:ind w:left="80"/>
              <w:spacing w:after="0"/>
              <w:rPr>
                <w:sz w:val="20"/>
                <w:szCs w:val="20"/>
                <w:color w:val="auto"/>
              </w:rPr>
            </w:pPr>
            <w:r>
              <w:rPr>
                <w:rFonts w:ascii="Arial" w:cs="Arial" w:eastAsia="Arial" w:hAnsi="Arial"/>
                <w:sz w:val="18"/>
                <w:szCs w:val="18"/>
                <w:i w:val="1"/>
                <w:iCs w:val="1"/>
                <w:color w:val="auto"/>
              </w:rPr>
              <w:t>2002</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8.9%</w:t>
            </w:r>
          </w:p>
        </w:tc>
        <w:tc>
          <w:tcPr>
            <w:tcW w:w="4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i w:val="1"/>
                <w:iCs w:val="1"/>
                <w:color w:val="auto"/>
              </w:rPr>
              <w:t>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i w:val="1"/>
                <w:iCs w:val="1"/>
                <w:color w:val="auto"/>
              </w:rPr>
              <w:t>0.0%</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8.9%</w:t>
            </w:r>
          </w:p>
        </w:tc>
        <w:tc>
          <w:tcPr>
            <w:tcW w:w="0" w:type="dxa"/>
            <w:vAlign w:val="bottom"/>
          </w:tcPr>
          <w:p>
            <w:pPr>
              <w:spacing w:after="0"/>
              <w:rPr>
                <w:sz w:val="1"/>
                <w:szCs w:val="1"/>
                <w:color w:val="auto"/>
              </w:rPr>
            </w:pPr>
          </w:p>
        </w:tc>
      </w:tr>
      <w:tr>
        <w:trPr>
          <w:trHeight w:val="54"/>
        </w:trPr>
        <w:tc>
          <w:tcPr>
            <w:tcW w:w="1040" w:type="dxa"/>
            <w:vAlign w:val="bottom"/>
          </w:tcPr>
          <w:p>
            <w:pPr>
              <w:spacing w:after="0"/>
              <w:rPr>
                <w:sz w:val="4"/>
                <w:szCs w:val="4"/>
                <w:color w:val="auto"/>
              </w:rPr>
            </w:pPr>
          </w:p>
        </w:tc>
        <w:tc>
          <w:tcPr>
            <w:tcW w:w="134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0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2003</w:t>
            </w:r>
          </w:p>
        </w:tc>
        <w:tc>
          <w:tcPr>
            <w:tcW w:w="1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9.0%</w:t>
            </w:r>
          </w:p>
        </w:tc>
        <w:tc>
          <w:tcPr>
            <w:tcW w:w="4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0.0%</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0.0%</w:t>
            </w: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0.0%</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9.0%</w:t>
            </w:r>
          </w:p>
        </w:tc>
        <w:tc>
          <w:tcPr>
            <w:tcW w:w="0" w:type="dxa"/>
            <w:vAlign w:val="bottom"/>
          </w:tcPr>
          <w:p>
            <w:pPr>
              <w:spacing w:after="0"/>
              <w:rPr>
                <w:sz w:val="1"/>
                <w:szCs w:val="1"/>
                <w:color w:val="auto"/>
              </w:rPr>
            </w:pPr>
          </w:p>
        </w:tc>
      </w:tr>
      <w:tr>
        <w:trPr>
          <w:trHeight w:val="243"/>
        </w:trPr>
        <w:tc>
          <w:tcPr>
            <w:tcW w:w="1040" w:type="dxa"/>
            <w:vAlign w:val="bottom"/>
          </w:tcPr>
          <w:p>
            <w:pPr>
              <w:ind w:left="80"/>
              <w:spacing w:after="0"/>
              <w:rPr>
                <w:sz w:val="20"/>
                <w:szCs w:val="20"/>
                <w:color w:val="auto"/>
              </w:rPr>
            </w:pPr>
            <w:r>
              <w:rPr>
                <w:rFonts w:ascii="Arial" w:cs="Arial" w:eastAsia="Arial" w:hAnsi="Arial"/>
                <w:sz w:val="18"/>
                <w:szCs w:val="18"/>
                <w:i w:val="1"/>
                <w:iCs w:val="1"/>
                <w:color w:val="auto"/>
              </w:rPr>
              <w:t>2004</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8.6%</w:t>
            </w:r>
          </w:p>
        </w:tc>
        <w:tc>
          <w:tcPr>
            <w:tcW w:w="4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i w:val="1"/>
                <w:iCs w:val="1"/>
                <w:color w:val="auto"/>
              </w:rPr>
              <w:t>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i w:val="1"/>
                <w:iCs w:val="1"/>
                <w:color w:val="auto"/>
              </w:rPr>
              <w:t>0.0%</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8.6%</w:t>
            </w:r>
          </w:p>
        </w:tc>
        <w:tc>
          <w:tcPr>
            <w:tcW w:w="0" w:type="dxa"/>
            <w:vAlign w:val="bottom"/>
          </w:tcPr>
          <w:p>
            <w:pPr>
              <w:spacing w:after="0"/>
              <w:rPr>
                <w:sz w:val="1"/>
                <w:szCs w:val="1"/>
                <w:color w:val="auto"/>
              </w:rPr>
            </w:pPr>
          </w:p>
        </w:tc>
      </w:tr>
      <w:tr>
        <w:trPr>
          <w:trHeight w:val="54"/>
        </w:trPr>
        <w:tc>
          <w:tcPr>
            <w:tcW w:w="1040" w:type="dxa"/>
            <w:vAlign w:val="bottom"/>
          </w:tcPr>
          <w:p>
            <w:pPr>
              <w:spacing w:after="0"/>
              <w:rPr>
                <w:sz w:val="4"/>
                <w:szCs w:val="4"/>
                <w:color w:val="auto"/>
              </w:rPr>
            </w:pPr>
          </w:p>
        </w:tc>
        <w:tc>
          <w:tcPr>
            <w:tcW w:w="134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0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2005</w:t>
            </w:r>
          </w:p>
        </w:tc>
        <w:tc>
          <w:tcPr>
            <w:tcW w:w="1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8.3%</w:t>
            </w:r>
          </w:p>
        </w:tc>
        <w:tc>
          <w:tcPr>
            <w:tcW w:w="4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0.0%</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0.0%</w:t>
            </w: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0.0%</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8.3%</w:t>
            </w:r>
          </w:p>
        </w:tc>
        <w:tc>
          <w:tcPr>
            <w:tcW w:w="0" w:type="dxa"/>
            <w:vAlign w:val="bottom"/>
          </w:tcPr>
          <w:p>
            <w:pPr>
              <w:spacing w:after="0"/>
              <w:rPr>
                <w:sz w:val="1"/>
                <w:szCs w:val="1"/>
                <w:color w:val="auto"/>
              </w:rPr>
            </w:pPr>
          </w:p>
        </w:tc>
      </w:tr>
      <w:tr>
        <w:trPr>
          <w:trHeight w:val="243"/>
        </w:trPr>
        <w:tc>
          <w:tcPr>
            <w:tcW w:w="1040" w:type="dxa"/>
            <w:vAlign w:val="bottom"/>
          </w:tcPr>
          <w:p>
            <w:pPr>
              <w:ind w:left="80"/>
              <w:spacing w:after="0"/>
              <w:rPr>
                <w:sz w:val="20"/>
                <w:szCs w:val="20"/>
                <w:color w:val="auto"/>
              </w:rPr>
            </w:pPr>
            <w:r>
              <w:rPr>
                <w:rFonts w:ascii="Arial" w:cs="Arial" w:eastAsia="Arial" w:hAnsi="Arial"/>
                <w:sz w:val="18"/>
                <w:szCs w:val="18"/>
                <w:i w:val="1"/>
                <w:iCs w:val="1"/>
                <w:color w:val="auto"/>
              </w:rPr>
              <w:t>2006</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8.1%</w:t>
            </w:r>
          </w:p>
        </w:tc>
        <w:tc>
          <w:tcPr>
            <w:tcW w:w="4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i w:val="1"/>
                <w:iCs w:val="1"/>
                <w:color w:val="auto"/>
              </w:rPr>
              <w:t>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i w:val="1"/>
                <w:iCs w:val="1"/>
                <w:color w:val="auto"/>
              </w:rPr>
              <w:t>0.0%</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8.1%</w:t>
            </w:r>
          </w:p>
        </w:tc>
        <w:tc>
          <w:tcPr>
            <w:tcW w:w="0" w:type="dxa"/>
            <w:vAlign w:val="bottom"/>
          </w:tcPr>
          <w:p>
            <w:pPr>
              <w:spacing w:after="0"/>
              <w:rPr>
                <w:sz w:val="1"/>
                <w:szCs w:val="1"/>
                <w:color w:val="auto"/>
              </w:rPr>
            </w:pPr>
          </w:p>
        </w:tc>
      </w:tr>
      <w:tr>
        <w:trPr>
          <w:trHeight w:val="54"/>
        </w:trPr>
        <w:tc>
          <w:tcPr>
            <w:tcW w:w="1040" w:type="dxa"/>
            <w:vAlign w:val="bottom"/>
          </w:tcPr>
          <w:p>
            <w:pPr>
              <w:spacing w:after="0"/>
              <w:rPr>
                <w:sz w:val="4"/>
                <w:szCs w:val="4"/>
                <w:color w:val="auto"/>
              </w:rPr>
            </w:pPr>
          </w:p>
        </w:tc>
        <w:tc>
          <w:tcPr>
            <w:tcW w:w="134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0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2007</w:t>
            </w:r>
          </w:p>
        </w:tc>
        <w:tc>
          <w:tcPr>
            <w:tcW w:w="1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7.0%</w:t>
            </w:r>
          </w:p>
        </w:tc>
        <w:tc>
          <w:tcPr>
            <w:tcW w:w="4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0.0%</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0.0%</w:t>
            </w: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0.0%</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7.0%</w:t>
            </w:r>
          </w:p>
        </w:tc>
        <w:tc>
          <w:tcPr>
            <w:tcW w:w="0" w:type="dxa"/>
            <w:vAlign w:val="bottom"/>
          </w:tcPr>
          <w:p>
            <w:pPr>
              <w:spacing w:after="0"/>
              <w:rPr>
                <w:sz w:val="1"/>
                <w:szCs w:val="1"/>
                <w:color w:val="auto"/>
              </w:rPr>
            </w:pPr>
          </w:p>
        </w:tc>
      </w:tr>
      <w:tr>
        <w:trPr>
          <w:trHeight w:val="243"/>
        </w:trPr>
        <w:tc>
          <w:tcPr>
            <w:tcW w:w="1040" w:type="dxa"/>
            <w:vAlign w:val="bottom"/>
          </w:tcPr>
          <w:p>
            <w:pPr>
              <w:ind w:left="80"/>
              <w:spacing w:after="0"/>
              <w:rPr>
                <w:sz w:val="20"/>
                <w:szCs w:val="20"/>
                <w:color w:val="auto"/>
              </w:rPr>
            </w:pPr>
            <w:r>
              <w:rPr>
                <w:rFonts w:ascii="Arial" w:cs="Arial" w:eastAsia="Arial" w:hAnsi="Arial"/>
                <w:sz w:val="18"/>
                <w:szCs w:val="18"/>
                <w:i w:val="1"/>
                <w:iCs w:val="1"/>
                <w:color w:val="auto"/>
              </w:rPr>
              <w:t>2008</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6.4%</w:t>
            </w:r>
          </w:p>
        </w:tc>
        <w:tc>
          <w:tcPr>
            <w:tcW w:w="4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i w:val="1"/>
                <w:iCs w:val="1"/>
                <w:color w:val="auto"/>
              </w:rPr>
              <w:t>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i w:val="1"/>
                <w:iCs w:val="1"/>
                <w:color w:val="auto"/>
              </w:rPr>
              <w:t>0.0%</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6.4%</w:t>
            </w:r>
          </w:p>
        </w:tc>
        <w:tc>
          <w:tcPr>
            <w:tcW w:w="0" w:type="dxa"/>
            <w:vAlign w:val="bottom"/>
          </w:tcPr>
          <w:p>
            <w:pPr>
              <w:spacing w:after="0"/>
              <w:rPr>
                <w:sz w:val="1"/>
                <w:szCs w:val="1"/>
                <w:color w:val="auto"/>
              </w:rPr>
            </w:pPr>
          </w:p>
        </w:tc>
      </w:tr>
      <w:tr>
        <w:trPr>
          <w:trHeight w:val="54"/>
        </w:trPr>
        <w:tc>
          <w:tcPr>
            <w:tcW w:w="1040" w:type="dxa"/>
            <w:vAlign w:val="bottom"/>
          </w:tcPr>
          <w:p>
            <w:pPr>
              <w:spacing w:after="0"/>
              <w:rPr>
                <w:sz w:val="4"/>
                <w:szCs w:val="4"/>
                <w:color w:val="auto"/>
              </w:rPr>
            </w:pPr>
          </w:p>
        </w:tc>
        <w:tc>
          <w:tcPr>
            <w:tcW w:w="134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0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2009</w:t>
            </w:r>
          </w:p>
        </w:tc>
        <w:tc>
          <w:tcPr>
            <w:tcW w:w="1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6.7%</w:t>
            </w:r>
          </w:p>
        </w:tc>
        <w:tc>
          <w:tcPr>
            <w:tcW w:w="4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0.0%</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0.0%</w:t>
            </w: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0.0%</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6.7%</w:t>
            </w:r>
          </w:p>
        </w:tc>
        <w:tc>
          <w:tcPr>
            <w:tcW w:w="0" w:type="dxa"/>
            <w:vAlign w:val="bottom"/>
          </w:tcPr>
          <w:p>
            <w:pPr>
              <w:spacing w:after="0"/>
              <w:rPr>
                <w:sz w:val="1"/>
                <w:szCs w:val="1"/>
                <w:color w:val="auto"/>
              </w:rPr>
            </w:pPr>
          </w:p>
        </w:tc>
      </w:tr>
      <w:tr>
        <w:trPr>
          <w:trHeight w:val="243"/>
        </w:trPr>
        <w:tc>
          <w:tcPr>
            <w:tcW w:w="1040" w:type="dxa"/>
            <w:vAlign w:val="bottom"/>
          </w:tcPr>
          <w:p>
            <w:pPr>
              <w:ind w:left="80"/>
              <w:spacing w:after="0"/>
              <w:rPr>
                <w:sz w:val="20"/>
                <w:szCs w:val="20"/>
                <w:color w:val="auto"/>
              </w:rPr>
            </w:pPr>
            <w:r>
              <w:rPr>
                <w:rFonts w:ascii="Arial" w:cs="Arial" w:eastAsia="Arial" w:hAnsi="Arial"/>
                <w:sz w:val="18"/>
                <w:szCs w:val="18"/>
                <w:i w:val="1"/>
                <w:iCs w:val="1"/>
                <w:color w:val="auto"/>
              </w:rPr>
              <w:t>2010</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7.3%</w:t>
            </w:r>
          </w:p>
        </w:tc>
        <w:tc>
          <w:tcPr>
            <w:tcW w:w="4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i w:val="1"/>
                <w:iCs w:val="1"/>
                <w:color w:val="auto"/>
              </w:rPr>
              <w:t>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i w:val="1"/>
                <w:iCs w:val="1"/>
                <w:color w:val="auto"/>
              </w:rPr>
              <w:t>0.0%</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-0.1 %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7.2%</w:t>
            </w:r>
          </w:p>
        </w:tc>
        <w:tc>
          <w:tcPr>
            <w:tcW w:w="0" w:type="dxa"/>
            <w:vAlign w:val="bottom"/>
          </w:tcPr>
          <w:p>
            <w:pPr>
              <w:spacing w:after="0"/>
              <w:rPr>
                <w:sz w:val="1"/>
                <w:szCs w:val="1"/>
                <w:color w:val="auto"/>
              </w:rPr>
            </w:pPr>
          </w:p>
        </w:tc>
      </w:tr>
      <w:tr>
        <w:trPr>
          <w:trHeight w:val="54"/>
        </w:trPr>
        <w:tc>
          <w:tcPr>
            <w:tcW w:w="1040" w:type="dxa"/>
            <w:vAlign w:val="bottom"/>
          </w:tcPr>
          <w:p>
            <w:pPr>
              <w:spacing w:after="0"/>
              <w:rPr>
                <w:sz w:val="4"/>
                <w:szCs w:val="4"/>
                <w:color w:val="auto"/>
              </w:rPr>
            </w:pPr>
          </w:p>
        </w:tc>
        <w:tc>
          <w:tcPr>
            <w:tcW w:w="134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0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2011</w:t>
            </w:r>
          </w:p>
        </w:tc>
        <w:tc>
          <w:tcPr>
            <w:tcW w:w="1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6.5%</w:t>
            </w:r>
          </w:p>
        </w:tc>
        <w:tc>
          <w:tcPr>
            <w:tcW w:w="4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0.0%</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0.0%</w:t>
            </w: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-0.1 %</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0.0%</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6.4%</w:t>
            </w:r>
          </w:p>
        </w:tc>
        <w:tc>
          <w:tcPr>
            <w:tcW w:w="0" w:type="dxa"/>
            <w:vAlign w:val="bottom"/>
          </w:tcPr>
          <w:p>
            <w:pPr>
              <w:spacing w:after="0"/>
              <w:rPr>
                <w:sz w:val="1"/>
                <w:szCs w:val="1"/>
                <w:color w:val="auto"/>
              </w:rPr>
            </w:pPr>
          </w:p>
        </w:tc>
      </w:tr>
      <w:tr>
        <w:trPr>
          <w:trHeight w:val="243"/>
        </w:trPr>
        <w:tc>
          <w:tcPr>
            <w:tcW w:w="1040" w:type="dxa"/>
            <w:vAlign w:val="bottom"/>
          </w:tcPr>
          <w:p>
            <w:pPr>
              <w:ind w:left="80"/>
              <w:spacing w:after="0"/>
              <w:rPr>
                <w:sz w:val="20"/>
                <w:szCs w:val="20"/>
                <w:color w:val="auto"/>
              </w:rPr>
            </w:pPr>
            <w:r>
              <w:rPr>
                <w:rFonts w:ascii="Arial" w:cs="Arial" w:eastAsia="Arial" w:hAnsi="Arial"/>
                <w:sz w:val="18"/>
                <w:szCs w:val="18"/>
                <w:i w:val="1"/>
                <w:iCs w:val="1"/>
                <w:color w:val="auto"/>
              </w:rPr>
              <w:t>2012</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5.6%</w:t>
            </w:r>
          </w:p>
        </w:tc>
        <w:tc>
          <w:tcPr>
            <w:tcW w:w="4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i w:val="1"/>
                <w:iCs w:val="1"/>
                <w:color w:val="auto"/>
              </w:rPr>
              <w:t>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i w:val="1"/>
                <w:iCs w:val="1"/>
                <w:color w:val="auto"/>
              </w:rPr>
              <w:t>0.0%</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-0.1 %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5.5%</w:t>
            </w:r>
          </w:p>
        </w:tc>
        <w:tc>
          <w:tcPr>
            <w:tcW w:w="0" w:type="dxa"/>
            <w:vAlign w:val="bottom"/>
          </w:tcPr>
          <w:p>
            <w:pPr>
              <w:spacing w:after="0"/>
              <w:rPr>
                <w:sz w:val="1"/>
                <w:szCs w:val="1"/>
                <w:color w:val="auto"/>
              </w:rPr>
            </w:pPr>
          </w:p>
        </w:tc>
      </w:tr>
      <w:tr>
        <w:trPr>
          <w:trHeight w:val="54"/>
        </w:trPr>
        <w:tc>
          <w:tcPr>
            <w:tcW w:w="1040" w:type="dxa"/>
            <w:vAlign w:val="bottom"/>
          </w:tcPr>
          <w:p>
            <w:pPr>
              <w:spacing w:after="0"/>
              <w:rPr>
                <w:sz w:val="4"/>
                <w:szCs w:val="4"/>
                <w:color w:val="auto"/>
              </w:rPr>
            </w:pPr>
          </w:p>
        </w:tc>
        <w:tc>
          <w:tcPr>
            <w:tcW w:w="134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0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2013</w:t>
            </w:r>
          </w:p>
        </w:tc>
        <w:tc>
          <w:tcPr>
            <w:tcW w:w="1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5.7%</w:t>
            </w:r>
          </w:p>
        </w:tc>
        <w:tc>
          <w:tcPr>
            <w:tcW w:w="4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0.0%</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0.0%</w:t>
            </w: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0.0%</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5.7%</w:t>
            </w:r>
          </w:p>
        </w:tc>
        <w:tc>
          <w:tcPr>
            <w:tcW w:w="0" w:type="dxa"/>
            <w:vAlign w:val="bottom"/>
          </w:tcPr>
          <w:p>
            <w:pPr>
              <w:spacing w:after="0"/>
              <w:rPr>
                <w:sz w:val="1"/>
                <w:szCs w:val="1"/>
                <w:color w:val="auto"/>
              </w:rPr>
            </w:pPr>
          </w:p>
        </w:tc>
      </w:tr>
      <w:tr>
        <w:trPr>
          <w:trHeight w:val="243"/>
        </w:trPr>
        <w:tc>
          <w:tcPr>
            <w:tcW w:w="1040" w:type="dxa"/>
            <w:vAlign w:val="bottom"/>
          </w:tcPr>
          <w:p>
            <w:pPr>
              <w:ind w:left="80"/>
              <w:spacing w:after="0"/>
              <w:rPr>
                <w:sz w:val="20"/>
                <w:szCs w:val="20"/>
                <w:color w:val="auto"/>
              </w:rPr>
            </w:pPr>
            <w:r>
              <w:rPr>
                <w:rFonts w:ascii="Arial" w:cs="Arial" w:eastAsia="Arial" w:hAnsi="Arial"/>
                <w:sz w:val="18"/>
                <w:szCs w:val="18"/>
                <w:i w:val="1"/>
                <w:iCs w:val="1"/>
                <w:color w:val="auto"/>
              </w:rPr>
              <w:t>2014</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5.2%</w:t>
            </w:r>
          </w:p>
        </w:tc>
        <w:tc>
          <w:tcPr>
            <w:tcW w:w="4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i w:val="1"/>
                <w:iCs w:val="1"/>
                <w:color w:val="auto"/>
              </w:rPr>
              <w:t>0.1%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i w:val="1"/>
                <w:iCs w:val="1"/>
                <w:color w:val="auto"/>
              </w:rPr>
              <w:t>0.0%</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5.3%</w:t>
            </w:r>
          </w:p>
        </w:tc>
        <w:tc>
          <w:tcPr>
            <w:tcW w:w="0" w:type="dxa"/>
            <w:vAlign w:val="bottom"/>
          </w:tcPr>
          <w:p>
            <w:pPr>
              <w:spacing w:after="0"/>
              <w:rPr>
                <w:sz w:val="1"/>
                <w:szCs w:val="1"/>
                <w:color w:val="auto"/>
              </w:rPr>
            </w:pPr>
          </w:p>
        </w:tc>
      </w:tr>
      <w:tr>
        <w:trPr>
          <w:trHeight w:val="54"/>
        </w:trPr>
        <w:tc>
          <w:tcPr>
            <w:tcW w:w="1040" w:type="dxa"/>
            <w:vAlign w:val="bottom"/>
          </w:tcPr>
          <w:p>
            <w:pPr>
              <w:spacing w:after="0"/>
              <w:rPr>
                <w:sz w:val="4"/>
                <w:szCs w:val="4"/>
                <w:color w:val="auto"/>
              </w:rPr>
            </w:pPr>
          </w:p>
        </w:tc>
        <w:tc>
          <w:tcPr>
            <w:tcW w:w="134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0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2015</w:t>
            </w:r>
          </w:p>
        </w:tc>
        <w:tc>
          <w:tcPr>
            <w:tcW w:w="1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5.0%</w:t>
            </w:r>
          </w:p>
        </w:tc>
        <w:tc>
          <w:tcPr>
            <w:tcW w:w="4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0.0%</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0.0%</w:t>
            </w: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0.0%</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5.0%</w:t>
            </w:r>
          </w:p>
        </w:tc>
        <w:tc>
          <w:tcPr>
            <w:tcW w:w="0" w:type="dxa"/>
            <w:vAlign w:val="bottom"/>
          </w:tcPr>
          <w:p>
            <w:pPr>
              <w:spacing w:after="0"/>
              <w:rPr>
                <w:sz w:val="1"/>
                <w:szCs w:val="1"/>
                <w:color w:val="auto"/>
              </w:rPr>
            </w:pPr>
          </w:p>
        </w:tc>
      </w:tr>
      <w:tr>
        <w:trPr>
          <w:trHeight w:val="243"/>
        </w:trPr>
        <w:tc>
          <w:tcPr>
            <w:tcW w:w="1040" w:type="dxa"/>
            <w:vAlign w:val="bottom"/>
          </w:tcPr>
          <w:p>
            <w:pPr>
              <w:ind w:left="80"/>
              <w:spacing w:after="0"/>
              <w:rPr>
                <w:sz w:val="20"/>
                <w:szCs w:val="20"/>
                <w:color w:val="auto"/>
              </w:rPr>
            </w:pPr>
            <w:r>
              <w:rPr>
                <w:rFonts w:ascii="Arial" w:cs="Arial" w:eastAsia="Arial" w:hAnsi="Arial"/>
                <w:sz w:val="18"/>
                <w:szCs w:val="18"/>
                <w:i w:val="1"/>
                <w:iCs w:val="1"/>
                <w:color w:val="auto"/>
              </w:rPr>
              <w:t>2016</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4.9%</w:t>
            </w:r>
          </w:p>
        </w:tc>
        <w:tc>
          <w:tcPr>
            <w:tcW w:w="4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i w:val="1"/>
                <w:iCs w:val="1"/>
                <w:color w:val="auto"/>
              </w:rPr>
              <w:t>0.1%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i w:val="1"/>
                <w:iCs w:val="1"/>
                <w:color w:val="auto"/>
              </w:rPr>
              <w:t>0.0%</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5.0%</w:t>
            </w:r>
          </w:p>
        </w:tc>
        <w:tc>
          <w:tcPr>
            <w:tcW w:w="0" w:type="dxa"/>
            <w:vAlign w:val="bottom"/>
          </w:tcPr>
          <w:p>
            <w:pPr>
              <w:spacing w:after="0"/>
              <w:rPr>
                <w:sz w:val="1"/>
                <w:szCs w:val="1"/>
                <w:color w:val="auto"/>
              </w:rPr>
            </w:pPr>
          </w:p>
        </w:tc>
      </w:tr>
      <w:tr>
        <w:trPr>
          <w:trHeight w:val="54"/>
        </w:trPr>
        <w:tc>
          <w:tcPr>
            <w:tcW w:w="1040" w:type="dxa"/>
            <w:vAlign w:val="bottom"/>
          </w:tcPr>
          <w:p>
            <w:pPr>
              <w:spacing w:after="0"/>
              <w:rPr>
                <w:sz w:val="4"/>
                <w:szCs w:val="4"/>
                <w:color w:val="auto"/>
              </w:rPr>
            </w:pPr>
          </w:p>
        </w:tc>
        <w:tc>
          <w:tcPr>
            <w:tcW w:w="134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0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i w:val="1"/>
                <w:iCs w:val="1"/>
                <w:color w:val="auto"/>
              </w:rPr>
              <w:t>2017</w:t>
            </w:r>
          </w:p>
        </w:tc>
        <w:tc>
          <w:tcPr>
            <w:tcW w:w="13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5.1%</w:t>
            </w:r>
          </w:p>
        </w:tc>
        <w:tc>
          <w:tcPr>
            <w:tcW w:w="4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0.1%</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0.0%</w:t>
            </w:r>
          </w:p>
        </w:tc>
        <w:tc>
          <w:tcPr>
            <w:tcW w:w="1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0.0%</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5.2%</w:t>
            </w:r>
          </w:p>
        </w:tc>
        <w:tc>
          <w:tcPr>
            <w:tcW w:w="0" w:type="dxa"/>
            <w:vAlign w:val="bottom"/>
          </w:tcPr>
          <w:p>
            <w:pPr>
              <w:spacing w:after="0"/>
              <w:rPr>
                <w:sz w:val="1"/>
                <w:szCs w:val="1"/>
                <w:color w:val="auto"/>
              </w:rPr>
            </w:pPr>
          </w:p>
        </w:tc>
      </w:tr>
      <w:tr>
        <w:trPr>
          <w:trHeight w:val="243"/>
        </w:trPr>
        <w:tc>
          <w:tcPr>
            <w:tcW w:w="1040" w:type="dxa"/>
            <w:vAlign w:val="bottom"/>
          </w:tcPr>
          <w:p>
            <w:pPr>
              <w:ind w:left="80"/>
              <w:spacing w:after="0"/>
              <w:rPr>
                <w:sz w:val="20"/>
                <w:szCs w:val="20"/>
                <w:color w:val="auto"/>
              </w:rPr>
            </w:pPr>
            <w:r>
              <w:rPr>
                <w:rFonts w:ascii="Arial" w:cs="Arial" w:eastAsia="Arial" w:hAnsi="Arial"/>
                <w:sz w:val="18"/>
                <w:szCs w:val="18"/>
                <w:i w:val="1"/>
                <w:iCs w:val="1"/>
                <w:color w:val="auto"/>
              </w:rPr>
              <w:t>2018</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6.3%</w:t>
            </w:r>
          </w:p>
        </w:tc>
        <w:tc>
          <w:tcPr>
            <w:tcW w:w="4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i w:val="1"/>
                <w:iCs w:val="1"/>
                <w:color w:val="auto"/>
              </w:rPr>
              <w:t>0.1%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i w:val="1"/>
                <w:iCs w:val="1"/>
                <w:color w:val="auto"/>
              </w:rPr>
              <w:t>0.0%</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-0.1 %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-0.1 %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6.2%</w:t>
            </w:r>
          </w:p>
        </w:tc>
        <w:tc>
          <w:tcPr>
            <w:tcW w:w="0" w:type="dxa"/>
            <w:vAlign w:val="bottom"/>
          </w:tcPr>
          <w:p>
            <w:pPr>
              <w:spacing w:after="0"/>
              <w:rPr>
                <w:sz w:val="1"/>
                <w:szCs w:val="1"/>
                <w:color w:val="auto"/>
              </w:rPr>
            </w:pPr>
          </w:p>
        </w:tc>
      </w:tr>
      <w:tr>
        <w:trPr>
          <w:trHeight w:val="297"/>
        </w:trPr>
        <w:tc>
          <w:tcPr>
            <w:tcW w:w="1040" w:type="dxa"/>
            <w:vAlign w:val="bottom"/>
          </w:tcPr>
          <w:p>
            <w:pPr>
              <w:ind w:left="80"/>
              <w:spacing w:after="0"/>
              <w:rPr>
                <w:sz w:val="20"/>
                <w:szCs w:val="20"/>
                <w:color w:val="auto"/>
              </w:rPr>
            </w:pPr>
            <w:r>
              <w:rPr>
                <w:rFonts w:ascii="Arial" w:cs="Arial" w:eastAsia="Arial" w:hAnsi="Arial"/>
                <w:sz w:val="18"/>
                <w:szCs w:val="18"/>
                <w:i w:val="1"/>
                <w:iCs w:val="1"/>
                <w:color w:val="auto"/>
              </w:rPr>
              <w:t>2019</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6.0%</w:t>
            </w:r>
          </w:p>
        </w:tc>
        <w:tc>
          <w:tcPr>
            <w:tcW w:w="4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i w:val="1"/>
                <w:iCs w:val="1"/>
                <w:color w:val="auto"/>
              </w:rPr>
              <w:t>0.1%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i w:val="1"/>
                <w:iCs w:val="1"/>
                <w:color w:val="auto"/>
              </w:rPr>
              <w:t>0.0%</w:t>
            </w:r>
          </w:p>
        </w:tc>
        <w:tc>
          <w:tcPr>
            <w:tcW w:w="1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0.0 %</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-0.1 %</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0.0%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15175"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8859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9"/>
          <w:szCs w:val="9"/>
          <w:color w:val="auto"/>
        </w:rPr>
        <w:t>3</w:t>
      </w:r>
      <w:r>
        <w:rPr>
          <w:rFonts w:ascii="Arial" w:cs="Arial" w:eastAsia="Arial" w:hAnsi="Arial"/>
          <w:sz w:val="14"/>
          <w:szCs w:val="14"/>
          <w:color w:val="auto"/>
        </w:rPr>
        <w:t>Return on capital is defined as net income plus after-tax interest expense divided by average capital.</w:t>
      </w:r>
    </w:p>
    <w:p>
      <w:pPr>
        <w:spacing w:after="0" w:line="13" w:lineRule="exact"/>
        <w:rPr>
          <w:sz w:val="20"/>
          <w:szCs w:val="20"/>
          <w:color w:val="auto"/>
        </w:rPr>
      </w:pPr>
    </w:p>
    <w:p>
      <w:pPr>
        <w:ind w:left="80" w:right="20" w:hanging="80"/>
        <w:spacing w:after="0" w:line="241" w:lineRule="auto"/>
        <w:rPr>
          <w:sz w:val="20"/>
          <w:szCs w:val="20"/>
          <w:color w:val="auto"/>
        </w:rPr>
      </w:pPr>
      <w:r>
        <w:rPr>
          <w:rFonts w:ascii="Arial" w:cs="Arial" w:eastAsia="Arial" w:hAnsi="Arial"/>
          <w:sz w:val="9"/>
          <w:szCs w:val="9"/>
          <w:color w:val="auto"/>
        </w:rPr>
        <w:t>4</w:t>
      </w:r>
      <w:r>
        <w:rPr>
          <w:rFonts w:ascii="Arial" w:cs="Arial" w:eastAsia="Arial" w:hAnsi="Arial"/>
          <w:sz w:val="14"/>
          <w:szCs w:val="14"/>
          <w:color w:val="auto"/>
        </w:rPr>
        <w:t>The weighted average cost of capital includes both a cost of equity and a cost of debt. The cost of equity capital is determined based on a formula that considers the risk of the business and the</w:t>
      </w:r>
      <w:r>
        <w:rPr>
          <w:rFonts w:ascii="Arial" w:cs="Arial" w:eastAsia="Arial" w:hAnsi="Arial"/>
          <w:sz w:val="9"/>
          <w:szCs w:val="9"/>
          <w:color w:val="auto"/>
        </w:rPr>
        <w:t xml:space="preserve"> </w:t>
      </w:r>
      <w:r>
        <w:rPr>
          <w:rFonts w:ascii="Arial" w:cs="Arial" w:eastAsia="Arial" w:hAnsi="Arial"/>
          <w:sz w:val="14"/>
          <w:szCs w:val="14"/>
          <w:color w:val="auto"/>
        </w:rPr>
        <w:t>risk associated with our use of debt. The formula utilized for determining the cost of equity capital is as follows: (the average 30-year Treasury rate + 5%) + [(1 – tax rate) x (the average 30-year Treasury rate + 5% – pre-tax average cost-of-debt rate) x average debt / (average equity + average debt x tax rate)].</w:t>
      </w:r>
    </w:p>
    <w:p>
      <w:pPr>
        <w:spacing w:after="0" w:line="1" w:lineRule="exact"/>
        <w:rPr>
          <w:sz w:val="20"/>
          <w:szCs w:val="20"/>
          <w:color w:val="auto"/>
        </w:rPr>
      </w:pPr>
    </w:p>
    <w:p>
      <w:pPr>
        <w:ind w:left="80" w:right="140" w:hanging="80"/>
        <w:spacing w:after="0" w:line="255" w:lineRule="auto"/>
        <w:rPr>
          <w:sz w:val="20"/>
          <w:szCs w:val="20"/>
          <w:color w:val="auto"/>
        </w:rPr>
      </w:pPr>
      <w:r>
        <w:rPr>
          <w:rFonts w:ascii="Arial" w:cs="Arial" w:eastAsia="Arial" w:hAnsi="Arial"/>
          <w:sz w:val="9"/>
          <w:szCs w:val="9"/>
          <w:color w:val="auto"/>
        </w:rPr>
        <w:t>5</w:t>
      </w:r>
      <w:r>
        <w:rPr>
          <w:rFonts w:ascii="Arial" w:cs="Arial" w:eastAsia="Arial" w:hAnsi="Arial"/>
          <w:sz w:val="14"/>
          <w:szCs w:val="14"/>
          <w:color w:val="auto"/>
        </w:rPr>
        <w:t>The adjusted weighted average cost of capital includes both a cost of adjusted equity and a cost of debt. The cost of adjusted equity capital is calculated using the same formula as above except</w:t>
      </w:r>
      <w:r>
        <w:rPr>
          <w:rFonts w:ascii="Arial" w:cs="Arial" w:eastAsia="Arial" w:hAnsi="Arial"/>
          <w:sz w:val="9"/>
          <w:szCs w:val="9"/>
          <w:color w:val="auto"/>
        </w:rPr>
        <w:t xml:space="preserve"> </w:t>
      </w:r>
      <w:r>
        <w:rPr>
          <w:rFonts w:ascii="Arial" w:cs="Arial" w:eastAsia="Arial" w:hAnsi="Arial"/>
          <w:sz w:val="14"/>
          <w:szCs w:val="14"/>
          <w:color w:val="auto"/>
        </w:rPr>
        <w:t>that adjusted average equity is used in the calculation instead of average equity.</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NOTE: Amounts may not recalculate due to rounding.</w:t>
      </w:r>
    </w:p>
    <w:p>
      <w:pPr>
        <w:sectPr>
          <w:pgSz w:w="11900" w:h="16838" w:orient="portrait"/>
          <w:cols w:equalWidth="0" w:num="1">
            <w:col w:w="11220"/>
          </w:cols>
          <w:pgMar w:left="320" w:top="482" w:right="359" w:bottom="1440" w:gutter="0" w:footer="0" w:header="0"/>
        </w:sect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sectPr>
      <w:pgSz w:w="11900" w:h="16838" w:orient="portrait"/>
      <w:cols w:equalWidth="0" w:num="1">
        <w:col w:w="11220"/>
      </w:cols>
      <w:pgMar w:left="320" w:top="48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2020-05-20T16:15:13Z</dcterms:created>
  <dcterms:modified xsi:type="dcterms:W3CDTF">2020-05-20T16:15:13Z</dcterms:modified>
</cp:coreProperties>
</file>