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744"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40" w:type="dxa"/>
            <w:vAlign w:val="bottom"/>
            <w:gridSpan w:val="6"/>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2"/>
            <w:vMerge w:val="restart"/>
          </w:tcPr>
          <w:p>
            <w:pPr>
              <w:spacing w:after="0"/>
              <w:rPr>
                <w:rFonts w:ascii="Arial" w:cs="Arial" w:eastAsia="Arial" w:hAnsi="Arial"/>
                <w:sz w:val="21"/>
                <w:szCs w:val="21"/>
                <w:u w:val="single" w:color="auto"/>
                <w:color w:val="0000EE"/>
                <w:w w:val="94"/>
              </w:rPr>
            </w:pPr>
            <w:hyperlink r:id="rId13">
              <w:r>
                <w:rPr>
                  <w:rFonts w:ascii="Arial" w:cs="Arial" w:eastAsia="Arial" w:hAnsi="Arial"/>
                  <w:sz w:val="21"/>
                  <w:szCs w:val="21"/>
                  <w:u w:val="single" w:color="auto"/>
                  <w:color w:val="0000EE"/>
                  <w:w w:val="94"/>
                </w:rPr>
                <w:t>Watson Jill Foss</w:t>
              </w:r>
            </w:hyperlink>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780" w:type="dxa"/>
            <w:vAlign w:val="bottom"/>
            <w:gridSpan w:val="8"/>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CREDIT ACCEPTANCE CORP</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CACC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0" w:type="dxa"/>
            <w:vAlign w:val="bottom"/>
          </w:tcPr>
          <w:p>
            <w:pPr>
              <w:spacing w:after="0"/>
              <w:rPr>
                <w:sz w:val="9"/>
                <w:szCs w:val="9"/>
                <w:color w:val="auto"/>
              </w:rPr>
            </w:pPr>
          </w:p>
        </w:tc>
        <w:tc>
          <w:tcPr>
            <w:tcW w:w="15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580" w:type="dxa"/>
            <w:vAlign w:val="bottom"/>
            <w:gridSpan w:val="5"/>
            <w:vMerge w:val="continue"/>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3"/>
                <w:szCs w:val="13"/>
                <w:color w:val="auto"/>
              </w:rPr>
              <w:t>Director</w:t>
            </w:r>
          </w:p>
        </w:tc>
        <w:tc>
          <w:tcPr>
            <w:tcW w:w="240" w:type="dxa"/>
            <w:vAlign w:val="bottom"/>
          </w:tcPr>
          <w:p>
            <w:pPr>
              <w:spacing w:after="0"/>
              <w:rPr>
                <w:sz w:val="13"/>
                <w:szCs w:val="13"/>
                <w:color w:val="auto"/>
              </w:rPr>
            </w:pPr>
          </w:p>
        </w:tc>
        <w:tc>
          <w:tcPr>
            <w:tcW w:w="1600" w:type="dxa"/>
            <w:vAlign w:val="bottom"/>
            <w:gridSpan w:val="6"/>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60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3"/>
                <w:szCs w:val="13"/>
                <w:color w:val="auto"/>
              </w:rPr>
              <w:t>Officer (give title</w:t>
            </w:r>
          </w:p>
        </w:tc>
        <w:tc>
          <w:tcPr>
            <w:tcW w:w="240" w:type="dxa"/>
            <w:vAlign w:val="bottom"/>
          </w:tcPr>
          <w:p>
            <w:pPr>
              <w:spacing w:after="0"/>
              <w:rPr>
                <w:sz w:val="7"/>
                <w:szCs w:val="7"/>
                <w:color w:val="auto"/>
              </w:rPr>
            </w:pPr>
          </w:p>
        </w:tc>
        <w:tc>
          <w:tcPr>
            <w:tcW w:w="1600" w:type="dxa"/>
            <w:vAlign w:val="bottom"/>
            <w:gridSpan w:val="6"/>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gridSpan w:val="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40" w:type="dxa"/>
            <w:vAlign w:val="bottom"/>
            <w:gridSpan w:val="6"/>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60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40" w:type="dxa"/>
            <w:vAlign w:val="bottom"/>
            <w:gridSpan w:val="6"/>
            <w:vMerge w:val="continue"/>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ind w:left="220"/>
              <w:spacing w:after="0"/>
              <w:rPr>
                <w:sz w:val="20"/>
                <w:szCs w:val="20"/>
                <w:color w:val="auto"/>
              </w:rPr>
            </w:pPr>
            <w:r>
              <w:rPr>
                <w:rFonts w:ascii="Arial" w:cs="Arial" w:eastAsia="Arial" w:hAnsi="Arial"/>
                <w:sz w:val="13"/>
                <w:szCs w:val="13"/>
                <w:color w:val="auto"/>
              </w:rPr>
              <w:t>below)</w:t>
            </w:r>
          </w:p>
        </w:tc>
        <w:tc>
          <w:tcPr>
            <w:tcW w:w="240" w:type="dxa"/>
            <w:vAlign w:val="bottom"/>
          </w:tcPr>
          <w:p>
            <w:pPr>
              <w:spacing w:after="0"/>
              <w:rPr>
                <w:sz w:val="13"/>
                <w:szCs w:val="13"/>
                <w:color w:val="auto"/>
              </w:rPr>
            </w:pPr>
          </w:p>
        </w:tc>
        <w:tc>
          <w:tcPr>
            <w:tcW w:w="82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29777 TELEGRAPH ROAD</w:t>
            </w:r>
          </w:p>
        </w:tc>
        <w:tc>
          <w:tcPr>
            <w:tcW w:w="1340" w:type="dxa"/>
            <w:vAlign w:val="bottom"/>
          </w:tcPr>
          <w:p>
            <w:pPr>
              <w:spacing w:after="0"/>
              <w:rPr>
                <w:sz w:val="19"/>
                <w:szCs w:val="19"/>
                <w:color w:val="auto"/>
              </w:rPr>
            </w:pPr>
          </w:p>
        </w:tc>
        <w:tc>
          <w:tcPr>
            <w:tcW w:w="1560" w:type="dxa"/>
            <w:vAlign w:val="bottom"/>
            <w:gridSpan w:val="5"/>
          </w:tcPr>
          <w:p>
            <w:pPr>
              <w:ind w:left="160"/>
              <w:spacing w:after="0"/>
              <w:rPr>
                <w:sz w:val="20"/>
                <w:szCs w:val="20"/>
                <w:color w:val="auto"/>
              </w:rPr>
            </w:pPr>
            <w:r>
              <w:rPr>
                <w:rFonts w:ascii="Arial" w:cs="Arial" w:eastAsia="Arial" w:hAnsi="Arial"/>
                <w:sz w:val="17"/>
                <w:szCs w:val="17"/>
                <w:color w:val="0000FF"/>
              </w:rPr>
              <w:t>05/15/2020</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3"/>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vMerge w:val="restart"/>
          </w:tcPr>
          <w:p>
            <w:pPr>
              <w:spacing w:after="0"/>
              <w:rPr>
                <w:sz w:val="20"/>
                <w:szCs w:val="20"/>
                <w:color w:val="auto"/>
              </w:rPr>
            </w:pPr>
            <w:r>
              <w:rPr>
                <w:rFonts w:ascii="Arial" w:cs="Arial" w:eastAsia="Arial" w:hAnsi="Arial"/>
                <w:sz w:val="17"/>
                <w:szCs w:val="17"/>
                <w:color w:val="0000FF"/>
              </w:rPr>
              <w:t>SUITE 2611</w:t>
            </w:r>
          </w:p>
        </w:tc>
        <w:tc>
          <w:tcPr>
            <w:tcW w:w="8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500" w:type="dxa"/>
            <w:vAlign w:val="bottom"/>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342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500" w:type="dxa"/>
            <w:vAlign w:val="bottom"/>
            <w:gridSpan w:val="7"/>
            <w:vMerge w:val="continue"/>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20" w:type="dxa"/>
            <w:vAlign w:val="bottom"/>
            <w:gridSpan w:val="1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980" w:type="dxa"/>
            <w:vAlign w:val="bottom"/>
            <w:gridSpan w:val="4"/>
            <w:vMerge w:val="continue"/>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20" w:type="dxa"/>
            <w:vAlign w:val="bottom"/>
            <w:gridSpan w:val="11"/>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Arial" w:cs="Arial" w:eastAsia="Arial" w:hAnsi="Arial"/>
                <w:sz w:val="17"/>
                <w:szCs w:val="17"/>
                <w:color w:val="0000FF"/>
              </w:rPr>
              <w:t>SOUTHFIELD  MI</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48034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40" w:type="dxa"/>
            <w:vAlign w:val="bottom"/>
            <w:gridSpan w:val="9"/>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ind w:left="220"/>
              <w:spacing w:after="0" w:line="134" w:lineRule="exact"/>
              <w:rPr>
                <w:sz w:val="20"/>
                <w:szCs w:val="20"/>
                <w:color w:val="auto"/>
              </w:rPr>
            </w:pPr>
            <w:r>
              <w:rPr>
                <w:rFonts w:ascii="Arial" w:cs="Arial" w:eastAsia="Arial" w:hAnsi="Arial"/>
                <w:sz w:val="13"/>
                <w:szCs w:val="13"/>
                <w:color w:val="auto"/>
              </w:rPr>
              <w:t>Person</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20" w:type="dxa"/>
            <w:vAlign w:val="bottom"/>
            <w:tcBorders>
              <w:bottom w:val="single" w:sz="8" w:color="2C2C2C"/>
            </w:tcBorders>
            <w:gridSpan w:val="9"/>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660" w:type="dxa"/>
            <w:vAlign w:val="bottom"/>
            <w:tcBorders>
              <w:top w:val="single" w:sz="8" w:color="2C2C2C"/>
            </w:tcBorders>
            <w:gridSpan w:val="18"/>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4"/>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82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gridSpan w:val="4"/>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gridSpan w:val="5"/>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4"/>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1780" w:type="dxa"/>
            <w:vAlign w:val="bottom"/>
            <w:gridSpan w:val="4"/>
            <w:vMerge w:val="restart"/>
          </w:tcPr>
          <w:p>
            <w:pPr>
              <w:ind w:left="820"/>
              <w:spacing w:after="0"/>
              <w:rPr>
                <w:sz w:val="20"/>
                <w:szCs w:val="20"/>
                <w:color w:val="auto"/>
              </w:rPr>
            </w:pPr>
            <w:r>
              <w:rPr>
                <w:rFonts w:ascii="Arial" w:cs="Arial" w:eastAsia="Arial" w:hAnsi="Arial"/>
                <w:sz w:val="17"/>
                <w:szCs w:val="17"/>
                <w:color w:val="0000FF"/>
              </w:rPr>
              <w:t>05/15/2020</w:t>
            </w: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vMerge w:val="restart"/>
          </w:tcPr>
          <w:p>
            <w:pPr>
              <w:ind w:left="200"/>
              <w:spacing w:after="0"/>
              <w:rPr>
                <w:sz w:val="20"/>
                <w:szCs w:val="20"/>
                <w:color w:val="auto"/>
              </w:rPr>
            </w:pPr>
            <w:r>
              <w:rPr>
                <w:rFonts w:ascii="Arial" w:cs="Arial" w:eastAsia="Arial" w:hAnsi="Arial"/>
                <w:sz w:val="13"/>
                <w:szCs w:val="13"/>
                <w:color w:val="0000FF"/>
              </w:rPr>
              <w:t>J</w:t>
            </w:r>
          </w:p>
        </w:tc>
        <w:tc>
          <w:tcPr>
            <w:tcW w:w="360" w:type="dxa"/>
            <w:vAlign w:val="bottom"/>
            <w:vMerge w:val="restart"/>
          </w:tcPr>
          <w:p>
            <w:pPr>
              <w:ind w:left="140"/>
              <w:spacing w:after="0"/>
              <w:rPr>
                <w:sz w:val="20"/>
                <w:szCs w:val="20"/>
                <w:color w:val="auto"/>
              </w:rPr>
            </w:pPr>
            <w:r>
              <w:rPr>
                <w:rFonts w:ascii="Arial" w:cs="Arial" w:eastAsia="Arial" w:hAnsi="Arial"/>
                <w:sz w:val="13"/>
                <w:szCs w:val="13"/>
                <w:color w:val="0000FF"/>
              </w:rPr>
              <w:t>V</w:t>
            </w:r>
          </w:p>
        </w:tc>
        <w:tc>
          <w:tcPr>
            <w:tcW w:w="760" w:type="dxa"/>
            <w:vAlign w:val="bottom"/>
            <w:vMerge w:val="restart"/>
          </w:tcPr>
          <w:p>
            <w:pPr>
              <w:ind w:left="140"/>
              <w:spacing w:after="0"/>
              <w:rPr>
                <w:sz w:val="20"/>
                <w:szCs w:val="20"/>
                <w:color w:val="auto"/>
              </w:rPr>
            </w:pPr>
            <w:r>
              <w:rPr>
                <w:rFonts w:ascii="Arial" w:cs="Arial" w:eastAsia="Arial" w:hAnsi="Arial"/>
                <w:sz w:val="17"/>
                <w:szCs w:val="17"/>
                <w:color w:val="0000FF"/>
                <w:w w:val="97"/>
              </w:rPr>
              <w:t>117,714</w:t>
            </w:r>
          </w:p>
        </w:tc>
        <w:tc>
          <w:tcPr>
            <w:tcW w:w="460" w:type="dxa"/>
            <w:vAlign w:val="bottom"/>
            <w:vMerge w:val="restart"/>
          </w:tcPr>
          <w:p>
            <w:pPr>
              <w:ind w:left="260"/>
              <w:spacing w:after="0"/>
              <w:rPr>
                <w:sz w:val="20"/>
                <w:szCs w:val="20"/>
                <w:color w:val="auto"/>
              </w:rPr>
            </w:pPr>
            <w:r>
              <w:rPr>
                <w:rFonts w:ascii="Arial" w:cs="Arial" w:eastAsia="Arial" w:hAnsi="Arial"/>
                <w:sz w:val="17"/>
                <w:szCs w:val="17"/>
                <w:color w:val="0000FF"/>
              </w:rPr>
              <w:t>D</w:t>
            </w:r>
          </w:p>
        </w:tc>
        <w:tc>
          <w:tcPr>
            <w:tcW w:w="280" w:type="dxa"/>
            <w:vAlign w:val="bottom"/>
          </w:tcPr>
          <w:p>
            <w:pPr>
              <w:spacing w:after="0"/>
              <w:rPr>
                <w:sz w:val="22"/>
                <w:szCs w:val="22"/>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8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353,142</w:t>
            </w:r>
          </w:p>
        </w:tc>
        <w:tc>
          <w:tcPr>
            <w:tcW w:w="240" w:type="dxa"/>
            <w:vAlign w:val="bottom"/>
          </w:tcPr>
          <w:p>
            <w:pPr>
              <w:spacing w:after="0"/>
              <w:rPr>
                <w:sz w:val="22"/>
                <w:szCs w:val="22"/>
                <w:color w:val="auto"/>
              </w:rPr>
            </w:pPr>
          </w:p>
        </w:tc>
        <w:tc>
          <w:tcPr>
            <w:tcW w:w="680" w:type="dxa"/>
            <w:vAlign w:val="bottom"/>
            <w:vMerge w:val="restart"/>
          </w:tcPr>
          <w:p>
            <w:pPr>
              <w:ind w:left="14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840" w:type="dxa"/>
            <w:vAlign w:val="bottom"/>
          </w:tcPr>
          <w:p>
            <w:pPr>
              <w:spacing w:after="0"/>
              <w:rPr>
                <w:sz w:val="9"/>
                <w:szCs w:val="9"/>
                <w:color w:val="auto"/>
              </w:rPr>
            </w:pPr>
          </w:p>
        </w:tc>
        <w:tc>
          <w:tcPr>
            <w:tcW w:w="1780" w:type="dxa"/>
            <w:vAlign w:val="bottom"/>
            <w:gridSpan w:val="4"/>
            <w:vMerge w:val="continue"/>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(1)</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237,927</w:t>
            </w:r>
          </w:p>
        </w:tc>
        <w:tc>
          <w:tcPr>
            <w:tcW w:w="240" w:type="dxa"/>
            <w:vAlign w:val="bottom"/>
          </w:tcPr>
          <w:p>
            <w:pPr>
              <w:spacing w:after="0"/>
              <w:rPr>
                <w:sz w:val="22"/>
                <w:szCs w:val="22"/>
                <w:color w:val="auto"/>
              </w:rPr>
            </w:pPr>
          </w:p>
        </w:tc>
        <w:tc>
          <w:tcPr>
            <w:tcW w:w="680" w:type="dxa"/>
            <w:vAlign w:val="bottom"/>
            <w:vMerge w:val="restart"/>
          </w:tcPr>
          <w:p>
            <w:pPr>
              <w:ind w:left="14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(2)</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27,846</w:t>
            </w:r>
          </w:p>
        </w:tc>
        <w:tc>
          <w:tcPr>
            <w:tcW w:w="240" w:type="dxa"/>
            <w:vAlign w:val="bottom"/>
          </w:tcPr>
          <w:p>
            <w:pPr>
              <w:spacing w:after="0"/>
              <w:rPr>
                <w:sz w:val="22"/>
                <w:szCs w:val="22"/>
                <w:color w:val="auto"/>
              </w:rPr>
            </w:pPr>
          </w:p>
        </w:tc>
        <w:tc>
          <w:tcPr>
            <w:tcW w:w="680" w:type="dxa"/>
            <w:vAlign w:val="bottom"/>
            <w:vMerge w:val="restart"/>
          </w:tcPr>
          <w:p>
            <w:pPr>
              <w:ind w:left="14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32,366</w:t>
            </w:r>
          </w:p>
        </w:tc>
        <w:tc>
          <w:tcPr>
            <w:tcW w:w="240" w:type="dxa"/>
            <w:vAlign w:val="bottom"/>
          </w:tcPr>
          <w:p>
            <w:pPr>
              <w:spacing w:after="0"/>
              <w:rPr>
                <w:sz w:val="22"/>
                <w:szCs w:val="22"/>
                <w:color w:val="auto"/>
              </w:rPr>
            </w:pPr>
          </w:p>
        </w:tc>
        <w:tc>
          <w:tcPr>
            <w:tcW w:w="680" w:type="dxa"/>
            <w:vAlign w:val="bottom"/>
            <w:vMerge w:val="restart"/>
          </w:tcPr>
          <w:p>
            <w:pPr>
              <w:ind w:left="14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32,366</w:t>
            </w:r>
          </w:p>
        </w:tc>
        <w:tc>
          <w:tcPr>
            <w:tcW w:w="240" w:type="dxa"/>
            <w:vAlign w:val="bottom"/>
          </w:tcPr>
          <w:p>
            <w:pPr>
              <w:spacing w:after="0"/>
              <w:rPr>
                <w:sz w:val="22"/>
                <w:szCs w:val="22"/>
                <w:color w:val="auto"/>
              </w:rPr>
            </w:pPr>
          </w:p>
        </w:tc>
        <w:tc>
          <w:tcPr>
            <w:tcW w:w="680" w:type="dxa"/>
            <w:vAlign w:val="bottom"/>
            <w:vMerge w:val="restart"/>
          </w:tcPr>
          <w:p>
            <w:pPr>
              <w:ind w:left="14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(5)</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15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89"/>
              </w:rPr>
              <w:t>2,146</w:t>
            </w:r>
          </w:p>
        </w:tc>
        <w:tc>
          <w:tcPr>
            <w:tcW w:w="24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By Son</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8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-4650740</wp:posOffset>
            </wp:positionV>
            <wp:extent cx="7031355" cy="46964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469646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Jill Foss Watson has resigned as Trustee of the Chelsea Foss Issue Trust, which is a separate irrevocable trust created by the Karol A. Foss Irrevocable Grandchildren's Trust. As such, Ms. Watson is no longer the beneficial owner of the shares held by the Chelsea Foss Issue Trust for Section 16 reporting purposes. Ms. Watson continues to serve as Trustee of the Karol A. Foss Irrevocable Grandchildren's Trust and of the Issue Trusts for each of the grandchildren other than Chelsea.</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are owned of record by Jill Foss Watson, as Trustee of the Jill Foss Watson Living Trust.</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are owned of record by Todd Watson, spouse of Jill Foss Watson, as trustee of the Jill Foss Watson Irrevocable Trust.</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are owned of record by Todd Watson, spouse of Jill Foss Watson, as trustee of the Jill Foss Watson 2014 Children's Trust FBO Duncan Todd Watson.</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are owned of record by Todd Watson, spouse of Jill Foss Watson, as trustee of the Jill Foss Watson 2014 Children's Trust FBO Gwyneth Ellen Watson.</w:t>
      </w:r>
    </w:p>
    <w:p>
      <w:pPr>
        <w:spacing w:after="0" w:line="50" w:lineRule="exact"/>
        <w:rPr>
          <w:rFonts w:ascii="Arial" w:cs="Arial" w:eastAsia="Arial" w:hAnsi="Arial"/>
          <w:sz w:val="13"/>
          <w:szCs w:val="13"/>
          <w:color w:val="008000"/>
        </w:rPr>
      </w:pPr>
    </w:p>
    <w:p>
      <w:pPr>
        <w:ind w:left="40" w:right="2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these securities, and this report shall not be deemed an admission that the reporting person is the beneficial owner of such securities for purposes of Section 16 or any other purpose.</w:t>
      </w:r>
    </w:p>
    <w:p>
      <w:pPr>
        <w:spacing w:after="0" w:line="2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3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/s/ Bradley J. Wyatt</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06/03/2020</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74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68982" TargetMode="External"/><Relationship Id="rId14" Type="http://schemas.openxmlformats.org/officeDocument/2006/relationships/hyperlink" Target="http://www.sec.gov/cgi-bin/browse-edgar?action=getcompany&amp;CIK=00008855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2020-06-03T10:02:19Z</dcterms:created>
  <dcterms:modified xsi:type="dcterms:W3CDTF">2020-06-03T10:02:19Z</dcterms:modified>
</cp:coreProperties>
</file>