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FORM 8-K</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 2021</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CREDIT ACCEPTANCE CORPORATION</w:t>
      </w:r>
    </w:p>
    <w:p>
      <w:pPr>
        <w:spacing w:after="0" w:line="50"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4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20" w:type="dxa"/>
            <w:vAlign w:val="bottom"/>
          </w:tcPr>
          <w:p>
            <w:pPr>
              <w:spacing w:after="0"/>
              <w:rPr>
                <w:sz w:val="20"/>
                <w:szCs w:val="20"/>
                <w:color w:val="auto"/>
              </w:rPr>
            </w:pPr>
          </w:p>
        </w:tc>
      </w:tr>
      <w:tr>
        <w:trPr>
          <w:trHeight w:val="507"/>
        </w:trPr>
        <w:tc>
          <w:tcPr>
            <w:tcW w:w="334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rPr>
              <w:t>Michigan</w:t>
            </w:r>
          </w:p>
        </w:tc>
        <w:tc>
          <w:tcPr>
            <w:tcW w:w="3440" w:type="dxa"/>
            <w:vAlign w:val="bottom"/>
            <w:gridSpan w:val="3"/>
          </w:tcPr>
          <w:p>
            <w:pPr>
              <w:jc w:val="right"/>
              <w:ind w:right="888"/>
              <w:spacing w:after="0"/>
              <w:rPr>
                <w:sz w:val="20"/>
                <w:szCs w:val="20"/>
                <w:color w:val="auto"/>
              </w:rPr>
            </w:pPr>
            <w:r>
              <w:rPr>
                <w:rFonts w:ascii="Times New Roman" w:cs="Times New Roman" w:eastAsia="Times New Roman" w:hAnsi="Times New Roman"/>
                <w:sz w:val="18"/>
                <w:szCs w:val="18"/>
                <w:color w:val="auto"/>
              </w:rPr>
              <w:t>000-20202</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2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rPr>
              <w:t>38-1999511</w:t>
            </w:r>
          </w:p>
        </w:tc>
      </w:tr>
      <w:tr>
        <w:trPr>
          <w:trHeight w:val="41"/>
        </w:trPr>
        <w:tc>
          <w:tcPr>
            <w:tcW w:w="3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3220" w:type="dxa"/>
            <w:vAlign w:val="bottom"/>
          </w:tcPr>
          <w:p>
            <w:pPr>
              <w:spacing w:after="0"/>
              <w:rPr>
                <w:sz w:val="3"/>
                <w:szCs w:val="3"/>
                <w:color w:val="auto"/>
              </w:rPr>
            </w:pPr>
          </w:p>
        </w:tc>
      </w:tr>
      <w:tr>
        <w:trPr>
          <w:trHeight w:val="182"/>
        </w:trPr>
        <w:tc>
          <w:tcPr>
            <w:tcW w:w="3340" w:type="dxa"/>
            <w:vAlign w:val="bottom"/>
            <w:tcBorders>
              <w:top w:val="single" w:sz="8" w:color="auto"/>
            </w:tcBorders>
          </w:tcPr>
          <w:p>
            <w:pPr>
              <w:jc w:val="center"/>
              <w:ind w:left="35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3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tcPr>
          <w:p>
            <w:pPr>
              <w:jc w:val="center"/>
              <w:ind w:right="4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27"/>
        </w:trPr>
        <w:tc>
          <w:tcPr>
            <w:tcW w:w="3340" w:type="dxa"/>
            <w:vAlign w:val="bottom"/>
          </w:tcPr>
          <w:p>
            <w:pPr>
              <w:jc w:val="center"/>
              <w:ind w:left="457"/>
              <w:spacing w:after="0"/>
              <w:rPr>
                <w:sz w:val="20"/>
                <w:szCs w:val="20"/>
                <w:color w:val="auto"/>
              </w:rPr>
            </w:pPr>
            <w:r>
              <w:rPr>
                <w:rFonts w:ascii="Times New Roman" w:cs="Times New Roman" w:eastAsia="Times New Roman" w:hAnsi="Times New Roman"/>
                <w:sz w:val="18"/>
                <w:szCs w:val="18"/>
                <w:color w:val="auto"/>
                <w:w w:val="99"/>
              </w:rPr>
              <w:t>25505 West Twelve Mile Road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70"/>
        </w:trPr>
        <w:tc>
          <w:tcPr>
            <w:tcW w:w="3340" w:type="dxa"/>
            <w:vAlign w:val="bottom"/>
          </w:tcPr>
          <w:p>
            <w:pPr>
              <w:jc w:val="center"/>
              <w:ind w:left="477"/>
              <w:spacing w:after="0"/>
              <w:rPr>
                <w:sz w:val="20"/>
                <w:szCs w:val="20"/>
                <w:color w:val="auto"/>
              </w:rPr>
            </w:pPr>
            <w:r>
              <w:rPr>
                <w:rFonts w:ascii="Times New Roman" w:cs="Times New Roman" w:eastAsia="Times New Roman" w:hAnsi="Times New Roman"/>
                <w:sz w:val="18"/>
                <w:szCs w:val="18"/>
                <w:color w:val="auto"/>
              </w:rPr>
              <w:t>Southfield,  Michigan</w:t>
            </w: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2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rPr>
              <w:t>48034-8339</w:t>
            </w:r>
          </w:p>
        </w:tc>
      </w:tr>
      <w:tr>
        <w:trPr>
          <w:trHeight w:val="41"/>
        </w:trPr>
        <w:tc>
          <w:tcPr>
            <w:tcW w:w="3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r>
      <w:tr>
        <w:trPr>
          <w:trHeight w:val="182"/>
        </w:trPr>
        <w:tc>
          <w:tcPr>
            <w:tcW w:w="3340" w:type="dxa"/>
            <w:vAlign w:val="bottom"/>
          </w:tcPr>
          <w:p>
            <w:pPr>
              <w:jc w:val="center"/>
              <w:ind w:left="4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20" w:type="dxa"/>
            <w:vAlign w:val="bottom"/>
          </w:tcPr>
          <w:p>
            <w:pPr>
              <w:jc w:val="center"/>
              <w:ind w:right="45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(248) 353-2700</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-127635</wp:posOffset>
            </wp:positionV>
            <wp:extent cx="38404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4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1"/>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CACC</w:t>
            </w:r>
          </w:p>
        </w:tc>
        <w:tc>
          <w:tcPr>
            <w:tcW w:w="120" w:type="dxa"/>
            <w:vAlign w:val="bottom"/>
          </w:tcPr>
          <w:p>
            <w:pPr>
              <w:spacing w:after="0"/>
              <w:rPr>
                <w:sz w:val="20"/>
                <w:szCs w:val="20"/>
                <w:color w:val="auto"/>
              </w:rPr>
            </w:pPr>
          </w:p>
        </w:tc>
        <w:tc>
          <w:tcPr>
            <w:tcW w:w="440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58"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6"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3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6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 2021, Credit Acceptance Corporation (the “Company”) issued a press release announcing its financial results for the three months and year ended December 31, 2020 and details for the related February 1, 2021 webcast. The press release is attached as Exhibit 99.1 to this Form 8-K and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are updated disclosures with respect to legal matters that were last reported in our Quarterly Report on Form 10-Q for the quarter ended September 30, 2020.</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May 7, 2019, we received a subpoena from the Consumer Frauds and Protection Bureau of the Office of the New York State Attorney General, relating to the Company’s origination and collection policies and procedures in the state of New York. On July 30, 2020, we received two additional subpoenas from the Office of the New York State Attorney General, both from the Consumer Frauds and Protection Bureau and the Investor Protection Bureau, relating to the Company’s origination and collection policies and procedures in the state of New York and its securitizations. On August 28, 2020, we were informed that one of the two additional subpoenas was being withdrawn. On November 16, 2020, we received an additional subpoena for documents from the Office of the New York State Attorney General. On November 19, 2020, the Company received a letter from the Office of the New York State Attorney General stating that the New York State Attorney General is considering bringing claims against the Company under the Dodd-Frank Wall Street Reform and Consumer Protection Act, New York Executive Law § 63(12), the New York Martin Act and New York General Business Law § 349 in connection with the Company’s origination and securitization practices. On December 9, 2020, we responded to the New York State Attorney General’s letter disputing the assertions contained therein. On December 21, 2020, we received two additional subpoenas from the Office of the New York State Attorney General, one relating to data and the other seeking testimony.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22, 2019, we received a civil investigative demand from the Bureau of Consumer Financial Protection (the “Bureau”) seeking, among other things, certain information relating to the Company’s origination and collection of Consumer Loans, TPPs and credit reporting. On May 7, 2020, we received another civil investigative demand from the Bureau seeking additional information relating to its investigation. The Company raised various objections to the May 7, 2020 civil investigative demand, and on May 26, 2020, we were notified that it was withdrawn. On June 1, 2020, we received another civil investigative demand that was similar to the May 7, 2020 demand, and which raised many of the same objections. We formally petitioned the Bureau to modify the June 1, 2020 civil investigative demand. On September 3, 2020, the Director of the Bureau denied our petition to modify the June 1, 2020 civil investigative demand. On December 23, 2020, we received a civil investigative demand for investigational hearings in connection with the Bureau’s investigation. The Company objected to certain portions of the civil investigative demands for hearings and, on January 19, 2021, the Bureau notified the Company that it had withdrawn such portions from the December 23, 2020 civil investigative demands. We continue to cooperate with the investigation, but cannot predict the eventual scope, duration, or outcome at this time. As a result, we are unable to estimate the reasonably possible loss or range of reasonably possible loss arising from this investigation.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540" w:type="dxa"/>
            <w:vAlign w:val="bottom"/>
            <w:tcBorders>
              <w:top w:val="single" w:sz="8" w:color="auto"/>
            </w:tcBorders>
          </w:tcPr>
          <w:p>
            <w:pPr>
              <w:jc w:val="right"/>
              <w:ind w:right="556"/>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99.1</w:t>
              </w:r>
            </w:hyperlink>
          </w:p>
        </w:tc>
        <w:tc>
          <w:tcPr>
            <w:tcW w:w="500" w:type="dxa"/>
            <w:vAlign w:val="bottom"/>
          </w:tcPr>
          <w:p>
            <w:pPr>
              <w:spacing w:after="0"/>
              <w:rPr>
                <w:sz w:val="19"/>
                <w:szCs w:val="19"/>
                <w:color w:val="auto"/>
              </w:rPr>
            </w:pPr>
          </w:p>
        </w:tc>
        <w:tc>
          <w:tcPr>
            <w:tcW w:w="9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Press Release dated February 1, 2021.</w:t>
            </w:r>
          </w:p>
        </w:tc>
      </w:tr>
      <w:tr>
        <w:trPr>
          <w:trHeight w:val="234"/>
        </w:trPr>
        <w:tc>
          <w:tcPr>
            <w:tcW w:w="15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735"/>
        </w:trPr>
        <w:tc>
          <w:tcPr>
            <w:tcW w:w="1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2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CREDIT ACCEPTANCE CORPORATION</w:t>
            </w:r>
          </w:p>
        </w:tc>
      </w:tr>
      <w:tr>
        <w:trPr>
          <w:trHeight w:val="48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 2021</w:t>
            </w:r>
          </w:p>
        </w:tc>
        <w:tc>
          <w:tcPr>
            <w:tcW w:w="62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Kenneth S. Booth</w:t>
            </w:r>
          </w:p>
        </w:tc>
      </w:tr>
      <w:tr>
        <w:trPr>
          <w:trHeight w:val="218"/>
        </w:trPr>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Kenneth S. Booth</w:t>
            </w:r>
          </w:p>
        </w:tc>
      </w:tr>
      <w:tr>
        <w:trPr>
          <w:trHeight w:val="234"/>
        </w:trPr>
        <w:tc>
          <w:tcPr>
            <w:tcW w:w="3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6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Credit Acceptance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creditacceptance.com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February 1, 2021</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 Douglas W. Busk</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Chief Treasury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IR@creditacceptance.com</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Nasdaq Symbol: CACC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ANNOUNCES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QUARTER AND FULL YEAR 2020 RESULTS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Southfield, Michigan – February 1, 2021 – Credit Acceptance Corporation (Nasdaq: CACC) </w:t>
      </w:r>
      <w:r>
        <w:rPr>
          <w:rFonts w:ascii="Times New Roman" w:cs="Times New Roman" w:eastAsia="Times New Roman" w:hAnsi="Times New Roman"/>
          <w:sz w:val="18"/>
          <w:szCs w:val="18"/>
          <w:color w:val="auto"/>
        </w:rPr>
        <w:t>(referred to as the “Company”, “Credit Acceptance”,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“our”, or “us”) today announced consolidated net income of $166.3 million, or $9.43 per diluted share, for the three months ended December 31, 2020 compared to consolidated net income of $161.9 million, or $8.60 per diluted share, for the same period in 2019. For the year ended December 31, 2020, consolidated net income was $421.0 million, or $23.47 per diluted share, compared to consolidated net income of $656.1 million, or $34.57 per diluted share, for the same period in 2019.</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 a non-GAAP financial measure, for the three months ended December 31, 2020 was $189.5 million, or $10.75 per diluted share, compared to $173.5 million, or $9.22 per diluted share, for the same period in 2019. For the year ended December 31, 2020, adjusted net income was $686.3 million, or $38.26 per diluted share, compared to adjusted net income of $658.4 million, or $34.70 per diluted share, for the same period in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COVID-19 Pandemic</w:t>
      </w:r>
    </w:p>
    <w:p>
      <w:pPr>
        <w:spacing w:after="0" w:line="2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COVID-19 continues to be widespread in the United States. </w:t>
      </w:r>
      <w:r>
        <w:rPr>
          <w:rFonts w:ascii="Times New Roman" w:cs="Times New Roman" w:eastAsia="Times New Roman" w:hAnsi="Times New Roman"/>
          <w:sz w:val="18"/>
          <w:szCs w:val="18"/>
          <w:color w:val="212529"/>
        </w:rPr>
        <w:t>In an effort to contain the virus, authorities have implemented various measures,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travel bans, stay-at-home orders and shutdowns of non-essential businesses. These measures have caused a significant decline in economic activity and a dramatic increase in unemployment. While the prevalence, severity and impact of such restrictions have lessened and unemployment rates have improved, uncertainty remains as to when economic conditions will return to normalcy and whether further restrictions may be required. Starting in mid-March, we experienced a substantial reduction in demand for our product and a significant decline in cash flows from our loan portfolio that lasted through mid-April, after which collections and new loan volumes improved significantly. Starting in late July and continuing through the end of the year, we experienced another substantial reduction in demand for our product. As the virus is not yet fully contained, the ultimate impact of the pandemic on our business is not yet known. The impact will </w:t>
      </w:r>
      <w:r>
        <w:rPr>
          <w:rFonts w:ascii="Times New Roman" w:cs="Times New Roman" w:eastAsia="Times New Roman" w:hAnsi="Times New Roman"/>
          <w:sz w:val="18"/>
          <w:szCs w:val="18"/>
          <w:color w:val="000000"/>
        </w:rPr>
        <w:t>depend on future developments, including, but not limited to, the duration of the pandemic, its severity, the actions to contain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disease or mitigate its impact, additional federal stimulus measures and enhanced unemployment benefits, if any, and the duration, timing and severity of the impact on consumer behavior and economic activity.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GAAP Results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GAAP results for the three months and year ended December 31, 2020 include a provision for credit losses of $92.6 million and $556.9 million, respectively, reflecting the adoption of the current expected credit loss (“CECL”) accounting standard on January 1, 2020 and the impact of changes in the amount and timing of forecasted future net cash flows from our loan portfolio. Under CECL, we are required to record a provision for credit losses for every new loan at the time that loan is originated equal to the difference between the amount we paid to acquire the loan and the present value of forecasted net cash flows using an effective interest rate prescribed under CECL. The effective interest rate under CECL is calculated assuming 100% of the contractually scheduled payments of each loan is received. Since we do not expect to receive this amount, the effective rate under CECL is higher than the rate we expect to earn. Using the higher effective rate prescribed by CECL to record the loan results in a value for each loan that is less than the amount we paid to acquire the loan. This difference is recorded as an allowance for credit losses along with a corresponding provision for credit losses. For the three months and year ended December 31, 2020, we recorded provision for credit losses of $92.4 million and $518.6 million, respectively, related to new Consumer Loan assignments. Over the life of the loan, we expect to record an amount equivalent to this provision for credit losses as finance charge revenue, which will be recognized using the same effective interest rate used to record the loan.</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remaining provision for credit losses of $0.2 million and $38.3 million for the three months and year ended December 31, 2020, respectively, reflected changes in our estimates of the amount and timing of future net cash flows from our loan portfolio discussed below. Under CECL, the net present value of the change in our net cash flow forecast is recorded as a provision for credit losses or reversal of provision for credit losses.</w:t>
      </w:r>
    </w:p>
    <w:p>
      <w:pPr>
        <w:sectPr>
          <w:pgSz w:w="11900" w:h="16838" w:orient="portrait"/>
          <w:cols w:equalWidth="0" w:num="1">
            <w:col w:w="11240"/>
          </w:cols>
          <w:pgMar w:left="320" w:top="765" w:right="3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765"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Consumer Loan Metrics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Dealers assign retail installment contracts (referred to as “Consumer Loans”) to Credit Acceptance. 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 a non-GAAP financial measure that considers our return on capital, our cost of capital and the amount of capital invested.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December 31, 2020 with the forecasts as of September 30, 2020, as of December 31, 2019 and at the time of assignment, segmented by year of assignment: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bottom w:val="single" w:sz="8" w:color="auto"/>
            </w:tcBorders>
            <w:gridSpan w:val="5"/>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rPr>
              <w:t>Current Forecast Variance from</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Consumer Loan</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0" w:type="dxa"/>
            <w:vAlign w:val="bottom"/>
          </w:tcPr>
          <w:p>
            <w:pPr>
              <w:spacing w:after="0"/>
              <w:rPr>
                <w:sz w:val="1"/>
                <w:szCs w:val="1"/>
                <w:color w:val="auto"/>
              </w:rPr>
            </w:pPr>
          </w:p>
        </w:tc>
      </w:tr>
      <w:tr>
        <w:trPr>
          <w:trHeight w:val="189"/>
        </w:trPr>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Assignment Year</w:t>
            </w:r>
          </w:p>
        </w:tc>
        <w:tc>
          <w:tcPr>
            <w:tcW w:w="13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380" w:type="dxa"/>
            <w:vAlign w:val="bottom"/>
            <w:gridSpan w:val="2"/>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4"/>
        </w:trPr>
        <w:tc>
          <w:tcPr>
            <w:tcW w:w="17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2020 (2)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16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500" w:hanging="330"/>
        <w:spacing w:after="0" w:line="249" w:lineRule="auto"/>
        <w:tabs>
          <w:tab w:leader="none" w:pos="499"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ind w:left="500" w:hanging="330"/>
        <w:spacing w:after="0" w:line="258" w:lineRule="auto"/>
        <w:tabs>
          <w:tab w:leader="none" w:pos="529"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 for 2020 Consumer Loans as of December 31, 2020 includes both Consumer Loans that were in our portfolio as of September 30, 2020 and Consumer Loans assigned during the most recent quarter. The following table provides forecasted collection rates for each of these segments: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Borders>
              <w:bottom w:val="single" w:sz="8" w:color="auto"/>
            </w:tcBorders>
            <w:gridSpan w:val="5"/>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Current Forecast Variance from</w:t>
            </w:r>
          </w:p>
        </w:tc>
        <w:tc>
          <w:tcPr>
            <w:tcW w:w="0" w:type="dxa"/>
            <w:vAlign w:val="bottom"/>
          </w:tcPr>
          <w:p>
            <w:pPr>
              <w:spacing w:after="0"/>
              <w:rPr>
                <w:sz w:val="1"/>
                <w:szCs w:val="1"/>
                <w:color w:val="auto"/>
              </w:rPr>
            </w:pPr>
          </w:p>
        </w:tc>
      </w:tr>
      <w:tr>
        <w:trPr>
          <w:trHeight w:val="133"/>
        </w:trPr>
        <w:tc>
          <w:tcPr>
            <w:tcW w:w="3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2020 Consumer Loan Assignment Period</w:t>
            </w: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9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980" w:type="dxa"/>
            <w:vAlign w:val="bottom"/>
          </w:tcPr>
          <w:p>
            <w:pPr>
              <w:jc w:val="center"/>
              <w:ind w:right="359"/>
              <w:spacing w:after="0" w:line="134"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1"/>
                <w:szCs w:val="11"/>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80" w:type="dxa"/>
            <w:vAlign w:val="bottom"/>
          </w:tcPr>
          <w:p>
            <w:pPr>
              <w:jc w:val="right"/>
              <w:ind w:right="419"/>
              <w:spacing w:after="0" w:line="134" w:lineRule="exact"/>
              <w:rPr>
                <w:sz w:val="20"/>
                <w:szCs w:val="20"/>
                <w:color w:val="auto"/>
              </w:rPr>
            </w:pPr>
            <w:r>
              <w:rPr>
                <w:rFonts w:ascii="Times New Roman" w:cs="Times New Roman" w:eastAsia="Times New Roman" w:hAnsi="Times New Roman"/>
                <w:sz w:val="14"/>
                <w:szCs w:val="14"/>
                <w:b w:val="1"/>
                <w:bCs w:val="1"/>
                <w:color w:val="auto"/>
              </w:rPr>
              <w:t>Initial</w:t>
            </w:r>
          </w:p>
        </w:tc>
        <w:tc>
          <w:tcPr>
            <w:tcW w:w="0" w:type="dxa"/>
            <w:vAlign w:val="bottom"/>
          </w:tcPr>
          <w:p>
            <w:pPr>
              <w:spacing w:after="0"/>
              <w:rPr>
                <w:sz w:val="1"/>
                <w:szCs w:val="1"/>
                <w:color w:val="auto"/>
              </w:rPr>
            </w:pPr>
          </w:p>
        </w:tc>
      </w:tr>
      <w:tr>
        <w:trPr>
          <w:trHeight w:val="189"/>
        </w:trPr>
        <w:tc>
          <w:tcPr>
            <w:tcW w:w="388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500" w:type="dxa"/>
            <w:vAlign w:val="bottom"/>
            <w:gridSpan w:val="2"/>
            <w:vMerge w:val="continue"/>
          </w:tcPr>
          <w:p>
            <w:pPr>
              <w:spacing w:after="0"/>
              <w:rPr>
                <w:sz w:val="16"/>
                <w:szCs w:val="16"/>
                <w:color w:val="auto"/>
              </w:rPr>
            </w:pP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2020 through September 30, 2020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2020 through December 31, 2020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tcPr>
          <w:p>
            <w:pPr>
              <w:spacing w:after="0"/>
              <w:rPr>
                <w:sz w:val="20"/>
                <w:szCs w:val="20"/>
                <w:color w:val="auto"/>
              </w:rPr>
            </w:pPr>
          </w:p>
        </w:tc>
        <w:tc>
          <w:tcPr>
            <w:tcW w:w="19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0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Consumer Loans assigned in 2011 through 2013 and 2020 have yielded forecasted collection results materially better than our initial estimates, while Consumer Loans assigned in 2015 and 2016 have yielded forecasted collection results materially worse than our initial estimates. For all other assignment years presented, actual results have been close to our initial estimates. For the three months ended December 31, 2020, forecasted collection rates improved for Consumer Loans assigned in 2020 and were generally consistent with expectations at the start of the period for all other assignment years presented. For the year ended December 31, 2020, forecasted collection rates improved for Consumer Loans assigned in 2020, declined for Consumer Loans assigned in 2015 through 2019 and were generally consistent with expectations at the start of the period for all other assignment years presented.</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forecasted collection rates for the three months and year ended December 31, 2020 and 2019 impacted forecasted net cash flows (forecasted collections less forecasted dealer holdback payments)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3"/>
                <w:szCs w:val="13"/>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2340" w:type="dxa"/>
            <w:vAlign w:val="bottom"/>
            <w:gridSpan w:val="4"/>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9"/>
        </w:trPr>
        <w:tc>
          <w:tcPr>
            <w:tcW w:w="620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Increase (Decrease) in Forecasted Net Cash Flows</w:t>
            </w:r>
          </w:p>
        </w:tc>
        <w:tc>
          <w:tcPr>
            <w:tcW w:w="2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loans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Purchased loans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765" w:right="339" w:bottom="1440" w:gutter="0" w:footer="0" w:header="0"/>
          <w:type w:val="continuous"/>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2020, we reduced our estimate of future net cash flows from our loan portfolio by $206.5 million, or 2.3% of the forecasted net cash flows at the start of the period, primarily due to the impact of the COVID-19 pandemic. The reduction was comprised of: (1) $44.3 million calculated by our forecasting model, which reflected lower realized collections during the first quarter of 2020 and (2) an additional $162.2 million, which represented our best estimate of the future impact of the COVID-19 pandemic on future net cash flows. Under CECL, changes in the amount and timing of forecasted net cash flows are recorded as a provision for credit losses in the current period. While the adjustment to our forecast, which we continued to apply throughout 2020, represents our best estimate at this time, the COVID-19 pandemic has created conditions that increase the level of uncertainty associated with our estimate of the amount and timing of future net cash flows from our loan portfolio.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realized collections in each of the last four quarters as compared to the same period in the previous year:</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tcBorders>
              <w:bottom w:val="single" w:sz="8" w:color="auto"/>
            </w:tcBorders>
            <w:gridSpan w:val="3"/>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Year over Year Percent Change</w:t>
            </w:r>
          </w:p>
        </w:tc>
      </w:tr>
      <w:tr>
        <w:trPr>
          <w:trHeight w:val="189"/>
        </w:trPr>
        <w:tc>
          <w:tcPr>
            <w:tcW w:w="678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Front End Collections (1)</w:t>
            </w:r>
          </w:p>
        </w:tc>
        <w:tc>
          <w:tcPr>
            <w:tcW w:w="21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 Collections</w:t>
            </w:r>
          </w:p>
        </w:tc>
      </w:tr>
      <w:tr>
        <w:trPr>
          <w:trHeight w:val="223"/>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22"/>
                <w:szCs w:val="22"/>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57"/>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342" w:lineRule="exact"/>
        <w:rPr>
          <w:sz w:val="20"/>
          <w:szCs w:val="20"/>
          <w:color w:val="auto"/>
        </w:rPr>
      </w:pPr>
    </w:p>
    <w:p>
      <w:pPr>
        <w:ind w:left="520" w:hanging="35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collections realized on Consumer Loans that are either current or in the early stages of delinquency.</w:t>
      </w:r>
    </w:p>
    <w:p>
      <w:pPr>
        <w:spacing w:after="0" w:line="2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Starting in mid-March, we experienced a reduction in realized collections at the same time government authorities began to implement restrictions that limited economic activity. The reduction in front end collections reflected a lower volume of payments from customers while the reduction in total collections also included lower realized collections from repossessions, which were temporarily suspended as the COVID-19 crisis began to unfold. Starting in mid-April, front end collections improved as federal stimulus and enhanced unemployment benefit payments were distributed. Starting in August and continuing through the end of the year, the improvement in front end collections declined as federal stimulus and enhanced unemployment benefit payments lapsed, and unemployment rates, while improving, remain above pre-pandemic levels. Front end collections and total collections for the month ended January 31, 2021 increased 17.0% and 15.7%, respectively, as compared to the same period in 2020, as additional federal stimulus payments were distributed.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average Consumer Loan assignment for each of the last 10 years: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220" w:type="dxa"/>
            <w:vAlign w:val="bottom"/>
            <w:gridSpan w:val="2"/>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60" w:type="dxa"/>
            <w:vAlign w:val="bottom"/>
          </w:tcPr>
          <w:p>
            <w:pPr>
              <w:spacing w:after="0"/>
              <w:rPr>
                <w:sz w:val="11"/>
                <w:szCs w:val="11"/>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 Loan (1)</w:t>
            </w:r>
          </w:p>
        </w:tc>
        <w:tc>
          <w:tcPr>
            <w:tcW w:w="260" w:type="dxa"/>
            <w:vAlign w:val="bottom"/>
          </w:tcPr>
          <w:p>
            <w:pPr>
              <w:spacing w:after="0"/>
              <w:rPr>
                <w:sz w:val="11"/>
                <w:szCs w:val="11"/>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Advance (2)</w:t>
            </w:r>
          </w:p>
        </w:tc>
        <w:tc>
          <w:tcPr>
            <w:tcW w:w="1600" w:type="dxa"/>
            <w:vAlign w:val="bottom"/>
          </w:tcPr>
          <w:p>
            <w:pPr>
              <w:jc w:val="right"/>
              <w:ind w:right="73"/>
              <w:spacing w:after="0" w:line="134" w:lineRule="exact"/>
              <w:rPr>
                <w:sz w:val="20"/>
                <w:szCs w:val="20"/>
                <w:color w:val="auto"/>
              </w:rPr>
            </w:pPr>
            <w:r>
              <w:rPr>
                <w:rFonts w:ascii="Times New Roman" w:cs="Times New Roman" w:eastAsia="Times New Roman" w:hAnsi="Times New Roman"/>
                <w:sz w:val="14"/>
                <w:szCs w:val="14"/>
                <w:b w:val="1"/>
                <w:bCs w:val="1"/>
                <w:color w:val="auto"/>
              </w:rPr>
              <w:t>Initial Loan Term (in</w:t>
            </w:r>
          </w:p>
        </w:tc>
        <w:tc>
          <w:tcPr>
            <w:tcW w:w="0" w:type="dxa"/>
            <w:vAlign w:val="bottom"/>
          </w:tcPr>
          <w:p>
            <w:pPr>
              <w:spacing w:after="0"/>
              <w:rPr>
                <w:sz w:val="1"/>
                <w:szCs w:val="1"/>
                <w:color w:val="auto"/>
              </w:rPr>
            </w:pPr>
          </w:p>
        </w:tc>
      </w:tr>
      <w:tr>
        <w:trPr>
          <w:trHeight w:val="189"/>
        </w:trPr>
        <w:tc>
          <w:tcPr>
            <w:tcW w:w="6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23"/>
        </w:trPr>
        <w:tc>
          <w:tcPr>
            <w:tcW w:w="6120" w:type="dxa"/>
            <w:vAlign w:val="bottom"/>
            <w:tcBorders>
              <w:top w:val="single" w:sz="8" w:color="auto"/>
            </w:tcBorders>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1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1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61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1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61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2020 (3)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repayments that we were contractually owed on Consumer Loans at the time of assignment, which include both principal and interest.</w:t>
      </w:r>
    </w:p>
    <w:p>
      <w:pPr>
        <w:spacing w:after="0" w:line="17" w:lineRule="exact"/>
        <w:rPr>
          <w:rFonts w:ascii="Times New Roman" w:cs="Times New Roman" w:eastAsia="Times New Roman" w:hAnsi="Times New Roman"/>
          <w:sz w:val="14"/>
          <w:szCs w:val="14"/>
          <w:color w:val="auto"/>
        </w:rPr>
      </w:pPr>
    </w:p>
    <w:p>
      <w:pPr>
        <w:ind w:left="500" w:hanging="330"/>
        <w:spacing w:after="0" w:line="241" w:lineRule="auto"/>
        <w:tabs>
          <w:tab w:leader="none" w:pos="49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ind w:left="500" w:hanging="330"/>
        <w:spacing w:after="0" w:line="258" w:lineRule="auto"/>
        <w:tabs>
          <w:tab w:leader="none" w:pos="49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averages for 2020 Consumer Loans include both Consumer Loans that were in our portfolio as of September 30, 2020 and Consumer Loans assigned during the most recent quarter. The following table provides averages for each of these segments: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2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2020 Consumer Loan Assignment Period</w:t>
            </w:r>
          </w:p>
        </w:tc>
        <w:tc>
          <w:tcPr>
            <w:tcW w:w="240" w:type="dxa"/>
            <w:vAlign w:val="bottom"/>
          </w:tcPr>
          <w:p>
            <w:pPr>
              <w:spacing w:after="0"/>
              <w:rPr>
                <w:sz w:val="11"/>
                <w:szCs w:val="11"/>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Consumer Loan</w:t>
            </w:r>
          </w:p>
        </w:tc>
        <w:tc>
          <w:tcPr>
            <w:tcW w:w="360" w:type="dxa"/>
            <w:vAlign w:val="bottom"/>
          </w:tcPr>
          <w:p>
            <w:pPr>
              <w:spacing w:after="0"/>
              <w:rPr>
                <w:sz w:val="11"/>
                <w:szCs w:val="11"/>
                <w:color w:val="auto"/>
              </w:rPr>
            </w:pPr>
          </w:p>
        </w:tc>
        <w:tc>
          <w:tcPr>
            <w:tcW w:w="1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Advance</w:t>
            </w:r>
          </w:p>
        </w:tc>
        <w:tc>
          <w:tcPr>
            <w:tcW w:w="1800" w:type="dxa"/>
            <w:vAlign w:val="bottom"/>
          </w:tcPr>
          <w:p>
            <w:pPr>
              <w:jc w:val="right"/>
              <w:ind w:right="179"/>
              <w:spacing w:after="0" w:line="134" w:lineRule="exact"/>
              <w:rPr>
                <w:sz w:val="20"/>
                <w:szCs w:val="20"/>
                <w:color w:val="auto"/>
              </w:rPr>
            </w:pPr>
            <w:r>
              <w:rPr>
                <w:rFonts w:ascii="Times New Roman" w:cs="Times New Roman" w:eastAsia="Times New Roman" w:hAnsi="Times New Roman"/>
                <w:sz w:val="14"/>
                <w:szCs w:val="14"/>
                <w:b w:val="1"/>
                <w:bCs w:val="1"/>
                <w:color w:val="auto"/>
              </w:rPr>
              <w:t>Initial Loan Term (in</w:t>
            </w:r>
          </w:p>
        </w:tc>
        <w:tc>
          <w:tcPr>
            <w:tcW w:w="0" w:type="dxa"/>
            <w:vAlign w:val="bottom"/>
          </w:tcPr>
          <w:p>
            <w:pPr>
              <w:spacing w:after="0"/>
              <w:rPr>
                <w:sz w:val="1"/>
                <w:szCs w:val="1"/>
                <w:color w:val="auto"/>
              </w:rPr>
            </w:pPr>
          </w:p>
        </w:tc>
      </w:tr>
      <w:tr>
        <w:trPr>
          <w:trHeight w:val="189"/>
        </w:trPr>
        <w:tc>
          <w:tcPr>
            <w:tcW w:w="5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2020 through September 30, 2020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2020 through December 31, 2020</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769" w:right="339" w:bottom="1440" w:gutter="0" w:footer="0" w:header="0"/>
          <w:type w:val="continuous"/>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forecasted Consumer Loan collection rates, advance rates, the spread (the forecasted collection rate less the advance rate), and the percentage of the forecasted collections that had been realized as of December 31, 2020. All amounts, unless otherwise noted, are presented as a percentage of the initial balance of the Consumer Loan (principal + interest). The table includes both dealer loans and purchased loans.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6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7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Forecasted</w:t>
            </w:r>
          </w:p>
        </w:tc>
        <w:tc>
          <w:tcPr>
            <w:tcW w:w="1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Advance % (1)</w:t>
            </w:r>
          </w:p>
        </w:tc>
        <w:tc>
          <w:tcPr>
            <w:tcW w:w="1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1660" w:type="dxa"/>
            <w:vAlign w:val="bottom"/>
          </w:tcPr>
          <w:p>
            <w:pPr>
              <w:jc w:val="right"/>
              <w:ind w:right="313"/>
              <w:spacing w:after="0" w:line="134" w:lineRule="exact"/>
              <w:rPr>
                <w:sz w:val="20"/>
                <w:szCs w:val="20"/>
                <w:color w:val="auto"/>
              </w:rPr>
            </w:pPr>
            <w:r>
              <w:rPr>
                <w:rFonts w:ascii="Times New Roman" w:cs="Times New Roman" w:eastAsia="Times New Roman" w:hAnsi="Times New Roman"/>
                <w:sz w:val="14"/>
                <w:szCs w:val="14"/>
                <w:b w:val="1"/>
                <w:bCs w:val="1"/>
                <w:color w:val="auto"/>
              </w:rPr>
              <w:t>% of Forecast</w:t>
            </w:r>
          </w:p>
        </w:tc>
        <w:tc>
          <w:tcPr>
            <w:tcW w:w="0" w:type="dxa"/>
            <w:vAlign w:val="bottom"/>
          </w:tcPr>
          <w:p>
            <w:pPr>
              <w:spacing w:after="0"/>
              <w:rPr>
                <w:sz w:val="1"/>
                <w:szCs w:val="1"/>
                <w:color w:val="auto"/>
              </w:rPr>
            </w:pPr>
          </w:p>
        </w:tc>
      </w:tr>
      <w:tr>
        <w:trPr>
          <w:trHeight w:val="189"/>
        </w:trPr>
        <w:tc>
          <w:tcPr>
            <w:tcW w:w="426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Collection %</w:t>
            </w:r>
          </w:p>
        </w:tc>
        <w:tc>
          <w:tcPr>
            <w:tcW w:w="178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Realized (2)</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0" w:type="dxa"/>
            <w:vAlign w:val="bottom"/>
          </w:tcPr>
          <w:p>
            <w:pPr>
              <w:spacing w:after="0"/>
              <w:rPr>
                <w:sz w:val="1"/>
                <w:szCs w:val="1"/>
                <w:color w:val="auto"/>
              </w:rPr>
            </w:pPr>
          </w:p>
        </w:tc>
      </w:tr>
      <w:tr>
        <w:trPr>
          <w:trHeight w:val="229"/>
        </w:trPr>
        <w:tc>
          <w:tcPr>
            <w:tcW w:w="4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0" w:type="dxa"/>
            <w:vAlign w:val="bottom"/>
          </w:tcPr>
          <w:p>
            <w:pPr>
              <w:spacing w:after="0"/>
              <w:rPr>
                <w:sz w:val="1"/>
                <w:szCs w:val="1"/>
                <w:color w:val="auto"/>
              </w:rPr>
            </w:pPr>
          </w:p>
        </w:tc>
      </w:tr>
      <w:tr>
        <w:trPr>
          <w:trHeight w:val="230"/>
        </w:trPr>
        <w:tc>
          <w:tcPr>
            <w:tcW w:w="4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97.8 %</w:t>
            </w:r>
          </w:p>
        </w:tc>
        <w:tc>
          <w:tcPr>
            <w:tcW w:w="0" w:type="dxa"/>
            <w:vAlign w:val="bottom"/>
          </w:tcPr>
          <w:p>
            <w:pPr>
              <w:spacing w:after="0"/>
              <w:rPr>
                <w:sz w:val="1"/>
                <w:szCs w:val="1"/>
                <w:color w:val="auto"/>
              </w:rPr>
            </w:pPr>
          </w:p>
        </w:tc>
      </w:tr>
      <w:tr>
        <w:trPr>
          <w:trHeight w:val="230"/>
        </w:trPr>
        <w:tc>
          <w:tcPr>
            <w:tcW w:w="4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84.3 %</w:t>
            </w:r>
          </w:p>
        </w:tc>
        <w:tc>
          <w:tcPr>
            <w:tcW w:w="0" w:type="dxa"/>
            <w:vAlign w:val="bottom"/>
          </w:tcPr>
          <w:p>
            <w:pPr>
              <w:spacing w:after="0"/>
              <w:rPr>
                <w:sz w:val="1"/>
                <w:szCs w:val="1"/>
                <w:color w:val="auto"/>
              </w:rPr>
            </w:pPr>
          </w:p>
        </w:tc>
      </w:tr>
      <w:tr>
        <w:trPr>
          <w:trHeight w:val="229"/>
        </w:trPr>
        <w:tc>
          <w:tcPr>
            <w:tcW w:w="4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34"/>
        </w:trPr>
        <w:tc>
          <w:tcPr>
            <w:tcW w:w="4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2020 (3)</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00" w:right="20" w:hanging="330"/>
        <w:spacing w:after="0" w:line="253" w:lineRule="auto"/>
        <w:tabs>
          <w:tab w:leader="none" w:pos="50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ind w:left="480" w:hanging="310"/>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a percentage of total forecasted collections.</w:t>
      </w:r>
    </w:p>
    <w:p>
      <w:pPr>
        <w:spacing w:after="0" w:line="1"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 advance rate and spread for 2020 Consumer Loans as of December 31, 2020 include both Consumer Loans that were in our portfolio as of September 30,</w:t>
      </w:r>
    </w:p>
    <w:p>
      <w:pPr>
        <w:spacing w:after="0" w:line="1"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and Consumer Loans assigned during the most recent quarter. The following table provides forecasted collection rates, advance rates and spreads for each of these segments:</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92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2020 Consumer Loan Assignment Period</w:t>
            </w:r>
          </w:p>
        </w:tc>
        <w:tc>
          <w:tcPr>
            <w:tcW w:w="1380" w:type="dxa"/>
            <w:vAlign w:val="bottom"/>
          </w:tcPr>
          <w:p>
            <w:pPr>
              <w:jc w:val="right"/>
              <w:ind w:right="279"/>
              <w:spacing w:after="0" w:line="134" w:lineRule="exact"/>
              <w:rPr>
                <w:sz w:val="20"/>
                <w:szCs w:val="20"/>
                <w:color w:val="auto"/>
              </w:rPr>
            </w:pPr>
            <w:r>
              <w:rPr>
                <w:rFonts w:ascii="Times New Roman" w:cs="Times New Roman" w:eastAsia="Times New Roman" w:hAnsi="Times New Roman"/>
                <w:sz w:val="14"/>
                <w:szCs w:val="14"/>
                <w:b w:val="1"/>
                <w:bCs w:val="1"/>
                <w:color w:val="auto"/>
              </w:rPr>
              <w:t>Forecasted</w:t>
            </w:r>
          </w:p>
        </w:tc>
        <w:tc>
          <w:tcPr>
            <w:tcW w:w="10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Advance %</w:t>
            </w:r>
          </w:p>
        </w:tc>
        <w:tc>
          <w:tcPr>
            <w:tcW w:w="13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0" w:type="dxa"/>
            <w:vAlign w:val="bottom"/>
          </w:tcPr>
          <w:p>
            <w:pPr>
              <w:spacing w:after="0"/>
              <w:rPr>
                <w:sz w:val="1"/>
                <w:szCs w:val="1"/>
                <w:color w:val="auto"/>
              </w:rPr>
            </w:pPr>
          </w:p>
        </w:tc>
      </w:tr>
      <w:tr>
        <w:trPr>
          <w:trHeight w:val="189"/>
        </w:trPr>
        <w:tc>
          <w:tcPr>
            <w:tcW w:w="6920" w:type="dxa"/>
            <w:vAlign w:val="bottom"/>
            <w:gridSpan w:val="2"/>
            <w:vMerge w:val="continue"/>
          </w:tcPr>
          <w:p>
            <w:pPr>
              <w:spacing w:after="0"/>
              <w:rPr>
                <w:sz w:val="16"/>
                <w:szCs w:val="16"/>
                <w:color w:val="auto"/>
              </w:rPr>
            </w:pP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Collection %</w:t>
            </w: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2020 through September 30, 2020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34"/>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2020 through December 31, 2020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risk of a material change in our forecasted collection rate declines as the Consumer Loans age. For 2016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spread between the forecasted collection rate and the advance rate has ranged from 19.8% to 29.3%, on an annual basis, over the last 10 years. The spread was at the high end of this range in 2011, when the competitive environment was unusually favorable, and much lower during other years (2015 through 2020) when competition was more intense. The increase in the spread from 2019 to 2020 was primarily the result of the performance of 2020 Consumer Loans, which has exceeded our initial estimates by a greater margin than those assigned to us in 2019, partially offset by a lower initial forecast on 2020 Consumer Loans.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69" w:right="339" w:bottom="1440" w:gutter="0" w:footer="0" w:header="0"/>
        </w:sectPr>
      </w:pPr>
    </w:p>
    <w:bookmarkStart w:id="7" w:name="page8"/>
    <w:bookmarkEnd w:id="7"/>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compares our forecast of Consumer Loan collection rates as of December 31, 2020 with the forecasts at the time of assignment, for dealer loans and purchased loans separately:</w:t>
      </w:r>
    </w:p>
    <w:p>
      <w:pPr>
        <w:sectPr>
          <w:pgSz w:w="11900" w:h="16838" w:orient="portrait"/>
          <w:cols w:equalWidth="0" w:num="1">
            <w:col w:w="11240"/>
          </w:cols>
          <w:pgMar w:left="320" w:top="769" w:right="339" w:bottom="1440" w:gutter="0" w:footer="0" w:header="0"/>
        </w:sectPr>
      </w:pPr>
    </w:p>
    <w:p>
      <w:pPr>
        <w:spacing w:after="0" w:line="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24765</wp:posOffset>
            </wp:positionV>
            <wp:extent cx="274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24765</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2"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p>
      <w:pPr>
        <w:spacing w:after="0" w:line="29" w:lineRule="exact"/>
        <w:rPr>
          <w:sz w:val="20"/>
          <w:szCs w:val="20"/>
          <w:color w:val="auto"/>
        </w:rPr>
      </w:pPr>
    </w:p>
    <w:p>
      <w:pPr>
        <w:sectPr>
          <w:pgSz w:w="11900" w:h="16838" w:orient="portrait"/>
          <w:cols w:equalWidth="0" w:num="2">
            <w:col w:w="6300" w:space="720"/>
            <w:col w:w="4220"/>
          </w:cols>
          <w:pgMar w:left="320" w:top="769" w:right="339" w:bottom="1440" w:gutter="0" w:footer="0" w:header="0"/>
          <w:type w:val="continuous"/>
        </w:sectPr>
      </w:pPr>
    </w:p>
    <w:tbl>
      <w:tblPr>
        <w:tblLayout w:type="fixed"/>
        <w:tblInd w:w="40" w:type="dxa"/>
        <w:tblCellMar>
          <w:top w:w="0" w:type="dxa"/>
          <w:left w:w="0" w:type="dxa"/>
          <w:bottom w:w="0" w:type="dxa"/>
          <w:right w:w="0" w:type="dxa"/>
        </w:tblCellMar>
      </w:tblPr>
      <w:tr>
        <w:trPr>
          <w:trHeight w:val="138"/>
        </w:trPr>
        <w:tc>
          <w:tcPr>
            <w:tcW w:w="2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480" w:type="dxa"/>
            <w:vAlign w:val="bottom"/>
            <w:tcBorders>
              <w:top w:val="single" w:sz="8" w:color="auto"/>
            </w:tcBorders>
            <w:gridSpan w:val="2"/>
          </w:tcPr>
          <w:p>
            <w:pPr>
              <w:ind w:left="260"/>
              <w:spacing w:after="0" w:line="13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2"/>
                <w:szCs w:val="12"/>
                <w:color w:val="auto"/>
              </w:rPr>
            </w:pPr>
          </w:p>
        </w:tc>
        <w:tc>
          <w:tcPr>
            <w:tcW w:w="14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500" w:type="dxa"/>
            <w:vAlign w:val="bottom"/>
            <w:tcBorders>
              <w:top w:val="single" w:sz="8" w:color="auto"/>
            </w:tcBorders>
            <w:gridSpan w:val="2"/>
          </w:tcPr>
          <w:p>
            <w:pPr>
              <w:ind w:left="280"/>
              <w:spacing w:after="0" w:line="13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2"/>
                <w:szCs w:val="12"/>
                <w:color w:val="auto"/>
              </w:rPr>
            </w:pPr>
          </w:p>
        </w:tc>
        <w:tc>
          <w:tcPr>
            <w:tcW w:w="13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9"/>
        </w:trPr>
        <w:tc>
          <w:tcPr>
            <w:tcW w:w="2400" w:type="dxa"/>
            <w:vAlign w:val="bottom"/>
            <w:gridSpan w:val="2"/>
            <w:vMerge w:val="continue"/>
          </w:tcPr>
          <w:p>
            <w:pPr>
              <w:spacing w:after="0"/>
              <w:rPr>
                <w:sz w:val="16"/>
                <w:szCs w:val="16"/>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460" w:type="dxa"/>
            <w:vAlign w:val="bottom"/>
            <w:gridSpan w:val="2"/>
            <w:vMerge w:val="continue"/>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80"/>
        <w:spacing w:after="0"/>
        <w:tabs>
          <w:tab w:leader="none" w:pos="460" w:val="left"/>
        </w:tabs>
        <w:rPr>
          <w:sz w:val="20"/>
          <w:szCs w:val="20"/>
          <w:color w:val="auto"/>
        </w:rPr>
      </w:pPr>
      <w:r>
        <w:rPr>
          <w:rFonts w:ascii="Times New Roman" w:cs="Times New Roman" w:eastAsia="Times New Roman" w:hAnsi="Times New Roman"/>
          <w:sz w:val="14"/>
          <w:szCs w:val="14"/>
          <w:color w:val="auto"/>
        </w:rPr>
        <w:t>(1)</w:t>
        <w:tab/>
        <w:t>The forecasted collection rates presented for dealer loans and purchased loans reflect the Consumer Loan classification at the time of assignment.</w:t>
      </w: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forecasted Consumer Loan collection rates, advance rates, and the spread (the forecasted collection rate less the advance rate) as of December 31, 2020 for dealer loans and purchased loans separately. All amounts are presented as a percentage of the initial balance of the Consumer Loan (principal + interest).</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50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Forecasted Collection</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Advance % (1)(2)</w:t>
            </w:r>
          </w:p>
        </w:tc>
        <w:tc>
          <w:tcPr>
            <w:tcW w:w="14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152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Forecasted Collection</w:t>
            </w: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Advance % (1)(2)</w:t>
            </w:r>
          </w:p>
        </w:tc>
        <w:tc>
          <w:tcPr>
            <w:tcW w:w="13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0" w:type="dxa"/>
            <w:vAlign w:val="bottom"/>
          </w:tcPr>
          <w:p>
            <w:pPr>
              <w:spacing w:after="0"/>
              <w:rPr>
                <w:sz w:val="1"/>
                <w:szCs w:val="1"/>
                <w:color w:val="auto"/>
              </w:rPr>
            </w:pPr>
          </w:p>
        </w:tc>
      </w:tr>
      <w:tr>
        <w:trPr>
          <w:trHeight w:val="189"/>
        </w:trPr>
        <w:tc>
          <w:tcPr>
            <w:tcW w:w="2420" w:type="dxa"/>
            <w:vAlign w:val="bottom"/>
            <w:gridSpan w:val="2"/>
            <w:vMerge w:val="continue"/>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 (1)</w:t>
            </w: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34"/>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rates and advance rates presented for dealer loans and purchased loans reflect the Consumer Loan classification at the time of assignment.</w:t>
      </w:r>
    </w:p>
    <w:p>
      <w:pPr>
        <w:spacing w:after="0" w:line="17" w:lineRule="exact"/>
        <w:rPr>
          <w:rFonts w:ascii="Times New Roman" w:cs="Times New Roman" w:eastAsia="Times New Roman" w:hAnsi="Times New Roman"/>
          <w:sz w:val="14"/>
          <w:szCs w:val="14"/>
          <w:color w:val="auto"/>
        </w:rPr>
      </w:pPr>
    </w:p>
    <w:p>
      <w:pPr>
        <w:ind w:left="500" w:right="20" w:hanging="330"/>
        <w:spacing w:after="0" w:line="258" w:lineRule="auto"/>
        <w:tabs>
          <w:tab w:leader="none" w:pos="50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advance rate on purchased loans is higher as compared to the advance rate on dealer loans, purchased loans do not require us to pay dealer holdback.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spread on dealer loans increased from 21.0% in 2019 to 21.5% in 2020 primarily as a result of the performance of the 2020 Consumer Loans in our dealer loan portfolio, which has exceeded our initial estimates by a greater margin than those assigned to us in 2019, partially offset by a lower initial forecast on 2020 Consumer Loans in our dealer loan portfolio. The spread on purchased loans increased from 19.5% in 2019 to 19.9% in 2020 primarily as a result of the performance of the 2020 Consumer Loans in our purchased loan portfolio, which has exceeded our initial estimates by a greater margin than those assigned to us in 2019, partially offset by a lower initial forecast on 2020 Consumer Loans in our purchased loan portfolio.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Consumer Loan Volume</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following table summarizes changes in Consumer Loan assignment volume in each of the last eight quarters as compared to the same period in the previous year: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Borders>
              <w:bottom w:val="single" w:sz="8" w:color="auto"/>
            </w:tcBorders>
            <w:gridSpan w:val="3"/>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Year over Year Percent Change</w:t>
            </w:r>
          </w:p>
        </w:tc>
      </w:tr>
      <w:tr>
        <w:trPr>
          <w:trHeight w:val="189"/>
        </w:trPr>
        <w:tc>
          <w:tcPr>
            <w:tcW w:w="704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1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Dollar Volume (1)</w:t>
            </w:r>
          </w:p>
        </w:tc>
      </w:tr>
      <w:tr>
        <w:trPr>
          <w:trHeight w:val="22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2019</w:t>
            </w:r>
          </w:p>
        </w:tc>
        <w:tc>
          <w:tcPr>
            <w:tcW w:w="2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2019</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bl>
    <w:p>
      <w:pPr>
        <w:spacing w:after="0" w:line="53" w:lineRule="exact"/>
        <w:rPr>
          <w:sz w:val="20"/>
          <w:szCs w:val="20"/>
          <w:color w:val="auto"/>
        </w:rPr>
      </w:pPr>
    </w:p>
    <w:p>
      <w:pPr>
        <w:ind w:left="500" w:right="20" w:hanging="330"/>
        <w:spacing w:after="0" w:line="259" w:lineRule="auto"/>
        <w:tabs>
          <w:tab w:leader="none" w:pos="5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Unit and dollar volumes declined 18.1% and 10.8%, respectively, during the fourth quarter of 2020 as the number of active dealers declined 8.6% while average unit volume per active dealer declined 9.5%. Dollar volume declined less than unit volume during the fourth quarter of 2020 due to an increase in the average advance paid per unit. This increase was the result of an increase in the average size of the Consumer Loans assigned, primarily due to increases in the average vehicle selling price and average initial loan term and an increase in purchased loans as a percentage of total unit volume.</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Starting in mid-March, we experienced a significant decline in unit volume that we believe was primarily due to the impact of COVID-19, which resulted in many dealers temporarily closing or restricting their operations and a deterioration in consumer demand for dealers that remained open. During the latter part of April and continuing into July, unit volumes improved. We believe the improvement resulted from a combination of dealers gradually reopening their operations and the distribution of federal stimulus and enhanced unemployment benefit payments. Starting in late July and continuing through the end of the year, we experienced another significant decline in unit volume as federal stimulus and enhanced unemployment benefit payments lapsed, dealer inventories declined and used vehicle prices increased. Unit volume for the month ended January 31, 2021 declined 6.1% as compared to the same period in 2020, as additional federal stimulus payments were distributed. January 2021 was negatively impacted as it had one less business day as compared to the same period in 2020 (25 business days in January 2021 compared to 26 business days in January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Consumer Loan unit volume and active dealers: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2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3940" w:type="dxa"/>
            <w:vAlign w:val="bottom"/>
            <w:gridSpan w:val="5"/>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8"/>
        </w:trPr>
        <w:tc>
          <w:tcPr>
            <w:tcW w:w="3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32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Loan unit volume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341,967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Active dealers (1)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3"/>
        </w:trPr>
        <w:tc>
          <w:tcPr>
            <w:tcW w:w="32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volume per active dealer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2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Consumer Loan unit volume from dealers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52,042</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63,168</w:t>
            </w: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309,179</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338,939</w:t>
            </w:r>
          </w:p>
        </w:tc>
        <w:tc>
          <w:tcPr>
            <w:tcW w:w="1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29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both periods</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Dealers active both periods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260" w:type="dxa"/>
            <w:vAlign w:val="bottom"/>
            <w:gridSpan w:val="7"/>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Average volume per dealer active</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29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both periods</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2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Consumer loan unit volume from dealers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32,788</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1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29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 active both periods</w:t>
            </w: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6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Dealers not active both periods</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3,283</w:t>
            </w:r>
          </w:p>
        </w:tc>
        <w:tc>
          <w:tcPr>
            <w:tcW w:w="1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2,895</w:t>
            </w:r>
          </w:p>
        </w:tc>
        <w:tc>
          <w:tcPr>
            <w:tcW w:w="1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3,604</w:t>
            </w:r>
          </w:p>
        </w:tc>
        <w:tc>
          <w:tcPr>
            <w:tcW w:w="14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260" w:type="dxa"/>
            <w:vAlign w:val="bottom"/>
            <w:gridSpan w:val="7"/>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Average volume per dealer not active both</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periods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42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6.7 %</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14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spacing w:after="0"/>
        <w:tabs>
          <w:tab w:leader="none" w:pos="460" w:val="left"/>
        </w:tabs>
        <w:rPr>
          <w:sz w:val="20"/>
          <w:szCs w:val="20"/>
          <w:color w:val="auto"/>
        </w:rPr>
      </w:pPr>
      <w:r>
        <w:rPr>
          <w:rFonts w:ascii="Times New Roman" w:cs="Times New Roman" w:eastAsia="Times New Roman" w:hAnsi="Times New Roman"/>
          <w:sz w:val="14"/>
          <w:szCs w:val="14"/>
          <w:color w:val="auto"/>
        </w:rPr>
        <w:t>(1)</w:t>
        <w:tab/>
        <w:t>Active dealers are dealers who have received funding for at least one Consumer Loan during the period.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5" w:right="339" w:bottom="1440" w:gutter="0" w:footer="0" w:header="0"/>
        </w:sectPr>
      </w:pPr>
    </w:p>
    <w:bookmarkStart w:id="9" w:name="page10"/>
    <w:bookmarkEnd w:id="9"/>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on the changes in Consumer Loan unit volume and active dealers: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41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312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Consumer Loan unit volume from new</w:t>
            </w:r>
          </w:p>
        </w:tc>
        <w:tc>
          <w:tcPr>
            <w:tcW w:w="124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2,720</w:t>
            </w: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30,968</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44,938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active dealers</w:t>
            </w: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New active dealers (1)</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753</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volume per new active dealer</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Attrition (2)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80" w:hanging="310"/>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active dealers are dealers who enrolled in our program and have received funding for their first dealer loan or purchased loan from us during the period.</w:t>
      </w:r>
    </w:p>
    <w:p>
      <w:pPr>
        <w:spacing w:after="0" w:line="17" w:lineRule="exact"/>
        <w:rPr>
          <w:rFonts w:ascii="Times New Roman" w:cs="Times New Roman" w:eastAsia="Times New Roman" w:hAnsi="Times New Roman"/>
          <w:sz w:val="14"/>
          <w:szCs w:val="14"/>
          <w:color w:val="auto"/>
        </w:rPr>
      </w:pPr>
    </w:p>
    <w:p>
      <w:pPr>
        <w:jc w:val="both"/>
        <w:ind w:left="500" w:hanging="330"/>
        <w:spacing w:after="0" w:line="249" w:lineRule="auto"/>
        <w:tabs>
          <w:tab w:leader="none" w:pos="48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Attrition is measured according to the following formula: decrease in Consumer Loan unit volume from dealers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percentage of Consumer Loans assigned to us as dealer loans and purchased loans for each of the last eight quarters: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3360" w:type="dxa"/>
            <w:vAlign w:val="bottom"/>
            <w:gridSpan w:val="3"/>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Dollar Volume (1)</w:t>
            </w:r>
          </w:p>
        </w:tc>
      </w:tr>
      <w:tr>
        <w:trPr>
          <w:trHeight w:val="189"/>
        </w:trPr>
        <w:tc>
          <w:tcPr>
            <w:tcW w:w="44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6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00" w:type="dxa"/>
            <w:vAlign w:val="bottom"/>
          </w:tcPr>
          <w:p>
            <w:pPr>
              <w:spacing w:after="0"/>
              <w:rPr>
                <w:sz w:val="16"/>
                <w:szCs w:val="16"/>
                <w:color w:val="auto"/>
              </w:rPr>
            </w:pPr>
          </w:p>
        </w:tc>
        <w:tc>
          <w:tcPr>
            <w:tcW w:w="172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6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Purchased Loans</w:t>
            </w: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2019</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r>
      <w:tr>
        <w:trPr>
          <w:trHeight w:val="22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2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2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34"/>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r>
    </w:tbl>
    <w:p>
      <w:pPr>
        <w:spacing w:after="0" w:line="310" w:lineRule="exact"/>
        <w:rPr>
          <w:sz w:val="20"/>
          <w:szCs w:val="20"/>
          <w:color w:val="auto"/>
        </w:rPr>
      </w:pPr>
    </w:p>
    <w:p>
      <w:pPr>
        <w:ind w:left="500" w:right="20" w:hanging="330"/>
        <w:spacing w:after="0" w:line="282" w:lineRule="auto"/>
        <w:tabs>
          <w:tab w:leader="none" w:pos="50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the net dealer loans receivable balance was 61.4% and 62.8%, respectively, of the total net loans receivable balance.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200" w:type="dxa"/>
            <w:vAlign w:val="bottom"/>
          </w:tcPr>
          <w:p>
            <w:pPr>
              <w:spacing w:after="0"/>
              <w:rPr>
                <w:sz w:val="16"/>
                <w:szCs w:val="16"/>
                <w:color w:val="auto"/>
              </w:rPr>
            </w:pPr>
          </w:p>
        </w:tc>
        <w:tc>
          <w:tcPr>
            <w:tcW w:w="368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220" w:type="dxa"/>
            <w:vAlign w:val="bottom"/>
          </w:tcPr>
          <w:p>
            <w:pPr>
              <w:spacing w:after="0"/>
              <w:rPr>
                <w:sz w:val="16"/>
                <w:szCs w:val="16"/>
                <w:color w:val="auto"/>
              </w:rPr>
            </w:pPr>
          </w:p>
        </w:tc>
        <w:tc>
          <w:tcPr>
            <w:tcW w:w="3600" w:type="dxa"/>
            <w:vAlign w:val="bottom"/>
            <w:gridSpan w:val="6"/>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88"/>
        </w:trPr>
        <w:tc>
          <w:tcPr>
            <w:tcW w:w="3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average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9"/>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GAAP average shareholders' equity</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2,201.2</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3"/>
        </w:trPr>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capital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2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18,827,222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17,935,779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18,976,560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per diluted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r>
    </w:tbl>
    <w:p>
      <w:pPr>
        <w:spacing w:after="0" w:line="3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Financial Accounting Standards Board issued a new accounting standard (known as CECL) that changed how we account for our loans under GAAP effective January 1, 2020. The net loan income (finance charge revenue less provision for credit losses expense) that we recognize over the life of a loan equals the cash we collect from the underlying Consumer Loan less the cash we pay to the dealer. While the total amount of net loan income we will recognize over the life of the loan is not impacted by CECL, the timing of when we will recognize this income has changed significantly from our prior accounting method. We believe that recognizing net loan income on a level-yield basis over the life of the loan based on expected future net cash flows matches the economics of our business. We believe CECL diverges from economic reality by requiring us to recognize a significant provision for credit losses expense at the time of assignment for amounts we never expected to realize and finance charge revenue in subsequent periods that is significantly in excess of our expected yields. Given the significant change in timing of net loan income recognition, net income for the year ending December 31, 2020 was significantly lower under CECL than what would have been reported under our prior accounting method, with the greatest impact occurring in the quarter of adoption. The financial statement impact of CECL in any period will depend on Consumer Loan assignment volume and the percentage of Consumer Loans assigned to us as purchased loans, the size and composition of our loan portfolio, the loan portfolio’s credit quality and economic conditions.</w:t>
      </w:r>
    </w:p>
    <w:p>
      <w:pPr>
        <w:spacing w:after="0" w:line="2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increase in GAAP net income for the three months ended December 31, 2020, as compared to the same period in 2019, was primarily the result of the following:</w:t>
      </w: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finance charges of 17.4% ($61.8 million) due to growth in our loan portfolio and an increase in the yields on new Consumer Loan assignments following the adoption of CECL on January 1, 2020.</w:t>
      </w:r>
    </w:p>
    <w:p>
      <w:pPr>
        <w:spacing w:after="0" w:line="22" w:lineRule="exact"/>
        <w:rPr>
          <w:rFonts w:ascii="Times New Roman" w:cs="Times New Roman" w:eastAsia="Times New Roman" w:hAnsi="Times New Roman"/>
          <w:sz w:val="18"/>
          <w:szCs w:val="18"/>
          <w:color w:val="auto"/>
        </w:rPr>
      </w:pPr>
    </w:p>
    <w:p>
      <w:pPr>
        <w:ind w:left="340" w:hanging="332"/>
        <w:spacing w:after="0" w:line="234" w:lineRule="auto"/>
        <w:tabs>
          <w:tab w:leader="none" w:pos="33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decrease in interest expense of 11.6% ($5.9 million), primarily due to a decrease in our average cost of debt. The decrease in our average cost of debt was primarily the result of a change in the mix of our outstanding debt.</w:t>
      </w:r>
    </w:p>
    <w:p>
      <w:pPr>
        <w:spacing w:after="0" w:line="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provision for credit losses of 240.4% ($65.4 million), primarily due to: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$92.4 million in provision for credit losses on new Consumer Loan assignments related to the adoption of CECL on January 1, 2020, partially offset by</w:t>
      </w:r>
    </w:p>
    <w:p>
      <w:pPr>
        <w:ind w:left="660" w:hanging="328"/>
        <w:spacing w:after="0" w:line="250"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provision for credit losses on forecast changes of $27.0 million due to forecast changes in the amount and timing of expected future net cash flows and the adoption of CECL on January 1, 2020, which changed how these forecast changes are recognized.</w:t>
      </w:r>
    </w:p>
    <w:p>
      <w:pPr>
        <w:ind w:left="340" w:right="20" w:hanging="332"/>
        <w:spacing w:after="0" w:line="245"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provision for income taxes of 6.6% ($3.5 million), primarily due to a decrease in our effective tax rate from 24.8% in 2019 to 23.0% in 2020. The decrease in our effective tax rate was primarily due to the settlement of an uncertain tax position for state income taxes during 2020.</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decrease in GAAP net income for the year ended December 31, 2020, as compared to the same period in 2019, was primarily the result of the following:</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provision for credit losses of 628.9% ($480.5 million), primarily due to: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$518.6 million in provision for credit losses on new Consumer Loan assignments related to the adoption of CECL on January 1, 2020, partially offset by</w:t>
      </w: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provision for credit losses on forecast changes of $38.1 million due to forecast changes in the amount and timing of expected future net cash flows and the adoption of CECL on January 1, 2020, which changed how these forecast changes are recognized.</w:t>
      </w:r>
    </w:p>
    <w:p>
      <w:pPr>
        <w:jc w:val="both"/>
        <w:ind w:left="340" w:hanging="332"/>
        <w:spacing w:after="0" w:line="266" w:lineRule="auto"/>
        <w:tabs>
          <w:tab w:leader="none" w:pos="33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decrease in other income of 27.7% ($19.0 million), primarily due to a decrease in interest income earned on restricted cash and cash equivalents primarily due to a decline in benchmark interest rates, a decrease in remarketing fees due to a decrease in involuntary repossessions due to COVID-19 and a decrease in ancillary product profit sharing income due to an increase in average vehicle service contract claim rates.</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provision for income taxes of 35.7% ($71.3 million), primarily due to a decrease in pre-tax income.</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finance charges of 14.1% ($193.0 million) due to growth in our loan portfolio and an increase in the yields on new Consumer Loan assignments following the adoption of CECL on January 1,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65"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incentive compensation. In addition, effective January 1, 2020, certain debt facilities utilize adjusted financial information for the determination of loan collateral values. The table below shows our results following adjustments to reflect non-GAAP accounting methods. Material adjustments are explained in the table footnotes and the subsequent “Floating Yield Adjustment” and “Senior Notes Adjustment” sections. Measures such as adjusted average capital, adjusted net income, adjusted net income per diluted share, adjusted interest expense (after-tax), adjusted net income plus interest expense (after-tax), adjusted return on capital, adjusted revenue, operating expenses, adjusted loans receivable and economic profit are all non-GAAP financial measures. These non-GAAP financial measures should be viewed in addition to, and not as an alternative for, our reported results prepared in accordance with GAAP.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financial results for the three months and year ended December 31, 2020, compared to the same periods in 2019, include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280" w:type="dxa"/>
            <w:vAlign w:val="bottom"/>
          </w:tcPr>
          <w:p>
            <w:pPr>
              <w:spacing w:after="0"/>
              <w:rPr>
                <w:sz w:val="16"/>
                <w:szCs w:val="16"/>
                <w:color w:val="auto"/>
              </w:rPr>
            </w:pPr>
          </w:p>
        </w:tc>
        <w:tc>
          <w:tcPr>
            <w:tcW w:w="386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300" w:type="dxa"/>
            <w:vAlign w:val="bottom"/>
          </w:tcPr>
          <w:p>
            <w:pPr>
              <w:spacing w:after="0"/>
              <w:rPr>
                <w:sz w:val="16"/>
                <w:szCs w:val="16"/>
                <w:color w:val="auto"/>
              </w:rPr>
            </w:pPr>
          </w:p>
        </w:tc>
        <w:tc>
          <w:tcPr>
            <w:tcW w:w="28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average capital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6,663.9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6,372.2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expense (after-tax)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net income plus interest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811.6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3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(after-tax)</w:t>
            </w:r>
          </w:p>
        </w:tc>
        <w:tc>
          <w:tcPr>
            <w:tcW w:w="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capital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capital</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profit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17,633,553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18,827,222</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17,935,779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18,976,560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3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per diluted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Economic profit increased 12.6% and 8.9% for the three months and year ended December 31, 2020, as compared to the same periods in 2019. Economic profit is a function of the return on capital in excess of the cost of capital and the amount of capital invested in the business. The following table summarizes the impact each of these components had on the changes in economic profit for the three months and year ended December 31, 2020, as compared to the same periods in 2019:</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Year over Year Change in Economic Profit</w:t>
            </w:r>
          </w:p>
        </w:tc>
      </w:tr>
      <w:tr>
        <w:trPr>
          <w:trHeight w:val="133"/>
        </w:trPr>
        <w:tc>
          <w:tcPr>
            <w:tcW w:w="6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2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1"/>
                <w:szCs w:val="11"/>
                <w:color w:val="auto"/>
              </w:rPr>
            </w:pPr>
          </w:p>
        </w:tc>
        <w:tc>
          <w:tcPr>
            <w:tcW w:w="2260" w:type="dxa"/>
            <w:vAlign w:val="bottom"/>
          </w:tcPr>
          <w:p>
            <w:pPr>
              <w:jc w:val="center"/>
              <w:ind w:right="56"/>
              <w:spacing w:after="0" w:line="134" w:lineRule="exact"/>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89"/>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6"/>
                <w:szCs w:val="16"/>
                <w:color w:val="auto"/>
              </w:rPr>
            </w:pPr>
          </w:p>
        </w:tc>
        <w:tc>
          <w:tcPr>
            <w:tcW w:w="2260" w:type="dxa"/>
            <w:vAlign w:val="bottom"/>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cost of capital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CEEFF"/>
          </w:tcPr>
          <w:p>
            <w:pPr>
              <w:jc w:val="center"/>
              <w:ind w:left="1696"/>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adjusted average capital</w:t>
            </w: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jc w:val="center"/>
              <w:ind w:left="1696"/>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adjusted return on capital</w:t>
            </w:r>
          </w:p>
        </w:tc>
        <w:tc>
          <w:tcPr>
            <w:tcW w:w="18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center"/>
              <w:ind w:left="1676"/>
              <w:spacing w:after="0"/>
              <w:rPr>
                <w:sz w:val="20"/>
                <w:szCs w:val="20"/>
                <w:color w:val="auto"/>
              </w:rPr>
            </w:pPr>
            <w:r>
              <w:rPr>
                <w:rFonts w:ascii="Times New Roman" w:cs="Times New Roman" w:eastAsia="Times New Roman" w:hAnsi="Times New Roman"/>
                <w:sz w:val="18"/>
                <w:szCs w:val="18"/>
                <w:color w:val="auto"/>
                <w:w w:val="96"/>
              </w:rPr>
              <w:t>(65.5)</w:t>
            </w:r>
          </w:p>
        </w:tc>
      </w:tr>
      <w:tr>
        <w:trPr>
          <w:trHeight w:val="223"/>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economic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tcPr>
          <w:p>
            <w:pPr>
              <w:jc w:val="center"/>
              <w:ind w:left="1696"/>
              <w:spacing w:after="0"/>
              <w:rPr>
                <w:sz w:val="20"/>
                <w:szCs w:val="20"/>
                <w:color w:val="auto"/>
              </w:rPr>
            </w:pPr>
            <w:r>
              <w:rPr>
                <w:rFonts w:ascii="Times New Roman" w:cs="Times New Roman" w:eastAsia="Times New Roman" w:hAnsi="Times New Roman"/>
                <w:sz w:val="18"/>
                <w:szCs w:val="18"/>
                <w:color w:val="auto"/>
              </w:rPr>
              <w:t>38.6</w:t>
            </w: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economic profit for the three months ended December 31, 2020, as compared to the same period in 2019, was primarily the result of the following:</w:t>
      </w:r>
    </w:p>
    <w:p>
      <w:pPr>
        <w:ind w:left="340" w:hanging="332"/>
        <w:spacing w:after="0" w:line="235"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cost of capital of 60 basis points, primarily due to a decline in the average cost of debt and a decrease in the 30-year Treasury rate, which is used in the average cost of equity calculation.</w:t>
      </w:r>
    </w:p>
    <w:p>
      <w:pPr>
        <w:spacing w:after="0" w:line="1"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adjusted average capital of 7.7%, primarily due to growth in our loan portfolio.</w:t>
      </w:r>
    </w:p>
    <w:p>
      <w:pPr>
        <w:ind w:left="320" w:hanging="312"/>
        <w:spacing w:after="0" w:line="234"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adjusted return on capital of 30 basis points, due to:</w:t>
      </w:r>
    </w:p>
    <w:p>
      <w:pPr>
        <w:jc w:val="both"/>
        <w:ind w:left="660" w:hanging="328"/>
        <w:spacing w:after="0" w:line="234" w:lineRule="auto"/>
        <w:tabs>
          <w:tab w:leader="none" w:pos="6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forecasted collection rates during the first quarter of 2020 to reflect the estimated long-term impact of COVID-19 on Consumer Loan performance, which is being recorded over time as an adjustment to the yield used to recognize adjusted finance charges, decreased our adjusted return on capital by 30 basis points.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income decreased our adjusted return on capital by 20 basis points as other income decreased by 15.3% while adjusted average capital grew by 7.7%.</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growth in operating expenses increased our adjusted return on capital by 20 basis points as operating expenses increased by 1.0% while adjusted average capital grew by 7.7%. The increase in operating expenses was due to increases in legal and information technology expenses, offset by a decrease in cash-based incentive compensation expense due to a deterioration in Company performance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increase in economic profit for the year ended December 31, 2020, as compared to the same period in 2019, was primarily the result of the following:</w:t>
      </w:r>
    </w:p>
    <w:p>
      <w:pPr>
        <w:spacing w:after="0" w:line="27" w:lineRule="exact"/>
        <w:rPr>
          <w:sz w:val="20"/>
          <w:szCs w:val="20"/>
          <w:color w:val="auto"/>
        </w:rPr>
      </w:pPr>
    </w:p>
    <w:p>
      <w:pPr>
        <w:ind w:left="340" w:hanging="332"/>
        <w:spacing w:after="0" w:line="25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cost of capital of 80 basis points, primarily due to a decrease in the 30-year Treasury rate, which is used in the average cost of equity calculation, and a decline in the average cost of debt.</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adjusted average capital of 11.0%, primarily due to growth in our loan portfolio.</w:t>
      </w:r>
    </w:p>
    <w:p>
      <w:pPr>
        <w:spacing w:after="0" w:line="9"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adjusted return on capital of 90 basis points, due to:</w:t>
      </w:r>
    </w:p>
    <w:p>
      <w:pPr>
        <w:jc w:val="both"/>
        <w:ind w:left="660" w:hanging="328"/>
        <w:spacing w:after="0" w:line="234"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forecasted collection rates during the first quarter of 2020 to reflect the estimated long-term impact of COVID-19 on Consumer Loan performance, which is being recorded over time as an adjustment to the yield used to recognize adjusted finance charges, decreased our adjusted return on capital by 100 basis points.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income decreased our adjusted return on capital by 30 basis points as other income decreased by 27.7% while adjusted average capital grew by 11.0%.</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operating expenses increased our adjusted return on capital by 40 basis points as operating expenses decreased by 0.9% while adjusted average capital grew by 11.0%. The decrease in operating expenses was primarily due to a decrease in cash-based incentive compensation expense due to a deterioration in Company performance measures.</w:t>
      </w: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adjusted revenue and operating expenses as a percentage of adjusted average capital, the adjusted return on capital, and the percentage change in adjusted average capital for each of the last eight quarters, compared to the same period in the prior year:</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 30, 2020</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 31, 2020</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2019</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2019</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 30, 2019</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 31, 2019</w:t>
            </w:r>
          </w:p>
        </w:tc>
        <w:tc>
          <w:tcPr>
            <w:tcW w:w="0" w:type="dxa"/>
            <w:vAlign w:val="bottom"/>
          </w:tcPr>
          <w:p>
            <w:pPr>
              <w:spacing w:after="0"/>
              <w:rPr>
                <w:sz w:val="1"/>
                <w:szCs w:val="1"/>
                <w:color w:val="auto"/>
              </w:rPr>
            </w:pPr>
          </w:p>
        </w:tc>
      </w:tr>
      <w:tr>
        <w:trPr>
          <w:trHeight w:val="155"/>
        </w:trPr>
        <w:tc>
          <w:tcPr>
            <w:tcW w:w="25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revenue as a</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percentage of adjusted</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capital (1)</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expenses as 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percentage of adjusted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capital (1)</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capital (1)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Percentage change in adjusted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average capital compared to</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the same period in the prior</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w:t>
            </w: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80"/>
        <w:spacing w:after="0"/>
        <w:tabs>
          <w:tab w:leader="none" w:pos="460" w:val="left"/>
        </w:tabs>
        <w:rPr>
          <w:sz w:val="20"/>
          <w:szCs w:val="20"/>
          <w:color w:val="auto"/>
        </w:rPr>
      </w:pPr>
      <w:r>
        <w:rPr>
          <w:rFonts w:ascii="Times New Roman" w:cs="Times New Roman" w:eastAsia="Times New Roman" w:hAnsi="Times New Roman"/>
          <w:sz w:val="14"/>
          <w:szCs w:val="14"/>
          <w:color w:val="auto"/>
        </w:rPr>
        <w:t>(1)</w:t>
        <w:tab/>
        <w:t>Annualized.</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increases in adjusted revenue as a percentage of adjusted average capital and adjusted return on capital were primarily due to an increase in finance charges due to an improvement in forecasted collection rates during the second and third quarters of 2020. Under our adjusted methodology, changes in the amount and timing of forecasted net cash flows are recorded over time as an adjustment to the yield used to recognize adjusted finance charge revenue. While adjusted finance charge revenue during the second quarter reflected the March 2020 reduction in our forecast due to COVID-19, adjusted finance charge revenue during the third and fourth quarters reflected the subsequent improvement in forecasted collection rates during the second and third quarters.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tables provide a reconciliation of non-GAAP measures to GAAP measures. Certain amounts do not recalculate due to rounding.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(Dollars in millions, except per share data)</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2020</w:t>
            </w:r>
          </w:p>
        </w:tc>
        <w:tc>
          <w:tcPr>
            <w:tcW w:w="10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 30, 2020</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 31, 2020</w:t>
            </w:r>
          </w:p>
        </w:tc>
        <w:tc>
          <w:tcPr>
            <w:tcW w:w="1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 31, 2019</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2019</w:t>
            </w:r>
          </w:p>
        </w:tc>
        <w:tc>
          <w:tcPr>
            <w:tcW w:w="10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 30, 2019</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 31, 2019</w:t>
            </w:r>
          </w:p>
        </w:tc>
        <w:tc>
          <w:tcPr>
            <w:tcW w:w="0" w:type="dxa"/>
            <w:vAlign w:val="bottom"/>
          </w:tcPr>
          <w:p>
            <w:pPr>
              <w:spacing w:after="0"/>
              <w:rPr>
                <w:sz w:val="1"/>
                <w:szCs w:val="1"/>
                <w:color w:val="auto"/>
              </w:rPr>
            </w:pPr>
          </w:p>
        </w:tc>
      </w:tr>
      <w:tr>
        <w:trPr>
          <w:trHeight w:val="164"/>
        </w:trPr>
        <w:tc>
          <w:tcPr>
            <w:tcW w:w="2520" w:type="dxa"/>
            <w:vAlign w:val="bottom"/>
            <w:gridSpan w:val="2"/>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net income (loss)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161.9</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164.4</w:t>
            </w:r>
          </w:p>
        </w:tc>
        <w:tc>
          <w:tcPr>
            <w:tcW w:w="0" w:type="dxa"/>
            <w:vAlign w:val="bottom"/>
          </w:tcPr>
          <w:p>
            <w:pPr>
              <w:spacing w:after="0"/>
              <w:rPr>
                <w:sz w:val="1"/>
                <w:szCs w:val="1"/>
                <w:color w:val="auto"/>
              </w:rPr>
            </w:pPr>
          </w:p>
        </w:tc>
      </w:tr>
      <w:tr>
        <w:trPr>
          <w:trHeight w:val="18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Floating yield adjustment (after-tax)</w:t>
            </w:r>
          </w:p>
        </w:tc>
        <w:tc>
          <w:tcPr>
            <w:tcW w:w="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35"/>
        </w:trPr>
        <w:tc>
          <w:tcPr>
            <w:tcW w:w="25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GAAP provision for credit losses (after-</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w:t>
            </w: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adjustment (after-tax)</w:t>
            </w:r>
          </w:p>
        </w:tc>
        <w:tc>
          <w:tcPr>
            <w:tcW w:w="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adjustment (1)</w:t>
            </w: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3"/>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Adjusted net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189.5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173.5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5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Adjusted net income per diluted share</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67"/>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2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Diluted weighted average shares</w:t>
            </w:r>
          </w:p>
        </w:tc>
        <w:tc>
          <w:tcPr>
            <w:tcW w:w="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17,633,553</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17,849,765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17,847,050</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18,185,465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18,827,222</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18,950,866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18,949,962</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19,004,498</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revenue</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total revenue</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447.4</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426.5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406.3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385.9</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378.7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370.6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Floating yield adjustment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GAAP provision for claims</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8"/>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376.4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330.5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360.4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326.7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average capital</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average debt</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4,624.8</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4,735.2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4,786.9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4,597.2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4,320.2</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4,230.2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4,245.5</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3,996.2</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average shareholders' equity</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2,320.4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2,188.7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2,015.6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2,229.8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2,392.7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2,297.8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2,131.8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1,982.6</w:t>
            </w:r>
          </w:p>
        </w:tc>
        <w:tc>
          <w:tcPr>
            <w:tcW w:w="0" w:type="dxa"/>
            <w:vAlign w:val="bottom"/>
          </w:tcPr>
          <w:p>
            <w:pPr>
              <w:spacing w:after="0"/>
              <w:rPr>
                <w:sz w:val="1"/>
                <w:szCs w:val="1"/>
                <w:color w:val="auto"/>
              </w:rPr>
            </w:pPr>
          </w:p>
        </w:tc>
      </w:tr>
      <w:tr>
        <w:trPr>
          <w:trHeight w:val="18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debt issuance adjustment</w:t>
            </w:r>
          </w:p>
        </w:tc>
        <w:tc>
          <w:tcPr>
            <w:tcW w:w="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adjustment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adjustment (3)</w:t>
            </w:r>
          </w:p>
        </w:tc>
        <w:tc>
          <w:tcPr>
            <w:tcW w:w="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(118.5)</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Floating yield adjustment</w:t>
            </w: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308.5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341.1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356.4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83"/>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Adjusted average capital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7,174.1</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7,184.8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7,079.4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6,865.6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6,663.9</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6,506.6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6,353.9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5,964.3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5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Adjusted revenue as a percentage of</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62"/>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adjusted average capital (4)</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loans receivable</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loans receivable, net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6,787.9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6,865.2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6,749.8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6,618.5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6,685.2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6,563.7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6,384.0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6,143.7</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Floating yield adjustment</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428.5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498.8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425.8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208"/>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loans receivable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7,216.4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7,263.0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7,248.6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7,044.3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6,777.2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6,647.0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6,466.8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6,229.5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interest expense (after-tax)</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interest expense</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adjustment</w:t>
            </w: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2"/>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Adjusted interest expense (pre-tax)</w:t>
            </w:r>
          </w:p>
        </w:tc>
        <w:tc>
          <w:tcPr>
            <w:tcW w:w="8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record tax effect (1)</w:t>
            </w: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3"/>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Adjusted interest expense (after-tax)</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80" w:hanging="310"/>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record taxes at our estimated long-term effective income tax rate of 23%.</w:t>
      </w:r>
    </w:p>
    <w:p>
      <w:pPr>
        <w:spacing w:after="0" w:line="17" w:lineRule="exact"/>
        <w:rPr>
          <w:rFonts w:ascii="Times New Roman" w:cs="Times New Roman" w:eastAsia="Times New Roman" w:hAnsi="Times New Roman"/>
          <w:sz w:val="14"/>
          <w:szCs w:val="14"/>
          <w:color w:val="auto"/>
        </w:rPr>
      </w:pPr>
    </w:p>
    <w:p>
      <w:pPr>
        <w:ind w:left="500" w:hanging="330"/>
        <w:spacing w:after="0" w:line="241" w:lineRule="auto"/>
        <w:tabs>
          <w:tab w:leader="none" w:pos="53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per share is computed independently for each of the quarters presented. Therefore, the sum of quarterly net income per share information may not equal year-to-date net income per share.</w:t>
      </w:r>
    </w:p>
    <w:p>
      <w:pPr>
        <w:jc w:val="both"/>
        <w:ind w:left="500" w:hanging="330"/>
        <w:spacing w:after="0" w:line="241" w:lineRule="auto"/>
        <w:tabs>
          <w:tab w:leader="none" w:pos="48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enactment of the Tax Cuts and Jobs Act in December 2017 resulted in the reversal of $118.5 million of provision for income taxes to reflect the new federal statutory income tax rate. This adjustment removes the impact of this reversal from adjusted average capital. We believe the income tax adjustment provides a more accurate reflection of the performance of our business as we are recognizing provision for income taxes at the applicable long-term effective tax rate for the period.</w:t>
      </w:r>
    </w:p>
    <w:p>
      <w:pPr>
        <w:spacing w:after="0" w:line="1"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69" w:right="339" w:bottom="1440" w:gutter="0" w:footer="0" w:header="0"/>
        </w:sectPr>
      </w:pPr>
    </w:p>
    <w:bookmarkStart w:id="14" w:name="page15"/>
    <w:bookmarkEnd w:id="14"/>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Adjusted return on capital</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net income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interest expense (after-tax)</w:t>
      </w:r>
    </w:p>
    <w:p>
      <w:pPr>
        <w:spacing w:after="0" w:line="42" w:lineRule="exact"/>
        <w:rPr>
          <w:sz w:val="20"/>
          <w:szCs w:val="20"/>
          <w:color w:val="auto"/>
        </w:rPr>
      </w:pPr>
    </w:p>
    <w:p>
      <w:pPr>
        <w:ind w:left="180" w:right="300" w:hanging="161"/>
        <w:spacing w:after="0" w:line="282" w:lineRule="auto"/>
        <w:rPr>
          <w:sz w:val="20"/>
          <w:szCs w:val="20"/>
          <w:color w:val="auto"/>
        </w:rPr>
      </w:pPr>
      <w:r>
        <w:rPr>
          <w:rFonts w:ascii="Times New Roman" w:cs="Times New Roman" w:eastAsia="Times New Roman" w:hAnsi="Times New Roman"/>
          <w:sz w:val="14"/>
          <w:szCs w:val="14"/>
          <w:color w:val="auto"/>
        </w:rPr>
        <w:t>Adjusted net income plus interest expense (after-tax)</w:t>
      </w:r>
    </w:p>
    <w:p>
      <w:pPr>
        <w:spacing w:after="0" w:line="241" w:lineRule="exact"/>
        <w:rPr>
          <w:sz w:val="20"/>
          <w:szCs w:val="20"/>
          <w:color w:val="auto"/>
        </w:rPr>
      </w:pPr>
    </w:p>
    <w:p>
      <w:pPr>
        <w:ind w:left="20" w:right="60"/>
        <w:spacing w:after="0" w:line="228" w:lineRule="auto"/>
        <w:rPr>
          <w:sz w:val="20"/>
          <w:szCs w:val="20"/>
          <w:color w:val="auto"/>
        </w:rPr>
      </w:pPr>
      <w:r>
        <w:rPr>
          <w:rFonts w:ascii="Times New Roman" w:cs="Times New Roman" w:eastAsia="Times New Roman" w:hAnsi="Times New Roman"/>
          <w:sz w:val="14"/>
          <w:szCs w:val="14"/>
          <w:b w:val="1"/>
          <w:bCs w:val="1"/>
          <w:color w:val="auto"/>
        </w:rPr>
        <w:t xml:space="preserve">Reconciliation of GAAP return on equity to adjusted return on capital </w:t>
      </w:r>
      <w:r>
        <w:rPr>
          <w:rFonts w:ascii="Times New Roman" w:cs="Times New Roman" w:eastAsia="Times New Roman" w:hAnsi="Times New Roman"/>
          <w:sz w:val="14"/>
          <w:szCs w:val="14"/>
          <w:b w:val="1"/>
          <w:bCs w:val="1"/>
          <w:color w:val="auto"/>
          <w:shd w:val="clear" w:color="auto" w:fill="CCEE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525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GAAP return on equity (1)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Non-GAAP adjustments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Adjusted return on capital (2)</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Economic profit</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return on capital</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capital (3) (4)</w:t>
      </w:r>
    </w:p>
    <w:p>
      <w:pPr>
        <w:spacing w:after="0" w:line="28" w:lineRule="exact"/>
        <w:rPr>
          <w:sz w:val="20"/>
          <w:szCs w:val="20"/>
          <w:color w:val="auto"/>
        </w:rPr>
      </w:pPr>
    </w:p>
    <w:p>
      <w:pPr>
        <w:ind w:left="180" w:right="20" w:hanging="161"/>
        <w:spacing w:after="0" w:line="241" w:lineRule="auto"/>
        <w:rPr>
          <w:sz w:val="20"/>
          <w:szCs w:val="20"/>
          <w:color w:val="auto"/>
        </w:rPr>
      </w:pPr>
      <w:r>
        <w:rPr>
          <w:rFonts w:ascii="Times New Roman" w:cs="Times New Roman" w:eastAsia="Times New Roman" w:hAnsi="Times New Roman"/>
          <w:sz w:val="14"/>
          <w:szCs w:val="14"/>
          <w:color w:val="auto"/>
        </w:rPr>
        <w:t>Adjusted return on capital in excess of cost of capital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average capital</w:t>
      </w:r>
    </w:p>
    <w:p>
      <w:pPr>
        <w:spacing w:after="0" w:line="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Economic profit</w:t>
      </w:r>
    </w:p>
    <w:p>
      <w:pPr>
        <w:spacing w:after="0" w:line="283" w:lineRule="exact"/>
        <w:rPr>
          <w:sz w:val="20"/>
          <w:szCs w:val="20"/>
          <w:color w:val="auto"/>
        </w:rPr>
      </w:pPr>
    </w:p>
    <w:p>
      <w:pPr>
        <w:ind w:left="20" w:right="60"/>
        <w:spacing w:after="0" w:line="244" w:lineRule="auto"/>
        <w:rPr>
          <w:sz w:val="20"/>
          <w:szCs w:val="20"/>
          <w:color w:val="auto"/>
        </w:rPr>
      </w:pPr>
      <w:r>
        <w:rPr>
          <w:rFonts w:ascii="Times New Roman" w:cs="Times New Roman" w:eastAsia="Times New Roman" w:hAnsi="Times New Roman"/>
          <w:sz w:val="14"/>
          <w:szCs w:val="14"/>
          <w:b w:val="1"/>
          <w:bCs w:val="1"/>
          <w:color w:val="auto"/>
        </w:rPr>
        <w:t>Reconciliation of GAAP net income (loss) to economic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25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GAAP net income (loss)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Non-GAAP adjustments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net income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interest expense (after-tax)</w:t>
      </w:r>
    </w:p>
    <w:p>
      <w:pPr>
        <w:spacing w:after="0" w:line="28" w:lineRule="exact"/>
        <w:rPr>
          <w:sz w:val="20"/>
          <w:szCs w:val="20"/>
          <w:color w:val="auto"/>
        </w:rPr>
      </w:pPr>
    </w:p>
    <w:p>
      <w:pPr>
        <w:ind w:left="180" w:right="300" w:hanging="161"/>
        <w:spacing w:after="0" w:line="241" w:lineRule="auto"/>
        <w:rPr>
          <w:sz w:val="20"/>
          <w:szCs w:val="20"/>
          <w:color w:val="auto"/>
        </w:rPr>
      </w:pPr>
      <w:r>
        <w:rPr>
          <w:rFonts w:ascii="Times New Roman" w:cs="Times New Roman" w:eastAsia="Times New Roman" w:hAnsi="Times New Roman"/>
          <w:sz w:val="14"/>
          <w:szCs w:val="14"/>
          <w:color w:val="auto"/>
        </w:rPr>
        <w:t>Adjusted net income plus interest expense (after-tax)</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cost of capital</w:t>
      </w:r>
    </w:p>
    <w:p>
      <w:pPr>
        <w:spacing w:after="0" w:line="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Economic profit</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GAAP salaries and wages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GAAP general and administrative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GAAP sales and marketing</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285" w:lineRule="exact"/>
        <w:rPr>
          <w:sz w:val="20"/>
          <w:szCs w:val="20"/>
          <w:color w:val="auto"/>
        </w:rPr>
      </w:pPr>
    </w:p>
    <w:p>
      <w:pPr>
        <w:ind w:left="180" w:right="40" w:hanging="161"/>
        <w:spacing w:after="0" w:line="241" w:lineRule="auto"/>
        <w:rPr>
          <w:sz w:val="20"/>
          <w:szCs w:val="20"/>
          <w:color w:val="auto"/>
        </w:rPr>
      </w:pPr>
      <w:r>
        <w:rPr>
          <w:rFonts w:ascii="Times New Roman" w:cs="Times New Roman" w:eastAsia="Times New Roman" w:hAnsi="Times New Roman"/>
          <w:sz w:val="14"/>
          <w:szCs w:val="14"/>
          <w:color w:val="auto"/>
        </w:rPr>
        <w:t>Operating expenses as a percentage of adjusted average capital (4)</w:t>
      </w:r>
    </w:p>
    <w:p>
      <w:pPr>
        <w:spacing w:after="0" w:line="257" w:lineRule="exact"/>
        <w:rPr>
          <w:sz w:val="20"/>
          <w:szCs w:val="20"/>
          <w:color w:val="auto"/>
        </w:rPr>
      </w:pPr>
    </w:p>
    <w:p>
      <w:pPr>
        <w:jc w:val="both"/>
        <w:ind w:left="180" w:hanging="161"/>
        <w:spacing w:after="0" w:line="227" w:lineRule="auto"/>
        <w:rPr>
          <w:sz w:val="20"/>
          <w:szCs w:val="20"/>
          <w:color w:val="auto"/>
        </w:rPr>
      </w:pPr>
      <w:r>
        <w:rPr>
          <w:rFonts w:ascii="Times New Roman" w:cs="Times New Roman" w:eastAsia="Times New Roman" w:hAnsi="Times New Roman"/>
          <w:sz w:val="14"/>
          <w:szCs w:val="14"/>
          <w:color w:val="auto"/>
        </w:rPr>
        <w:t>Percentage change in adjusted average capital compared to the same period in the prior year</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10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2020</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Jun. 30, 2020</w:t>
            </w:r>
          </w:p>
        </w:tc>
        <w:tc>
          <w:tcPr>
            <w:tcW w:w="11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 31, 2020</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 31, 2019</w:t>
            </w:r>
          </w:p>
        </w:tc>
        <w:tc>
          <w:tcPr>
            <w:tcW w:w="11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2019</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Jun. 30, 2019</w:t>
            </w:r>
          </w:p>
        </w:tc>
        <w:tc>
          <w:tcPr>
            <w:tcW w:w="100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 31, 2019</w:t>
            </w:r>
          </w:p>
        </w:tc>
      </w:tr>
      <w:tr>
        <w:trPr>
          <w:trHeight w:val="362"/>
        </w:trPr>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189.5</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173.5</w:t>
            </w:r>
          </w:p>
        </w:tc>
        <w:tc>
          <w:tcPr>
            <w:tcW w:w="120" w:type="dxa"/>
            <w:vAlign w:val="bottom"/>
          </w:tcPr>
          <w:p>
            <w:pPr>
              <w:spacing w:after="0"/>
              <w:rPr>
                <w:sz w:val="24"/>
                <w:szCs w:val="24"/>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153.6</w:t>
            </w:r>
          </w:p>
        </w:tc>
      </w:tr>
      <w:tr>
        <w:trPr>
          <w:trHeight w:val="194"/>
        </w:trPr>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35.3</w:t>
            </w:r>
          </w:p>
        </w:tc>
      </w:tr>
      <w:tr>
        <w:trPr>
          <w:trHeight w:val="331"/>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224.7</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215.8</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213.0</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188.9</w:t>
            </w:r>
          </w:p>
        </w:tc>
      </w:tr>
      <w:tr>
        <w:trPr>
          <w:trHeight w:val="26"/>
        </w:trPr>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874"/>
        </w:trPr>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33.2 %</w:t>
            </w:r>
          </w:p>
        </w:tc>
      </w:tr>
      <w:tr>
        <w:trPr>
          <w:trHeight w:val="194"/>
        </w:trPr>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-20.5 %</w:t>
            </w:r>
          </w:p>
        </w:tc>
      </w:tr>
      <w:tr>
        <w:trPr>
          <w:trHeight w:val="187"/>
        </w:trPr>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12.7 %</w:t>
            </w:r>
          </w:p>
        </w:tc>
      </w:tr>
      <w:tr>
        <w:trPr>
          <w:trHeight w:val="21"/>
        </w:trPr>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64"/>
        </w:trPr>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r>
      <w:tr>
        <w:trPr>
          <w:trHeight w:val="194"/>
        </w:trPr>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6.2 %</w:t>
            </w:r>
          </w:p>
        </w:tc>
      </w:tr>
      <w:tr>
        <w:trPr>
          <w:trHeight w:val="299"/>
        </w:trPr>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94"/>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7,174.1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7,184.8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7,079.4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6,865.6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6,663.9</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6,506.6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6,353.9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5,964.3</w:t>
            </w:r>
          </w:p>
        </w:tc>
      </w:tr>
      <w:tr>
        <w:trPr>
          <w:trHeight w:val="187"/>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131.6</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96.8</w:t>
            </w:r>
          </w:p>
        </w:tc>
      </w:tr>
      <w:tr>
        <w:trPr>
          <w:trHeight w:val="21"/>
        </w:trPr>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40"/>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166.3</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161.9</w:t>
            </w:r>
          </w:p>
        </w:tc>
        <w:tc>
          <w:tcPr>
            <w:tcW w:w="1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164.4</w:t>
            </w:r>
          </w:p>
        </w:tc>
      </w:tr>
      <w:tr>
        <w:trPr>
          <w:trHeight w:val="194"/>
        </w:trPr>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259.5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(10.8)</w:t>
            </w:r>
          </w:p>
        </w:tc>
      </w:tr>
      <w:tr>
        <w:trPr>
          <w:trHeight w:val="178"/>
        </w:trPr>
        <w:tc>
          <w:tcPr>
            <w:tcW w:w="8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189.5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173.5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153.6</w:t>
            </w:r>
          </w:p>
        </w:tc>
      </w:tr>
      <w:tr>
        <w:trPr>
          <w:trHeight w:val="193"/>
        </w:trPr>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35.3</w:t>
            </w:r>
          </w:p>
        </w:tc>
      </w:tr>
      <w:tr>
        <w:trPr>
          <w:trHeight w:val="299"/>
        </w:trPr>
        <w:tc>
          <w:tcPr>
            <w:tcW w:w="8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224.7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188.9</w:t>
            </w:r>
          </w:p>
        </w:tc>
      </w:tr>
      <w:tr>
        <w:trPr>
          <w:trHeight w:val="194"/>
        </w:trPr>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93.1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96.1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92.1</w:t>
            </w:r>
          </w:p>
        </w:tc>
      </w:tr>
      <w:tr>
        <w:trPr>
          <w:trHeight w:val="187"/>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131.6</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96.8</w:t>
            </w:r>
          </w:p>
        </w:tc>
      </w:tr>
      <w:tr>
        <w:trPr>
          <w:trHeight w:val="21"/>
        </w:trPr>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64"/>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48.7</w:t>
            </w:r>
          </w:p>
        </w:tc>
      </w:tr>
      <w:tr>
        <w:trPr>
          <w:trHeight w:val="189"/>
        </w:trPr>
        <w:tc>
          <w:tcPr>
            <w:tcW w:w="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w:t>
            </w:r>
          </w:p>
        </w:tc>
      </w:tr>
      <w:tr>
        <w:trPr>
          <w:trHeight w:val="194"/>
        </w:trPr>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18.8</w:t>
            </w:r>
          </w:p>
        </w:tc>
      </w:tr>
      <w:tr>
        <w:trPr>
          <w:trHeight w:val="187"/>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84.5</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81.4</w:t>
            </w:r>
          </w:p>
        </w:tc>
      </w:tr>
      <w:tr>
        <w:trPr>
          <w:trHeight w:val="21"/>
        </w:trPr>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15"/>
        </w:trPr>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25"/>
        </w:trPr>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650"/>
        </w:trPr>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22.1 %</w:t>
            </w:r>
          </w:p>
        </w:tc>
      </w:tr>
      <w:tr>
        <w:trPr>
          <w:trHeight w:val="25"/>
        </w:trPr>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-5013960</wp:posOffset>
            </wp:positionV>
            <wp:extent cx="712343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-4611370</wp:posOffset>
            </wp:positionV>
            <wp:extent cx="712343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29146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-4191000</wp:posOffset>
            </wp:positionV>
            <wp:extent cx="712343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-3925570</wp:posOffset>
            </wp:positionV>
            <wp:extent cx="712343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-3419475</wp:posOffset>
            </wp:positionV>
            <wp:extent cx="712343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-3093720</wp:posOffset>
            </wp:positionV>
            <wp:extent cx="71234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-2785110</wp:posOffset>
            </wp:positionV>
            <wp:extent cx="712343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-2451100</wp:posOffset>
            </wp:positionV>
            <wp:extent cx="712343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-2202815</wp:posOffset>
            </wp:positionV>
            <wp:extent cx="712343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-1876425</wp:posOffset>
            </wp:positionV>
            <wp:extent cx="712343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-1610995</wp:posOffset>
            </wp:positionV>
            <wp:extent cx="71234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-1104900</wp:posOffset>
            </wp:positionV>
            <wp:extent cx="712343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-839470</wp:posOffset>
            </wp:positionV>
            <wp:extent cx="712343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625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-471170</wp:posOffset>
            </wp:positionV>
            <wp:extent cx="712343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625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-1353820</wp:posOffset>
            </wp:positionV>
            <wp:extent cx="712343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-3668395</wp:posOffset>
            </wp:positionV>
            <wp:extent cx="712343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-5262880</wp:posOffset>
            </wp:positionV>
            <wp:extent cx="712343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260"/>
            <w:col w:w="8720"/>
          </w:cols>
          <w:pgMar w:left="320" w:top="898" w:right="339" w:bottom="1440" w:gutter="0" w:footer="0" w:header="0"/>
        </w:sectPr>
      </w:pPr>
    </w:p>
    <w:p>
      <w:pPr>
        <w:spacing w:after="0" w:line="101" w:lineRule="exact"/>
        <w:rPr>
          <w:sz w:val="20"/>
          <w:szCs w:val="20"/>
          <w:color w:val="auto"/>
        </w:rPr>
      </w:pPr>
    </w:p>
    <w:p>
      <w:pPr>
        <w:ind w:left="480" w:hanging="31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GAAP net income (loss) by GAAP average shareholders' equity.</w:t>
      </w:r>
    </w:p>
    <w:p>
      <w:pPr>
        <w:spacing w:after="0" w:line="17"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return on capital is defined as adjusted net income plus adjusted interest expense (after-tax) divided by adjusted average capital.</w:t>
      </w:r>
    </w:p>
    <w:p>
      <w:pPr>
        <w:spacing w:after="0" w:line="1" w:lineRule="exact"/>
        <w:rPr>
          <w:rFonts w:ascii="Times New Roman" w:cs="Times New Roman" w:eastAsia="Times New Roman" w:hAnsi="Times New Roman"/>
          <w:sz w:val="14"/>
          <w:szCs w:val="14"/>
          <w:color w:val="auto"/>
        </w:rPr>
      </w:pPr>
    </w:p>
    <w:p>
      <w:pPr>
        <w:jc w:val="both"/>
        <w:ind w:left="500" w:hanging="330"/>
        <w:spacing w:after="0" w:line="247" w:lineRule="auto"/>
        <w:tabs>
          <w:tab w:leader="none" w:pos="53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30-year Treasury rate + 5%) + [(1 – tax rate) x (the average 30-year Treasury rate + 5% – pre-tax average cost of debt rate) x average debt/(average equity + average debt x tax rate)]. For the periods presented, the average 30-year Treasury rate and the adjusted pre-tax average cost of debt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8"/>
        </w:trPr>
        <w:tc>
          <w:tcPr>
            <w:tcW w:w="26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 30, 2020</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 31, 2020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2019</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2019</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 30, 2019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 31, 2019</w:t>
            </w:r>
          </w:p>
        </w:tc>
      </w:tr>
      <w:tr>
        <w:trPr>
          <w:trHeight w:val="18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30-year Treasury rate</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88"/>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pre-tax average cost of debt (4)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r>
    </w:tbl>
    <w:p>
      <w:pPr>
        <w:spacing w:after="0" w:line="316" w:lineRule="exact"/>
        <w:rPr>
          <w:sz w:val="20"/>
          <w:szCs w:val="20"/>
          <w:color w:val="auto"/>
        </w:rPr>
      </w:pPr>
    </w:p>
    <w:p>
      <w:pPr>
        <w:ind w:left="180"/>
        <w:spacing w:after="0"/>
        <w:tabs>
          <w:tab w:leader="none" w:pos="460" w:val="left"/>
        </w:tabs>
        <w:rPr>
          <w:sz w:val="20"/>
          <w:szCs w:val="20"/>
          <w:color w:val="auto"/>
        </w:rPr>
      </w:pPr>
      <w:r>
        <w:rPr>
          <w:rFonts w:ascii="Times New Roman" w:cs="Times New Roman" w:eastAsia="Times New Roman" w:hAnsi="Times New Roman"/>
          <w:sz w:val="14"/>
          <w:szCs w:val="14"/>
          <w:color w:val="auto"/>
        </w:rPr>
        <w:t>(4)</w:t>
        <w:tab/>
        <w:t>Annualized.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98"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4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8"/>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4"/>
        </w:trPr>
        <w:tc>
          <w:tcPr>
            <w:tcW w:w="6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net income</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421.0</w:t>
            </w: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656.1</w:t>
            </w:r>
          </w:p>
        </w:tc>
        <w:tc>
          <w:tcPr>
            <w:tcW w:w="0" w:type="dxa"/>
            <w:vAlign w:val="bottom"/>
          </w:tcPr>
          <w:p>
            <w:pPr>
              <w:spacing w:after="0"/>
              <w:rPr>
                <w:sz w:val="1"/>
                <w:szCs w:val="1"/>
                <w:color w:val="auto"/>
              </w:rPr>
            </w:pP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Floating yield adjustment (after-tax)</w:t>
            </w:r>
          </w:p>
        </w:tc>
        <w:tc>
          <w:tcPr>
            <w:tcW w:w="46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(169.6)</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provision for credit losses (after-tax)</w:t>
            </w:r>
          </w:p>
        </w:tc>
        <w:tc>
          <w:tcPr>
            <w:tcW w:w="4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428.8</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adjustment (after-tax)</w:t>
            </w:r>
          </w:p>
        </w:tc>
        <w:tc>
          <w:tcPr>
            <w:tcW w:w="46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adjustment (1)</w:t>
            </w:r>
          </w:p>
        </w:tc>
        <w:tc>
          <w:tcPr>
            <w:tcW w:w="4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3"/>
        </w:trPr>
        <w:tc>
          <w:tcPr>
            <w:tcW w:w="68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Adjusted net income</w:t>
            </w: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686.3</w:t>
            </w:r>
          </w:p>
        </w:tc>
        <w:tc>
          <w:tcPr>
            <w:tcW w:w="28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658.4</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income per diluted share</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38.26</w:t>
            </w:r>
          </w:p>
        </w:tc>
        <w:tc>
          <w:tcPr>
            <w:tcW w:w="28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34.70</w:t>
            </w: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4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17,935,779</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18,976,560</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average capital</w:t>
            </w:r>
          </w:p>
        </w:tc>
        <w:tc>
          <w:tcPr>
            <w:tcW w:w="4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average debt</w:t>
            </w:r>
          </w:p>
        </w:tc>
        <w:tc>
          <w:tcPr>
            <w:tcW w:w="2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4,686.1</w:t>
            </w:r>
          </w:p>
        </w:tc>
        <w:tc>
          <w:tcPr>
            <w:tcW w:w="280" w:type="dxa"/>
            <w:vAlign w:val="bottom"/>
          </w:tcPr>
          <w:p>
            <w:pPr>
              <w:spacing w:after="0"/>
              <w:rPr>
                <w:sz w:val="15"/>
                <w:szCs w:val="15"/>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4,198.0</w:t>
            </w: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average shareholders' equity</w:t>
            </w:r>
          </w:p>
        </w:tc>
        <w:tc>
          <w:tcPr>
            <w:tcW w:w="4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2,188.6</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2,201.2</w:t>
            </w:r>
          </w:p>
        </w:tc>
        <w:tc>
          <w:tcPr>
            <w:tcW w:w="0" w:type="dxa"/>
            <w:vAlign w:val="bottom"/>
          </w:tcPr>
          <w:p>
            <w:pPr>
              <w:spacing w:after="0"/>
              <w:rPr>
                <w:sz w:val="1"/>
                <w:szCs w:val="1"/>
                <w:color w:val="auto"/>
              </w:rPr>
            </w:pP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debt issuance adjustment</w:t>
            </w:r>
          </w:p>
        </w:tc>
        <w:tc>
          <w:tcPr>
            <w:tcW w:w="46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adjustment</w:t>
            </w:r>
          </w:p>
        </w:tc>
        <w:tc>
          <w:tcPr>
            <w:tcW w:w="4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adjustment (2)</w:t>
            </w:r>
          </w:p>
        </w:tc>
        <w:tc>
          <w:tcPr>
            <w:tcW w:w="46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Floating yield adjustment</w:t>
            </w:r>
          </w:p>
        </w:tc>
        <w:tc>
          <w:tcPr>
            <w:tcW w:w="4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287.6</w:t>
            </w:r>
          </w:p>
        </w:tc>
        <w:tc>
          <w:tcPr>
            <w:tcW w:w="2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183"/>
        </w:trPr>
        <w:tc>
          <w:tcPr>
            <w:tcW w:w="6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Adjusted average capital</w:t>
            </w: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7,076.0</w:t>
            </w:r>
          </w:p>
        </w:tc>
        <w:tc>
          <w:tcPr>
            <w:tcW w:w="28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6,372.2</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interest expense (after-tax)</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interest expense</w:t>
            </w: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192.0</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196.2</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adjustment</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interest expense (pre-tax)</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194.2</w:t>
            </w: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Adjustment to record tax effect (1)</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(44.7)</w:t>
            </w:r>
          </w:p>
        </w:tc>
        <w:tc>
          <w:tcPr>
            <w:tcW w:w="2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208"/>
        </w:trPr>
        <w:tc>
          <w:tcPr>
            <w:tcW w:w="68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Adjusted interest expense (after-tax)</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149.5</w:t>
            </w:r>
          </w:p>
        </w:tc>
        <w:tc>
          <w:tcPr>
            <w:tcW w:w="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ectPr>
          <w:pgSz w:w="11900" w:h="16838" w:orient="portrait"/>
          <w:cols w:equalWidth="0" w:num="1">
            <w:col w:w="10920"/>
          </w:cols>
          <w:pgMar w:left="480" w:top="898" w:right="49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Adjusted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-94615</wp:posOffset>
            </wp:positionV>
            <wp:extent cx="692658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net income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interest expense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-95885</wp:posOffset>
            </wp:positionV>
            <wp:extent cx="692658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120015"/>
                    </a:xfrm>
                    <a:prstGeom prst="rect">
                      <a:avLst/>
                    </a:prstGeom>
                    <a:noFill/>
                  </pic:spPr>
                </pic:pic>
              </a:graphicData>
            </a:graphic>
          </wp:anchor>
        </w:drawing>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Adjusted net income plus interest expense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92658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GAAP return on equity to adjusted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692658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GAAP return on equity (3)</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92658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Adjusted return on capital (4)</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Economic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-94615</wp:posOffset>
            </wp:positionV>
            <wp:extent cx="6926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return on capital</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capital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-95885</wp:posOffset>
            </wp:positionV>
            <wp:extent cx="6926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658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686.3</w:t>
            </w:r>
          </w:p>
        </w:tc>
        <w:tc>
          <w:tcPr>
            <w:tcW w:w="280" w:type="dxa"/>
            <w:vAlign w:val="bottom"/>
          </w:tcPr>
          <w:p>
            <w:pPr>
              <w:spacing w:after="0"/>
              <w:rPr>
                <w:sz w:val="16"/>
                <w:szCs w:val="16"/>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658.4</w:t>
            </w:r>
          </w:p>
        </w:tc>
      </w:tr>
      <w:tr>
        <w:trPr>
          <w:trHeight w:val="194"/>
        </w:trPr>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149.5</w:t>
            </w:r>
          </w:p>
        </w:tc>
        <w:tc>
          <w:tcPr>
            <w:tcW w:w="2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153.2</w:t>
            </w:r>
          </w:p>
        </w:tc>
      </w:tr>
      <w:tr>
        <w:trPr>
          <w:trHeight w:val="187"/>
        </w:trPr>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835.8</w:t>
            </w:r>
          </w:p>
        </w:tc>
        <w:tc>
          <w:tcPr>
            <w:tcW w:w="280" w:type="dxa"/>
            <w:vAlign w:val="bottom"/>
          </w:tcPr>
          <w:p>
            <w:pPr>
              <w:spacing w:after="0"/>
              <w:rPr>
                <w:sz w:val="16"/>
                <w:szCs w:val="16"/>
                <w:color w:val="auto"/>
              </w:rPr>
            </w:pPr>
          </w:p>
        </w:tc>
        <w:tc>
          <w:tcPr>
            <w:tcW w:w="7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811.6</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29.8 %</w:t>
            </w:r>
          </w:p>
        </w:tc>
      </w:tr>
      <w:tr>
        <w:trPr>
          <w:trHeight w:val="194"/>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-17.1 %</w:t>
            </w:r>
          </w:p>
        </w:tc>
      </w:tr>
      <w:tr>
        <w:trPr>
          <w:trHeight w:val="187"/>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12.7 %</w:t>
            </w:r>
          </w:p>
        </w:tc>
      </w:tr>
      <w:tr>
        <w:trPr>
          <w:trHeight w:val="21"/>
        </w:trPr>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551"/>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2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r>
      <w:tr>
        <w:trPr>
          <w:trHeight w:val="189"/>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r>
    </w:tbl>
    <w:p>
      <w:pPr>
        <w:spacing w:after="0" w:line="1" w:lineRule="exact"/>
        <w:rPr>
          <w:sz w:val="20"/>
          <w:szCs w:val="20"/>
          <w:color w:val="auto"/>
        </w:rPr>
      </w:pPr>
    </w:p>
    <w:p>
      <w:pPr>
        <w:sectPr>
          <w:pgSz w:w="11900" w:h="16838" w:orient="portrait"/>
          <w:cols w:equalWidth="0" w:num="2">
            <w:col w:w="6100" w:space="720"/>
            <w:col w:w="4100"/>
          </w:cols>
          <w:pgMar w:left="480" w:top="898" w:right="49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return on capital in excess of cost of capital</w:t>
            </w:r>
          </w:p>
        </w:tc>
        <w:tc>
          <w:tcPr>
            <w:tcW w:w="7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average capital</w:t>
            </w:r>
          </w:p>
        </w:tc>
        <w:tc>
          <w:tcPr>
            <w:tcW w:w="70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7,076.0</w:t>
            </w:r>
          </w:p>
        </w:tc>
        <w:tc>
          <w:tcPr>
            <w:tcW w:w="1140" w:type="dxa"/>
            <w:vAlign w:val="bottom"/>
            <w:gridSpan w:val="3"/>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6,372.2</w:t>
            </w:r>
          </w:p>
        </w:tc>
        <w:tc>
          <w:tcPr>
            <w:tcW w:w="160" w:type="dxa"/>
            <w:vAlign w:val="bottom"/>
            <w:shd w:val="clear" w:color="auto" w:fill="CCEEFF"/>
          </w:tcPr>
          <w:p>
            <w:pPr>
              <w:spacing w:after="0"/>
              <w:rPr>
                <w:sz w:val="16"/>
                <w:szCs w:val="16"/>
                <w:color w:val="auto"/>
              </w:rPr>
            </w:pPr>
          </w:p>
        </w:tc>
      </w:tr>
      <w:tr>
        <w:trPr>
          <w:trHeight w:val="182"/>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Economic profit</w:t>
            </w: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180" w:type="dxa"/>
            <w:vAlign w:val="bottom"/>
            <w:tcBorders>
              <w:top w:val="single" w:sz="8" w:color="auto"/>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160" w:type="dxa"/>
            <w:vAlign w:val="bottom"/>
            <w:tcBorders>
              <w:top w:val="single" w:sz="8" w:color="auto"/>
              <w:bottom w:val="single" w:sz="8" w:color="auto"/>
            </w:tcBorders>
          </w:tcPr>
          <w:p>
            <w:pPr>
              <w:spacing w:after="0"/>
              <w:rPr>
                <w:sz w:val="15"/>
                <w:szCs w:val="15"/>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0"/>
        </w:trPr>
        <w:tc>
          <w:tcPr>
            <w:tcW w:w="6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GAAP net income to economic profit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net income</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1140" w:type="dxa"/>
            <w:vAlign w:val="bottom"/>
            <w:tcBorders>
              <w:top w:val="single" w:sz="8" w:color="CCEEFF"/>
            </w:tcBorders>
            <w:gridSpan w:val="3"/>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160" w:type="dxa"/>
            <w:vAlign w:val="bottom"/>
            <w:tcBorders>
              <w:top w:val="single" w:sz="8" w:color="CCEEFF"/>
            </w:tcBorders>
            <w:shd w:val="clear" w:color="auto" w:fill="CCEEFF"/>
          </w:tcPr>
          <w:p>
            <w:pPr>
              <w:spacing w:after="0"/>
              <w:rPr>
                <w:sz w:val="15"/>
                <w:szCs w:val="15"/>
                <w:color w:val="auto"/>
              </w:rPr>
            </w:pPr>
          </w:p>
        </w:tc>
      </w:tr>
      <w:tr>
        <w:trPr>
          <w:trHeight w:val="18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Non-GAAP adjustments</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Borders>
              <w:bottom w:val="single" w:sz="8" w:color="auto"/>
            </w:tcBorders>
          </w:tcPr>
          <w:p>
            <w:pPr>
              <w:spacing w:after="0"/>
              <w:rPr>
                <w:sz w:val="16"/>
                <w:szCs w:val="16"/>
                <w:color w:val="auto"/>
              </w:rPr>
            </w:pPr>
          </w:p>
        </w:tc>
      </w:tr>
      <w:tr>
        <w:trPr>
          <w:trHeight w:val="18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60" w:type="dxa"/>
            <w:vAlign w:val="bottom"/>
            <w:shd w:val="clear" w:color="auto" w:fill="CCEEFF"/>
          </w:tcPr>
          <w:p>
            <w:pPr>
              <w:spacing w:after="0"/>
              <w:rPr>
                <w:sz w:val="15"/>
                <w:szCs w:val="15"/>
                <w:color w:val="auto"/>
              </w:rPr>
            </w:pPr>
          </w:p>
        </w:tc>
      </w:tr>
      <w:tr>
        <w:trPr>
          <w:trHeight w:val="18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Adjusted interest expense (after-tax)</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60" w:type="dxa"/>
            <w:vAlign w:val="bottom"/>
            <w:tcBorders>
              <w:bottom w:val="single" w:sz="8" w:color="auto"/>
            </w:tcBorders>
          </w:tcPr>
          <w:p>
            <w:pPr>
              <w:spacing w:after="0"/>
              <w:rPr>
                <w:sz w:val="16"/>
                <w:szCs w:val="16"/>
                <w:color w:val="auto"/>
              </w:rPr>
            </w:pPr>
          </w:p>
        </w:tc>
      </w:tr>
      <w:tr>
        <w:trPr>
          <w:trHeight w:val="18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plus interest expense (after-tax)</w:t>
            </w: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835.8</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w:t>
            </w:r>
          </w:p>
        </w:tc>
        <w:tc>
          <w:tcPr>
            <w:tcW w:w="160" w:type="dxa"/>
            <w:vAlign w:val="bottom"/>
            <w:shd w:val="clear" w:color="auto" w:fill="CCEEFF"/>
          </w:tcPr>
          <w:p>
            <w:pPr>
              <w:spacing w:after="0"/>
              <w:rPr>
                <w:sz w:val="15"/>
                <w:szCs w:val="15"/>
                <w:color w:val="auto"/>
              </w:rPr>
            </w:pPr>
          </w:p>
        </w:tc>
      </w:tr>
      <w:tr>
        <w:trPr>
          <w:trHeight w:val="18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cost of capital</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160" w:type="dxa"/>
            <w:vAlign w:val="bottom"/>
            <w:tcBorders>
              <w:bottom w:val="single" w:sz="8" w:color="auto"/>
            </w:tcBorders>
          </w:tcPr>
          <w:p>
            <w:pPr>
              <w:spacing w:after="0"/>
              <w:rPr>
                <w:sz w:val="16"/>
                <w:szCs w:val="16"/>
                <w:color w:val="auto"/>
              </w:rPr>
            </w:pPr>
          </w:p>
        </w:tc>
      </w:tr>
      <w:tr>
        <w:trPr>
          <w:trHeight w:val="208"/>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Economic profit</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160" w:type="dxa"/>
            <w:vAlign w:val="bottom"/>
            <w:tcBorders>
              <w:bottom w:val="single" w:sz="8" w:color="auto"/>
            </w:tcBorders>
            <w:shd w:val="clear" w:color="auto" w:fill="CCEEFF"/>
          </w:tcPr>
          <w:p>
            <w:pPr>
              <w:spacing w:after="0"/>
              <w:rPr>
                <w:sz w:val="17"/>
                <w:szCs w:val="17"/>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2"/>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salaries and wages</w:t>
            </w:r>
          </w:p>
        </w:tc>
        <w:tc>
          <w:tcPr>
            <w:tcW w:w="200" w:type="dxa"/>
            <w:vAlign w:val="bottom"/>
          </w:tcPr>
          <w:p>
            <w:pPr>
              <w:spacing w:after="0"/>
              <w:rPr>
                <w:sz w:val="15"/>
                <w:szCs w:val="15"/>
                <w:color w:val="auto"/>
              </w:rPr>
            </w:pP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14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60" w:type="dxa"/>
            <w:vAlign w:val="bottom"/>
          </w:tcPr>
          <w:p>
            <w:pPr>
              <w:spacing w:after="0"/>
              <w:rPr>
                <w:sz w:val="15"/>
                <w:szCs w:val="15"/>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general and administrative</w:t>
            </w:r>
          </w:p>
        </w:tc>
        <w:tc>
          <w:tcPr>
            <w:tcW w:w="7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60" w:type="dxa"/>
            <w:vAlign w:val="bottom"/>
            <w:shd w:val="clear" w:color="auto" w:fill="CCEEFF"/>
          </w:tcPr>
          <w:p>
            <w:pPr>
              <w:spacing w:after="0"/>
              <w:rPr>
                <w:sz w:val="16"/>
                <w:szCs w:val="16"/>
                <w:color w:val="auto"/>
              </w:rPr>
            </w:pPr>
          </w:p>
        </w:tc>
      </w:tr>
      <w:tr>
        <w:trPr>
          <w:trHeight w:val="18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GAAP sales and marketing</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60" w:type="dxa"/>
            <w:vAlign w:val="bottom"/>
            <w:tcBorders>
              <w:bottom w:val="single" w:sz="8" w:color="auto"/>
            </w:tcBorders>
          </w:tcPr>
          <w:p>
            <w:pPr>
              <w:spacing w:after="0"/>
              <w:rPr>
                <w:sz w:val="16"/>
                <w:szCs w:val="16"/>
                <w:color w:val="auto"/>
              </w:rPr>
            </w:pPr>
          </w:p>
        </w:tc>
      </w:tr>
      <w:tr>
        <w:trPr>
          <w:trHeight w:val="208"/>
        </w:trPr>
        <w:tc>
          <w:tcPr>
            <w:tcW w:w="68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Operating expenses</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160" w:type="dxa"/>
            <w:vAlign w:val="bottom"/>
            <w:tcBorders>
              <w:bottom w:val="single" w:sz="8" w:color="auto"/>
            </w:tcBorders>
            <w:shd w:val="clear" w:color="auto" w:fill="CCEEFF"/>
          </w:tcPr>
          <w:p>
            <w:pPr>
              <w:spacing w:after="0"/>
              <w:rPr>
                <w:sz w:val="17"/>
                <w:szCs w:val="17"/>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480" w:top="898" w:right="49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898" w:right="499" w:bottom="1440" w:gutter="0" w:footer="0" w:header="0"/>
          <w:type w:val="continuous"/>
        </w:sectPr>
      </w:pPr>
    </w:p>
    <w:bookmarkStart w:id="16" w:name="page17"/>
    <w:bookmarkEnd w:id="16"/>
    <w:p>
      <w:pPr>
        <w:ind w:left="480" w:hanging="310"/>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record taxes at our estimated long-term effective income tax rate of 23%.</w:t>
      </w:r>
    </w:p>
    <w:p>
      <w:pPr>
        <w:spacing w:after="0" w:line="17" w:lineRule="exact"/>
        <w:rPr>
          <w:rFonts w:ascii="Times New Roman" w:cs="Times New Roman" w:eastAsia="Times New Roman" w:hAnsi="Times New Roman"/>
          <w:sz w:val="14"/>
          <w:szCs w:val="14"/>
          <w:color w:val="auto"/>
        </w:rPr>
      </w:pPr>
    </w:p>
    <w:p>
      <w:pPr>
        <w:jc w:val="both"/>
        <w:ind w:left="500" w:hanging="330"/>
        <w:spacing w:after="0" w:line="241" w:lineRule="auto"/>
        <w:tabs>
          <w:tab w:leader="none" w:pos="51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enactment of the 2017 Tax Act in December 2017 resulted in the reversal of $118.5 million of provision for income taxes to reflect the new federal statutory income tax rate. This adjustment removes the impact of this reversal from adjusted average capital. We believe the income tax adjustment provides a more accurate reflection of the performance of our business as we are recognizing provision for income taxes at the applicable long-term effective tax rate for the period.</w:t>
      </w:r>
    </w:p>
    <w:p>
      <w:pPr>
        <w:spacing w:after="0" w:line="1"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GAAP net income by GAAP average shareholders' equity.</w:t>
      </w:r>
    </w:p>
    <w:p>
      <w:pPr>
        <w:spacing w:after="0" w:line="1"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return on capital is defined as adjusted net income plus adjusted interest expense after-tax divided by adjusted average capital.</w:t>
      </w:r>
    </w:p>
    <w:p>
      <w:pPr>
        <w:spacing w:after="0" w:line="1" w:lineRule="exact"/>
        <w:rPr>
          <w:rFonts w:ascii="Times New Roman" w:cs="Times New Roman" w:eastAsia="Times New Roman" w:hAnsi="Times New Roman"/>
          <w:sz w:val="14"/>
          <w:szCs w:val="14"/>
          <w:color w:val="auto"/>
        </w:rPr>
      </w:pPr>
    </w:p>
    <w:p>
      <w:pPr>
        <w:jc w:val="both"/>
        <w:ind w:left="500" w:hanging="330"/>
        <w:spacing w:after="0" w:line="247" w:lineRule="auto"/>
        <w:tabs>
          <w:tab w:leader="none" w:pos="53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30-year Treasury rate + 5%) + [(1 - tax rate) x (the average 30-year Treasury rate + 5% - pre-tax average cost of debt rate) x average debt/(average equity + average debt x tax rate)]. For the periods presented, the average 30-year Treasury rate and the adjusted pre-tax average cost of debt were as follows:</w:t>
      </w:r>
    </w:p>
    <w:p>
      <w:pPr>
        <w:spacing w:after="0" w:line="10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0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CCEEFF"/>
            </w:tcBorders>
          </w:tcPr>
          <w:p>
            <w:pPr>
              <w:spacing w:after="0"/>
              <w:rPr>
                <w:sz w:val="16"/>
                <w:szCs w:val="16"/>
                <w:color w:val="auto"/>
              </w:rPr>
            </w:pPr>
          </w:p>
        </w:tc>
        <w:tc>
          <w:tcPr>
            <w:tcW w:w="194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30-year Treasury rate</w:t>
            </w:r>
          </w:p>
        </w:tc>
        <w:tc>
          <w:tcPr>
            <w:tcW w:w="1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28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8"/>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pre-tax average cost of debt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2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Floating Yield Adjustment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net loan income (finance charge revenue less provision for credit losses expense) that we recognize over the life of a loan equals the cash we collect from the underlying Consumer Loan less the cash we pay to the dealer. We believe the economics of our business are best exhibited by recognizing loan revenue on a level-yield basis over the life of the loan based on expected future net cash flows. The purpose of this non-GAAP adjustment is to provide insight into our business by showing this level yield measure of income. Under GAAP, contractual amounts due in excess of the loan receivable balance at the time of assignment will be reflected as interest income, while contractual amounts due that are not expected to be collected are reflected in the provision for credit losses. Our non-GAAP floating yield adjustment recognizes the net effects of contractual interest income and expected credit losses in a single measure of finance charge revenue, consistent with how we manage our business. The floating yield adjustment recognizes revenue on a level-yield basis based upon expected future net cash flows. The floating yield adjustment does not accelerate revenue recognition. Rather, it reduces revenue by taking amounts that are reported under GAAP as provision for credit losses and instead treating them as reductions of revenue over time.</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 2020, we adopted CECL, which changed our GAAP methodology. Under the GAAP methodology we employed prior to January 1, 2020, net loan income was based on expected future net cash flows and was recognized on a level-yield basis over the estimated life of the loan. Favorable changes in expected future net cash flows were treated as increases to the yield and were recognized over time, while unfavorable changes were recorded as a current period expense. We do not believe the GAAP methodology we employed prior to January 1, 2020 provided sufficient transparency into the economics of our business due to its asymmetrical treatment of favorable and unfavorable changes to expected future net cash flows. While CECL eliminated that asymmetrical treatment of changes in expected future net cash flows from the GAAP methodology we employ, it introduced a different asymmetry by requiring us to recognize at the time of the loan’s assignment to us a significant provision for credit losses expense for amounts we never expect to realize and to recognize in subsequent periods finance charge revenue that is significantly in excess of our expected yields. Our floating yield adjustment enables us to provide measures of income that are not impacted by GAAP’s asymmetrical treatments of estimates.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floating yield adjustment is presented in a manner which reflects both the economic reality of our business and how the business is managed and provides valuable supplemental information to help investors better understand our business, executive compensation, liquidity and capital resources.</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Senior Notes Adjustment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purpose of this non-GAAP adjustment is to modify our GAAP financial results to treat the issuance of certain senior notes as a refinancing of certain previously-issued senior notes.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18, 2019, we issued $400.0 million of 5.125% senior notes due 2024 (the “2024 senior notes”). We used a portion of the net proceeds from the 2024 senior notes to repurchase or redeem all of the $300.0 million outstanding principal amount of our 6.125% senior notes due 2021 (the “2021 senior notes”), of which $148.2 million was repurchased on December 18, 2019 and the remaining $151.8 million was redeemed on January 17, 2020. We used the remaining net proceeds from the 2024 senior notes, together with borrowings under our revolving credit facility, to redeem in full the $250.0 million outstanding principal amount of our 7.375% senior notes due 2023 (the "2023 senior notes") on March 15, 2020. Under GAAP, the fourth quarter of 2019 included (i) a pre-tax loss on extinguishment of debt of $1.8 million related to the repurchase of 2021 senior notes in the fourth quarter of 2019 and the redemption of the remaining 2021 senior notes in the first quarter of 2020 and (ii) additional interest expense of $0.3 million on $160.0 million of additional outstanding debt caused by the one month lag from the issuance of the 2024 senior notes and repurchase of 2021 senior notes in the fourth quarter of 2019 to the redemption of the remaining 2021 senior notes in the first quarter of 2020. Under GAAP, the first quarter of 2020 included (i) a pre-tax loss on extinguishment of debt of $7.4 million related to the redemption of 2023 senior notes in the first quarter of 2020 and (ii) additional interest expense of $0.4 million on $160.0 million of additional outstanding debt caused by the one month lag from the issuance of the 2024 senior notes and repurchase of 2021 senior notes in the fourth quarter of 2019 to the redemption of the remaining 2021 senior notes in the first quarter of 2020.</w:t>
      </w:r>
    </w:p>
    <w:p>
      <w:pPr>
        <w:spacing w:after="0" w:line="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22, 2014, we issued the 2021 senior notes. On February 21, 2014, we used the net proceeds from the 2021 senior notes, together with borrowings under our revolving credit facilities, to redeem in full the $350.0 million outstanding principal amount of our 9.125% senior notes due 2017 (the “2017 senior notes”). Under GAAP, the first quarter of 2014 included (i) a pre-tax loss on extinguishment of debt of $21.8 million related to the redemption of the 2017 senior notes in the first quarter of 2014 and (ii) additional interest expense of $1.4 million on $276.0 million of additional outstanding debt caused by the one month lag from the issuance of the 2021 senior notes to the redemption of the 2017 senior notes.</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our non-GAAP approach, the loss on extinguishment of debt and additional interest expense that were recognized for GAAP purposes were in each case deferred as debt issuance costs and are being recognized ratably as interest expense over the term of the newly issued notes. In addition, for adjusted average capital purposes, the impact of additional outstanding debt related to the lag from the issuance of the new notes to the redemption of the previously issued notes was in each case deferred and is being recognized ratably over the term of the newly issued notes. Upon the issuance of the 2024 senior notes in the fourth quarter of 2019, the outstanding unamortized balances of the non-GAAP adjustments related to the 2021 senior notes were deferred and are being recognized ratably over the term of the 2024 senior notes.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65"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the senior notes adjustment provides a more accurate reflection of the performance of our business, since we are recognizing the costs incurred with these transactions in a manner consistent with how we recognize the costs incurred when we periodically refinance our other debt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Form 10-K for the year ended December 31, 2019, filed with the Securities and Exchange Commission on February 11, 2020, and in Part II – Item 1A of our Form 10-Q filed with the Securities and Exchange Commission on October 29, 2020, other risk factors discussed herein or listed from time to time in our reports filed with the Securities and Exchange Commission and the following: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Operational and Macroeconomic Risks</w:t>
      </w:r>
    </w:p>
    <w:p>
      <w:pPr>
        <w:spacing w:after="0" w:line="20" w:lineRule="exact"/>
        <w:rPr>
          <w:sz w:val="20"/>
          <w:szCs w:val="20"/>
          <w:color w:val="auto"/>
        </w:rPr>
      </w:pPr>
    </w:p>
    <w:p>
      <w:pPr>
        <w:jc w:val="both"/>
        <w:ind w:left="660" w:hanging="328"/>
        <w:spacing w:after="0" w:line="24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COVID-19 has adversely impacted our business, and the continuance of this pandemic, or any future outbreak of any contagious diseases or other public health emergency, could materially and adversely affect our business, financial condition, liquidity and results of operations.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accurately forecast and estimate the amount and timing of future collections could have a material adverse effect on results of operations.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competition from traditional financing sources and non-traditional lenders, we may not be able to compete successfully.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administer our ancillary product offerings could adversely affect our business and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senior management and the loss of any of these individuals or an inability to hire additional team members could adversely affect our ability to operate profitably.</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is a key asset to our business, and our business may be affected by how we are perceived in the marketplace.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dealers in several states could adversely affect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our outsourced business functions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foreign information technology personnel could be hindered by immigration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business strategy due to current economic conditions.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and Liquidity Risks</w:t>
      </w:r>
    </w:p>
    <w:p>
      <w:pPr>
        <w:spacing w:after="0" w:line="2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continue to access or renew funding sources and obtain capital needed to maintain and grow our business.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debt limit how we conduct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the terms of our asset-backed secured financing facilities or revolving secured warehouse facilities could have a material adverse impact on our operations.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could negatively impact our business, prevent us from satisfying our debt obligations and adversely affect our financial condition.</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flows to service our outstanding debt and fund operations and may be forced to take other actions to satisfy our obligations under such debt.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adversely affect our borrowing costs, profitability and liquidity.</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phaseout of the London Interbank Offered Rate (“LIBOR”), or the replacement of LIBOR with a different reference rate, could result in a material adverse effect on our business.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our credit rating could increase the cost of our funding from, and restrict our access to, the capital markets and adversely affect our liquidity, financial condition and results of operations.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substantially more debt and other liabilities. This could exacerbate further the risks associated with our current debt levels.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Information Technology and Cybersecurity Risks</w:t>
      </w:r>
    </w:p>
    <w:p>
      <w:pPr>
        <w:spacing w:after="0" w:line="1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dependence on technology could have a material adverse effect on our business.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electronic contracts could impact our ability to perfect our ownership or security interest in Consumer Loans.</w:t>
      </w:r>
    </w:p>
    <w:p>
      <w:pPr>
        <w:spacing w:after="0" w:line="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safeguard confidential consumer and team member information could subject us to liability, decrease our profitability and damage our reputation.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Legal and Regulatory Risks</w:t>
      </w:r>
    </w:p>
    <w:p>
      <w:pPr>
        <w:spacing w:after="0" w:line="2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we are involved in from time to time may adversely affect our financial condition, results of operations and cash flows.</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resolution of uncertain income tax matters could have a material adverse effect on our results of operations and cash flows from operations.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to which we are or may become subject could result in a material adverse effect on our business.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Webcast Details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will host a webcast on February 1, 2021 at 5:00 p.m. Eastern Time to answer questions related to our fourth quarter and full year results. The webcast can be accessed live by visiting the “Investor Relations” section of our website at </w:t>
      </w:r>
      <w:r>
        <w:rPr>
          <w:rFonts w:ascii="Times New Roman" w:cs="Times New Roman" w:eastAsia="Times New Roman" w:hAnsi="Times New Roman"/>
          <w:sz w:val="18"/>
          <w:szCs w:val="18"/>
          <w:u w:val="single" w:color="auto"/>
          <w:color w:val="auto"/>
        </w:rPr>
        <w:t>ir.creditacceptance.com</w:t>
      </w:r>
      <w:r>
        <w:rPr>
          <w:rFonts w:ascii="Times New Roman" w:cs="Times New Roman" w:eastAsia="Times New Roman" w:hAnsi="Times New Roman"/>
          <w:sz w:val="18"/>
          <w:szCs w:val="18"/>
          <w:color w:val="auto"/>
        </w:rPr>
        <w:t xml:space="preserve"> or by dialing 877-303-2904. Additionally, a replay and transcript of the webcast will be archived in the “Investor Relations” section of our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Credit Acceptance Corporation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w:t>
      </w:r>
      <w:r>
        <w:rPr>
          <w:rFonts w:ascii="Times New Roman" w:cs="Times New Roman" w:eastAsia="Times New Roman" w:hAnsi="Times New Roman"/>
          <w:sz w:val="18"/>
          <w:szCs w:val="18"/>
          <w:u w:val="single" w:color="auto"/>
          <w:color w:val="auto"/>
        </w:rPr>
        <w:t>creditacceptance.com</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008"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240" w:type="dxa"/>
            <w:vAlign w:val="bottom"/>
          </w:tcPr>
          <w:p>
            <w:pPr>
              <w:spacing w:after="0"/>
              <w:rPr>
                <w:sz w:val="16"/>
                <w:szCs w:val="16"/>
                <w:color w:val="auto"/>
              </w:rPr>
            </w:pPr>
          </w:p>
        </w:tc>
        <w:tc>
          <w:tcPr>
            <w:tcW w:w="3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360" w:type="dxa"/>
            <w:vAlign w:val="bottom"/>
          </w:tcPr>
          <w:p>
            <w:pPr>
              <w:spacing w:after="0"/>
              <w:rPr>
                <w:sz w:val="16"/>
                <w:szCs w:val="16"/>
                <w:color w:val="auto"/>
              </w:rPr>
            </w:pPr>
          </w:p>
        </w:tc>
        <w:tc>
          <w:tcPr>
            <w:tcW w:w="30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88"/>
        </w:trPr>
        <w:tc>
          <w:tcPr>
            <w:tcW w:w="41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charges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w:t>
            </w: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 earned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4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wages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claims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1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2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4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5"/>
        </w:trPr>
        <w:tc>
          <w:tcPr>
            <w:tcW w:w="4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9.43</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8.60</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23.47</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34.57</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17,564,101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18,758,168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17,858,935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18,900,256</w:t>
            </w:r>
          </w:p>
        </w:tc>
      </w:tr>
      <w:tr>
        <w:trPr>
          <w:trHeight w:val="234"/>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17,633,553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18,827,222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17,935,779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18,976,560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008" w:right="35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00" w:type="dxa"/>
            <w:vAlign w:val="bottom"/>
            <w:gridSpan w:val="4"/>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30"/>
        </w:trPr>
        <w:tc>
          <w:tcPr>
            <w:tcW w:w="20" w:type="dxa"/>
            <w:vAlign w:val="bottom"/>
          </w:tcPr>
          <w:p>
            <w:pPr>
              <w:spacing w:after="0"/>
              <w:rPr>
                <w:sz w:val="19"/>
                <w:szCs w:val="19"/>
                <w:color w:val="auto"/>
              </w:rPr>
            </w:pPr>
          </w:p>
        </w:tc>
        <w:tc>
          <w:tcPr>
            <w:tcW w:w="78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29"/>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Restricted securities available for sale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57"/>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Loans receivable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7,221.2</w:t>
            </w: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CEEFF"/>
            </w:tcBorders>
            <w:gridSpan w:val="5"/>
          </w:tcPr>
          <w:p>
            <w:pPr>
              <w:ind w:left="4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r>
      <w:tr>
        <w:trPr>
          <w:trHeight w:val="223"/>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Loans receivable, net</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6,787.9</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6,685.2</w:t>
            </w: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20" w:type="dxa"/>
            <w:vAlign w:val="bottom"/>
          </w:tcPr>
          <w:p>
            <w:pPr>
              <w:spacing w:after="0"/>
              <w:rPr>
                <w:sz w:val="19"/>
                <w:szCs w:val="19"/>
                <w:color w:val="auto"/>
              </w:rPr>
            </w:pPr>
          </w:p>
        </w:tc>
        <w:tc>
          <w:tcPr>
            <w:tcW w:w="78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3"/>
        </w:trPr>
        <w:tc>
          <w:tcPr>
            <w:tcW w:w="20" w:type="dxa"/>
            <w:vAlign w:val="bottom"/>
          </w:tcPr>
          <w:p>
            <w:pPr>
              <w:spacing w:after="0"/>
              <w:rPr>
                <w:sz w:val="19"/>
                <w:szCs w:val="19"/>
                <w:color w:val="auto"/>
              </w:rPr>
            </w:pPr>
          </w:p>
        </w:tc>
        <w:tc>
          <w:tcPr>
            <w:tcW w:w="786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7,489.0</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7,423.2</w:t>
            </w: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30"/>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Revolving secured line of credit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20" w:type="dxa"/>
            <w:vAlign w:val="bottom"/>
          </w:tcPr>
          <w:p>
            <w:pPr>
              <w:spacing w:after="0"/>
              <w:rPr>
                <w:sz w:val="19"/>
                <w:szCs w:val="19"/>
                <w:color w:val="auto"/>
              </w:rPr>
            </w:pPr>
          </w:p>
        </w:tc>
        <w:tc>
          <w:tcPr>
            <w:tcW w:w="78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Secured financing</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3,339.7</w:t>
            </w:r>
          </w:p>
        </w:tc>
      </w:tr>
      <w:tr>
        <w:trPr>
          <w:trHeight w:val="230"/>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r>
      <w:tr>
        <w:trPr>
          <w:trHeight w:val="230"/>
        </w:trPr>
        <w:tc>
          <w:tcPr>
            <w:tcW w:w="20" w:type="dxa"/>
            <w:vAlign w:val="bottom"/>
          </w:tcPr>
          <w:p>
            <w:pPr>
              <w:spacing w:after="0"/>
              <w:rPr>
                <w:sz w:val="19"/>
                <w:szCs w:val="19"/>
                <w:color w:val="auto"/>
              </w:rPr>
            </w:pPr>
          </w:p>
        </w:tc>
        <w:tc>
          <w:tcPr>
            <w:tcW w:w="78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Mortgage note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r>
      <w:tr>
        <w:trPr>
          <w:trHeight w:val="229"/>
        </w:trPr>
        <w:tc>
          <w:tcPr>
            <w:tcW w:w="20" w:type="dxa"/>
            <w:vAlign w:val="bottom"/>
          </w:tcPr>
          <w:p>
            <w:pPr>
              <w:spacing w:after="0"/>
              <w:rPr>
                <w:sz w:val="19"/>
                <w:szCs w:val="19"/>
                <w:color w:val="auto"/>
              </w:rPr>
            </w:pPr>
          </w:p>
        </w:tc>
        <w:tc>
          <w:tcPr>
            <w:tcW w:w="7860" w:type="dxa"/>
            <w:vAlign w:val="bottom"/>
            <w:tcBorders>
              <w:bottom w:val="single" w:sz="8" w:color="CCEEFF"/>
            </w:tcBorders>
            <w:gridSpan w:val="5"/>
          </w:tcPr>
          <w:p>
            <w:pPr>
              <w:ind w:left="4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20" w:type="dxa"/>
            <w:vAlign w:val="bottom"/>
          </w:tcPr>
          <w:p>
            <w:pPr>
              <w:spacing w:after="0"/>
              <w:rPr>
                <w:sz w:val="19"/>
                <w:szCs w:val="19"/>
                <w:color w:val="auto"/>
              </w:rPr>
            </w:pPr>
          </w:p>
        </w:tc>
        <w:tc>
          <w:tcPr>
            <w:tcW w:w="7860" w:type="dxa"/>
            <w:vAlign w:val="bottom"/>
            <w:gridSpan w:val="5"/>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5,186.5</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5,067.9</w:t>
            </w:r>
          </w:p>
        </w:tc>
      </w:tr>
      <w:tr>
        <w:trPr>
          <w:trHeight w:val="236"/>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Preferred stock, $.01 par value, 1,000,000 shares authorized, none issued</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20" w:type="dxa"/>
            <w:vAlign w:val="bottom"/>
          </w:tcPr>
          <w:p>
            <w:pPr>
              <w:spacing w:after="0"/>
              <w:rPr>
                <w:sz w:val="15"/>
                <w:szCs w:val="15"/>
                <w:color w:val="auto"/>
              </w:rPr>
            </w:pPr>
          </w:p>
        </w:tc>
        <w:tc>
          <w:tcPr>
            <w:tcW w:w="28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Common stock, $.01 par value,</w:t>
            </w:r>
          </w:p>
        </w:tc>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4"/>
              </w:rPr>
              <w:t xml:space="preserve">80,000,000 </w:t>
            </w:r>
            <w:r>
              <w:rPr>
                <w:rFonts w:ascii="Times New Roman" w:cs="Times New Roman" w:eastAsia="Times New Roman" w:hAnsi="Times New Roman"/>
                <w:sz w:val="18"/>
                <w:szCs w:val="18"/>
                <w:color w:val="auto"/>
                <w:w w:val="94"/>
                <w:shd w:val="clear" w:color="auto" w:fill="CCEEFF"/>
              </w:rPr>
              <w:t>shares authorized,</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17,092,432</w:t>
            </w:r>
          </w:p>
        </w:tc>
        <w:tc>
          <w:tcPr>
            <w:tcW w:w="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shd w:val="clear" w:color="auto" w:fill="CCEEFF"/>
              </w:rPr>
              <w:t>and</w:t>
            </w:r>
          </w:p>
        </w:tc>
        <w:tc>
          <w:tcPr>
            <w:tcW w:w="1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18,352,779 shares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issued and outstanding as of</w:t>
            </w:r>
          </w:p>
        </w:tc>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 and December 31, 2019, respectively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20" w:type="dxa"/>
            <w:vAlign w:val="bottom"/>
          </w:tcPr>
          <w:p>
            <w:pPr>
              <w:spacing w:after="0"/>
              <w:rPr>
                <w:sz w:val="19"/>
                <w:szCs w:val="19"/>
                <w:color w:val="auto"/>
              </w:rPr>
            </w:pPr>
          </w:p>
        </w:tc>
        <w:tc>
          <w:tcPr>
            <w:tcW w:w="78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Paid-in capital</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30"/>
        </w:trPr>
        <w:tc>
          <w:tcPr>
            <w:tcW w:w="20" w:type="dxa"/>
            <w:vAlign w:val="bottom"/>
          </w:tcPr>
          <w:p>
            <w:pPr>
              <w:spacing w:after="0"/>
              <w:rPr>
                <w:sz w:val="19"/>
                <w:szCs w:val="19"/>
                <w:color w:val="auto"/>
              </w:rPr>
            </w:pPr>
          </w:p>
        </w:tc>
        <w:tc>
          <w:tcPr>
            <w:tcW w:w="78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2,196.6</w:t>
            </w: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CEEFF"/>
            </w:tcBorders>
            <w:gridSpan w:val="5"/>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20" w:type="dxa"/>
            <w:vAlign w:val="bottom"/>
          </w:tcPr>
          <w:p>
            <w:pPr>
              <w:spacing w:after="0"/>
              <w:rPr>
                <w:sz w:val="19"/>
                <w:szCs w:val="19"/>
                <w:color w:val="auto"/>
              </w:rPr>
            </w:pPr>
          </w:p>
        </w:tc>
        <w:tc>
          <w:tcPr>
            <w:tcW w:w="7860" w:type="dxa"/>
            <w:vAlign w:val="bottom"/>
            <w:gridSpan w:val="5"/>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2,355.3</w:t>
            </w:r>
          </w:p>
        </w:tc>
      </w:tr>
      <w:tr>
        <w:trPr>
          <w:trHeight w:val="223"/>
        </w:trPr>
        <w:tc>
          <w:tcPr>
            <w:tcW w:w="20" w:type="dxa"/>
            <w:vAlign w:val="bottom"/>
          </w:tcPr>
          <w:p>
            <w:pPr>
              <w:spacing w:after="0"/>
              <w:rPr>
                <w:sz w:val="19"/>
                <w:szCs w:val="19"/>
                <w:color w:val="auto"/>
              </w:rPr>
            </w:pPr>
          </w:p>
        </w:tc>
        <w:tc>
          <w:tcPr>
            <w:tcW w:w="786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7,489.0</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7,423.2</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240"/>
      </w:cols>
      <w:pgMar w:left="300" w:top="10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lvl w:ilvl="1">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2021-02-01T15:06:05Z</dcterms:created>
  <dcterms:modified xsi:type="dcterms:W3CDTF">2021-02-01T15:06:05Z</dcterms:modified>
</cp:coreProperties>
</file>