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FORM 8-K</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26, 2020</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43"/>
          <w:szCs w:val="43"/>
          <w:u w:val="single" w:color="auto"/>
          <w:color w:val="auto"/>
        </w:rPr>
        <w:t>CREDIT ACCEPTANCE CORPORATION</w:t>
      </w:r>
    </w:p>
    <w:p>
      <w:pPr>
        <w:spacing w:after="0" w:line="38" w:lineRule="exact"/>
        <w:rPr>
          <w:sz w:val="24"/>
          <w:szCs w:val="24"/>
          <w:color w:val="auto"/>
        </w:rPr>
      </w:pPr>
    </w:p>
    <w:tbl>
      <w:tblPr>
        <w:tblLayout w:type="fixed"/>
        <w:tblInd w:w="10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4320" w:type="dxa"/>
            <w:vAlign w:val="bottom"/>
            <w:gridSpan w:val="5"/>
          </w:tcPr>
          <w:p>
            <w:pPr>
              <w:ind w:left="180"/>
              <w:spacing w:after="0"/>
              <w:rPr>
                <w:sz w:val="20"/>
                <w:szCs w:val="20"/>
                <w:color w:val="auto"/>
              </w:rPr>
            </w:pPr>
            <w:r>
              <w:rPr>
                <w:rFonts w:ascii="Arial" w:cs="Arial" w:eastAsia="Arial" w:hAnsi="Arial"/>
                <w:sz w:val="18"/>
                <w:szCs w:val="18"/>
                <w:color w:val="auto"/>
              </w:rPr>
              <w:t>(Exact name of registrant as specified in its charter)</w:t>
            </w:r>
          </w:p>
        </w:tc>
        <w:tc>
          <w:tcPr>
            <w:tcW w:w="3320" w:type="dxa"/>
            <w:vAlign w:val="bottom"/>
          </w:tcPr>
          <w:p>
            <w:pPr>
              <w:spacing w:after="0"/>
              <w:rPr>
                <w:sz w:val="20"/>
                <w:szCs w:val="20"/>
                <w:color w:val="auto"/>
              </w:rPr>
            </w:pPr>
          </w:p>
        </w:tc>
      </w:tr>
      <w:tr>
        <w:trPr>
          <w:trHeight w:val="699"/>
        </w:trPr>
        <w:tc>
          <w:tcPr>
            <w:tcW w:w="3480" w:type="dxa"/>
            <w:vAlign w:val="bottom"/>
          </w:tcPr>
          <w:p>
            <w:pPr>
              <w:jc w:val="center"/>
              <w:ind w:left="497"/>
              <w:spacing w:after="0"/>
              <w:rPr>
                <w:sz w:val="20"/>
                <w:szCs w:val="20"/>
                <w:color w:val="auto"/>
              </w:rPr>
            </w:pPr>
            <w:r>
              <w:rPr>
                <w:rFonts w:ascii="Arial" w:cs="Arial" w:eastAsia="Arial" w:hAnsi="Arial"/>
                <w:sz w:val="18"/>
                <w:szCs w:val="18"/>
                <w:color w:val="auto"/>
                <w:w w:val="97"/>
              </w:rPr>
              <w:t>Michigan</w:t>
            </w:r>
          </w:p>
        </w:tc>
        <w:tc>
          <w:tcPr>
            <w:tcW w:w="3520" w:type="dxa"/>
            <w:vAlign w:val="bottom"/>
            <w:gridSpan w:val="3"/>
          </w:tcPr>
          <w:p>
            <w:pPr>
              <w:jc w:val="right"/>
              <w:ind w:right="888"/>
              <w:spacing w:after="0"/>
              <w:rPr>
                <w:sz w:val="20"/>
                <w:szCs w:val="20"/>
                <w:color w:val="auto"/>
              </w:rPr>
            </w:pPr>
            <w:r>
              <w:rPr>
                <w:rFonts w:ascii="Arial" w:cs="Arial" w:eastAsia="Arial" w:hAnsi="Arial"/>
                <w:sz w:val="18"/>
                <w:szCs w:val="18"/>
                <w:color w:val="auto"/>
              </w:rPr>
              <w:t>000-20202</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20" w:type="dxa"/>
            <w:vAlign w:val="bottom"/>
          </w:tcPr>
          <w:p>
            <w:pPr>
              <w:jc w:val="center"/>
              <w:ind w:right="459"/>
              <w:spacing w:after="0"/>
              <w:rPr>
                <w:sz w:val="20"/>
                <w:szCs w:val="20"/>
                <w:color w:val="auto"/>
              </w:rPr>
            </w:pPr>
            <w:r>
              <w:rPr>
                <w:rFonts w:ascii="Arial" w:cs="Arial" w:eastAsia="Arial" w:hAnsi="Arial"/>
                <w:sz w:val="18"/>
                <w:szCs w:val="18"/>
                <w:color w:val="auto"/>
                <w:w w:val="89"/>
              </w:rPr>
              <w:t>38-1999511</w:t>
            </w:r>
          </w:p>
        </w:tc>
      </w:tr>
      <w:tr>
        <w:trPr>
          <w:trHeight w:val="54"/>
        </w:trPr>
        <w:tc>
          <w:tcPr>
            <w:tcW w:w="34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r>
      <w:tr>
        <w:trPr>
          <w:trHeight w:val="184"/>
        </w:trPr>
        <w:tc>
          <w:tcPr>
            <w:tcW w:w="3480" w:type="dxa"/>
            <w:vAlign w:val="bottom"/>
          </w:tcPr>
          <w:p>
            <w:pPr>
              <w:jc w:val="center"/>
              <w:ind w:left="497"/>
              <w:spacing w:after="0"/>
              <w:rPr>
                <w:sz w:val="20"/>
                <w:szCs w:val="20"/>
                <w:color w:val="auto"/>
              </w:rPr>
            </w:pPr>
            <w:r>
              <w:rPr>
                <w:rFonts w:ascii="Arial" w:cs="Arial" w:eastAsia="Arial" w:hAnsi="Arial"/>
                <w:sz w:val="14"/>
                <w:szCs w:val="14"/>
                <w:color w:val="auto"/>
                <w:w w:val="95"/>
              </w:rPr>
              <w:t>(State or other jurisdiction of incorporation)</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60" w:type="dxa"/>
            <w:vAlign w:val="bottom"/>
            <w:gridSpan w:val="3"/>
          </w:tcPr>
          <w:p>
            <w:pPr>
              <w:jc w:val="center"/>
              <w:ind w:right="740"/>
              <w:spacing w:after="0"/>
              <w:rPr>
                <w:sz w:val="20"/>
                <w:szCs w:val="20"/>
                <w:color w:val="auto"/>
              </w:rPr>
            </w:pPr>
            <w:r>
              <w:rPr>
                <w:rFonts w:ascii="Arial" w:cs="Arial" w:eastAsia="Arial" w:hAnsi="Arial"/>
                <w:sz w:val="14"/>
                <w:szCs w:val="14"/>
                <w:color w:val="auto"/>
                <w:w w:val="94"/>
              </w:rPr>
              <w:t>(Commission File Number)</w:t>
            </w:r>
          </w:p>
        </w:tc>
        <w:tc>
          <w:tcPr>
            <w:tcW w:w="3320" w:type="dxa"/>
            <w:vAlign w:val="bottom"/>
          </w:tcPr>
          <w:p>
            <w:pPr>
              <w:jc w:val="center"/>
              <w:ind w:right="459"/>
              <w:spacing w:after="0"/>
              <w:rPr>
                <w:sz w:val="20"/>
                <w:szCs w:val="20"/>
                <w:color w:val="auto"/>
              </w:rPr>
            </w:pPr>
            <w:r>
              <w:rPr>
                <w:rFonts w:ascii="Arial" w:cs="Arial" w:eastAsia="Arial" w:hAnsi="Arial"/>
                <w:sz w:val="14"/>
                <w:szCs w:val="14"/>
                <w:color w:val="auto"/>
                <w:w w:val="97"/>
              </w:rPr>
              <w:t>(IRS Employer Identification No.)</w:t>
            </w:r>
          </w:p>
        </w:tc>
      </w:tr>
      <w:tr>
        <w:trPr>
          <w:trHeight w:val="606"/>
        </w:trPr>
        <w:tc>
          <w:tcPr>
            <w:tcW w:w="3480" w:type="dxa"/>
            <w:vAlign w:val="bottom"/>
          </w:tcPr>
          <w:p>
            <w:pPr>
              <w:jc w:val="center"/>
              <w:ind w:left="577"/>
              <w:spacing w:after="0"/>
              <w:rPr>
                <w:sz w:val="20"/>
                <w:szCs w:val="20"/>
                <w:color w:val="auto"/>
              </w:rPr>
            </w:pPr>
            <w:r>
              <w:rPr>
                <w:rFonts w:ascii="Arial" w:cs="Arial" w:eastAsia="Arial" w:hAnsi="Arial"/>
                <w:sz w:val="18"/>
                <w:szCs w:val="18"/>
                <w:color w:val="auto"/>
                <w:w w:val="90"/>
              </w:rPr>
              <w:t>25505 West Twelve Mile Road</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97"/>
        </w:trPr>
        <w:tc>
          <w:tcPr>
            <w:tcW w:w="3480" w:type="dxa"/>
            <w:vAlign w:val="bottom"/>
          </w:tcPr>
          <w:p>
            <w:pPr>
              <w:jc w:val="center"/>
              <w:ind w:left="617"/>
              <w:spacing w:after="0"/>
              <w:rPr>
                <w:sz w:val="20"/>
                <w:szCs w:val="20"/>
                <w:color w:val="auto"/>
              </w:rPr>
            </w:pPr>
            <w:r>
              <w:rPr>
                <w:rFonts w:ascii="Arial" w:cs="Arial" w:eastAsia="Arial" w:hAnsi="Arial"/>
                <w:sz w:val="18"/>
                <w:szCs w:val="18"/>
                <w:color w:val="auto"/>
                <w:w w:val="97"/>
              </w:rPr>
              <w:t>Southfield, Michigan</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20" w:type="dxa"/>
            <w:vAlign w:val="bottom"/>
          </w:tcPr>
          <w:p>
            <w:pPr>
              <w:jc w:val="center"/>
              <w:ind w:right="459"/>
              <w:spacing w:after="0"/>
              <w:rPr>
                <w:sz w:val="20"/>
                <w:szCs w:val="20"/>
                <w:color w:val="auto"/>
              </w:rPr>
            </w:pPr>
            <w:r>
              <w:rPr>
                <w:rFonts w:ascii="Arial" w:cs="Arial" w:eastAsia="Arial" w:hAnsi="Arial"/>
                <w:sz w:val="18"/>
                <w:szCs w:val="18"/>
                <w:color w:val="auto"/>
                <w:w w:val="89"/>
              </w:rPr>
              <w:t>48034-8339</w:t>
            </w:r>
          </w:p>
        </w:tc>
      </w:tr>
      <w:tr>
        <w:trPr>
          <w:trHeight w:val="54"/>
        </w:trPr>
        <w:tc>
          <w:tcPr>
            <w:tcW w:w="34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r>
      <w:tr>
        <w:trPr>
          <w:trHeight w:val="184"/>
        </w:trPr>
        <w:tc>
          <w:tcPr>
            <w:tcW w:w="3480" w:type="dxa"/>
            <w:vAlign w:val="bottom"/>
          </w:tcPr>
          <w:p>
            <w:pPr>
              <w:jc w:val="center"/>
              <w:ind w:left="557"/>
              <w:spacing w:after="0"/>
              <w:rPr>
                <w:sz w:val="20"/>
                <w:szCs w:val="20"/>
                <w:color w:val="auto"/>
              </w:rPr>
            </w:pPr>
            <w:r>
              <w:rPr>
                <w:rFonts w:ascii="Arial" w:cs="Arial" w:eastAsia="Arial" w:hAnsi="Arial"/>
                <w:sz w:val="14"/>
                <w:szCs w:val="14"/>
                <w:color w:val="auto"/>
                <w:w w:val="95"/>
              </w:rPr>
              <w:t>(Address of principal executive offices)</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320" w:type="dxa"/>
            <w:vAlign w:val="bottom"/>
          </w:tcPr>
          <w:p>
            <w:pPr>
              <w:jc w:val="center"/>
              <w:ind w:right="459"/>
              <w:spacing w:after="0"/>
              <w:rPr>
                <w:sz w:val="20"/>
                <w:szCs w:val="20"/>
                <w:color w:val="auto"/>
              </w:rPr>
            </w:pPr>
            <w:r>
              <w:rPr>
                <w:rFonts w:ascii="Arial" w:cs="Arial" w:eastAsia="Arial" w:hAnsi="Arial"/>
                <w:sz w:val="14"/>
                <w:szCs w:val="14"/>
                <w:color w:val="auto"/>
                <w:w w:val="93"/>
              </w:rPr>
              <w:t>(Zip Code)</w:t>
            </w:r>
          </w:p>
        </w:tc>
      </w:tr>
    </w:tbl>
    <w:p>
      <w:pPr>
        <w:spacing w:after="0" w:line="3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(248) 353-2700</w:t>
      </w: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48895</wp:posOffset>
            </wp:positionV>
            <wp:extent cx="39776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77640" cy="8890"/>
                    </a:xfrm>
                    <a:prstGeom prst="rect">
                      <a:avLst/>
                    </a:prstGeom>
                    <a:noFill/>
                  </pic:spPr>
                </pic:pic>
              </a:graphicData>
            </a:graphic>
          </wp:anchor>
        </w:drawing>
      </w:r>
    </w:p>
    <w:p>
      <w:pPr>
        <w:spacing w:after="0" w:line="7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8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Title of each class</w:t>
            </w:r>
          </w:p>
        </w:tc>
        <w:tc>
          <w:tcPr>
            <w:tcW w:w="2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Trading symbol(s)</w:t>
            </w:r>
          </w:p>
        </w:tc>
        <w:tc>
          <w:tcPr>
            <w:tcW w:w="448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47"/>
        </w:trPr>
        <w:tc>
          <w:tcPr>
            <w:tcW w:w="4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r>
      <w:tr>
        <w:trPr>
          <w:trHeight w:val="237"/>
        </w:trPr>
        <w:tc>
          <w:tcPr>
            <w:tcW w:w="47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Stock, $.01 par value</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CACC</w:t>
            </w:r>
          </w:p>
        </w:tc>
        <w:tc>
          <w:tcPr>
            <w:tcW w:w="4480" w:type="dxa"/>
            <w:vAlign w:val="bottom"/>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26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240"/>
          </w:cols>
          <w:pgMar w:left="320" w:top="109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Credit Acceptance Corporation (the “Company”, “Credit Acceptance”, “we”, “our”, or “us”) is reporting certain consumer loan metrics and updates to a legal matter in connection with a potential debt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Consumer Loan Metrics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Dealers assign retail installment contracts (referred to as “Consumer Loans”) to Credit Acceptance. At the time a Consumer Loan is submitted to us for assignment, we forecast future expected cash flows from the Consumer Loan. Based on the amount and timing of these forecasts and expected expense levels, an advance or one-time purchase payment is made to the related dealer at a price designed to maximize economic profit, a non-GAAP financial measure that considers our return on capital, our cost of capital and the amount of capital invested.</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use a statistical model to estimate the expected collection rate for each Consumer Loan at the time of assignment. We continue to evaluate the expected collection rate of each Consumer Loan subsequent to assignment. Our evaluation becomes more accurate as the Consumer Loans age, as we use actual performance data in our forecast. By comparing our current expected collection rate for each Consumer Loan with the rate we projected at the time of assignment, we are able to assess the accuracy of our initial forecast. The following table compares our forecast of Consumer Loan collection rates as of May 31, 2020 with the forecasts as of March 31, 2020, as of December 31, 2019 and at the time of assignment, segmented by year of assignment: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Forecasted Collection Percentage as of (1)</w:t>
            </w:r>
          </w:p>
        </w:tc>
        <w:tc>
          <w:tcPr>
            <w:tcW w:w="1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tcBorders>
              <w:bottom w:val="single" w:sz="8" w:color="auto"/>
            </w:tcBorders>
            <w:gridSpan w:val="5"/>
          </w:tcPr>
          <w:p>
            <w:pPr>
              <w:jc w:val="right"/>
              <w:ind w:right="932"/>
              <w:spacing w:after="0"/>
              <w:rPr>
                <w:sz w:val="20"/>
                <w:szCs w:val="20"/>
                <w:color w:val="auto"/>
              </w:rPr>
            </w:pPr>
            <w:r>
              <w:rPr>
                <w:rFonts w:ascii="Arial" w:cs="Arial" w:eastAsia="Arial" w:hAnsi="Arial"/>
                <w:sz w:val="14"/>
                <w:szCs w:val="14"/>
                <w:b w:val="1"/>
                <w:bCs w:val="1"/>
                <w:color w:val="auto"/>
              </w:rPr>
              <w:t>Current Forecast Variance from</w:t>
            </w:r>
          </w:p>
        </w:tc>
        <w:tc>
          <w:tcPr>
            <w:tcW w:w="0" w:type="dxa"/>
            <w:vAlign w:val="bottom"/>
          </w:tcPr>
          <w:p>
            <w:pPr>
              <w:spacing w:after="0"/>
              <w:rPr>
                <w:sz w:val="1"/>
                <w:szCs w:val="1"/>
                <w:color w:val="auto"/>
              </w:rPr>
            </w:pPr>
          </w:p>
        </w:tc>
      </w:tr>
      <w:tr>
        <w:trPr>
          <w:trHeight w:val="153"/>
        </w:trPr>
        <w:tc>
          <w:tcPr>
            <w:tcW w:w="17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Consumer Loan</w:t>
            </w:r>
          </w:p>
        </w:tc>
        <w:tc>
          <w:tcPr>
            <w:tcW w:w="134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May 31,</w:t>
            </w: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March 31, 2020</w:t>
            </w: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 2019</w:t>
            </w: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Initial Forecast</w:t>
            </w:r>
          </w:p>
        </w:tc>
        <w:tc>
          <w:tcPr>
            <w:tcW w:w="13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March 31, 2020</w:t>
            </w:r>
          </w:p>
        </w:tc>
        <w:tc>
          <w:tcPr>
            <w:tcW w:w="1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31, 2019</w:t>
            </w:r>
          </w:p>
        </w:tc>
        <w:tc>
          <w:tcPr>
            <w:tcW w:w="13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Initial Forecast</w:t>
            </w:r>
          </w:p>
        </w:tc>
        <w:tc>
          <w:tcPr>
            <w:tcW w:w="0" w:type="dxa"/>
            <w:vAlign w:val="bottom"/>
          </w:tcPr>
          <w:p>
            <w:pPr>
              <w:spacing w:after="0"/>
              <w:rPr>
                <w:sz w:val="1"/>
                <w:szCs w:val="1"/>
                <w:color w:val="auto"/>
              </w:rPr>
            </w:pPr>
          </w:p>
        </w:tc>
      </w:tr>
      <w:tr>
        <w:trPr>
          <w:trHeight w:val="205"/>
        </w:trPr>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Assignment Year</w:t>
            </w:r>
          </w:p>
        </w:tc>
        <w:tc>
          <w:tcPr>
            <w:tcW w:w="12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6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43"/>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43"/>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43"/>
        </w:trPr>
        <w:tc>
          <w:tcPr>
            <w:tcW w:w="1660" w:type="dxa"/>
            <w:vAlign w:val="bottom"/>
          </w:tcPr>
          <w:p>
            <w:pPr>
              <w:jc w:val="right"/>
              <w:ind w:right="313"/>
              <w:spacing w:after="0"/>
              <w:rPr>
                <w:sz w:val="20"/>
                <w:szCs w:val="20"/>
                <w:color w:val="auto"/>
              </w:rPr>
            </w:pPr>
            <w:r>
              <w:rPr>
                <w:rFonts w:ascii="Arial" w:cs="Arial" w:eastAsia="Arial" w:hAnsi="Arial"/>
                <w:sz w:val="18"/>
                <w:szCs w:val="18"/>
                <w:color w:val="auto"/>
              </w:rPr>
              <w:t>2020 (2)</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00" w:hanging="330"/>
        <w:spacing w:after="0" w:line="247" w:lineRule="auto"/>
        <w:tabs>
          <w:tab w:leader="none" w:pos="38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the total forecasted collections we expect to collect on the Consumer Loans as a percentage of the repayments that we were contractually owed on the Consumer Loans at the time of assignment. Contractual repayments include both principal and interest. Forecasted collection rates are negatively impacted by canceled Consumer Loans as the contractual amount owed is not removed from the denominator for purposes of computing forecasted collection rates in the table.</w:t>
      </w:r>
    </w:p>
    <w:p>
      <w:pPr>
        <w:ind w:left="500" w:hanging="330"/>
        <w:spacing w:after="0" w:line="255" w:lineRule="auto"/>
        <w:tabs>
          <w:tab w:leader="none" w:pos="38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forecasted collection rate for 2020 Consumer Loans as of May 31, 2020 includes both Consumer Loans that were in our portfolio as of March 31, 2020 and Consumer Loans assigned during the most recent quarter. The following table provides forecasted collection rates for each of these segments: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60" w:type="dxa"/>
            <w:vAlign w:val="bottom"/>
            <w:tcBorders>
              <w:bottom w:val="single" w:sz="8" w:color="auto"/>
            </w:tcBorders>
            <w:gridSpan w:val="5"/>
          </w:tcPr>
          <w:p>
            <w:pPr>
              <w:jc w:val="right"/>
              <w:ind w:right="916"/>
              <w:spacing w:after="0"/>
              <w:rPr>
                <w:sz w:val="20"/>
                <w:szCs w:val="20"/>
                <w:color w:val="auto"/>
              </w:rPr>
            </w:pPr>
            <w:r>
              <w:rPr>
                <w:rFonts w:ascii="Arial" w:cs="Arial" w:eastAsia="Arial" w:hAnsi="Arial"/>
                <w:sz w:val="14"/>
                <w:szCs w:val="14"/>
                <w:b w:val="1"/>
                <w:bCs w:val="1"/>
                <w:color w:val="auto"/>
              </w:rPr>
              <w:t>Forecasted Collection Percentage as of</w:t>
            </w:r>
          </w:p>
        </w:tc>
        <w:tc>
          <w:tcPr>
            <w:tcW w:w="100" w:type="dxa"/>
            <w:vAlign w:val="bottom"/>
          </w:tcPr>
          <w:p>
            <w:pPr>
              <w:spacing w:after="0"/>
              <w:rPr>
                <w:sz w:val="17"/>
                <w:szCs w:val="17"/>
                <w:color w:val="auto"/>
              </w:rPr>
            </w:pPr>
          </w:p>
        </w:tc>
        <w:tc>
          <w:tcPr>
            <w:tcW w:w="292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Current Forecast Variance from</w:t>
            </w:r>
          </w:p>
        </w:tc>
      </w:tr>
      <w:tr>
        <w:trPr>
          <w:trHeight w:val="263"/>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2020 Consumer Loan Assignment Period</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May 31, 2020</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Initial Forecast</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Initial Forecast</w:t>
            </w:r>
          </w:p>
        </w:tc>
      </w:tr>
      <w:tr>
        <w:trPr>
          <w:trHeight w:val="25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2020 through March 31, 2020</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43"/>
        </w:trPr>
        <w:tc>
          <w:tcPr>
            <w:tcW w:w="3860" w:type="dxa"/>
            <w:vAlign w:val="bottom"/>
            <w:gridSpan w:val="2"/>
          </w:tcPr>
          <w:p>
            <w:pPr>
              <w:ind w:left="40"/>
              <w:spacing w:after="0"/>
              <w:rPr>
                <w:sz w:val="20"/>
                <w:szCs w:val="20"/>
                <w:color w:val="auto"/>
              </w:rPr>
            </w:pPr>
            <w:r>
              <w:rPr>
                <w:rFonts w:ascii="Arial" w:cs="Arial" w:eastAsia="Arial" w:hAnsi="Arial"/>
                <w:sz w:val="18"/>
                <w:szCs w:val="18"/>
                <w:color w:val="auto"/>
              </w:rPr>
              <w:t>April 1, 2020 through May 31, 2020</w:t>
            </w:r>
          </w:p>
        </w:tc>
        <w:tc>
          <w:tcPr>
            <w:tcW w:w="138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0.1 %</w:t>
            </w:r>
          </w:p>
        </w:tc>
      </w:tr>
    </w:tbl>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Consumer Loans assigned in 2011 through 2013 have yielded forecasted collection results materially better than our initial estimates, while Consumer Loans assigned in 2015 and 2016 have yielded forecasted collection results materially worse than our initial estimates. For Consumer Loans assigned in 2014 and 2017 through 2020, actual results have been close to our initial estimates. For the two months ended May 31, 2020, forecasted collection rates improved for Consumer Loans assigned in 2019 and 2020 and were generally consistent with expectations at the start of the period for all other assignment years presented. For the five months ended May 31, 2020, forecasted collection rates declined for Consumer Loans assigned in 2016 through 2020 and were generally consistent with expectations at the start of the period for all other assignment years presented.</w:t>
      </w:r>
    </w:p>
    <w:p>
      <w:pPr>
        <w:sectPr>
          <w:pgSz w:w="11900" w:h="16838" w:orient="portrait"/>
          <w:cols w:equalWidth="0" w:num="1">
            <w:col w:w="11240"/>
          </w:cols>
          <w:pgMar w:left="320" w:top="985" w:right="339" w:bottom="1440" w:gutter="0" w:footer="0" w:header="0"/>
        </w:sectPr>
      </w:pPr>
    </w:p>
    <w:bookmarkStart w:id="2" w:name="page3"/>
    <w:bookmarkEnd w:id="2"/>
    <w:p>
      <w:pPr>
        <w:ind w:right="20"/>
        <w:spacing w:after="0" w:line="277" w:lineRule="auto"/>
        <w:rPr>
          <w:sz w:val="20"/>
          <w:szCs w:val="20"/>
          <w:color w:val="auto"/>
        </w:rPr>
      </w:pPr>
      <w:r>
        <w:rPr>
          <w:rFonts w:ascii="Arial" w:cs="Arial" w:eastAsia="Arial" w:hAnsi="Arial"/>
          <w:sz w:val="18"/>
          <w:szCs w:val="18"/>
          <w:color w:val="auto"/>
        </w:rPr>
        <w:t>The following table compares our forecast of Consumer Loan collection rates as of May 31, 2020 with the forecasts at the time of assignment, for dealer loans and purchased loans separately:</w:t>
      </w:r>
    </w:p>
    <w:p>
      <w:pPr>
        <w:sectPr>
          <w:pgSz w:w="11900" w:h="16838" w:orient="portrait"/>
          <w:cols w:equalWidth="0" w:num="1">
            <w:col w:w="11240"/>
          </w:cols>
          <w:pgMar w:left="320" w:top="989" w:right="339" w:bottom="1440" w:gutter="0" w:footer="0" w:header="0"/>
        </w:sectPr>
      </w:pPr>
    </w:p>
    <w:p>
      <w:pPr>
        <w:spacing w:after="0" w:line="162" w:lineRule="exact"/>
        <w:rPr>
          <w:sz w:val="20"/>
          <w:szCs w:val="20"/>
          <w:color w:val="auto"/>
        </w:rPr>
      </w:pPr>
    </w:p>
    <w:p>
      <w:pPr>
        <w:ind w:left="4220"/>
        <w:spacing w:after="0"/>
        <w:rPr>
          <w:sz w:val="20"/>
          <w:szCs w:val="20"/>
          <w:color w:val="auto"/>
        </w:rPr>
      </w:pPr>
      <w:r>
        <w:rPr>
          <w:rFonts w:ascii="Arial" w:cs="Arial" w:eastAsia="Arial" w:hAnsi="Arial"/>
          <w:sz w:val="14"/>
          <w:szCs w:val="14"/>
          <w:b w:val="1"/>
          <w:bCs w:val="1"/>
          <w:color w:val="auto"/>
        </w:rPr>
        <w:t>Dealer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23495</wp:posOffset>
            </wp:positionV>
            <wp:extent cx="27603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60345" cy="17145"/>
                    </a:xfrm>
                    <a:prstGeom prst="rect">
                      <a:avLst/>
                    </a:prstGeom>
                    <a:noFill/>
                  </pic:spPr>
                </pic:pic>
              </a:graphicData>
            </a:graphic>
          </wp:anchor>
        </w:drawing>
      </w:r>
    </w:p>
    <w:p>
      <w:pPr>
        <w:spacing w:after="0" w:line="103" w:lineRule="exact"/>
        <w:rPr>
          <w:sz w:val="20"/>
          <w:szCs w:val="20"/>
          <w:color w:val="auto"/>
        </w:rPr>
      </w:pPr>
    </w:p>
    <w:p>
      <w:pPr>
        <w:ind w:left="2580"/>
        <w:spacing w:after="0"/>
        <w:rPr>
          <w:sz w:val="20"/>
          <w:szCs w:val="20"/>
          <w:color w:val="auto"/>
        </w:rPr>
      </w:pPr>
      <w:r>
        <w:rPr>
          <w:rFonts w:ascii="Arial" w:cs="Arial" w:eastAsia="Arial" w:hAnsi="Arial"/>
          <w:sz w:val="12"/>
          <w:szCs w:val="12"/>
          <w:b w:val="1"/>
          <w:bCs w:val="1"/>
          <w:color w:val="auto"/>
        </w:rPr>
        <w:t>Forecasted Collection Percentage as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38100</wp:posOffset>
            </wp:positionV>
            <wp:extent cx="17913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right"/>
        <w:ind w:right="1640"/>
        <w:spacing w:after="0"/>
        <w:rPr>
          <w:sz w:val="20"/>
          <w:szCs w:val="20"/>
          <w:color w:val="auto"/>
        </w:rPr>
      </w:pPr>
      <w:r>
        <w:rPr>
          <w:rFonts w:ascii="Arial" w:cs="Arial" w:eastAsia="Arial" w:hAnsi="Arial"/>
          <w:sz w:val="14"/>
          <w:szCs w:val="14"/>
          <w:b w:val="1"/>
          <w:bCs w:val="1"/>
          <w:color w:val="auto"/>
        </w:rPr>
        <w:t>Purchased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23495</wp:posOffset>
            </wp:positionV>
            <wp:extent cx="27603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60345" cy="17145"/>
                    </a:xfrm>
                    <a:prstGeom prst="rect">
                      <a:avLst/>
                    </a:prstGeom>
                    <a:noFill/>
                  </pic:spPr>
                </pic:pic>
              </a:graphicData>
            </a:graphic>
          </wp:anchor>
        </w:drawing>
      </w:r>
    </w:p>
    <w:p>
      <w:pPr>
        <w:spacing w:after="0" w:line="103" w:lineRule="exact"/>
        <w:rPr>
          <w:sz w:val="20"/>
          <w:szCs w:val="20"/>
          <w:color w:val="auto"/>
        </w:rPr>
      </w:pPr>
    </w:p>
    <w:p>
      <w:pPr>
        <w:jc w:val="right"/>
        <w:ind w:right="1640"/>
        <w:spacing w:after="0"/>
        <w:rPr>
          <w:sz w:val="20"/>
          <w:szCs w:val="20"/>
          <w:color w:val="auto"/>
        </w:rPr>
      </w:pPr>
      <w:r>
        <w:rPr>
          <w:rFonts w:ascii="Arial" w:cs="Arial" w:eastAsia="Arial" w:hAnsi="Arial"/>
          <w:sz w:val="12"/>
          <w:szCs w:val="12"/>
          <w:b w:val="1"/>
          <w:bCs w:val="1"/>
          <w:color w:val="auto"/>
        </w:rPr>
        <w:t>Forecasted Collection Percentage as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38100</wp:posOffset>
            </wp:positionV>
            <wp:extent cx="17913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79" w:lineRule="exact"/>
        <w:rPr>
          <w:sz w:val="20"/>
          <w:szCs w:val="20"/>
          <w:color w:val="auto"/>
        </w:rPr>
      </w:pPr>
    </w:p>
    <w:p>
      <w:pPr>
        <w:sectPr>
          <w:pgSz w:w="11900" w:h="16838" w:orient="portrait"/>
          <w:cols w:equalWidth="0" w:num="2">
            <w:col w:w="6320" w:space="720"/>
            <w:col w:w="4200"/>
          </w:cols>
          <w:pgMar w:left="320" w:top="989"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4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1"/>
              </w:rPr>
              <w:t>Consumer Loan Assignment Year</w:t>
            </w:r>
          </w:p>
        </w:tc>
        <w:tc>
          <w:tcPr>
            <w:tcW w:w="14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May 31, 2020</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Initial</w:t>
            </w:r>
          </w:p>
        </w:tc>
        <w:tc>
          <w:tcPr>
            <w:tcW w:w="154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Variance</w:t>
            </w:r>
          </w:p>
        </w:tc>
        <w:tc>
          <w:tcPr>
            <w:tcW w:w="14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May 31, 2020</w:t>
            </w:r>
          </w:p>
        </w:tc>
        <w:tc>
          <w:tcPr>
            <w:tcW w:w="1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Initial</w:t>
            </w:r>
          </w:p>
        </w:tc>
        <w:tc>
          <w:tcPr>
            <w:tcW w:w="14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205"/>
        </w:trPr>
        <w:tc>
          <w:tcPr>
            <w:tcW w:w="2440" w:type="dxa"/>
            <w:vAlign w:val="bottom"/>
            <w:gridSpan w:val="2"/>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Forecast</w:t>
            </w:r>
          </w:p>
        </w:tc>
        <w:tc>
          <w:tcPr>
            <w:tcW w:w="1540" w:type="dxa"/>
            <w:vAlign w:val="bottom"/>
            <w:gridSpan w:val="2"/>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Forecast</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3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43"/>
        </w:trPr>
        <w:tc>
          <w:tcPr>
            <w:tcW w:w="232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43"/>
        </w:trPr>
        <w:tc>
          <w:tcPr>
            <w:tcW w:w="232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43"/>
        </w:trPr>
        <w:tc>
          <w:tcPr>
            <w:tcW w:w="23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43"/>
        </w:trPr>
        <w:tc>
          <w:tcPr>
            <w:tcW w:w="23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43"/>
        </w:trPr>
        <w:tc>
          <w:tcPr>
            <w:tcW w:w="23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(1) The forecasted collection rates presented for dealer loans and purchased loans reflect the Consumer Loan classification at the time of assignment.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Update to Legal Matter</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22, 2019, we received a civil investigative demand from the Bureau of Consumer Financial Protection (the “Bureau”) seeking, among other things, certain information relating to the Company’s origination and collection of Consumer Loans, TPPs and credit reporting. On May 7, 2020 we received another civil investigative demand from the Bureau seeking additional information relating to its investigation. The Company raised various objections to the May 7, 2020 civil investigative demand, and on May 26, 2020, we were notified that it was withdrawn. On June 1, 2020, we received another civil investigative demand that was similar to the May 7, 2020 demand, and which raised many of the same objections. We have formally petitioned the Bureau to modify the June 1, 2020 civil investigative demand and continue to cooperate with the investigation, but cannot predict the eventual scope, duration or outcome at this time. As a result, we are unable to estimate the reasonably possible loss or range of reasonably possible loss arising from this investigation.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Current Report on Form 8-K contains forward-looking statements. These forward-looking statements are subject to risks and uncertainties and include information about our expectations and possible or assumed future results of operations. When we use any of the words “may,” “will,” “should,” “believe,” “expect,” “anticipate,” “assume,” “forecast,” “estimate,” “intend,” “plan,” “target” or similar expressions, we are making forward-looking statements.</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claim the protection of the safe harbor for forward-looking statements contained in the Private Securities Litigation Reform Act of 1995 for all of our forward-looking statements. These forward-looking statements represent our outlook only as of the date of this report. While we believe that our forward-looking statements are reasonable, actual results could differ materially since the statements are based on our current expectations, which are subject to risks and uncertainties. Factors that might cause such a difference include, but are not limited to, the factors set forth under Item 1A to our Form 10-K for the year ended December 31, 2019, filed with the SEC on February 11, 2020, and the risks and uncertainties discussed in our other reports filed or furnished from time to time with the SEC and the following:</w:t>
      </w:r>
    </w:p>
    <w:p>
      <w:pPr>
        <w:spacing w:after="0" w:line="192" w:lineRule="exact"/>
        <w:rPr>
          <w:sz w:val="20"/>
          <w:szCs w:val="20"/>
          <w:color w:val="auto"/>
        </w:rPr>
      </w:pPr>
    </w:p>
    <w:p>
      <w:pPr>
        <w:ind w:left="66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accurately forecast and estimate the amount and timing of future collections could have a material adverse effect on results of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execute our business strategy due to current economic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continue to access or renew funding sources and obtain capital needed to maintain and grow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of our debt limit how we conduct our business.</w:t>
      </w:r>
    </w:p>
    <w:p>
      <w:pPr>
        <w:sectPr>
          <w:pgSz w:w="11900" w:h="16838" w:orient="portrait"/>
          <w:cols w:equalWidth="0" w:num="1">
            <w:col w:w="11240"/>
          </w:cols>
          <w:pgMar w:left="320" w:top="989" w:right="339" w:bottom="1440" w:gutter="0" w:footer="0" w:header="0"/>
          <w:type w:val="continuous"/>
        </w:sectPr>
      </w:pPr>
    </w:p>
    <w:bookmarkStart w:id="3" w:name="page4"/>
    <w:bookmarkEnd w:id="3"/>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violation of the terms of our asset-backed secured financing facilities or revolving secured warehouse facilities could have a material adverse impact on our operations.</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conditions of the U.S. and international capital markets may adversely affect lenders with which we have relationships, causing us to incur additional costs and reducing our sources of liquidity, which may adversely affect our financial position, liquidity and results of operations.</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substantial debt could negatively impact our business, prevent us from satisfying our debt obligations and adversely affect our financial condition.</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Due to competition from traditional financing sources and non-traditional lenders, we may not be able to compete successfully.</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generate sufficient cash flows to service our outstanding debt and fund operations and may be forced to take other actions to satisfy our obligations under such debt.</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rate fluctuations may adversely affect our borrowing costs, profitability and liquidity.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Reduction in our credit rating could increase the cost of our funding from, and restrict our access to, the capital markets and adversely affect our liquidity, financial condition and results of operations.</w:t>
      </w: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incur substantially more debt and other liabilities. This could exacerbate further the risks associated with our current debt levels.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regulation to which we are or may become subject could result in a material adverse effect on our business.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economic conditions, the automobile or finance industries, or the non-prime consumer market could adversely affect our financial position, liquidity and results of operations, the ability of key vendors that we depend on to supply us with services, and our ability to enter into future financing transactions.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we are involved in from time to time may adversely affect our financial condition, results of operations and cash flows.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laws and the resolution of uncertain income tax matters could have a material adverse effect on our results of operations and cash flows from operations.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technology could have a material adverse effect on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use of electronic contracts could impact our ability to perfect our ownership or security interest in Consumer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Reliance on third parties to administer our ancillary product offerings could adversely affect our business and financial results.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dependent on our senior management and the loss of any of these individuals or an inability to hire additional team members could adversely affect our ability to operate profitably.</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reputation is a key asset to our business, and our business may be affected by how we are perceived in the marketplace.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concentration of automobile dealers in several states could adversely affect us.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properly safeguard confidential consumer and team member information could subject us to liability, decrease our profitability and damage our reputation.</w:t>
      </w: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small number of our shareholders have the ability to significantly influence matters requiring shareholder approval and such shareholders have interests which may conflict with the interests of our other security holders.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Reliance on our outsourced business functions could adversely affect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hire and retain foreign information technology personnel could be hindered by immigration restrictions.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disasters, acts of war, terrorist attacks and threats or the escalation of military activity in response to these attacks or otherwise may negatively affect our business, financial condition and results of operations.</w:t>
      </w:r>
    </w:p>
    <w:p>
      <w:pPr>
        <w:jc w:val="both"/>
        <w:ind w:left="66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current outbreak of COVID-19 has adversely impacted our business, and the continuance of this pandemic, and any future outbreak of any other highly contagious diseases or other public health emergency, could materially and adversely affect our business, financial condition, liquidity and results of operations.</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factors not currently anticipated by management may also materially and adversely affect our business, financial condition and results of operations. We do not undertake, and expressly disclaim any obligation, to update or alter our statements whether as a result of new information, future events or otherwise, except as required by applicable law.</w:t>
      </w:r>
    </w:p>
    <w:p>
      <w:pPr>
        <w:sectPr>
          <w:pgSz w:w="11900" w:h="16838" w:orient="portrait"/>
          <w:cols w:equalWidth="0" w:num="1">
            <w:col w:w="11240"/>
          </w:cols>
          <w:pgMar w:left="320" w:top="98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CREDIT ACCEPTANCE CORPORATION</w:t>
      </w:r>
    </w:p>
    <w:p>
      <w:pPr>
        <w:spacing w:after="0" w:line="360" w:lineRule="exact"/>
        <w:rPr>
          <w:sz w:val="20"/>
          <w:szCs w:val="20"/>
          <w:color w:val="auto"/>
        </w:rPr>
      </w:pPr>
    </w:p>
    <w:p>
      <w:pPr>
        <w:ind w:left="100"/>
        <w:spacing w:after="0"/>
        <w:tabs>
          <w:tab w:leader="none" w:pos="4640" w:val="left"/>
          <w:tab w:leader="none" w:pos="5320" w:val="left"/>
        </w:tabs>
        <w:rPr>
          <w:sz w:val="20"/>
          <w:szCs w:val="20"/>
          <w:color w:val="auto"/>
        </w:rPr>
      </w:pPr>
      <w:r>
        <w:rPr>
          <w:rFonts w:ascii="Arial" w:cs="Arial" w:eastAsia="Arial" w:hAnsi="Arial"/>
          <w:sz w:val="18"/>
          <w:szCs w:val="18"/>
          <w:color w:val="auto"/>
        </w:rPr>
        <w:t>Date: June 26,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31750</wp:posOffset>
            </wp:positionV>
            <wp:extent cx="2888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5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Kenneth S. Booth</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2020-06-26T15:16:07Z</dcterms:created>
  <dcterms:modified xsi:type="dcterms:W3CDTF">2020-06-26T15:16:07Z</dcterms:modified>
</cp:coreProperties>
</file>