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Prescott General Partners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CREDIT ACCEPTANCE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CACC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2200 BUTTS ROAD</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0000FF"/>
              </w:rPr>
              <w:t>02/07/2020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320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0000FF"/>
        </w:rPr>
        <w:t>Member of Section 13(d) Group</w:t>
      </w:r>
    </w:p>
    <w:p>
      <w:pPr>
        <w:spacing w:after="0" w:line="462" w:lineRule="exact"/>
        <w:rPr>
          <w:sz w:val="20"/>
          <w:szCs w:val="20"/>
          <w:color w:val="auto"/>
        </w:rPr>
      </w:pPr>
    </w:p>
    <w:p>
      <w:pPr>
        <w:sectPr>
          <w:pgSz w:w="11900" w:h="16838" w:orient="portrait"/>
          <w:cols w:equalWidth="0" w:num="2">
            <w:col w:w="7980" w:space="77"/>
            <w:col w:w="3343"/>
          </w:cols>
          <w:pgMar w:left="240" w:top="226" w:right="25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BOCA RATON</w:t>
            </w:r>
          </w:p>
        </w:tc>
        <w:tc>
          <w:tcPr>
            <w:tcW w:w="920" w:type="dxa"/>
            <w:vAlign w:val="bottom"/>
          </w:tcPr>
          <w:p>
            <w:pPr>
              <w:ind w:left="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33431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4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jc w:val="cente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02/07/2020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5,900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447.4897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1,204,735</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Associates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02/07/2020</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447.4897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47,017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w w:val="98"/>
              </w:rPr>
              <w:t>International</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02/07/2020</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3,500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447.4897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591,742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By Idoya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02/07/2020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447.4897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65,574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02/10/2020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3,363</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438.9772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1,201,372</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Associates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02/10/2020</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114</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438.9772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46,903</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w w:val="98"/>
              </w:rPr>
              <w:t>International</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02/10/2020</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1,995</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438.9772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589,747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By Idoya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02/10/2020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228</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438.9772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65,346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Ridgeview</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670,397</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Smith</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Investments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(5)</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Thomas</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58,750</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W. Smith</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Accounts</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Thomas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13,948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W. Smith</w:t>
            </w:r>
          </w:p>
        </w:tc>
        <w:tc>
          <w:tcPr>
            <w:tcW w:w="0" w:type="dxa"/>
            <w:vAlign w:val="bottom"/>
          </w:tcPr>
          <w:p>
            <w:pPr>
              <w:spacing w:after="0"/>
              <w:rPr>
                <w:sz w:val="1"/>
                <w:szCs w:val="1"/>
                <w:color w:val="auto"/>
              </w:rPr>
            </w:pPr>
          </w:p>
        </w:tc>
      </w:tr>
      <w:tr>
        <w:trPr>
          <w:trHeight w:val="278"/>
        </w:trPr>
        <w:tc>
          <w:tcPr>
            <w:tcW w:w="2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w w:val="90"/>
              </w:rPr>
              <w:t>Foundation</w:t>
            </w:r>
            <w:r>
              <w:rPr>
                <w:rFonts w:ascii="Arial" w:cs="Arial" w:eastAsia="Arial" w:hAnsi="Arial"/>
                <w:sz w:val="22"/>
                <w:szCs w:val="22"/>
                <w:color w:val="008000"/>
                <w:w w:val="90"/>
                <w:vertAlign w:val="superscript"/>
              </w:rPr>
              <w:t>(7)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9043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9043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5"/>
              </w:rPr>
              <w:t>(D)</w:t>
            </w: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64,125</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Scott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2,758</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Vassalluzzo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Accounts</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7"/>
          </w:tcPr>
          <w:p>
            <w:pPr>
              <w:ind w:left="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80" w:type="dxa"/>
            <w:vAlign w:val="bottom"/>
            <w:gridSpan w:val="14"/>
          </w:tcPr>
          <w:p>
            <w:pPr>
              <w:ind w:left="5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2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0000EE"/>
            </w:tcBorders>
            <w:gridSpan w:val="5"/>
          </w:tcPr>
          <w:p>
            <w:pPr>
              <w:spacing w:after="0" w:line="224"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Prescott General Partners LLC</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SMITH THOMAS W</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VASSALLUZZO SCOTT J</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Associates L.P. ("Prescott Associates"), a private investment limited partnership, and are beneficially owned indirectly by Prescott General Partners LLC ("PGP"), a Delaware limited liability company, as general partner of Prescott Associates. Messrs. Thomas W. Smith and Scott J. Vassalluzzo are each a managing member of PGP. PGP disclaims beneficial ownership of these shares in excess of its pecuniary interest under Rule 16a-1(a)(2)(ii)(B). The address for Prescott Associates is 2200 Butts Road, Suite 320, Boca Raton, FL 33431.</w:t>
      </w:r>
    </w:p>
    <w:p>
      <w:pPr>
        <w:spacing w:after="0" w:line="2" w:lineRule="exact"/>
        <w:rPr>
          <w:rFonts w:ascii="Arial" w:cs="Arial" w:eastAsia="Arial" w:hAnsi="Arial"/>
          <w:sz w:val="12"/>
          <w:szCs w:val="12"/>
          <w:color w:val="008000"/>
        </w:rPr>
      </w:pPr>
    </w:p>
    <w:p>
      <w:pPr>
        <w:ind w:left="40" w:right="5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International Partners L.P. ("PIP"), a private investment limited partnership, and are beneficially owned indirectly by PGP as general partner of PIP. PGP disclaims beneficial ownership of these shares in excess of its pecuniary interest under Rule 16a-1(a)(2)(ii)(B). The address for PIP is 2200 Butts Road, Suite 320, Boca Raton, FL 33431.</w:t>
      </w: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Idoya Partners L.P. ("Idoya"), a private investment limited partnership, and are beneficially owned indirectly by PGP as general partner of Idoya. PGP disclaims beneficial ownership of these shares in excess of its pecuniary interest under Rule 16a-1(a)(2)(ii)(B). The address for Idoya is 2200 Butts Road, Suite 320, Boca Raton, FL 33431.</w:t>
      </w: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the Prescott Investors Profit Sharing Trust (the "Trust"), for which each of Messrs. Smith and Vassalluzzo serve as a trustee. The inclusion of these shares in this report shall not be deemed an admission of beneficial ownership for purposes of Section 16 or any other purpose and each of Messrs. Smith and Vassalluzzo disclaims beneficial ownership of these shares in excess of his pecuniary interest under Rule 16a-8(b)(2)(ii). The address of the Trust is 2200 Butts Road, Suite 320, Boca Raton, FL 33431.</w:t>
      </w:r>
    </w:p>
    <w:p>
      <w:pPr>
        <w:spacing w:after="0" w:line="2" w:lineRule="exact"/>
        <w:rPr>
          <w:rFonts w:ascii="Arial" w:cs="Arial" w:eastAsia="Arial" w:hAnsi="Arial"/>
          <w:sz w:val="12"/>
          <w:szCs w:val="12"/>
          <w:color w:val="008000"/>
        </w:rPr>
      </w:pPr>
    </w:p>
    <w:p>
      <w:pPr>
        <w:ind w:left="40" w:right="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Ridgeview Smith Investments LLC ("Ridgeview"), a limited liability company established by Mr. Smith for the benefit of his family and are beneficially owned indirectly by Mr. Smith as trustee of a revocable trust he established for the benefit of his family and which is the sole member of Ridgeview. Mr. Smith disclaims beneficial ownership of these shares in excess of his</w:t>
      </w:r>
    </w:p>
    <w:p>
      <w:pPr>
        <w:sectPr>
          <w:pgSz w:w="11900" w:h="16861" w:orient="portrait"/>
          <w:cols w:equalWidth="0" w:num="1">
            <w:col w:w="11420"/>
          </w:cols>
          <w:pgMar w:left="240" w:top="188" w:right="239"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008000"/>
        </w:rPr>
        <w:t>pecuniary interest under Rule 16a-1(a)(2)(iii). The address of Ridgeview is 2200 Butts Road, Suite 320, Boca Raton, FL 33431.</w:t>
      </w:r>
    </w:p>
    <w:p>
      <w:pPr>
        <w:spacing w:after="0" w:line="42" w:lineRule="exact"/>
        <w:rPr>
          <w:sz w:val="20"/>
          <w:szCs w:val="20"/>
          <w:color w:val="auto"/>
        </w:rPr>
      </w:pPr>
    </w:p>
    <w:p>
      <w:pPr>
        <w:ind w:right="40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investment accounts established for the benefit of certain family members of Thomas W. Smith. The inclusion of these shares in this report shall not be deemed an admission of beneficial ownership for purposes of Section 16 or any other purpose and Mr. Smith disclaims beneficial ownership of these shares except to the extent of his pecuniary interest therein.</w:t>
      </w:r>
    </w:p>
    <w:p>
      <w:pPr>
        <w:ind w:right="26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the Thomas W. Smith Foundation (the "Foundation") and are beneficially owned indirectly by Mr. Smith as trustee of the Foundation. Mr. Smith disclaims beneficial ownership of these shares in excess of his pecuniary interest under 16a-8(b)(2)(ii). The address for the Foundation is 2200 Butts Road, Suite 320, Boca Raton, FL 33431.</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are owned directly by Scott J. Vassalluzzo and include 4,000 restricted stock units that have vested under the Issuer's Incentive Compensation Plan.</w:t>
      </w:r>
    </w:p>
    <w:p>
      <w:pPr>
        <w:spacing w:after="0" w:line="41" w:lineRule="exact"/>
        <w:rPr>
          <w:rFonts w:ascii="Arial" w:cs="Arial" w:eastAsia="Arial" w:hAnsi="Arial"/>
          <w:sz w:val="14"/>
          <w:szCs w:val="14"/>
          <w:color w:val="008000"/>
        </w:rPr>
      </w:pPr>
    </w:p>
    <w:p>
      <w:pPr>
        <w:jc w:val="both"/>
        <w:ind w:right="260" w:firstLine="9"/>
        <w:spacing w:after="0" w:line="29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investment accounts established for the benefit of certain family members of Scott J. Vassalluzzo. The inclusion of these shares in this report shall not be deemed an admission of beneficial ownership for purposes of Section 16 or any other purpose and Mr. Vassalluzzo disclaims beneficial ownership of these shares except to the extent of his pecuniary interest therein.</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4"/>
          <w:szCs w:val="14"/>
          <w:color w:val="008000"/>
        </w:rPr>
        <w:t>The filing of this report shall not be deemed to be an admission that the Reporting Persons comprise a "group" within the meaning of Section 13(d)(3) of the Securities Exchange Act of 1934, as amended. The Reporting Persons each disclaim beneficial ownership of the shares included in this report except to the extent of their pecuniary interest in such shares.</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7"/>
          </w:tcPr>
          <w:p>
            <w:pPr>
              <w:spacing w:after="0"/>
              <w:rPr>
                <w:sz w:val="20"/>
                <w:szCs w:val="20"/>
                <w:color w:val="auto"/>
              </w:rPr>
            </w:pPr>
            <w:r>
              <w:rPr>
                <w:rFonts w:ascii="Arial" w:cs="Arial" w:eastAsia="Arial" w:hAnsi="Arial"/>
                <w:sz w:val="18"/>
                <w:szCs w:val="18"/>
                <w:color w:val="0000FF"/>
              </w:rPr>
              <w:t>PRESCOTT GENERAL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0000FF"/>
                <w:w w:val="90"/>
              </w:rPr>
              <w:t>PARTNERS LLC, Managing</w:t>
            </w:r>
          </w:p>
        </w:tc>
        <w:tc>
          <w:tcPr>
            <w:tcW w:w="12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02/11/2020</w:t>
            </w:r>
          </w:p>
        </w:tc>
        <w:tc>
          <w:tcPr>
            <w:tcW w:w="0" w:type="dxa"/>
            <w:vAlign w:val="bottom"/>
          </w:tcPr>
          <w:p>
            <w:pPr>
              <w:spacing w:after="0"/>
              <w:rPr>
                <w:sz w:val="1"/>
                <w:szCs w:val="1"/>
                <w:color w:val="auto"/>
              </w:rPr>
            </w:pPr>
          </w:p>
        </w:tc>
      </w:tr>
      <w:tr>
        <w:trPr>
          <w:trHeight w:val="88"/>
        </w:trPr>
        <w:tc>
          <w:tcPr>
            <w:tcW w:w="14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7"/>
              </w:rPr>
              <w:t>Member, /s/ Scott J.</w:t>
            </w:r>
          </w:p>
        </w:tc>
        <w:tc>
          <w:tcPr>
            <w:tcW w:w="760" w:type="dxa"/>
            <w:vAlign w:val="bottom"/>
            <w:gridSpan w:val="5"/>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20" w:type="dxa"/>
            <w:vAlign w:val="bottom"/>
            <w:tcBorders>
              <w:bottom w:val="single" w:sz="8" w:color="auto"/>
            </w:tcBorders>
            <w:gridSpan w:val="2"/>
            <w:vMerge w:val="continue"/>
          </w:tcPr>
          <w:p>
            <w:pPr>
              <w:spacing w:after="0"/>
              <w:rPr>
                <w:sz w:val="7"/>
                <w:szCs w:val="7"/>
                <w:color w:val="auto"/>
              </w:rPr>
            </w:pPr>
          </w:p>
        </w:tc>
        <w:tc>
          <w:tcPr>
            <w:tcW w:w="7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5"/>
              </w:rPr>
              <w:t>Vassalluzzo</w:t>
            </w:r>
          </w:p>
        </w:tc>
        <w:tc>
          <w:tcPr>
            <w:tcW w:w="13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180" w:type="dxa"/>
            <w:vAlign w:val="bottom"/>
            <w:gridSpan w:val="7"/>
          </w:tcPr>
          <w:p>
            <w:pPr>
              <w:spacing w:after="0"/>
              <w:rPr>
                <w:sz w:val="20"/>
                <w:szCs w:val="20"/>
                <w:color w:val="auto"/>
              </w:rPr>
            </w:pPr>
            <w:r>
              <w:rPr>
                <w:rFonts w:ascii="Arial" w:cs="Arial" w:eastAsia="Arial" w:hAnsi="Arial"/>
                <w:sz w:val="18"/>
                <w:szCs w:val="18"/>
                <w:color w:val="0000FF"/>
              </w:rPr>
              <w:t>/s/ Thomas W. Smith</w:t>
            </w:r>
          </w:p>
        </w:tc>
        <w:tc>
          <w:tcPr>
            <w:tcW w:w="900" w:type="dxa"/>
            <w:vAlign w:val="bottom"/>
            <w:gridSpan w:val="2"/>
          </w:tcPr>
          <w:p>
            <w:pPr>
              <w:ind w:left="120"/>
              <w:spacing w:after="0"/>
              <w:rPr>
                <w:sz w:val="20"/>
                <w:szCs w:val="20"/>
                <w:color w:val="auto"/>
              </w:rPr>
            </w:pPr>
            <w:r>
              <w:rPr>
                <w:rFonts w:ascii="Arial" w:cs="Arial" w:eastAsia="Arial" w:hAnsi="Arial"/>
                <w:sz w:val="18"/>
                <w:szCs w:val="18"/>
                <w:color w:val="0000FF"/>
                <w:w w:val="84"/>
              </w:rPr>
              <w:t>02/11/2020</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sz w:val="20"/>
                <w:szCs w:val="20"/>
                <w:color w:val="auto"/>
              </w:rPr>
            </w:pPr>
            <w:r>
              <w:rPr>
                <w:rFonts w:ascii="Arial" w:cs="Arial" w:eastAsia="Arial" w:hAnsi="Arial"/>
                <w:sz w:val="18"/>
                <w:szCs w:val="18"/>
                <w:color w:val="0000FF"/>
              </w:rPr>
              <w:t>/s/ Scott J. Vassalluzzo</w:t>
            </w:r>
          </w:p>
        </w:tc>
        <w:tc>
          <w:tcPr>
            <w:tcW w:w="900" w:type="dxa"/>
            <w:vAlign w:val="bottom"/>
            <w:gridSpan w:val="2"/>
          </w:tcPr>
          <w:p>
            <w:pPr>
              <w:ind w:left="120"/>
              <w:spacing w:after="0"/>
              <w:rPr>
                <w:sz w:val="20"/>
                <w:szCs w:val="20"/>
                <w:color w:val="auto"/>
              </w:rPr>
            </w:pPr>
            <w:r>
              <w:rPr>
                <w:rFonts w:ascii="Arial" w:cs="Arial" w:eastAsia="Arial" w:hAnsi="Arial"/>
                <w:sz w:val="18"/>
                <w:szCs w:val="18"/>
                <w:color w:val="0000FF"/>
                <w:w w:val="84"/>
              </w:rPr>
              <w:t>02/11/2020</w:t>
            </w:r>
          </w:p>
        </w:tc>
        <w:tc>
          <w:tcPr>
            <w:tcW w:w="0" w:type="dxa"/>
            <w:vAlign w:val="bottom"/>
          </w:tcPr>
          <w:p>
            <w:pPr>
              <w:spacing w:after="0"/>
              <w:rPr>
                <w:sz w:val="1"/>
                <w:szCs w:val="1"/>
                <w:color w:val="auto"/>
              </w:rPr>
            </w:pPr>
          </w:p>
        </w:tc>
      </w:tr>
      <w:tr>
        <w:trPr>
          <w:trHeight w:val="20"/>
        </w:trPr>
        <w:tc>
          <w:tcPr>
            <w:tcW w:w="1600" w:type="dxa"/>
            <w:vAlign w:val="bottom"/>
            <w:gridSpan w:val="4"/>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8653" TargetMode="External"/><Relationship Id="rId13" Type="http://schemas.openxmlformats.org/officeDocument/2006/relationships/hyperlink" Target="http://www.sec.gov/cgi-bin/browse-edgar?action=getcompany&amp;CIK=0000885550" TargetMode="External"/><Relationship Id="rId15" Type="http://schemas.openxmlformats.org/officeDocument/2006/relationships/hyperlink" Target="http://www.sec.gov/cgi-bin/browse-edgar?action=getcompany&amp;CIK=0000926688" TargetMode="External"/><Relationship Id="rId16" Type="http://schemas.openxmlformats.org/officeDocument/2006/relationships/hyperlink" Target="http://www.sec.gov/cgi-bin/browse-edgar?action=getcompany&amp;CIK=0001203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2020-02-11T15:03:39Z</dcterms:created>
  <dcterms:modified xsi:type="dcterms:W3CDTF">2020-02-11T15:03:39Z</dcterms:modified>
</cp:coreProperties>
</file>