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Prescott General Partners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CREDIT ACCEPTANCE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CACC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0000FF"/>
              </w:rPr>
              <w:t>2200 BUTTS ROAD</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0" w:type="dxa"/>
            <w:vAlign w:val="bottom"/>
            <w:gridSpan w:val="4"/>
          </w:tcPr>
          <w:p>
            <w:pPr>
              <w:ind w:left="160"/>
              <w:spacing w:after="0"/>
              <w:rPr>
                <w:sz w:val="20"/>
                <w:szCs w:val="20"/>
                <w:color w:val="auto"/>
              </w:rPr>
            </w:pPr>
            <w:r>
              <w:rPr>
                <w:rFonts w:ascii="Arial" w:cs="Arial" w:eastAsia="Arial" w:hAnsi="Arial"/>
                <w:sz w:val="18"/>
                <w:szCs w:val="18"/>
                <w:color w:val="0000FF"/>
              </w:rPr>
              <w:t>02/03/2020</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320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0000FF"/>
        </w:rPr>
        <w:t>Member of Section 13(d) Group</w:t>
      </w:r>
    </w:p>
    <w:p>
      <w:pPr>
        <w:spacing w:after="0" w:line="462" w:lineRule="exact"/>
        <w:rPr>
          <w:sz w:val="20"/>
          <w:szCs w:val="20"/>
          <w:color w:val="auto"/>
        </w:rPr>
      </w:pPr>
    </w:p>
    <w:p>
      <w:pPr>
        <w:sectPr>
          <w:pgSz w:w="11900" w:h="16838" w:orient="portrait"/>
          <w:cols w:equalWidth="0" w:num="2">
            <w:col w:w="7980" w:space="77"/>
            <w:col w:w="3343"/>
          </w:cols>
          <w:pgMar w:left="240" w:top="226" w:right="25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BOCA RATON</w:t>
            </w:r>
          </w:p>
        </w:tc>
        <w:tc>
          <w:tcPr>
            <w:tcW w:w="920" w:type="dxa"/>
            <w:vAlign w:val="bottom"/>
          </w:tcPr>
          <w:p>
            <w:pPr>
              <w:ind w:left="8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33431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4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4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jc w:val="cente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02/03/2020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5,310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433.8894</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1,229,300</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Associates</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02/03/2020</w:t>
            </w:r>
          </w:p>
        </w:tc>
        <w:tc>
          <w:tcPr>
            <w:tcW w:w="11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180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433.8894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47,850</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w w:val="98"/>
              </w:rPr>
              <w:t>International</w:t>
            </w:r>
          </w:p>
        </w:tc>
        <w:tc>
          <w:tcPr>
            <w:tcW w:w="0" w:type="dxa"/>
            <w:vAlign w:val="bottom"/>
          </w:tcPr>
          <w:p>
            <w:pPr>
              <w:spacing w:after="0"/>
              <w:rPr>
                <w:sz w:val="1"/>
                <w:szCs w:val="1"/>
                <w:color w:val="auto"/>
              </w:rPr>
            </w:pPr>
          </w:p>
        </w:tc>
      </w:tr>
      <w:tr>
        <w:trPr>
          <w:trHeight w:val="74"/>
        </w:trPr>
        <w:tc>
          <w:tcPr>
            <w:tcW w:w="240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02/03/2020</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3,150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433.8894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606,314</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By Idoya</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02/03/2020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360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433.8894</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67,239</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Profit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Sharing</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02/04/2020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8"/>
              </w:rPr>
              <w:t>4,548</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434.1832</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1,224,752</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Associates</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02/04/2020</w:t>
            </w:r>
          </w:p>
        </w:tc>
        <w:tc>
          <w:tcPr>
            <w:tcW w:w="112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6"/>
              </w:rPr>
              <w:t>154</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434.1832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47,696</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w w:val="98"/>
              </w:rPr>
              <w:t>International</w:t>
            </w:r>
          </w:p>
        </w:tc>
        <w:tc>
          <w:tcPr>
            <w:tcW w:w="0" w:type="dxa"/>
            <w:vAlign w:val="bottom"/>
          </w:tcPr>
          <w:p>
            <w:pPr>
              <w:spacing w:after="0"/>
              <w:rPr>
                <w:sz w:val="1"/>
                <w:szCs w:val="1"/>
                <w:color w:val="auto"/>
              </w:rPr>
            </w:pPr>
          </w:p>
        </w:tc>
      </w:tr>
      <w:tr>
        <w:trPr>
          <w:trHeight w:val="74"/>
        </w:trPr>
        <w:tc>
          <w:tcPr>
            <w:tcW w:w="240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vMerge w:val="restart"/>
          </w:tcPr>
          <w:p>
            <w:pPr>
              <w:jc w:val="center"/>
              <w:ind w:left="460"/>
              <w:spacing w:after="0"/>
              <w:rPr>
                <w:sz w:val="20"/>
                <w:szCs w:val="20"/>
                <w:color w:val="auto"/>
              </w:rPr>
            </w:pPr>
            <w:r>
              <w:rPr>
                <w:rFonts w:ascii="Arial" w:cs="Arial" w:eastAsia="Arial" w:hAnsi="Arial"/>
                <w:sz w:val="18"/>
                <w:szCs w:val="18"/>
                <w:color w:val="0000FF"/>
                <w:w w:val="88"/>
              </w:rPr>
              <w:t>02/04/2020</w:t>
            </w:r>
          </w:p>
        </w:tc>
        <w:tc>
          <w:tcPr>
            <w:tcW w:w="112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2,698</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434.1832</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603,616</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By Idoya</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w w:val="93"/>
              </w:rPr>
              <w:t>Partners L.P.</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83"/>
        </w:trPr>
        <w:tc>
          <w:tcPr>
            <w:tcW w:w="24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Prescott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Investors</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jc w:val="center"/>
              <w:ind w:left="460"/>
              <w:spacing w:after="0"/>
              <w:rPr>
                <w:sz w:val="20"/>
                <w:szCs w:val="20"/>
                <w:color w:val="auto"/>
              </w:rPr>
            </w:pPr>
            <w:r>
              <w:rPr>
                <w:rFonts w:ascii="Arial" w:cs="Arial" w:eastAsia="Arial" w:hAnsi="Arial"/>
                <w:sz w:val="18"/>
                <w:szCs w:val="18"/>
                <w:color w:val="0000FF"/>
                <w:w w:val="88"/>
              </w:rPr>
              <w:t>02/04/2020</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308</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900" w:type="dxa"/>
            <w:vAlign w:val="bottom"/>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434.1832</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66,931</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Profit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Sharing</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Ridgeview</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670,397</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Smith</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Investments</w:t>
            </w: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(5)</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Thomas</w:t>
            </w:r>
          </w:p>
        </w:tc>
        <w:tc>
          <w:tcPr>
            <w:tcW w:w="0" w:type="dxa"/>
            <w:vAlign w:val="bottom"/>
          </w:tcPr>
          <w:p>
            <w:pPr>
              <w:spacing w:after="0"/>
              <w:rPr>
                <w:sz w:val="1"/>
                <w:szCs w:val="1"/>
                <w:color w:val="auto"/>
              </w:rPr>
            </w:pPr>
          </w:p>
        </w:tc>
      </w:tr>
      <w:tr>
        <w:trPr>
          <w:trHeight w:val="216"/>
        </w:trPr>
        <w:tc>
          <w:tcPr>
            <w:tcW w:w="24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58,750</w:t>
            </w:r>
          </w:p>
        </w:tc>
        <w:tc>
          <w:tcPr>
            <w:tcW w:w="94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W. Smith</w:t>
            </w:r>
          </w:p>
        </w:tc>
        <w:tc>
          <w:tcPr>
            <w:tcW w:w="0" w:type="dxa"/>
            <w:vAlign w:val="bottom"/>
          </w:tcPr>
          <w:p>
            <w:pPr>
              <w:spacing w:after="0"/>
              <w:rPr>
                <w:sz w:val="1"/>
                <w:szCs w:val="1"/>
                <w:color w:val="auto"/>
              </w:rPr>
            </w:pPr>
          </w:p>
        </w:tc>
      </w:tr>
      <w:tr>
        <w:trPr>
          <w:trHeight w:val="114"/>
        </w:trPr>
        <w:tc>
          <w:tcPr>
            <w:tcW w:w="240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Accounts</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Thomas</w:t>
            </w:r>
          </w:p>
        </w:tc>
        <w:tc>
          <w:tcPr>
            <w:tcW w:w="0" w:type="dxa"/>
            <w:vAlign w:val="bottom"/>
          </w:tcPr>
          <w:p>
            <w:pPr>
              <w:spacing w:after="0"/>
              <w:rPr>
                <w:sz w:val="1"/>
                <w:szCs w:val="1"/>
                <w:color w:val="auto"/>
              </w:rPr>
            </w:pPr>
          </w:p>
        </w:tc>
      </w:tr>
      <w:tr>
        <w:trPr>
          <w:trHeight w:val="216"/>
        </w:trPr>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13,948</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W. Smith</w:t>
            </w:r>
          </w:p>
        </w:tc>
        <w:tc>
          <w:tcPr>
            <w:tcW w:w="0" w:type="dxa"/>
            <w:vAlign w:val="bottom"/>
          </w:tcPr>
          <w:p>
            <w:pPr>
              <w:spacing w:after="0"/>
              <w:rPr>
                <w:sz w:val="1"/>
                <w:szCs w:val="1"/>
                <w:color w:val="auto"/>
              </w:rPr>
            </w:pPr>
          </w:p>
        </w:tc>
      </w:tr>
      <w:tr>
        <w:trPr>
          <w:trHeight w:val="278"/>
        </w:trPr>
        <w:tc>
          <w:tcPr>
            <w:tcW w:w="24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0000FF"/>
                <w:w w:val="90"/>
              </w:rPr>
              <w:t>Foundation</w:t>
            </w:r>
            <w:r>
              <w:rPr>
                <w:rFonts w:ascii="Arial" w:cs="Arial" w:eastAsia="Arial" w:hAnsi="Arial"/>
                <w:sz w:val="22"/>
                <w:szCs w:val="22"/>
                <w:color w:val="008000"/>
                <w:w w:val="90"/>
                <w:vertAlign w:val="superscript"/>
              </w:rPr>
              <w:t>(7)</w:t>
            </w:r>
          </w:p>
        </w:tc>
        <w:tc>
          <w:tcPr>
            <w:tcW w:w="0" w:type="dxa"/>
            <w:vAlign w:val="bottom"/>
          </w:tcPr>
          <w:p>
            <w:pPr>
              <w:spacing w:after="0"/>
              <w:rPr>
                <w:sz w:val="1"/>
                <w:szCs w:val="1"/>
                <w:color w:val="auto"/>
              </w:rPr>
            </w:pPr>
          </w:p>
        </w:tc>
      </w:tr>
    </w:tbl>
    <w:p>
      <w:pPr>
        <w:sectPr>
          <w:pgSz w:w="11900" w:h="16838" w:orient="portrait"/>
          <w:cols w:equalWidth="0" w:num="1">
            <w:col w:w="11400"/>
          </w:cols>
          <w:pgMar w:left="240" w:top="226" w:right="259" w:bottom="0" w:gutter="0" w:footer="0" w:header="0"/>
          <w:type w:val="continuous"/>
        </w:sectPr>
      </w:pPr>
    </w:p>
    <w:bookmarkStart w:id="1" w:name="page2"/>
    <w:bookmarkEnd w:id="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9043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9043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6"/>
          </w:tcPr>
          <w:p>
            <w:pPr>
              <w:ind w:left="260"/>
              <w:spacing w:after="0" w:line="135"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5"/>
              </w:rPr>
              <w:t>(D)</w:t>
            </w: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64,125</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(8)</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By Scott 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3"/>
            <w:vMerge w:val="restart"/>
          </w:tcPr>
          <w:p>
            <w:pPr>
              <w:jc w:val="right"/>
              <w:ind w:right="359"/>
              <w:spacing w:after="0"/>
              <w:rPr>
                <w:sz w:val="20"/>
                <w:szCs w:val="20"/>
                <w:color w:val="auto"/>
              </w:rPr>
            </w:pPr>
            <w:r>
              <w:rPr>
                <w:rFonts w:ascii="Arial" w:cs="Arial" w:eastAsia="Arial" w:hAnsi="Arial"/>
                <w:sz w:val="18"/>
                <w:szCs w:val="18"/>
                <w:color w:val="0000FF"/>
              </w:rPr>
              <w:t>2,758</w:t>
            </w:r>
          </w:p>
        </w:tc>
        <w:tc>
          <w:tcPr>
            <w:tcW w:w="280" w:type="dxa"/>
            <w:vAlign w:val="bottom"/>
          </w:tcPr>
          <w:p>
            <w:pPr>
              <w:spacing w:after="0"/>
              <w:rPr>
                <w:sz w:val="18"/>
                <w:szCs w:val="18"/>
                <w:color w:val="auto"/>
              </w:rPr>
            </w:pPr>
          </w:p>
        </w:tc>
        <w:tc>
          <w:tcPr>
            <w:tcW w:w="62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1080" w:type="dxa"/>
            <w:vAlign w:val="bottom"/>
            <w:gridSpan w:val="3"/>
          </w:tcPr>
          <w:p>
            <w:pPr>
              <w:ind w:left="60"/>
              <w:spacing w:after="0"/>
              <w:rPr>
                <w:sz w:val="20"/>
                <w:szCs w:val="20"/>
                <w:color w:val="auto"/>
              </w:rPr>
            </w:pPr>
            <w:r>
              <w:rPr>
                <w:rFonts w:ascii="Arial" w:cs="Arial" w:eastAsia="Arial" w:hAnsi="Arial"/>
                <w:sz w:val="18"/>
                <w:szCs w:val="18"/>
                <w:color w:val="0000FF"/>
              </w:rPr>
              <w:t>Vassalluzzo</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Accounts</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7"/>
          </w:tcPr>
          <w:p>
            <w:pPr>
              <w:ind w:left="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80" w:type="dxa"/>
            <w:vAlign w:val="bottom"/>
            <w:gridSpan w:val="14"/>
          </w:tcPr>
          <w:p>
            <w:pPr>
              <w:ind w:left="5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2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2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8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0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Borders>
              <w:bottom w:val="single" w:sz="8" w:color="0000EE"/>
            </w:tcBorders>
            <w:gridSpan w:val="5"/>
          </w:tcPr>
          <w:p>
            <w:pPr>
              <w:spacing w:after="0" w:line="224" w:lineRule="exact"/>
              <w:rPr>
                <w:rFonts w:ascii="Arial" w:cs="Arial" w:eastAsia="Arial" w:hAnsi="Arial"/>
                <w:sz w:val="22"/>
                <w:szCs w:val="22"/>
                <w:color w:val="0000EE"/>
                <w:w w:val="87"/>
              </w:rPr>
            </w:pPr>
            <w:hyperlink r:id="rId12">
              <w:r>
                <w:rPr>
                  <w:rFonts w:ascii="Arial" w:cs="Arial" w:eastAsia="Arial" w:hAnsi="Arial"/>
                  <w:sz w:val="22"/>
                  <w:szCs w:val="22"/>
                  <w:color w:val="0000EE"/>
                  <w:w w:val="87"/>
                </w:rPr>
                <w:t>Prescott General Partners LLC</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8"/>
                <w:szCs w:val="18"/>
                <w:color w:val="0000FF"/>
              </w:rPr>
              <w:t>2200 BUTTS ROAD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320</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BOCA RATON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FL</w:t>
            </w:r>
          </w:p>
        </w:tc>
        <w:tc>
          <w:tcPr>
            <w:tcW w:w="1080" w:type="dxa"/>
            <w:vAlign w:val="bottom"/>
          </w:tcPr>
          <w:p>
            <w:pPr>
              <w:ind w:left="260"/>
              <w:spacing w:after="0"/>
              <w:rPr>
                <w:sz w:val="20"/>
                <w:szCs w:val="20"/>
                <w:color w:val="auto"/>
              </w:rPr>
            </w:pPr>
            <w:r>
              <w:rPr>
                <w:rFonts w:ascii="Arial" w:cs="Arial" w:eastAsia="Arial" w:hAnsi="Arial"/>
                <w:sz w:val="18"/>
                <w:szCs w:val="18"/>
                <w:color w:val="0000FF"/>
              </w:rPr>
              <w:t>33431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SMITH THOMAS W</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8"/>
                <w:szCs w:val="18"/>
                <w:color w:val="0000FF"/>
              </w:rPr>
              <w:t>2200 BUTTS ROAD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320</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BOCA RATON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FL</w:t>
            </w:r>
          </w:p>
        </w:tc>
        <w:tc>
          <w:tcPr>
            <w:tcW w:w="1080" w:type="dxa"/>
            <w:vAlign w:val="bottom"/>
          </w:tcPr>
          <w:p>
            <w:pPr>
              <w:ind w:left="260"/>
              <w:spacing w:after="0"/>
              <w:rPr>
                <w:sz w:val="20"/>
                <w:szCs w:val="20"/>
                <w:color w:val="auto"/>
              </w:rPr>
            </w:pPr>
            <w:r>
              <w:rPr>
                <w:rFonts w:ascii="Arial" w:cs="Arial" w:eastAsia="Arial" w:hAnsi="Arial"/>
                <w:sz w:val="18"/>
                <w:szCs w:val="18"/>
                <w:color w:val="0000FF"/>
              </w:rPr>
              <w:t>33431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60" w:type="dxa"/>
            <w:vAlign w:val="bottom"/>
            <w:gridSpan w:val="6"/>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gridSpan w:val="5"/>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VASSALLUZZO SCOTT J</w:t>
              </w:r>
            </w:hyperlink>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8"/>
                <w:szCs w:val="18"/>
                <w:color w:val="0000FF"/>
              </w:rPr>
              <w:t>2200 BUTTS ROAD</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320</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BOCA RATON</w:t>
            </w:r>
          </w:p>
        </w:tc>
        <w:tc>
          <w:tcPr>
            <w:tcW w:w="1220" w:type="dxa"/>
            <w:vAlign w:val="bottom"/>
            <w:gridSpan w:val="3"/>
          </w:tcPr>
          <w:p>
            <w:pPr>
              <w:ind w:left="20"/>
              <w:spacing w:after="0"/>
              <w:rPr>
                <w:sz w:val="20"/>
                <w:szCs w:val="20"/>
                <w:color w:val="auto"/>
              </w:rPr>
            </w:pPr>
            <w:r>
              <w:rPr>
                <w:rFonts w:ascii="Arial" w:cs="Arial" w:eastAsia="Arial" w:hAnsi="Arial"/>
                <w:sz w:val="18"/>
                <w:szCs w:val="18"/>
                <w:color w:val="0000FF"/>
              </w:rPr>
              <w:t>FL</w:t>
            </w:r>
          </w:p>
        </w:tc>
        <w:tc>
          <w:tcPr>
            <w:tcW w:w="1080" w:type="dxa"/>
            <w:vAlign w:val="bottom"/>
          </w:tcPr>
          <w:p>
            <w:pPr>
              <w:ind w:left="260"/>
              <w:spacing w:after="0"/>
              <w:rPr>
                <w:sz w:val="20"/>
                <w:szCs w:val="20"/>
                <w:color w:val="auto"/>
              </w:rPr>
            </w:pPr>
            <w:r>
              <w:rPr>
                <w:rFonts w:ascii="Arial" w:cs="Arial" w:eastAsia="Arial" w:hAnsi="Arial"/>
                <w:sz w:val="18"/>
                <w:szCs w:val="18"/>
                <w:color w:val="0000FF"/>
              </w:rPr>
              <w:t>33431</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Prescott Associates L.P. ("Prescott Associates"), a private investment limited partnership, and are beneficially owned indirectly by Prescott General Partners LLC ("PGP"), a Delaware limited liability company, as general partner of Prescott Associates. Messrs. Thomas W. Smith and Scott J. Vassalluzzo are each a managing member of PGP. PGP disclaims beneficial ownership of these shares in excess of its pecuniary interest under Rule 16a-1(a)(2)(ii)(B). The address for Prescott Associates is 2200 Butts Road, Suite 320, Boca Raton, FL 33431.</w:t>
      </w:r>
    </w:p>
    <w:p>
      <w:pPr>
        <w:spacing w:after="0" w:line="2" w:lineRule="exact"/>
        <w:rPr>
          <w:rFonts w:ascii="Arial" w:cs="Arial" w:eastAsia="Arial" w:hAnsi="Arial"/>
          <w:sz w:val="12"/>
          <w:szCs w:val="12"/>
          <w:color w:val="008000"/>
        </w:rPr>
      </w:pPr>
    </w:p>
    <w:p>
      <w:pPr>
        <w:ind w:left="40" w:right="5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Prescott International Partners L.P. ("PIP"), a private investment limited partnership, and are beneficially owned indirectly by PGP as general partner of PIP. PGP disclaims beneficial ownership of these shares in excess of its pecuniary interest under Rule 16a-1(a)(2)(ii)(B). The address for PIP is 2200 Butts Road, Suite 320, Boca Raton, FL 33431.</w:t>
      </w:r>
    </w:p>
    <w:p>
      <w:pPr>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Idoya Partners L.P. ("Idoya"), a private investment limited partnership, and are beneficially owned indirectly by PGP as general partner of Idoya. PGP disclaims beneficial ownership of these shares in excess of its pecuniary interest under Rule 16a-1(a)(2)(ii)(B). The address for Idoya is 2200 Butts Road, Suite 320, Boca Raton, FL 33431.</w:t>
      </w:r>
    </w:p>
    <w:p>
      <w:pPr>
        <w:ind w:left="40" w:right="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the Prescott Investors Profit Sharing Trust (the "Trust"), for which each of Messrs. Smith and Vassalluzzo serve as a trustee. The inclusion of these shares in this report shall not be deemed an admission of beneficial ownership for purposes of Section 16 or any other purpose and each of Messrs. Smith and Vassalluzzo disclaims beneficial ownership of these shares in excess of his pecuniary interest under Rule 16a-8(b)(2)(ii). The address of the Trust is 2200 Butts Road, Suite 320, Boca Raton, FL 33431.</w:t>
      </w:r>
    </w:p>
    <w:p>
      <w:pPr>
        <w:spacing w:after="0" w:line="2" w:lineRule="exact"/>
        <w:rPr>
          <w:rFonts w:ascii="Arial" w:cs="Arial" w:eastAsia="Arial" w:hAnsi="Arial"/>
          <w:sz w:val="12"/>
          <w:szCs w:val="12"/>
          <w:color w:val="008000"/>
        </w:rPr>
      </w:pPr>
    </w:p>
    <w:p>
      <w:pPr>
        <w:ind w:left="40" w:right="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owned directly by Ridgeview Smith Investments LLC ("Ridgeview"), a limited liability company established by Mr. Smith for the benefit of his family and are beneficially owned indirectly by Mr. Smith as trustee of a revocable trust he established for the benefit of his family and which is the sole member of Ridgeview. Mr. Smith disclaims beneficial ownership of these shares in excess of his</w:t>
      </w:r>
    </w:p>
    <w:p>
      <w:pPr>
        <w:sectPr>
          <w:pgSz w:w="11900" w:h="16861" w:orient="portrait"/>
          <w:cols w:equalWidth="0" w:num="1">
            <w:col w:w="11420"/>
          </w:cols>
          <w:pgMar w:left="240" w:top="188" w:right="239" w:bottom="0" w:gutter="0" w:footer="0" w:header="0"/>
        </w:sectPr>
      </w:pPr>
    </w:p>
    <w:bookmarkStart w:id="2" w:name="page3"/>
    <w:bookmarkEnd w:id="2"/>
    <w:p>
      <w:pPr>
        <w:spacing w:after="0"/>
        <w:rPr>
          <w:sz w:val="20"/>
          <w:szCs w:val="20"/>
          <w:color w:val="auto"/>
        </w:rPr>
      </w:pPr>
      <w:r>
        <w:rPr>
          <w:rFonts w:ascii="Arial" w:cs="Arial" w:eastAsia="Arial" w:hAnsi="Arial"/>
          <w:sz w:val="14"/>
          <w:szCs w:val="14"/>
          <w:color w:val="008000"/>
        </w:rPr>
        <w:t>pecuniary interest under Rule 16a-1(a)(2)(iii). The address of Ridgeview is 2200 Butts Road, Suite 320, Boca Raton, FL 33431.</w:t>
      </w:r>
    </w:p>
    <w:p>
      <w:pPr>
        <w:spacing w:after="0" w:line="42" w:lineRule="exact"/>
        <w:rPr>
          <w:sz w:val="20"/>
          <w:szCs w:val="20"/>
          <w:color w:val="auto"/>
        </w:rPr>
      </w:pPr>
    </w:p>
    <w:p>
      <w:pPr>
        <w:ind w:right="400"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owned directly by investment accounts established for the benefit of certain family members of Thomas W. Smith. The inclusion of these shares in this report shall not be deemed an admission of beneficial ownership for purposes of Section 16 or any other purpose and Mr. Smith disclaims beneficial ownership of these shares except to the extent of his pecuniary interest therein.</w:t>
      </w:r>
    </w:p>
    <w:p>
      <w:pPr>
        <w:ind w:right="260"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owned directly by the Thomas W. Smith Foundation (the "Foundation") and are beneficially owned indirectly by Mr. Smith as trustee of the Foundation. Mr. Smith disclaims beneficial ownership of these shares in excess of his pecuniary interest under 16a-8(b)(2)(ii). The address for the Foundation is 2200 Butts Road, Suite 320, Boca Raton, FL 33431.</w:t>
      </w: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These shares are owned directly by Scott J. Vassalluzzo and include 4,000 restricted stock units that have vested under the Issuer's Incentive Compensation Plan.</w:t>
      </w:r>
    </w:p>
    <w:p>
      <w:pPr>
        <w:spacing w:after="0" w:line="41" w:lineRule="exact"/>
        <w:rPr>
          <w:rFonts w:ascii="Arial" w:cs="Arial" w:eastAsia="Arial" w:hAnsi="Arial"/>
          <w:sz w:val="14"/>
          <w:szCs w:val="14"/>
          <w:color w:val="008000"/>
        </w:rPr>
      </w:pPr>
    </w:p>
    <w:p>
      <w:pPr>
        <w:jc w:val="both"/>
        <w:ind w:right="260" w:firstLine="9"/>
        <w:spacing w:after="0" w:line="29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These shares are owned directly by investment accounts established for the benefit of certain family members of Scott J. Vassalluzzo. The inclusion of these shares in this report shall not be deemed an admission of beneficial ownership for purposes of Section 16 or any other purpose and Mr. Vassalluzzo disclaims beneficial ownership of these shares except to the extent of his pecuniary interest therein.</w:t>
      </w: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9" w:lineRule="auto"/>
        <w:rPr>
          <w:sz w:val="20"/>
          <w:szCs w:val="20"/>
          <w:color w:val="auto"/>
        </w:rPr>
      </w:pPr>
      <w:r>
        <w:rPr>
          <w:rFonts w:ascii="Arial" w:cs="Arial" w:eastAsia="Arial" w:hAnsi="Arial"/>
          <w:sz w:val="14"/>
          <w:szCs w:val="14"/>
          <w:color w:val="008000"/>
        </w:rPr>
        <w:t>The filing of this report shall not be deemed to be an admission that the Reporting Persons comprise a "group" within the meaning of Section 13(d)(3) of the Securities Exchange Act of 1934, as amended. The Reporting Persons each disclaim beneficial ownership of the shares included in this report except to the extent of their pecuniary interest in such shares.</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7"/>
          </w:tcPr>
          <w:p>
            <w:pPr>
              <w:spacing w:after="0"/>
              <w:rPr>
                <w:sz w:val="20"/>
                <w:szCs w:val="20"/>
                <w:color w:val="auto"/>
              </w:rPr>
            </w:pPr>
            <w:r>
              <w:rPr>
                <w:rFonts w:ascii="Arial" w:cs="Arial" w:eastAsia="Arial" w:hAnsi="Arial"/>
                <w:sz w:val="18"/>
                <w:szCs w:val="18"/>
                <w:color w:val="0000FF"/>
              </w:rPr>
              <w:t>/s/ Scott J. Vassalluzzo</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02/05/2020</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4"/>
          </w:tcPr>
          <w:p>
            <w:pPr>
              <w:spacing w:after="0"/>
              <w:rPr>
                <w:sz w:val="20"/>
                <w:szCs w:val="20"/>
                <w:color w:val="auto"/>
              </w:rPr>
            </w:pPr>
            <w:r>
              <w:rPr>
                <w:rFonts w:ascii="Arial" w:cs="Arial" w:eastAsia="Arial" w:hAnsi="Arial"/>
                <w:sz w:val="18"/>
                <w:szCs w:val="18"/>
                <w:color w:val="0000FF"/>
                <w:w w:val="94"/>
              </w:rPr>
              <w:t>/s/ Thomas W. Smith</w:t>
            </w:r>
          </w:p>
        </w:tc>
        <w:tc>
          <w:tcPr>
            <w:tcW w:w="520" w:type="dxa"/>
            <w:vAlign w:val="bottom"/>
            <w:gridSpan w:val="3"/>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02/05/2020</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0000FF"/>
                <w:w w:val="86"/>
              </w:rPr>
              <w:t>/s/ Scott J. Vassalluzzo,</w:t>
            </w:r>
          </w:p>
        </w:tc>
        <w:tc>
          <w:tcPr>
            <w:tcW w:w="46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8"/>
              </w:rPr>
              <w:t>Managing Member,</w:t>
            </w:r>
          </w:p>
        </w:tc>
        <w:tc>
          <w:tcPr>
            <w:tcW w:w="720" w:type="dxa"/>
            <w:vAlign w:val="bottom"/>
            <w:gridSpan w:val="5"/>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02/05/2020</w:t>
            </w:r>
          </w:p>
        </w:tc>
        <w:tc>
          <w:tcPr>
            <w:tcW w:w="0" w:type="dxa"/>
            <w:vAlign w:val="bottom"/>
          </w:tcPr>
          <w:p>
            <w:pPr>
              <w:spacing w:after="0"/>
              <w:rPr>
                <w:sz w:val="1"/>
                <w:szCs w:val="1"/>
                <w:color w:val="auto"/>
              </w:rPr>
            </w:pPr>
          </w:p>
        </w:tc>
      </w:tr>
      <w:tr>
        <w:trPr>
          <w:trHeight w:val="88"/>
        </w:trPr>
        <w:tc>
          <w:tcPr>
            <w:tcW w:w="212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PRESCOTT GENERAL</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91"/>
              </w:rPr>
              <w:t>PARTNERS LLC</w:t>
            </w:r>
          </w:p>
        </w:tc>
        <w:tc>
          <w:tcPr>
            <w:tcW w:w="480" w:type="dxa"/>
            <w:vAlign w:val="bottom"/>
            <w:tcBorders>
              <w:top w:val="single" w:sz="8" w:color="auto"/>
            </w:tcBorders>
            <w:gridSpan w:val="5"/>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2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8653" TargetMode="External"/><Relationship Id="rId13" Type="http://schemas.openxmlformats.org/officeDocument/2006/relationships/hyperlink" Target="http://www.sec.gov/cgi-bin/browse-edgar?action=getcompany&amp;CIK=0000885550" TargetMode="External"/><Relationship Id="rId15" Type="http://schemas.openxmlformats.org/officeDocument/2006/relationships/hyperlink" Target="http://www.sec.gov/cgi-bin/browse-edgar?action=getcompany&amp;CIK=0000926688" TargetMode="External"/><Relationship Id="rId16" Type="http://schemas.openxmlformats.org/officeDocument/2006/relationships/hyperlink" Target="http://www.sec.gov/cgi-bin/browse-edgar?action=getcompany&amp;CIK=00012035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2020-02-05T15:09:20Z</dcterms:created>
  <dcterms:modified xsi:type="dcterms:W3CDTF">2020-02-05T15:09:20Z</dcterms:modified>
</cp:coreProperties>
</file>