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spacing w:after="0"/>
        <w:tabs>
          <w:tab w:leader="none" w:pos="2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1360170</wp:posOffset>
            </wp:positionH>
            <wp:positionV relativeFrom="paragraph">
              <wp:posOffset>-4445</wp:posOffset>
            </wp:positionV>
            <wp:extent cx="1165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000-20202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CREDIT ACCEPTANCE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6"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5160" w:type="dxa"/>
            <w:vAlign w:val="bottom"/>
          </w:tcPr>
          <w:p>
            <w:pPr>
              <w:jc w:val="center"/>
              <w:ind w:right="1215"/>
              <w:spacing w:after="0"/>
              <w:rPr>
                <w:sz w:val="20"/>
                <w:szCs w:val="20"/>
                <w:color w:val="auto"/>
              </w:rPr>
            </w:pPr>
            <w:r>
              <w:rPr>
                <w:rFonts w:ascii="Arial" w:cs="Arial" w:eastAsia="Arial" w:hAnsi="Arial"/>
                <w:sz w:val="16"/>
                <w:szCs w:val="16"/>
                <w:b w:val="1"/>
                <w:bCs w:val="1"/>
                <w:color w:val="auto"/>
                <w:w w:val="95"/>
              </w:rPr>
              <w:t>Michigan</w:t>
            </w:r>
          </w:p>
        </w:tc>
        <w:tc>
          <w:tcPr>
            <w:tcW w:w="3660" w:type="dxa"/>
            <w:vAlign w:val="bottom"/>
          </w:tcPr>
          <w:p>
            <w:pPr>
              <w:jc w:val="center"/>
              <w:ind w:left="1239"/>
              <w:spacing w:after="0"/>
              <w:rPr>
                <w:sz w:val="20"/>
                <w:szCs w:val="20"/>
                <w:color w:val="auto"/>
              </w:rPr>
            </w:pPr>
            <w:r>
              <w:rPr>
                <w:rFonts w:ascii="Arial" w:cs="Arial" w:eastAsia="Arial" w:hAnsi="Arial"/>
                <w:sz w:val="16"/>
                <w:szCs w:val="16"/>
                <w:b w:val="1"/>
                <w:bCs w:val="1"/>
                <w:color w:val="auto"/>
                <w:w w:val="91"/>
              </w:rPr>
              <w:t>38-1999511</w:t>
            </w:r>
          </w:p>
        </w:tc>
      </w:tr>
      <w:tr>
        <w:trPr>
          <w:trHeight w:val="257"/>
        </w:trPr>
        <w:tc>
          <w:tcPr>
            <w:tcW w:w="5160" w:type="dxa"/>
            <w:vAlign w:val="bottom"/>
          </w:tcPr>
          <w:p>
            <w:pPr>
              <w:jc w:val="center"/>
              <w:ind w:right="1215"/>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660" w:type="dxa"/>
            <w:vAlign w:val="bottom"/>
          </w:tcPr>
          <w:p>
            <w:pPr>
              <w:jc w:val="center"/>
              <w:ind w:left="1239"/>
              <w:spacing w:after="0"/>
              <w:rPr>
                <w:sz w:val="20"/>
                <w:szCs w:val="20"/>
                <w:color w:val="auto"/>
              </w:rPr>
            </w:pPr>
            <w:r>
              <w:rPr>
                <w:rFonts w:ascii="Arial" w:cs="Arial" w:eastAsia="Arial" w:hAnsi="Arial"/>
                <w:sz w:val="16"/>
                <w:szCs w:val="16"/>
                <w:color w:val="auto"/>
                <w:w w:val="94"/>
              </w:rPr>
              <w:t>(I.R.S. Employer Identification No.)</w:t>
            </w:r>
          </w:p>
        </w:tc>
      </w:tr>
      <w:tr>
        <w:trPr>
          <w:trHeight w:val="276"/>
        </w:trPr>
        <w:tc>
          <w:tcPr>
            <w:tcW w:w="5160" w:type="dxa"/>
            <w:vAlign w:val="bottom"/>
          </w:tcPr>
          <w:p>
            <w:pPr>
              <w:jc w:val="center"/>
              <w:ind w:right="1215"/>
              <w:spacing w:after="0"/>
              <w:rPr>
                <w:sz w:val="20"/>
                <w:szCs w:val="20"/>
                <w:color w:val="auto"/>
              </w:rPr>
            </w:pPr>
            <w:r>
              <w:rPr>
                <w:rFonts w:ascii="Arial" w:cs="Arial" w:eastAsia="Arial" w:hAnsi="Arial"/>
                <w:sz w:val="18"/>
                <w:szCs w:val="18"/>
                <w:b w:val="1"/>
                <w:bCs w:val="1"/>
                <w:color w:val="auto"/>
                <w:w w:val="92"/>
              </w:rPr>
              <w:t>25505 W. Twelve Mile Road</w:t>
            </w:r>
          </w:p>
        </w:tc>
        <w:tc>
          <w:tcPr>
            <w:tcW w:w="3660" w:type="dxa"/>
            <w:vAlign w:val="bottom"/>
          </w:tcPr>
          <w:p>
            <w:pPr>
              <w:spacing w:after="0"/>
              <w:rPr>
                <w:sz w:val="24"/>
                <w:szCs w:val="24"/>
                <w:color w:val="auto"/>
              </w:rPr>
            </w:pPr>
          </w:p>
        </w:tc>
      </w:tr>
      <w:tr>
        <w:trPr>
          <w:trHeight w:val="270"/>
        </w:trPr>
        <w:tc>
          <w:tcPr>
            <w:tcW w:w="5160" w:type="dxa"/>
            <w:vAlign w:val="bottom"/>
          </w:tcPr>
          <w:p>
            <w:pPr>
              <w:ind w:left="1080"/>
              <w:spacing w:after="0"/>
              <w:rPr>
                <w:sz w:val="20"/>
                <w:szCs w:val="20"/>
                <w:color w:val="auto"/>
              </w:rPr>
            </w:pPr>
            <w:r>
              <w:rPr>
                <w:rFonts w:ascii="Arial" w:cs="Arial" w:eastAsia="Arial" w:hAnsi="Arial"/>
                <w:sz w:val="18"/>
                <w:szCs w:val="18"/>
                <w:b w:val="1"/>
                <w:bCs w:val="1"/>
                <w:color w:val="auto"/>
              </w:rPr>
              <w:t xml:space="preserve">Southfield, </w:t>
            </w:r>
            <w:r>
              <w:rPr>
                <w:rFonts w:ascii="Arial" w:cs="Arial" w:eastAsia="Arial" w:hAnsi="Arial"/>
                <w:sz w:val="16"/>
                <w:szCs w:val="16"/>
                <w:b w:val="1"/>
                <w:bCs w:val="1"/>
                <w:color w:val="auto"/>
              </w:rPr>
              <w:t>Michigan</w:t>
            </w:r>
          </w:p>
        </w:tc>
        <w:tc>
          <w:tcPr>
            <w:tcW w:w="3660" w:type="dxa"/>
            <w:vAlign w:val="bottom"/>
          </w:tcPr>
          <w:p>
            <w:pPr>
              <w:jc w:val="center"/>
              <w:ind w:left="1239"/>
              <w:spacing w:after="0"/>
              <w:rPr>
                <w:sz w:val="20"/>
                <w:szCs w:val="20"/>
                <w:color w:val="auto"/>
              </w:rPr>
            </w:pPr>
            <w:r>
              <w:rPr>
                <w:rFonts w:ascii="Arial" w:cs="Arial" w:eastAsia="Arial" w:hAnsi="Arial"/>
                <w:sz w:val="16"/>
                <w:szCs w:val="16"/>
                <w:b w:val="1"/>
                <w:bCs w:val="1"/>
                <w:color w:val="auto"/>
                <w:w w:val="91"/>
              </w:rPr>
              <w:t>48034-8339</w:t>
            </w:r>
          </w:p>
        </w:tc>
      </w:tr>
      <w:tr>
        <w:trPr>
          <w:trHeight w:val="264"/>
        </w:trPr>
        <w:tc>
          <w:tcPr>
            <w:tcW w:w="5160" w:type="dxa"/>
            <w:vAlign w:val="bottom"/>
          </w:tcPr>
          <w:p>
            <w:pPr>
              <w:jc w:val="center"/>
              <w:ind w:right="1215"/>
              <w:spacing w:after="0"/>
              <w:rPr>
                <w:sz w:val="20"/>
                <w:szCs w:val="20"/>
                <w:color w:val="auto"/>
              </w:rPr>
            </w:pPr>
            <w:r>
              <w:rPr>
                <w:rFonts w:ascii="Arial" w:cs="Arial" w:eastAsia="Arial" w:hAnsi="Arial"/>
                <w:sz w:val="16"/>
                <w:szCs w:val="16"/>
                <w:color w:val="auto"/>
                <w:w w:val="94"/>
              </w:rPr>
              <w:t>(Address of principal executive offices)</w:t>
            </w:r>
          </w:p>
        </w:tc>
        <w:tc>
          <w:tcPr>
            <w:tcW w:w="3660" w:type="dxa"/>
            <w:vAlign w:val="bottom"/>
          </w:tcPr>
          <w:p>
            <w:pPr>
              <w:jc w:val="center"/>
              <w:ind w:left="1239"/>
              <w:spacing w:after="0"/>
              <w:rPr>
                <w:sz w:val="20"/>
                <w:szCs w:val="20"/>
                <w:color w:val="auto"/>
              </w:rPr>
            </w:pPr>
            <w:r>
              <w:rPr>
                <w:rFonts w:ascii="Arial" w:cs="Arial" w:eastAsia="Arial" w:hAnsi="Arial"/>
                <w:sz w:val="16"/>
                <w:szCs w:val="16"/>
                <w:color w:val="auto"/>
                <w:w w:val="92"/>
              </w:rPr>
              <w:t>(Zip Code)</w:t>
            </w:r>
          </w:p>
        </w:tc>
      </w:tr>
    </w:tbl>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353-2700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2002155</wp:posOffset>
            </wp:positionH>
            <wp:positionV relativeFrom="paragraph">
              <wp:posOffset>31750</wp:posOffset>
            </wp:positionV>
            <wp:extent cx="3068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5"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4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 $0.01 par value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CACC</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61" w:right="339" w:bottom="1440" w:gutter="0" w:footer="0" w:header="0"/>
        </w:sectPr>
      </w:pPr>
    </w:p>
    <w:p>
      <w:pPr>
        <w:spacing w:after="0" w:line="25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85" w:lineRule="exact"/>
        <w:rPr>
          <w:sz w:val="24"/>
          <w:szCs w:val="24"/>
          <w:color w:val="auto"/>
        </w:rPr>
      </w:pPr>
    </w:p>
    <w:p>
      <w:pPr>
        <w:sectPr>
          <w:pgSz w:w="11900" w:h="16838" w:orient="portrait"/>
          <w:cols w:equalWidth="0" w:num="10">
            <w:col w:w="1780" w:space="180"/>
            <w:col w:w="160" w:space="560"/>
            <w:col w:w="1220" w:space="320"/>
            <w:col w:w="160" w:space="340"/>
            <w:col w:w="1520" w:space="100"/>
            <w:col w:w="160" w:space="520"/>
            <w:col w:w="1260" w:space="300"/>
            <w:col w:w="160" w:space="520"/>
            <w:col w:w="1260" w:space="300"/>
            <w:col w:w="420"/>
          </w:cols>
          <w:pgMar w:left="320" w:top="661"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outstanding on May 20, 2020 was 17,649,478.</w:t>
      </w:r>
    </w:p>
    <w:p>
      <w:pPr>
        <w:sectPr>
          <w:pgSz w:w="11900" w:h="16838" w:orient="portrait"/>
          <w:cols w:equalWidth="0" w:num="1">
            <w:col w:w="11240"/>
          </w:cols>
          <w:pgMar w:left="320" w:top="66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EXPLANATORY NOTE</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Acceptance Corporation (the “Company”) is relying on the order issued by the U.S. Securities and Exchange Commission (the “SEC”) on March 25, 2020 in SEC Release No. 34-88465 pursuant to the SEC’s authority under Section 36 of the Securities Exchange Act of 1934 (the “Exchange Act”) granting exemptions from certain provisions of the Exchange Act and the rules thereunder related to the reporting requirements for certain public companies, subject to certain conditions (such order, the “Order”), with respect to the filing of this Quarterly Report on Form 10-Q. The Company’s operations and business have experienced disruptions due to the unprecedented conditions surrounding COVID-19 in the United States, resulting in the Company’s having to modify its business practices. Since early March, the Company has been following the recommendations of state and local health authorities to minimize the exposure risk for the Company’s team members, including restricting access to the Company’s physical offices. The Company’s management has had to devote significant time and attention to assessing the potential impact of COVID-19 and related events on the Company’s operations and financial position and developing operational and financial plans to address those matters, which diverted management resources from completing tasks necessary to file this Quarterly Report on Form 10-Q by its original due date.</w:t>
      </w:r>
    </w:p>
    <w:p>
      <w:pPr>
        <w:sectPr>
          <w:pgSz w:w="11900" w:h="16838" w:orient="portrait"/>
          <w:cols w:equalWidth="0" w:num="1">
            <w:col w:w="11240"/>
          </w:cols>
          <w:pgMar w:left="320" w:top="5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320" w:type="dxa"/>
            <w:vAlign w:val="bottom"/>
            <w:gridSpan w:val="1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900" w:type="dxa"/>
            <w:vAlign w:val="bottom"/>
          </w:tcPr>
          <w:p>
            <w:pPr>
              <w:spacing w:after="0"/>
              <w:rPr>
                <w:sz w:val="20"/>
                <w:szCs w:val="20"/>
                <w:color w:val="auto"/>
              </w:rPr>
            </w:pPr>
          </w:p>
        </w:tc>
      </w:tr>
      <w:tr>
        <w:trPr>
          <w:trHeight w:val="86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20" w:type="dxa"/>
            <w:vAlign w:val="bottom"/>
            <w:gridSpan w:val="9"/>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2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ITEM 1. FINANCIAL STATEMENTS</w:t>
            </w:r>
          </w:p>
        </w:tc>
        <w:tc>
          <w:tcPr>
            <w:tcW w:w="9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Consolidated Balance Sheets - As of March 31, 2020 and December 31, 2019</w:t>
            </w:r>
          </w:p>
        </w:tc>
        <w:tc>
          <w:tcPr>
            <w:tcW w:w="9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Consolidated Statements of Operations - Three months ended March 31, 2020 and 2019</w:t>
            </w:r>
          </w:p>
        </w:tc>
        <w:tc>
          <w:tcPr>
            <w:tcW w:w="9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776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9"/>
              </w:rPr>
              <w:t>Consolidated Statements of Comprehensive Income (Loss) - Three months ended March 31, 2020 and 2019</w:t>
            </w:r>
          </w:p>
        </w:tc>
        <w:tc>
          <w:tcPr>
            <w:tcW w:w="2520" w:type="dxa"/>
            <w:vAlign w:val="bottom"/>
            <w:gridSpan w:val="2"/>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520"/>
        </w:trPr>
        <w:tc>
          <w:tcPr>
            <w:tcW w:w="40" w:type="dxa"/>
            <w:vAlign w:val="bottom"/>
          </w:tcPr>
          <w:p>
            <w:pPr>
              <w:spacing w:after="0"/>
              <w:rPr>
                <w:sz w:val="24"/>
                <w:szCs w:val="24"/>
                <w:color w:val="auto"/>
              </w:rPr>
            </w:pPr>
          </w:p>
        </w:tc>
        <w:tc>
          <w:tcPr>
            <w:tcW w:w="70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89"/>
              </w:rPr>
              <w:t>Consolidated Statements of Shareholders' Equity - Three months ended March 31, 2020 and 2019</w:t>
            </w:r>
          </w:p>
        </w:tc>
        <w:tc>
          <w:tcPr>
            <w:tcW w:w="3240" w:type="dxa"/>
            <w:vAlign w:val="bottom"/>
            <w:gridSpan w:val="3"/>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520"/>
        </w:trPr>
        <w:tc>
          <w:tcPr>
            <w:tcW w:w="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Consolidated Statements of Cash Flows - Three months ended March 31, 2020 and 2019</w:t>
            </w:r>
          </w:p>
        </w:tc>
        <w:tc>
          <w:tcPr>
            <w:tcW w:w="90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453"/>
        </w:trPr>
        <w:tc>
          <w:tcPr>
            <w:tcW w:w="40" w:type="dxa"/>
            <w:vAlign w:val="bottom"/>
          </w:tcPr>
          <w:p>
            <w:pPr>
              <w:spacing w:after="0"/>
              <w:rPr>
                <w:sz w:val="24"/>
                <w:szCs w:val="24"/>
                <w:color w:val="auto"/>
              </w:rPr>
            </w:pPr>
          </w:p>
        </w:tc>
        <w:tc>
          <w:tcPr>
            <w:tcW w:w="638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Notes to Consolidated Financial Statements</w:t>
            </w:r>
          </w:p>
        </w:tc>
        <w:tc>
          <w:tcPr>
            <w:tcW w:w="3900" w:type="dxa"/>
            <w:vAlign w:val="bottom"/>
            <w:gridSpan w:val="6"/>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958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ITEM 2. MANAGEMENT’S DISCUSSION AND ANALYSIS OF FINANCIAL CONDITION AND RESULTS OF OPERATIONS</w:t>
            </w:r>
          </w:p>
        </w:tc>
        <w:tc>
          <w:tcPr>
            <w:tcW w:w="700" w:type="dxa"/>
            <w:vAlign w:val="bottom"/>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453"/>
        </w:trPr>
        <w:tc>
          <w:tcPr>
            <w:tcW w:w="40" w:type="dxa"/>
            <w:vAlign w:val="bottom"/>
          </w:tcPr>
          <w:p>
            <w:pPr>
              <w:spacing w:after="0"/>
              <w:rPr>
                <w:sz w:val="24"/>
                <w:szCs w:val="24"/>
                <w:color w:val="auto"/>
              </w:rPr>
            </w:pPr>
          </w:p>
        </w:tc>
        <w:tc>
          <w:tcPr>
            <w:tcW w:w="68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7"/>
              </w:rPr>
              <w:t>ITEM 3. QUANTITATIVE AND QUALITATIVE DISCLOSURES ABOUT MARKET RISK</w:t>
            </w:r>
          </w:p>
        </w:tc>
        <w:tc>
          <w:tcPr>
            <w:tcW w:w="3480" w:type="dxa"/>
            <w:vAlign w:val="bottom"/>
            <w:gridSpan w:val="4"/>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r>
        <w:trPr>
          <w:trHeight w:val="520"/>
        </w:trPr>
        <w:tc>
          <w:tcPr>
            <w:tcW w:w="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ITEM 4. CONTROLS AND PROCEDURES</w:t>
            </w:r>
          </w:p>
        </w:tc>
        <w:tc>
          <w:tcPr>
            <w:tcW w:w="90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r>
        <w:trPr>
          <w:trHeight w:val="493"/>
        </w:trPr>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2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ITEM 1. LEGAL PROCEEDINGS</w:t>
            </w:r>
          </w:p>
        </w:tc>
        <w:tc>
          <w:tcPr>
            <w:tcW w:w="7740" w:type="dxa"/>
            <w:vAlign w:val="bottom"/>
            <w:gridSpan w:val="11"/>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r>
      <w:tr>
        <w:trPr>
          <w:trHeight w:val="547"/>
        </w:trPr>
        <w:tc>
          <w:tcPr>
            <w:tcW w:w="40" w:type="dxa"/>
            <w:vAlign w:val="bottom"/>
          </w:tcPr>
          <w:p>
            <w:pPr>
              <w:spacing w:after="0"/>
              <w:rPr>
                <w:sz w:val="24"/>
                <w:szCs w:val="24"/>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ITEM 1A. RISK FACTORS</w:t>
            </w:r>
          </w:p>
        </w:tc>
        <w:tc>
          <w:tcPr>
            <w:tcW w:w="8240" w:type="dxa"/>
            <w:vAlign w:val="bottom"/>
            <w:gridSpan w:val="12"/>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r>
      <w:tr>
        <w:trPr>
          <w:trHeight w:val="547"/>
        </w:trPr>
        <w:tc>
          <w:tcPr>
            <w:tcW w:w="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90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tc>
      </w:tr>
      <w:tr>
        <w:trPr>
          <w:trHeight w:val="520"/>
        </w:trPr>
        <w:tc>
          <w:tcPr>
            <w:tcW w:w="40" w:type="dxa"/>
            <w:vAlign w:val="bottom"/>
          </w:tcPr>
          <w:p>
            <w:pPr>
              <w:spacing w:after="0"/>
              <w:rPr>
                <w:sz w:val="24"/>
                <w:szCs w:val="24"/>
                <w:color w:val="auto"/>
              </w:rPr>
            </w:pPr>
          </w:p>
        </w:tc>
        <w:tc>
          <w:tcPr>
            <w:tcW w:w="1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7"/>
              </w:rPr>
              <w:t>ITEM 6. EXHIBITS</w:t>
            </w:r>
          </w:p>
        </w:tc>
        <w:tc>
          <w:tcPr>
            <w:tcW w:w="5240" w:type="dxa"/>
            <w:vAlign w:val="bottom"/>
            <w:tcBorders>
              <w:top w:val="single" w:sz="8" w:color="auto"/>
            </w:tcBorders>
            <w:gridSpan w:val="8"/>
          </w:tcPr>
          <w:p>
            <w:pPr>
              <w:spacing w:after="0"/>
              <w:rPr>
                <w:sz w:val="24"/>
                <w:szCs w:val="24"/>
                <w:color w:val="auto"/>
              </w:rPr>
            </w:pPr>
          </w:p>
        </w:tc>
        <w:tc>
          <w:tcPr>
            <w:tcW w:w="3560" w:type="dxa"/>
            <w:vAlign w:val="bottom"/>
            <w:gridSpan w:val="5"/>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58</w:t>
              </w:r>
            </w:hyperlink>
          </w:p>
        </w:tc>
      </w:tr>
      <w:tr>
        <w:trPr>
          <w:trHeight w:val="453"/>
        </w:trPr>
        <w:tc>
          <w:tcPr>
            <w:tcW w:w="4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SIGNATURES</w:t>
            </w:r>
          </w:p>
        </w:tc>
        <w:tc>
          <w:tcPr>
            <w:tcW w:w="9180" w:type="dxa"/>
            <w:vAlign w:val="bottom"/>
            <w:gridSpan w:val="14"/>
          </w:tcPr>
          <w:p>
            <w:pPr>
              <w:spacing w:after="0"/>
              <w:rPr>
                <w:sz w:val="24"/>
                <w:szCs w:val="24"/>
                <w:color w:val="auto"/>
              </w:rPr>
            </w:pPr>
          </w:p>
        </w:tc>
        <w:tc>
          <w:tcPr>
            <w:tcW w:w="90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r>
    </w:tbl>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jc w:val="center"/>
              <w:ind w:left="3391"/>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4"/>
        </w:trPr>
        <w:tc>
          <w:tcPr>
            <w:tcW w:w="7760" w:type="dxa"/>
            <w:vAlign w:val="bottom"/>
          </w:tcPr>
          <w:p>
            <w:pPr>
              <w:jc w:val="center"/>
              <w:ind w:left="3411"/>
              <w:spacing w:after="0"/>
              <w:rPr>
                <w:sz w:val="20"/>
                <w:szCs w:val="20"/>
                <w:color w:val="auto"/>
              </w:rPr>
            </w:pPr>
            <w:r>
              <w:rPr>
                <w:rFonts w:ascii="Arial" w:cs="Arial" w:eastAsia="Arial" w:hAnsi="Arial"/>
                <w:sz w:val="18"/>
                <w:szCs w:val="18"/>
                <w:b w:val="1"/>
                <w:bCs w:val="1"/>
                <w:color w:val="auto"/>
              </w:rPr>
              <w:t>CREDIT ACCEPTANCE CORPORATION</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7760" w:type="dxa"/>
            <w:vAlign w:val="bottom"/>
          </w:tcPr>
          <w:p>
            <w:pPr>
              <w:jc w:val="center"/>
              <w:ind w:left="3391"/>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7760" w:type="dxa"/>
            <w:vAlign w:val="bottom"/>
          </w:tcPr>
          <w:p>
            <w:pPr>
              <w:jc w:val="center"/>
              <w:ind w:left="3391"/>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44"/>
        </w:trPr>
        <w:tc>
          <w:tcPr>
            <w:tcW w:w="776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500" w:type="dxa"/>
            <w:vAlign w:val="bottom"/>
            <w:tcBorders>
              <w:bottom w:val="single" w:sz="8" w:color="auto"/>
            </w:tcBorders>
          </w:tcPr>
          <w:p>
            <w:pPr>
              <w:spacing w:after="0"/>
              <w:rPr>
                <w:sz w:val="24"/>
                <w:szCs w:val="24"/>
                <w:color w:val="auto"/>
              </w:rPr>
            </w:pPr>
          </w:p>
        </w:tc>
      </w:tr>
      <w:tr>
        <w:trPr>
          <w:trHeight w:val="263"/>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760" w:type="dxa"/>
            <w:vAlign w:val="bottom"/>
          </w:tcPr>
          <w:p>
            <w:pPr>
              <w:ind w:left="35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330.3</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r>
      <w:tr>
        <w:trPr>
          <w:trHeight w:val="324"/>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7,221.2</w:t>
            </w:r>
          </w:p>
        </w:tc>
      </w:tr>
      <w:tr>
        <w:trPr>
          <w:trHeight w:val="284"/>
        </w:trPr>
        <w:tc>
          <w:tcPr>
            <w:tcW w:w="7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(3,240.5)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r>
        <w:trPr>
          <w:trHeight w:val="270"/>
        </w:trPr>
        <w:tc>
          <w:tcPr>
            <w:tcW w:w="7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Loans receivable, net</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6,685.2</w:t>
            </w:r>
          </w:p>
        </w:tc>
      </w:tr>
      <w:tr>
        <w:trPr>
          <w:trHeight w:val="324"/>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304"/>
        </w:trPr>
        <w:tc>
          <w:tcPr>
            <w:tcW w:w="776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7,259.6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7,423.2</w:t>
            </w:r>
          </w:p>
        </w:tc>
      </w:tr>
      <w:tr>
        <w:trPr>
          <w:trHeight w:val="284"/>
        </w:trPr>
        <w:tc>
          <w:tcPr>
            <w:tcW w:w="77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r>
      <w:tr>
        <w:trPr>
          <w:trHeight w:val="243"/>
        </w:trPr>
        <w:tc>
          <w:tcPr>
            <w:tcW w:w="7760" w:type="dxa"/>
            <w:vAlign w:val="bottom"/>
          </w:tcPr>
          <w:p>
            <w:pPr>
              <w:ind w:left="19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170.6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206.4</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secured line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Secured financing</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3,339.7</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1,187.8</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Mortgage note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w:t>
            </w:r>
          </w:p>
        </w:tc>
      </w:tr>
      <w:tr>
        <w:trPr>
          <w:trHeight w:val="283"/>
        </w:trPr>
        <w:tc>
          <w:tcPr>
            <w:tcW w:w="77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r>
      <w:tr>
        <w:trPr>
          <w:trHeight w:val="270"/>
        </w:trPr>
        <w:tc>
          <w:tcPr>
            <w:tcW w:w="7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5,067.9</w:t>
            </w:r>
          </w:p>
        </w:tc>
      </w:tr>
      <w:tr>
        <w:trPr>
          <w:trHeight w:val="297"/>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 See Note 15</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w w:val="91"/>
              </w:rPr>
              <w:t>Common stock, $0.01 par value, 80,000,000 shares authorized, 17,649,478 and 18,352,779 shares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60" w:type="dxa"/>
            <w:vAlign w:val="bottom"/>
          </w:tcPr>
          <w:p>
            <w:pPr>
              <w:ind w:left="820"/>
              <w:spacing w:after="0"/>
              <w:rPr>
                <w:sz w:val="20"/>
                <w:szCs w:val="20"/>
                <w:color w:val="auto"/>
              </w:rPr>
            </w:pPr>
            <w:r>
              <w:rPr>
                <w:rFonts w:ascii="Arial" w:cs="Arial" w:eastAsia="Arial" w:hAnsi="Arial"/>
                <w:sz w:val="18"/>
                <w:szCs w:val="18"/>
                <w:color w:val="auto"/>
              </w:rPr>
              <w:t>issued and outstanding as of March 31, 2020 and December 31, 2019,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2,196.6</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84"/>
        </w:trPr>
        <w:tc>
          <w:tcPr>
            <w:tcW w:w="77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2,355.3</w:t>
            </w:r>
          </w:p>
        </w:tc>
      </w:tr>
      <w:tr>
        <w:trPr>
          <w:trHeight w:val="257"/>
        </w:trPr>
        <w:tc>
          <w:tcPr>
            <w:tcW w:w="77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7,259.6</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7,423.2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05"/>
        </w:trPr>
        <w:tc>
          <w:tcPr>
            <w:tcW w:w="79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Finance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Premiums earned</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83"/>
        </w:trPr>
        <w:tc>
          <w:tcPr>
            <w:tcW w:w="79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Salaries and wages</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claims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83"/>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501.9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(loss) before provision (benefit) for income taxes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30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income (loss) per share:</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18,185,465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18,955,191</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18,185,465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19,004,498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CREDIT ACCEPTANCE CORPORATION CONSOLIDATED STATEMENTS OF COMPREHENSIVE INCOME (LOSS) (UNAUDITED)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6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4"/>
                <w:szCs w:val="14"/>
                <w:color w:val="auto"/>
              </w:rPr>
            </w:pPr>
          </w:p>
        </w:tc>
      </w:tr>
      <w:tr>
        <w:trPr>
          <w:trHeight w:val="205"/>
        </w:trPr>
        <w:tc>
          <w:tcPr>
            <w:tcW w:w="79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7"/>
        </w:trPr>
        <w:tc>
          <w:tcPr>
            <w:tcW w:w="79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Unrealized gain (loss) on securities, net of tax</w:t>
            </w:r>
          </w:p>
        </w:tc>
        <w:tc>
          <w:tcPr>
            <w:tcW w:w="10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83"/>
        </w:trPr>
        <w:tc>
          <w:tcPr>
            <w:tcW w:w="79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r>
      <w:tr>
        <w:trPr>
          <w:trHeight w:val="20"/>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8"/>
          </w:tcPr>
          <w:p>
            <w:pPr>
              <w:jc w:val="right"/>
              <w:ind w:right="36"/>
              <w:spacing w:after="0"/>
              <w:rPr>
                <w:sz w:val="20"/>
                <w:szCs w:val="20"/>
                <w:color w:val="auto"/>
              </w:rPr>
            </w:pPr>
            <w:r>
              <w:rPr>
                <w:rFonts w:ascii="Arial" w:cs="Arial" w:eastAsia="Arial" w:hAnsi="Arial"/>
                <w:sz w:val="14"/>
                <w:szCs w:val="14"/>
                <w:b w:val="1"/>
                <w:bCs w:val="1"/>
                <w:color w:val="auto"/>
                <w:w w:val="95"/>
              </w:rPr>
              <w:t>For the Three Months Ended March 31, 2020</w:t>
            </w: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5"/>
                <w:szCs w:val="5"/>
                <w:color w:val="auto"/>
              </w:rPr>
            </w:pPr>
          </w:p>
        </w:tc>
        <w:tc>
          <w:tcPr>
            <w:tcW w:w="1080" w:type="dxa"/>
            <w:vAlign w:val="bottom"/>
            <w:vMerge w:val="restart"/>
          </w:tcPr>
          <w:p>
            <w:pPr>
              <w:jc w:val="center"/>
              <w:ind w:right="5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58"/>
        </w:trPr>
        <w:tc>
          <w:tcPr>
            <w:tcW w:w="3160" w:type="dxa"/>
            <w:vAlign w:val="bottom"/>
          </w:tcPr>
          <w:p>
            <w:pPr>
              <w:spacing w:after="0"/>
              <w:rPr>
                <w:sz w:val="5"/>
                <w:szCs w:val="5"/>
                <w:color w:val="auto"/>
              </w:rPr>
            </w:pPr>
          </w:p>
        </w:tc>
        <w:tc>
          <w:tcPr>
            <w:tcW w:w="12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Number</w:t>
            </w:r>
          </w:p>
        </w:tc>
        <w:tc>
          <w:tcPr>
            <w:tcW w:w="140" w:type="dxa"/>
            <w:vAlign w:val="bottom"/>
            <w:vMerge w:val="restart"/>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vMerge w:val="restart"/>
          </w:tcPr>
          <w:p>
            <w:pPr>
              <w:spacing w:after="0"/>
              <w:rPr>
                <w:sz w:val="5"/>
                <w:szCs w:val="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Retained Earnings</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1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18,352,779</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gain (loss)</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 net of</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(725,220)</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converted to</w:t>
            </w:r>
          </w:p>
        </w:tc>
        <w:tc>
          <w:tcPr>
            <w:tcW w:w="1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21,971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17,649,478</w:t>
            </w:r>
          </w:p>
        </w:tc>
        <w:tc>
          <w:tcPr>
            <w:tcW w:w="140" w:type="dxa"/>
            <w:vAlign w:val="bottom"/>
          </w:tcPr>
          <w:p>
            <w:pPr>
              <w:spacing w:after="0"/>
              <w:rPr>
                <w:sz w:val="22"/>
                <w:szCs w:val="22"/>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2"/>
                <w:szCs w:val="22"/>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1,807.7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1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right"/>
              <w:ind w:right="36"/>
              <w:spacing w:after="0"/>
              <w:rPr>
                <w:sz w:val="20"/>
                <w:szCs w:val="20"/>
                <w:color w:val="auto"/>
              </w:rPr>
            </w:pPr>
            <w:r>
              <w:rPr>
                <w:rFonts w:ascii="Arial" w:cs="Arial" w:eastAsia="Arial" w:hAnsi="Arial"/>
                <w:sz w:val="14"/>
                <w:szCs w:val="14"/>
                <w:b w:val="1"/>
                <w:bCs w:val="1"/>
                <w:color w:val="auto"/>
                <w:w w:val="95"/>
              </w:rPr>
              <w:t>For the Three Months Ended March 31, 2019</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5"/>
                <w:szCs w:val="5"/>
                <w:color w:val="auto"/>
              </w:rPr>
            </w:pPr>
          </w:p>
        </w:tc>
        <w:tc>
          <w:tcPr>
            <w:tcW w:w="1080" w:type="dxa"/>
            <w:vAlign w:val="bottom"/>
            <w:vMerge w:val="restart"/>
          </w:tcPr>
          <w:p>
            <w:pPr>
              <w:jc w:val="center"/>
              <w:ind w:right="5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58"/>
        </w:trPr>
        <w:tc>
          <w:tcPr>
            <w:tcW w:w="3160" w:type="dxa"/>
            <w:vAlign w:val="bottom"/>
          </w:tcPr>
          <w:p>
            <w:pPr>
              <w:spacing w:after="0"/>
              <w:rPr>
                <w:sz w:val="5"/>
                <w:szCs w:val="5"/>
                <w:color w:val="auto"/>
              </w:rPr>
            </w:pPr>
          </w:p>
        </w:tc>
        <w:tc>
          <w:tcPr>
            <w:tcW w:w="12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Number</w:t>
            </w:r>
          </w:p>
        </w:tc>
        <w:tc>
          <w:tcPr>
            <w:tcW w:w="140" w:type="dxa"/>
            <w:vAlign w:val="bottom"/>
            <w:vMerge w:val="restart"/>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vMerge w:val="restart"/>
          </w:tcPr>
          <w:p>
            <w:pPr>
              <w:spacing w:after="0"/>
              <w:rPr>
                <w:sz w:val="5"/>
                <w:szCs w:val="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Retained Earnings</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1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18,972,558</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gain (loss)</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 net of</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5,282</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(268,611)</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converted to</w:t>
            </w:r>
          </w:p>
        </w:tc>
        <w:tc>
          <w:tcPr>
            <w:tcW w:w="1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87,842</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16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18,797,071</w:t>
            </w:r>
          </w:p>
        </w:tc>
        <w:tc>
          <w:tcPr>
            <w:tcW w:w="140" w:type="dxa"/>
            <w:vAlign w:val="bottom"/>
          </w:tcPr>
          <w:p>
            <w:pPr>
              <w:spacing w:after="0"/>
              <w:rPr>
                <w:sz w:val="22"/>
                <w:szCs w:val="22"/>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1,896.2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2019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Adjustments to reconcile cash provided by operating activities: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Provision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7740" w:type="dxa"/>
            <w:vAlign w:val="bottom"/>
          </w:tcPr>
          <w:p>
            <w:pPr>
              <w:ind w:left="10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7740" w:type="dxa"/>
            <w:vAlign w:val="bottom"/>
          </w:tcPr>
          <w:p>
            <w:pPr>
              <w:ind w:left="1020"/>
              <w:spacing w:after="0"/>
              <w:rPr>
                <w:sz w:val="20"/>
                <w:szCs w:val="20"/>
                <w:color w:val="auto"/>
              </w:rPr>
            </w:pPr>
            <w:r>
              <w:rPr>
                <w:rFonts w:ascii="Arial" w:cs="Arial" w:eastAsia="Arial" w:hAnsi="Arial"/>
                <w:sz w:val="18"/>
                <w:szCs w:val="18"/>
                <w:color w:val="auto"/>
              </w:rPr>
              <w:t>Provision (benefit) for deferred income taxes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740" w:type="dxa"/>
            <w:vAlign w:val="bottom"/>
          </w:tcPr>
          <w:p>
            <w:pPr>
              <w:ind w:left="10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Decrease in 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740" w:type="dxa"/>
            <w:vAlign w:val="bottom"/>
          </w:tcPr>
          <w:p>
            <w:pPr>
              <w:ind w:left="1020"/>
              <w:spacing w:after="0"/>
              <w:rPr>
                <w:sz w:val="20"/>
                <w:szCs w:val="20"/>
                <w:color w:val="auto"/>
              </w:rPr>
            </w:pPr>
            <w:r>
              <w:rPr>
                <w:rFonts w:ascii="Arial" w:cs="Arial" w:eastAsia="Arial" w:hAnsi="Arial"/>
                <w:sz w:val="18"/>
                <w:szCs w:val="18"/>
                <w:color w:val="auto"/>
              </w:rPr>
              <w:t>Decrease in income taxes receivable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Increase in 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83"/>
        </w:trPr>
        <w:tc>
          <w:tcPr>
            <w:tcW w:w="774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Decrease in other assets</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r>
      <w:tr>
        <w:trPr>
          <w:trHeight w:val="277"/>
        </w:trPr>
        <w:tc>
          <w:tcPr>
            <w:tcW w:w="77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Purchases of restricted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Proceeds from sale of restricted securities available for sale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Maturities of restricted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757.4</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Advances to Dealers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Purchases of Consumer Loans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(386.4)</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Accelerated payments of Dealer Holdback</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Payments of Dealer Holdback</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7"/>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7740" w:type="dxa"/>
            <w:vAlign w:val="bottom"/>
            <w:tcBorders>
              <w:bottom w:val="single" w:sz="8" w:color="CCEEFF"/>
            </w:tcBorders>
          </w:tcPr>
          <w:p>
            <w:pPr>
              <w:ind w:left="1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Borrowings under revolving secured line of credit</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1,121.8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1,066.9</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Repayments under revolving secured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Proceeds from secured financing</w:t>
            </w:r>
          </w:p>
        </w:tc>
        <w:tc>
          <w:tcPr>
            <w:tcW w:w="3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814.0</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Repayments of secured financing</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Proceeds from issuance of senior notes</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Payments of debt issuance costs and debt extinguishment costs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84"/>
        </w:trPr>
        <w:tc>
          <w:tcPr>
            <w:tcW w:w="7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77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Net cash provided (used) by 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w w:val="95"/>
              </w:rPr>
              <w:t>Net increase (decrease) in cash and cash equivalents and restricted cash and cash equivalents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129.9</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7"/>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 and restricted cash and cash equivalents beginning of period</w:t>
            </w:r>
          </w:p>
        </w:tc>
        <w:tc>
          <w:tcPr>
            <w:tcW w:w="3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r>
      <w:tr>
        <w:trPr>
          <w:trHeight w:val="304"/>
        </w:trPr>
        <w:tc>
          <w:tcPr>
            <w:tcW w:w="7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and cash equivalents and restricted 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459.2</w:t>
            </w: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480"/>
              <w:spacing w:after="0"/>
              <w:rPr>
                <w:sz w:val="20"/>
                <w:szCs w:val="20"/>
                <w:color w:val="auto"/>
              </w:rPr>
            </w:pPr>
            <w:r>
              <w:rPr>
                <w:rFonts w:ascii="Arial" w:cs="Arial" w:eastAsia="Arial" w:hAnsi="Arial"/>
                <w:sz w:val="18"/>
                <w:szCs w:val="18"/>
                <w:color w:val="auto"/>
              </w:rPr>
              <w:t>Cash paid during the period for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48.8</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paid during the period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as of December 31, 2019 has been derived from the audited financial statements at that date but does not include all the information and footnotes required by GAAP for complete financial statements. For further information, refer to the consolidated financial statements and footnotes thereto included in the Annual Report on Form 10-K for the year ended December 31, 2019 for Credit Acceptance Corporation (the “Company”, “Credit Acceptance”, “we”, “our” or “us”).</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March 31, 2020 for items that could potentially be recognized or disclosed in these financial statements. We did not identify any items which would require disclosure in or adjustment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for prior periods have been reclassified to conform to the current presentation.</w:t>
      </w:r>
    </w:p>
    <w:p>
      <w:pPr>
        <w:spacing w:after="0" w:line="16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134"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Consumer Loan Assignment Volume</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70"/>
        </w:trPr>
        <w:tc>
          <w:tcPr>
            <w:tcW w:w="78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Percentage of total unit volume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648"/>
        </w:trPr>
        <w:tc>
          <w:tcPr>
            <w:tcW w:w="7760" w:type="dxa"/>
            <w:vAlign w:val="bottom"/>
          </w:tcPr>
          <w:p>
            <w:pPr>
              <w:jc w:val="right"/>
              <w:ind w:right="20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five quarters: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1173"/>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3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Purchased Loans</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Purchased Loans</w:t>
            </w: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7"/>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16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620" w:type="dxa"/>
            <w:vAlign w:val="bottom"/>
          </w:tcPr>
          <w:p>
            <w:pPr>
              <w:ind w:left="1100"/>
              <w:spacing w:after="0"/>
              <w:rPr>
                <w:sz w:val="20"/>
                <w:szCs w:val="20"/>
                <w:color w:val="auto"/>
              </w:rPr>
            </w:pPr>
            <w:r>
              <w:rPr>
                <w:rFonts w:ascii="Arial" w:cs="Arial" w:eastAsia="Arial" w:hAnsi="Arial"/>
                <w:sz w:val="18"/>
                <w:szCs w:val="18"/>
                <w:color w:val="auto"/>
                <w:w w:val="97"/>
              </w:rPr>
              <w:t>63.7%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7"/>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6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20" w:type="dxa"/>
            <w:vAlign w:val="bottom"/>
          </w:tcPr>
          <w:p>
            <w:pPr>
              <w:ind w:left="1100"/>
              <w:spacing w:after="0"/>
              <w:rPr>
                <w:sz w:val="20"/>
                <w:szCs w:val="20"/>
                <w:color w:val="auto"/>
              </w:rPr>
            </w:pPr>
            <w:r>
              <w:rPr>
                <w:rFonts w:ascii="Arial" w:cs="Arial" w:eastAsia="Arial" w:hAnsi="Arial"/>
                <w:sz w:val="18"/>
                <w:szCs w:val="18"/>
                <w:color w:val="auto"/>
                <w:w w:val="97"/>
              </w:rPr>
              <w:t>64.0%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7"/>
              </w:rPr>
              <w:t>60.5%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500" w:right="20" w:hanging="317"/>
        <w:spacing w:after="0" w:line="273"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3" w:lineRule="exact"/>
        <w:rPr>
          <w:sz w:val="20"/>
          <w:szCs w:val="20"/>
          <w:color w:val="auto"/>
        </w:rPr>
      </w:pPr>
    </w:p>
    <w:p>
      <w:pPr>
        <w:ind w:left="840" w:hanging="333"/>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9" w:lineRule="exact"/>
        <w:rPr>
          <w:rFonts w:ascii="Arial" w:cs="Arial" w:eastAsia="Arial" w:hAnsi="Arial"/>
          <w:sz w:val="18"/>
          <w:szCs w:val="18"/>
          <w:color w:val="auto"/>
        </w:rPr>
      </w:pPr>
    </w:p>
    <w:p>
      <w:pPr>
        <w:ind w:left="840" w:hanging="333"/>
        <w:spacing w:after="0" w:line="260"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record the amount advanced to the Dealer as a Dealer Loan, which is classified within Loans receivable in our consolidated balance sheets. Cash advanced to the Dealer is automatically assigned to the Dealer’s open pool of advances. Prior to August 5, 2019, we generally required Dealers to group advances into pools of at least 100 Consumer Loans. Beginning August 5, 2019, Dealers may also elect to close a pool containing at least 50 Consumer Loans and assign subsequent advances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 w:lineRule="exact"/>
        <w:rPr>
          <w:sz w:val="20"/>
          <w:szCs w:val="20"/>
          <w:color w:val="auto"/>
        </w:rPr>
      </w:pPr>
    </w:p>
    <w:p>
      <w:pPr>
        <w:ind w:left="840" w:hanging="333"/>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Beginning August 5, 2019, Dealers may enroll in our Portfolio Program without incurring an enrollment fee. Prior to August 5, 2019, Dealers enrolled in our Portfolio Program by (1) paying an up-front, one-time fee of $9,850, or (2) agreeing to allow us to retain 50% of their accelerated Dealer Holdback payment(s) on the first 100 Consumer Loan assignments.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Access to the Purchase Program is typically only granted to Dealers that meet one of the following:</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assigned at least 100 Consumer Loans under the Portfolio Program;</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is seasonal with peak Consumer Loan assignments and collections occurring during the first quarter of the year. Historically, this seasonality did not have a material impact on our interim results. However, upon adoption of the current expected credit loss ("CECL") impairment model on January 1, 2020, this seasonality now has a material impact on our interim results, as we are required to recognize a significant provision for credit losses expense at the time of assignment. For additional information, see Note 3.</w:t>
      </w:r>
    </w:p>
    <w:p>
      <w:pPr>
        <w:spacing w:after="0" w:line="183" w:lineRule="exact"/>
        <w:rPr>
          <w:sz w:val="20"/>
          <w:szCs w:val="20"/>
          <w:color w:val="auto"/>
        </w:rPr>
      </w:pPr>
    </w:p>
    <w:p>
      <w:pPr>
        <w:ind w:right="5900" w:firstLine="8"/>
        <w:spacing w:after="0" w:line="503" w:lineRule="auto"/>
        <w:tabs>
          <w:tab w:leader="none" w:pos="63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Business Segment Information</w:t>
      </w:r>
    </w:p>
    <w:p>
      <w:pPr>
        <w:jc w:val="both"/>
        <w:ind w:firstLine="324"/>
        <w:spacing w:after="0" w:line="342" w:lineRule="auto"/>
        <w:rPr>
          <w:sz w:val="20"/>
          <w:szCs w:val="20"/>
          <w:color w:val="auto"/>
        </w:rPr>
      </w:pPr>
      <w:r>
        <w:rPr>
          <w:rFonts w:ascii="Arial" w:cs="Arial" w:eastAsia="Arial" w:hAnsi="Arial"/>
          <w:sz w:val="16"/>
          <w:szCs w:val="16"/>
          <w:color w:val="auto"/>
        </w:rPr>
        <w:t>We currently operate in one reportable segment which represents our core business of offering financing programs that enable Dealers to sell vehicles to consumers, regardless of their credit history. The consolidated financial statements reflect the financial results of our one reportable operating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Cash Equivalents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March 31, 2020 and December 31, 2019, we had $25.1 million and $186.1 million, respectively, in cash and cash equivalents that were not insured by the Federal Deposit Insurance Corporation (“FDIC”).</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March 31, 2020 and December 31, 2019, we had $404.3 million and $326.7 million, respectively, in restricted cash and cash equivalents that were not insured by the FDIC.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and cash equivalents reported in our consolidated balance sheets to the total shown in our consolidated statements of cash flows: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408.1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417.9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Total cash and cash equivalents and restricted cash and cash</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4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459.2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equivalents</w:t>
            </w:r>
          </w:p>
        </w:tc>
        <w:tc>
          <w:tcPr>
            <w:tcW w:w="22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440" w:type="dxa"/>
            <w:vAlign w:val="bottom"/>
            <w:gridSpan w:val="3"/>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(loss) and reported as a component of shareholders’ equity.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35" w:lineRule="exact"/>
        <w:rPr>
          <w:sz w:val="20"/>
          <w:szCs w:val="20"/>
          <w:color w:val="auto"/>
        </w:rPr>
      </w:pPr>
    </w:p>
    <w:p>
      <w:pPr>
        <w:ind w:left="840" w:hanging="333"/>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35" w:lineRule="exact"/>
        <w:rPr>
          <w:sz w:val="20"/>
          <w:szCs w:val="20"/>
          <w:color w:val="auto"/>
        </w:rPr>
      </w:pPr>
    </w:p>
    <w:p>
      <w:pPr>
        <w:ind w:left="840" w:hanging="333"/>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9" w:lineRule="exact"/>
        <w:rPr>
          <w:rFonts w:ascii="Arial" w:cs="Arial" w:eastAsia="Arial" w:hAnsi="Arial"/>
          <w:sz w:val="18"/>
          <w:szCs w:val="18"/>
          <w:color w:val="auto"/>
        </w:rPr>
      </w:pPr>
    </w:p>
    <w:p>
      <w:pPr>
        <w:ind w:left="840" w:right="20" w:hanging="333"/>
        <w:spacing w:after="0" w:line="26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Portfolio Segments and Classes. </w:t>
      </w:r>
      <w:r>
        <w:rPr>
          <w:rFonts w:ascii="Arial" w:cs="Arial" w:eastAsia="Arial" w:hAnsi="Arial"/>
          <w:sz w:val="18"/>
          <w:szCs w:val="18"/>
          <w:color w:val="auto"/>
        </w:rPr>
        <w:t>Our Loan portfolio consists of two portfolio segments: Dealer Loans and Purchased Loans. Our determination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following:</w:t>
      </w:r>
    </w:p>
    <w:p>
      <w:pPr>
        <w:spacing w:after="0" w:line="1" w:lineRule="exact"/>
        <w:rPr>
          <w:sz w:val="20"/>
          <w:szCs w:val="20"/>
          <w:color w:val="auto"/>
        </w:rPr>
      </w:pPr>
    </w:p>
    <w:p>
      <w:pPr>
        <w:ind w:left="840" w:hanging="333"/>
        <w:spacing w:after="0" w:line="265"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two financing programs: the Portfolio Program and the Purchase Program. We are considered to be a lender to our Dealers for Consumer Loans assigned under the Portfolio Program and a purchaser of Consumer Loans assigned under the Purchase Program.</w:t>
      </w:r>
    </w:p>
    <w:p>
      <w:pPr>
        <w:jc w:val="both"/>
        <w:ind w:left="840" w:hanging="333"/>
        <w:spacing w:after="0" w:line="281"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Portfolio Program and the Purchase Program have different levels of risk in relation to credit losses. Under the Portfolio Program, the impact of negative variances in Consumer Loan performance is mitigated by Dealer Holdback and the cross-collateralization of Consumer Loan assignments. Under the Purchase Program, we are impacted by the full amount of negative variances in Consumer Loan performance.</w:t>
      </w:r>
    </w:p>
    <w:p>
      <w:pPr>
        <w:spacing w:after="0" w:line="1" w:lineRule="exact"/>
        <w:rPr>
          <w:rFonts w:ascii="Arial" w:cs="Arial" w:eastAsia="Arial" w:hAnsi="Arial"/>
          <w:sz w:val="16"/>
          <w:szCs w:val="16"/>
          <w:color w:val="auto"/>
        </w:rPr>
      </w:pPr>
    </w:p>
    <w:p>
      <w:pPr>
        <w:jc w:val="both"/>
        <w:ind w:left="840" w:hanging="333"/>
        <w:spacing w:after="0" w:line="255"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model is narrowly focused on Consumer Loan assignments from one industry with expected cash flows that are significantly lower than the contractual cash flows owed to us due to credit quality. We do not believe that it is meaningful to disaggregate our Loan portfolio beyond the Dealer Loans and Purchased Loans portfolio segments.</w:t>
      </w:r>
    </w:p>
    <w:p>
      <w:pPr>
        <w:spacing w:after="0" w:line="19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Each portfolio segment consists of one class of Consumer Loan assignments, which is Consumer Loans originated by Dealers to finance purchases of vehicles and related ancillary products by consumers with impaired or limited credit histories. Our determination is based on the following:</w:t>
      </w:r>
    </w:p>
    <w:p>
      <w:pPr>
        <w:ind w:left="840" w:hanging="333"/>
        <w:spacing w:after="0" w:line="250"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the Consumer Loans assigned to us have similar risk characteristics in relation to the categorization of borrowers, type of financing receivable, industry sector and type of collateral.</w:t>
      </w:r>
    </w:p>
    <w:p>
      <w:pPr>
        <w:ind w:left="840" w:hanging="33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only accept Consumer Loan assignments from Dealers located within the United States.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2020 Recognition and Measurement Policies. </w:t>
      </w:r>
      <w:r>
        <w:rPr>
          <w:rFonts w:ascii="Arial" w:cs="Arial" w:eastAsia="Arial" w:hAnsi="Arial"/>
          <w:sz w:val="18"/>
          <w:szCs w:val="18"/>
          <w:color w:val="auto"/>
        </w:rPr>
        <w:t>On January 1, 2020, we adopted Accounting Standards Update 2016-13, Measurement of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Financial Instruments, which is known as the current expected credit loss model, or CECL. Loans outstanding prior to the adoption date qualified for transition relief and are accounted for as purchased financial assets with credit deterioration (“PCD Method”).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PCD Method, on January 1, 2020, we:</w:t>
      </w:r>
    </w:p>
    <w:p>
      <w:pPr>
        <w:spacing w:after="0" w:line="23" w:lineRule="exact"/>
        <w:rPr>
          <w:sz w:val="20"/>
          <w:szCs w:val="20"/>
          <w:color w:val="auto"/>
        </w:rPr>
      </w:pPr>
    </w:p>
    <w:p>
      <w:pPr>
        <w:ind w:left="840" w:hanging="333"/>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an effective interest rate based on expected future net cash flows; and</w:t>
      </w:r>
    </w:p>
    <w:p>
      <w:pPr>
        <w:spacing w:after="0" w:line="9" w:lineRule="exact"/>
        <w:rPr>
          <w:rFonts w:ascii="Arial" w:cs="Arial" w:eastAsia="Arial" w:hAnsi="Arial"/>
          <w:sz w:val="18"/>
          <w:szCs w:val="18"/>
          <w:color w:val="auto"/>
        </w:rPr>
      </w:pPr>
    </w:p>
    <w:p>
      <w:pPr>
        <w:jc w:val="both"/>
        <w:ind w:left="840" w:hanging="333"/>
        <w:spacing w:after="0" w:line="255"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the Loans receivable and the related allowance for credit losses balances by the present value of the difference between contractual future net cash flows and expected future net cash flows discounted at the effective interest rate. This “gross-up” did not impact the net carrying amount of Loans (Loans receivable less allowance for credit losses) or net income.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PCD Method, for each reporting period subsequent to our adoption of CECL, we:</w:t>
      </w:r>
    </w:p>
    <w:p>
      <w:pPr>
        <w:spacing w:after="0" w:line="23" w:lineRule="exact"/>
        <w:rPr>
          <w:sz w:val="20"/>
          <w:szCs w:val="20"/>
          <w:color w:val="auto"/>
        </w:rPr>
      </w:pPr>
    </w:p>
    <w:p>
      <w:pPr>
        <w:ind w:left="840" w:right="20" w:hanging="333"/>
        <w:spacing w:after="0" w:line="250"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on the adoption date based on expected future net cash flows; and</w:t>
      </w:r>
    </w:p>
    <w:p>
      <w:pPr>
        <w:jc w:val="both"/>
        <w:ind w:left="840" w:hanging="333"/>
        <w:spacing w:after="0" w:line="255"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1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Consumer Loans assigned to us subsequent to December 31, 2019 do not qualify for the PCD Method and are accounted for as originated financial assets (“Originated Method”). While the cash flows we expect to collect at the time of assignment are significantly lower than the contractual cash flows owed to us due to credit quality, our Loans do not qualify for the PCD Method because the assignment of the Consumer Loan to us occurs a moment after the Consumer Loan is originated by the Dealer, so “a more-than-insignificant deterioration in credit quality since origination” has not occurred at the time of assignment. In addition, Dealer Loans also do not qualify for the PCD Method because Consumer Loans assigned to us under the Portfolio Program are considered to be advances under Dealer Loans originated by us rather than Consumer Loans purchased by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Originated Method, at the time of assignment, we:</w:t>
      </w:r>
    </w:p>
    <w:p>
      <w:pPr>
        <w:spacing w:after="0" w:line="23" w:lineRule="exact"/>
        <w:rPr>
          <w:sz w:val="20"/>
          <w:szCs w:val="20"/>
          <w:color w:val="auto"/>
        </w:rPr>
      </w:pPr>
    </w:p>
    <w:p>
      <w:pPr>
        <w:ind w:left="840" w:hanging="333"/>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 the effective interest rate based on contractual future net cash flows;</w:t>
      </w:r>
    </w:p>
    <w:p>
      <w:pPr>
        <w:spacing w:after="0" w:line="9" w:lineRule="exact"/>
        <w:rPr>
          <w:rFonts w:ascii="Arial" w:cs="Arial" w:eastAsia="Arial" w:hAnsi="Arial"/>
          <w:sz w:val="18"/>
          <w:szCs w:val="18"/>
          <w:color w:val="auto"/>
        </w:rPr>
      </w:pPr>
    </w:p>
    <w:p>
      <w:pPr>
        <w:ind w:left="840" w:right="20" w:hanging="333"/>
        <w:spacing w:after="0" w:line="250"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 a Loan receivable equal to the advance paid to the Dealer under the Portfolio Program or purchase price paid to the Dealer under the Purchase Program; and</w:t>
      </w:r>
    </w:p>
    <w:p>
      <w:pPr>
        <w:jc w:val="both"/>
        <w:ind w:left="840" w:hanging="333"/>
        <w:spacing w:after="0" w:line="255"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 an allowance for credit losses equal to the difference between the initial Loan receivable balance and the present value of expected future net cash flows discounted at the effective interest rate. The initial allowance for credit losses is recognized as provision for credit losses expense.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Originated Method, for each reporting period subsequent to assignment, we:</w:t>
      </w:r>
    </w:p>
    <w:p>
      <w:pPr>
        <w:spacing w:after="0" w:line="23" w:lineRule="exact"/>
        <w:rPr>
          <w:sz w:val="20"/>
          <w:szCs w:val="20"/>
          <w:color w:val="auto"/>
        </w:rPr>
      </w:pPr>
    </w:p>
    <w:p>
      <w:pPr>
        <w:ind w:left="840" w:hanging="333"/>
        <w:spacing w:after="0" w:line="250"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at the time of assignment based on contractual future net cash flows; and</w:t>
      </w:r>
    </w:p>
    <w:p>
      <w:pPr>
        <w:jc w:val="both"/>
        <w:ind w:left="840" w:hanging="333"/>
        <w:spacing w:after="0" w:line="255"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2019 Recognition and Measurement Policies. </w:t>
      </w:r>
      <w:r>
        <w:rPr>
          <w:rFonts w:ascii="Arial" w:cs="Arial" w:eastAsia="Arial" w:hAnsi="Arial"/>
          <w:sz w:val="18"/>
          <w:szCs w:val="18"/>
          <w:color w:val="auto"/>
        </w:rPr>
        <w:t>Prior to the adoption of CECL on January 1, 2020, we accounted for our Loans as loans acquired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credit deterioration.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time of assignment, we:</w:t>
      </w:r>
    </w:p>
    <w:p>
      <w:pPr>
        <w:spacing w:after="0" w:line="23" w:lineRule="exact"/>
        <w:rPr>
          <w:sz w:val="20"/>
          <w:szCs w:val="20"/>
          <w:color w:val="auto"/>
        </w:rPr>
      </w:pPr>
    </w:p>
    <w:p>
      <w:pPr>
        <w:ind w:left="840" w:hanging="333"/>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an effective interest rate based on expected future net cash flows; and</w:t>
      </w:r>
    </w:p>
    <w:p>
      <w:pPr>
        <w:spacing w:after="0" w:line="9" w:lineRule="exact"/>
        <w:rPr>
          <w:rFonts w:ascii="Arial" w:cs="Arial" w:eastAsia="Arial" w:hAnsi="Arial"/>
          <w:sz w:val="18"/>
          <w:szCs w:val="18"/>
          <w:color w:val="auto"/>
        </w:rPr>
      </w:pPr>
    </w:p>
    <w:p>
      <w:pPr>
        <w:ind w:left="840" w:hanging="333"/>
        <w:spacing w:after="0" w:line="26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recorded a Loan receivable equal to the advance paid to the Dealer under the Portfolio Program or purchase price paid to the Dealer under the Purchase Program.</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reporting period subsequent to assignment, we:</w:t>
      </w:r>
    </w:p>
    <w:p>
      <w:pPr>
        <w:spacing w:after="0" w:line="23" w:lineRule="exact"/>
        <w:rPr>
          <w:sz w:val="20"/>
          <w:szCs w:val="20"/>
          <w:color w:val="auto"/>
        </w:rPr>
      </w:pPr>
    </w:p>
    <w:p>
      <w:pPr>
        <w:ind w:left="840" w:hanging="333"/>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recalculated an effective interest rate based on expected future net cash flows;</w:t>
      </w:r>
    </w:p>
    <w:p>
      <w:pPr>
        <w:spacing w:after="0" w:line="9" w:lineRule="exact"/>
        <w:rPr>
          <w:rFonts w:ascii="Arial" w:cs="Arial" w:eastAsia="Arial" w:hAnsi="Arial"/>
          <w:sz w:val="18"/>
          <w:szCs w:val="18"/>
          <w:color w:val="auto"/>
        </w:rPr>
      </w:pPr>
    </w:p>
    <w:p>
      <w:pPr>
        <w:ind w:left="840" w:hanging="333"/>
        <w:spacing w:after="0" w:line="265"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recognized finance charge revenue using the greater of the effective interest rate that was calculated for the reporting period or the effective interest rate that was calculated at the time of assignment, both of which were based on expected future net cash flows; and</w:t>
      </w:r>
    </w:p>
    <w:p>
      <w:pPr>
        <w:jc w:val="both"/>
        <w:ind w:left="840" w:hanging="333"/>
        <w:spacing w:after="0" w:line="253"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recorded or adjusted an allowance for credit losses, if necessary, to reduce the net carrying amount of each Loan to the present value of expected future net cash flows discounted at the effective interest rate that was calculated at the time of assignment. The initial allowance for credit losses was recognized as provision for credit losses expense and the adjustment to the allowance for credit losses was recognized as either provision for credit losses expense or a reversal of provision for credit losses expense.</w:t>
      </w:r>
    </w:p>
    <w:p>
      <w:pPr>
        <w:spacing w:after="0" w:line="19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i w:val="1"/>
          <w:iCs w:val="1"/>
          <w:color w:val="auto"/>
        </w:rPr>
        <w:t>Loans Receivable</w:t>
      </w:r>
      <w:r>
        <w:rPr>
          <w:rFonts w:ascii="Arial" w:cs="Arial" w:eastAsia="Arial" w:hAnsi="Arial"/>
          <w:sz w:val="17"/>
          <w:szCs w:val="17"/>
          <w:color w:val="auto"/>
        </w:rPr>
        <w:t>. Amounts advanced to Dealers for Consumer Loans assigned under the Portfolio Program are recorded as Dealer Loans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aggregated by Dealer for purposes of recognizing revenue and evaluating impairment. Amounts paid to Dealers for Consumer Loans assigned under the Purchase Program are recorded as Purchased Loans and, for purposes of recognizing revenue and evaluating impairment, are:</w:t>
      </w:r>
    </w:p>
    <w:p>
      <w:pPr>
        <w:ind w:left="840" w:hanging="333"/>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aggregated, if assigned subsequent to December 31, 2019; or</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aggregated into pools based on the month of purchase, if assigned prior to January 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balance of each Loan included in Loans receivable is comprised of the following:</w:t>
      </w:r>
    </w:p>
    <w:p>
      <w:pPr>
        <w:spacing w:after="0" w:line="23" w:lineRule="exact"/>
        <w:rPr>
          <w:sz w:val="20"/>
          <w:szCs w:val="20"/>
          <w:color w:val="auto"/>
        </w:rPr>
      </w:pPr>
    </w:p>
    <w:p>
      <w:pPr>
        <w:ind w:left="840" w:hanging="333"/>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paid to the Dealer (or to third party ancillary product providers on the Dealer’s behalf) for the Consumer Loan assignment (advance under the Portfolio Program or one-time purchase payment under the Purchase Program);</w:t>
      </w: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accelerated Dealer Holdback payments;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recoveries;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transfers in;</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collections (net of certain collection costs);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write-offs; and</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transfers out.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our Portfolio Program, certain events may result in Dealers forfeiting their rights to Dealer Holdback. We transfer the Dealer’s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Dealer Loan balance and the related allowance for credit losses balance to Purchased Loans in the period this forfeiture occurs. We aggregate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Purchased Loans by Dealer for purposes of recognizing revenue and evaluating impairment.</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outstanding balance of the allowance for credit losses of each Loan represents the amount required to reduce net</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Expected future collections are forecasted for each individual Consumer Loan based on the historical performance of Consumer Loans with similar characteristics, adjusted for recent trends in payment patterns and economic conditions. Our forecast of expected future collections includes estimates for prepayments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fully write off the outstanding balances of a Loan and the related allowance for credit losses once we are no longer forecasting any expected future net cash flows on the Loan. In addition, on January 1, 2020, we adopted a partial write-off policy in connection with our adoption of CECL. Under our partial write-off policy, we write off the amount of the outstanding balances of a Loan and the related allowance for credit losses, if any, that exceeds 200% of the present value of expected future net cash flows on the Loan, as we deem this amount to be uncollectable.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Credit Quality. </w:t>
      </w: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a Consumer Loan is submitted to us for assignment, we forecast future expected cash flows from the Consumer Loan. Based on these forecasts, an advance or one-time purchase payment is made to the related Dealer at a price designed to maximize our economic profit, a non-GAAP financial measure that considers our return on capital, our cost of capital and the amount of capital invested.</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than historical Consumer Loans with similar characteristics. We periodically adjust our statistical pricing model for new trends that we identify through our evaluation of these forecasted collection rate variances.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Methodology Changes</w:t>
      </w:r>
      <w:r>
        <w:rPr>
          <w:rFonts w:ascii="Arial" w:cs="Arial" w:eastAsia="Arial" w:hAnsi="Arial"/>
          <w:sz w:val="18"/>
          <w:szCs w:val="18"/>
          <w:color w:val="auto"/>
        </w:rPr>
        <w:t>. On January 1, 2020, we adopted CECL, which changed our accounting policies for Loans. During the first quarter of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forecasted collection rates to reflect the estimated long-term impact of COVID-19 on Consumer Loan performance. For additional information, see Note 3 and Note 6. For the three months ended March 31, 2020 and 2019, we did not make any other methodology changes for Loans that had a material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Sources of Revenue. </w:t>
      </w:r>
      <w:r>
        <w:rPr>
          <w:rFonts w:ascii="Arial" w:cs="Arial" w:eastAsia="Arial" w:hAnsi="Arial"/>
          <w:sz w:val="18"/>
          <w:szCs w:val="18"/>
          <w:color w:val="auto"/>
        </w:rPr>
        <w:t>Finance charges is comprised of: (1) interest income earned on Loans; (2) administrative fees earned from ancillary products; (3)</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fees charged to Dealers under the Portfolio Program; (4) Consumer Loan assignment fees charged to Dealers; and (5) direct origination costs incurred on Dealer Loans.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our Portfolio Program and we collect it from future Dealer Holdback payments.</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Recognition Policy. </w:t>
      </w:r>
      <w:r>
        <w:rPr>
          <w:rFonts w:ascii="Arial" w:cs="Arial" w:eastAsia="Arial" w:hAnsi="Arial"/>
          <w:sz w:val="18"/>
          <w:szCs w:val="18"/>
          <w:color w:val="auto"/>
        </w:rPr>
        <w:t>We recognize finance charges under the interest method such that revenue is recognized on a level-yield basis over the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We calculate finance charges on a monthly basis by applying the effective interest rate of the Loan to the net carrying amount of the Loan (Loan receivable less the related allowance for credit losses). For Consumer Loans assigned subsequent to December 31, 2019, the effective interest rate is based on contractual future net cash flows. For Consumer Loan assigned prior to January 1, 2020, the effective interest rate was based on expected future net cash flows.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our adoption of CECL on January 1, 2020, we have elected to report the change in the present value of credit losses attributable to the passage of time as a reduction to finance charges. As a result, for financial statement periods beginning after December 31, 2019, we allocate finance charges recognized on each Loan between the Loan receivable and the related allowance for credit losses. The amount of finance charges allocated to the Loan receivable is equal to the effective interest rate applied to the Loans receivable balance. The reduction of finance charges allocated to the allowance for credit losses is equal to the effective interest rate applied to the allowance for credit losses balance. For financial statement periods beginning prior to January 1, 2020, the entire amount of finance charges recognized on each Loan was allocated to the Loan receivable.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VSC Re Company (“VSC Re”), our wholly-owned subsidiary, is engaged in the business of reinsuring coverage under vehicle service contracts sold to consumers by Dealers on vehicles financed by us. VSC Re currently reinsures vehicle service contracts that are offered through one of our third party providers.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consolidated the trust within our financial statements based on our determination of the following:</w:t>
      </w:r>
    </w:p>
    <w:p>
      <w:pPr>
        <w:spacing w:after="0" w:line="23" w:lineRule="exact"/>
        <w:rPr>
          <w:sz w:val="20"/>
          <w:szCs w:val="20"/>
          <w:color w:val="auto"/>
        </w:rPr>
      </w:pPr>
    </w:p>
    <w:p>
      <w:pPr>
        <w:jc w:val="both"/>
        <w:ind w:left="840" w:hanging="333"/>
        <w:spacing w:after="0" w:line="25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spacing w:after="0" w:line="1" w:lineRule="exact"/>
        <w:rPr>
          <w:rFonts w:ascii="Arial" w:cs="Arial" w:eastAsia="Arial" w:hAnsi="Arial"/>
          <w:sz w:val="18"/>
          <w:szCs w:val="18"/>
          <w:color w:val="auto"/>
        </w:rPr>
      </w:pPr>
    </w:p>
    <w:p>
      <w:pPr>
        <w:ind w:left="840" w:hanging="333"/>
        <w:spacing w:after="0" w:line="250"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them with any ownership interest.</w:t>
      </w:r>
    </w:p>
    <w:p>
      <w:pPr>
        <w:jc w:val="both"/>
        <w:ind w:left="840" w:hanging="333"/>
        <w:spacing w:after="0" w:line="253"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premiums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 Adopted During the Current Year</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Accounting for Costs of Implementing Cloud Computing. </w:t>
      </w:r>
      <w:r>
        <w:rPr>
          <w:rFonts w:ascii="Arial" w:cs="Arial" w:eastAsia="Arial" w:hAnsi="Arial"/>
          <w:sz w:val="17"/>
          <w:szCs w:val="17"/>
          <w:color w:val="auto"/>
        </w:rPr>
        <w:t>In August 2018, the Financial Accounting Standards Board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2018-15, which reduces complexity in the accounting for costs of implementing a cloud computing service arrangement. This standard aligns the accounting for implementation costs of hosting arrangements, regardless of whether they convey a license to the hosted software. Under the current guidance, the classification of an arrangement as either a software license or a service contract determines whether or not we capitalize implementation costs. If an arrangement meets the definition of a software license, implementation costs are capitalized. If an arrangement meets the definition of a service contract, implementation costs are expensed as incurred. Under the new guidance, implementation costs will be capitalized regardless of their classification. The adoption of ASU 2018-15 on January 1, 2020 changed how we account for our cloud computing arrangements. However, its adoption did not have a material impact on our consolidated financial statements and related disclosures.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In June 2016, the FASB issued ASU 2016-13, which included an impairment model known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expected credit loss model, or CECL, that is based on expected losses rather than incurred losses. Under the new guidance, an entity recognizes an allowance for credit losses based on the difference between contractual future net cash flows and its estimate of expected future net cash flows. The new guidance also changed the scope of the special accounting for loans acquired with significant credit deterioration. Our adoption of ASU 2016-13 on January 1, 2020 had a material impact on our consolidated financial statements and related disclosures, as it changed our accounting policies for Loans.</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adoption of CECL on January 1, 2020, we increased both our Loans receivable and the related allowance for credit losses balances by $2,463.6 million. This gross-up did not impact the net carrying amount of Loans (Loans receivable less allowance for credit losses) or net income. This gross-up also reflected the impact of our adoption of a partial write-off policy on January 1, 2020 in connection with our adoption of CECL.</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net Loan income (finance charge revenue less provision for credit losses expense) that we will recognize over the life of a Loan equals the cash we collect from the underlying Consumer Loan less the cash we pay to the Dealer. While the total amount of net Loan income we will recognize over the life of the Loan is not impacted by CECL, the timing of when we will recognize this income changes significantly from our prior accounting method, as CECL requires us to recognize a significant provision for credit losses expense at the time of assignment for amounts we never expected to realize and finance charge revenue in subsequent periods that significantly exceeds our expected yields. Given the significant change in timing of net Loan income recognition, we believe net income for the year ending December 31, 2020 will be significantly lower under CECL than what would be reported under our prior accounting method, with the greatest impact occurring in the quarter of adoption. For the three months ended March 31, 2020, we recognized $157.9 million provision for credit losses on new Consumer Loan assignments related to our adoption of CECL on January 1, 2020, which reduced consolidated net income by $121.6 million, or $6.69 per diluted share. The ultimate financial statement impact of CECL will depend on Consumer Loan assignment volume and the percentage of Consumer Loans assigned to us as Purchased Loans, the size and composition of our Loan portfolio, the Loan portfolio’s credit quality and economic conditions.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Cash and Cash Equivalents and Restricted Cash and Cash Equivalents</w:t>
      </w:r>
      <w:r>
        <w:rPr>
          <w:rFonts w:ascii="Arial" w:cs="Arial" w:eastAsia="Arial" w:hAnsi="Arial"/>
          <w:sz w:val="18"/>
          <w:szCs w:val="18"/>
          <w:color w:val="auto"/>
        </w:rPr>
        <w:t>. The carrying amounts approximate their fair value due to the short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values in active markets. For asset-backed securities, mortgage-backed securities and commercial paper we use model-based valuation techniques for which all significant assumptions are observable in the market.</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Loans Receivable, net. </w:t>
      </w:r>
      <w:r>
        <w:rPr>
          <w:rFonts w:ascii="Arial" w:cs="Arial" w:eastAsia="Arial" w:hAnsi="Arial"/>
          <w:sz w:val="18"/>
          <w:szCs w:val="18"/>
          <w:color w:val="auto"/>
        </w:rPr>
        <w:t>The fair value is determined by calculating the present value of expected future net cash flows estimated by us utilizing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comparable with the rate used to calculate the value of our Loans under our non-GAAP floating yield methodology.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Revolving Secured Line of Credit. </w:t>
      </w:r>
      <w:r>
        <w:rPr>
          <w:rFonts w:ascii="Arial" w:cs="Arial" w:eastAsia="Arial" w:hAnsi="Arial"/>
          <w:sz w:val="18"/>
          <w:szCs w:val="18"/>
          <w:color w:val="auto"/>
        </w:rPr>
        <w:t>The fair value is determined by calculating the present value of the debt instrument based on current rates for debt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similar risk profile and maturity.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Secured Financing. </w:t>
      </w:r>
      <w:r>
        <w:rPr>
          <w:rFonts w:ascii="Arial" w:cs="Arial" w:eastAsia="Arial" w:hAnsi="Arial"/>
          <w:sz w:val="18"/>
          <w:szCs w:val="18"/>
          <w:color w:val="auto"/>
        </w:rPr>
        <w:t>The fair value of our asset-backed secured financings ("Term ABS") is determined using quoted market prices; however,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trade in a market with a low trading volume. For our warehouse facilities, the fair values are determined by calculating the present value of each debt instrument based on current rates for debt with similar risk profiles and maturities.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is determined using quoted market prices in an active market.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Mortgage Note. </w:t>
      </w:r>
      <w:r>
        <w:rPr>
          <w:rFonts w:ascii="Arial" w:cs="Arial" w:eastAsia="Arial" w:hAnsi="Arial"/>
          <w:sz w:val="18"/>
          <w:szCs w:val="18"/>
          <w:color w:val="auto"/>
        </w:rPr>
        <w:t>The fair value is determined by calculating the present value of the debt instrument based on current rates for debt with a similar risk</w:t>
      </w:r>
      <w:r>
        <w:rPr>
          <w:rFonts w:ascii="Arial" w:cs="Arial" w:eastAsia="Arial" w:hAnsi="Arial"/>
          <w:sz w:val="18"/>
          <w:szCs w:val="18"/>
          <w:i w:val="1"/>
          <w:iCs w:val="1"/>
          <w:color w:val="auto"/>
        </w:rPr>
        <w:t xml:space="preserve"> </w:t>
      </w:r>
      <w:r>
        <w:rPr>
          <w:rFonts w:ascii="Arial" w:cs="Arial" w:eastAsia="Arial" w:hAnsi="Arial"/>
          <w:sz w:val="18"/>
          <w:szCs w:val="18"/>
          <w:color w:val="auto"/>
        </w:rPr>
        <w:t>profile and maturity.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the carrying amount and estimated fair value of these financial instruments is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As of December 31, 2019</w:t>
            </w:r>
          </w:p>
        </w:tc>
      </w:tr>
      <w:tr>
        <w:trPr>
          <w:trHeight w:val="153"/>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5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340" w:type="dxa"/>
            <w:vAlign w:val="bottom"/>
          </w:tcPr>
          <w:p>
            <w:pPr>
              <w:spacing w:after="0"/>
              <w:rPr>
                <w:sz w:val="13"/>
                <w:szCs w:val="13"/>
                <w:color w:val="auto"/>
              </w:rPr>
            </w:pPr>
          </w:p>
        </w:tc>
        <w:tc>
          <w:tcPr>
            <w:tcW w:w="14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4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Estimated Fair</w:t>
            </w:r>
          </w:p>
        </w:tc>
      </w:tr>
      <w:tr>
        <w:trPr>
          <w:trHeight w:val="205"/>
        </w:trPr>
        <w:tc>
          <w:tcPr>
            <w:tcW w:w="4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7"/>
                <w:szCs w:val="17"/>
                <w:color w:val="auto"/>
              </w:rPr>
            </w:pPr>
          </w:p>
        </w:tc>
        <w:tc>
          <w:tcPr>
            <w:tcW w:w="1440" w:type="dxa"/>
            <w:vAlign w:val="bottom"/>
          </w:tcPr>
          <w:p>
            <w:pPr>
              <w:jc w:val="right"/>
              <w:ind w:right="594"/>
              <w:spacing w:after="0"/>
              <w:rPr>
                <w:sz w:val="20"/>
                <w:szCs w:val="20"/>
                <w:color w:val="auto"/>
              </w:rPr>
            </w:pPr>
            <w:r>
              <w:rPr>
                <w:rFonts w:ascii="Arial" w:cs="Arial" w:eastAsia="Arial" w:hAnsi="Arial"/>
                <w:sz w:val="14"/>
                <w:szCs w:val="14"/>
                <w:b w:val="1"/>
                <w:bCs w:val="1"/>
                <w:color w:val="auto"/>
              </w:rPr>
              <w:t>Value</w:t>
            </w: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187.4</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3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330.3</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Loans receivable, net</w:t>
            </w:r>
          </w:p>
        </w:tc>
        <w:tc>
          <w:tcPr>
            <w:tcW w:w="3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6,618.5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7,044.3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6,685.2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6,777.2</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Revolving secured line 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3,397.5</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738.6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1,187.8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1,257.6</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Mortgage note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r>
      <w:tr>
        <w:trPr>
          <w:trHeight w:val="864"/>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ectPr>
          <w:pgSz w:w="11900" w:h="16838" w:orient="portrait"/>
          <w:cols w:equalWidth="0" w:num="1">
            <w:col w:w="11240"/>
          </w:cols>
          <w:pgMar w:left="320" w:top="125" w:right="3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Valuation is based upon quoted prices for identical instruments traded in active markets.</w:t>
      </w:r>
    </w:p>
    <w:p>
      <w:pPr>
        <w:spacing w:after="0" w:line="200" w:lineRule="exact"/>
        <w:rPr>
          <w:sz w:val="20"/>
          <w:szCs w:val="20"/>
          <w:color w:val="auto"/>
        </w:rPr>
      </w:pPr>
    </w:p>
    <w:p>
      <w:pPr>
        <w:sectPr>
          <w:pgSz w:w="11900" w:h="16838" w:orient="portrait"/>
          <w:cols w:equalWidth="0" w:num="2">
            <w:col w:w="900" w:space="720"/>
            <w:col w:w="9620"/>
          </w:cols>
          <w:pgMar w:left="320" w:top="125" w:right="339" w:bottom="1440" w:gutter="0" w:footer="0" w:header="0"/>
          <w:type w:val="continuous"/>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91" w:lineRule="exact"/>
        <w:rPr>
          <w:sz w:val="20"/>
          <w:szCs w:val="20"/>
          <w:color w:val="auto"/>
        </w:rPr>
      </w:pPr>
    </w:p>
    <w:p>
      <w:pPr>
        <w:sectPr>
          <w:pgSz w:w="11900" w:h="16838" w:orient="portrait"/>
          <w:cols w:equalWidth="0" w:num="2">
            <w:col w:w="900" w:space="720"/>
            <w:col w:w="962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6"/>
          <w:szCs w:val="16"/>
          <w:color w:val="auto"/>
        </w:rPr>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51" w:lineRule="exact"/>
        <w:rPr>
          <w:sz w:val="20"/>
          <w:szCs w:val="20"/>
          <w:color w:val="auto"/>
        </w:rPr>
      </w:pPr>
    </w:p>
    <w:p>
      <w:pPr>
        <w:sectPr>
          <w:pgSz w:w="11900" w:h="16838" w:orient="portrait"/>
          <w:cols w:equalWidth="0" w:num="2">
            <w:col w:w="900" w:space="720"/>
            <w:col w:w="9620"/>
          </w:cols>
          <w:pgMar w:left="320" w:top="125" w:right="339" w:bottom="1440" w:gutter="0" w:footer="0" w:header="0"/>
          <w:type w:val="continuous"/>
        </w:sect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the level of measurement used to determine the fair value for each of our financial instruments measured or disclosed at fair value: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4"/>
                <w:szCs w:val="14"/>
                <w:b w:val="1"/>
                <w:bCs w:val="1"/>
                <w:color w:val="auto"/>
                <w:w w:val="93"/>
              </w:rPr>
              <w:t>As of March 31, 2020</w:t>
            </w: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64"/>
        </w:trPr>
        <w:tc>
          <w:tcPr>
            <w:tcW w:w="4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62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146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408.1</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7,044.3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7,044.3</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79.9</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3,915.7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3,915.7</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738.6</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Mortgage note (1)</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560"/>
        </w:trPr>
        <w:tc>
          <w:tcPr>
            <w:tcW w:w="4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As of December 31, 2019</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3"/>
        </w:trPr>
        <w:tc>
          <w:tcPr>
            <w:tcW w:w="4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62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146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 Fair Value</w:t>
            </w: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187.4</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330.3</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6,777.2</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3,397.5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3,397.5</w:t>
            </w:r>
          </w:p>
        </w:tc>
      </w:tr>
      <w:tr>
        <w:trPr>
          <w:trHeight w:val="243"/>
        </w:trPr>
        <w:tc>
          <w:tcPr>
            <w:tcW w:w="416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3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1,257.6</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Mortgage note (1)</w:t>
            </w: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4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31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Measured at amortized cost with fair value disclosed.</w:t>
      </w:r>
    </w:p>
    <w:p>
      <w:pPr>
        <w:spacing w:after="0" w:line="13" w:lineRule="exact"/>
        <w:rPr>
          <w:rFonts w:ascii="Arial" w:cs="Arial" w:eastAsia="Arial" w:hAnsi="Arial"/>
          <w:sz w:val="14"/>
          <w:szCs w:val="14"/>
          <w:color w:val="auto"/>
        </w:rPr>
      </w:pPr>
    </w:p>
    <w:p>
      <w:pPr>
        <w:ind w:left="500" w:hanging="31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As of March 31, 2020</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3"/>
                <w:szCs w:val="13"/>
                <w:color w:val="auto"/>
              </w:rPr>
            </w:pPr>
          </w:p>
        </w:tc>
        <w:tc>
          <w:tcPr>
            <w:tcW w:w="144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4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3"/>
        </w:trPr>
        <w:tc>
          <w:tcPr>
            <w:tcW w:w="416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Total restricted securities available for 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As of December 31, 2019</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3"/>
                <w:szCs w:val="13"/>
                <w:color w:val="auto"/>
              </w:rPr>
            </w:pPr>
          </w:p>
        </w:tc>
        <w:tc>
          <w:tcPr>
            <w:tcW w:w="144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8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restricted securities available for sale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gridSpan w:val="11"/>
          </w:tcPr>
          <w:p>
            <w:pPr>
              <w:ind w:left="220"/>
              <w:spacing w:after="0"/>
              <w:rPr>
                <w:sz w:val="20"/>
                <w:szCs w:val="20"/>
                <w:color w:val="auto"/>
              </w:rPr>
            </w:pPr>
            <w:r>
              <w:rPr>
                <w:rFonts w:ascii="Arial" w:cs="Arial" w:eastAsia="Arial" w:hAnsi="Arial"/>
                <w:sz w:val="14"/>
                <w:szCs w:val="14"/>
                <w:b w:val="1"/>
                <w:bCs w:val="1"/>
                <w:color w:val="auto"/>
              </w:rPr>
              <w:t>Securities Available for Sale with Gross Unrealized Losses as of March 31, 2020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12 Months or More</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left="241"/>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12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2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5"/>
        </w:trPr>
        <w:tc>
          <w:tcPr>
            <w:tcW w:w="26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U.S. Government and agency</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8"/>
                <w:szCs w:val="18"/>
                <w:color w:val="auto"/>
              </w:rPr>
              <w:t>Total restricted securities</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6"/>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2600" w:type="dxa"/>
            <w:vAlign w:val="bottom"/>
          </w:tcPr>
          <w:p>
            <w:pPr>
              <w:ind w:left="360"/>
              <w:spacing w:after="0"/>
              <w:rPr>
                <w:sz w:val="20"/>
                <w:szCs w:val="20"/>
                <w:color w:val="auto"/>
              </w:rPr>
            </w:pPr>
            <w:r>
              <w:rPr>
                <w:rFonts w:ascii="Arial" w:cs="Arial" w:eastAsia="Arial" w:hAnsi="Arial"/>
                <w:sz w:val="18"/>
                <w:szCs w:val="18"/>
                <w:color w:val="auto"/>
              </w:rPr>
              <w:t>available for sale</w:t>
            </w:r>
          </w:p>
        </w:tc>
        <w:tc>
          <w:tcPr>
            <w:tcW w:w="2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w w:val="97"/>
              </w:rPr>
              <w:t>Securities Available for Sale with Gross Unrealized Losses as of December 31, 2019</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28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120" w:type="dxa"/>
            <w:vAlign w:val="bottom"/>
          </w:tcPr>
          <w:p>
            <w:pPr>
              <w:jc w:val="center"/>
              <w:ind w:right="15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5"/>
        </w:trPr>
        <w:tc>
          <w:tcPr>
            <w:tcW w:w="26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U.S. Government and agency</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00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restricted securities</w:t>
            </w:r>
          </w:p>
        </w:tc>
        <w:tc>
          <w:tcPr>
            <w:tcW w:w="1000" w:type="dxa"/>
            <w:vAlign w:val="bottom"/>
            <w:vMerge w:val="restart"/>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5.2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available for sale</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1240" w:type="dxa"/>
            <w:vAlign w:val="bottom"/>
            <w:gridSpan w:val="18"/>
          </w:tcPr>
          <w:p>
            <w:pPr>
              <w:ind w:left="340"/>
              <w:spacing w:after="0"/>
              <w:rPr>
                <w:sz w:val="20"/>
                <w:szCs w:val="20"/>
                <w:color w:val="auto"/>
              </w:rPr>
            </w:pPr>
            <w:r>
              <w:rPr>
                <w:rFonts w:ascii="Arial" w:cs="Arial" w:eastAsia="Arial" w:hAnsi="Arial"/>
                <w:sz w:val="18"/>
                <w:szCs w:val="18"/>
                <w:color w:val="auto"/>
                <w:w w:val="93"/>
              </w:rPr>
              <w:t>The cost and estimated fair values of debt securities by contractual maturity were as follows (securities with multiple maturity dates are classified in</w:t>
            </w:r>
          </w:p>
        </w:tc>
        <w:tc>
          <w:tcPr>
            <w:tcW w:w="0" w:type="dxa"/>
            <w:vAlign w:val="bottom"/>
          </w:tcPr>
          <w:p>
            <w:pPr>
              <w:spacing w:after="0"/>
              <w:rPr>
                <w:sz w:val="1"/>
                <w:szCs w:val="1"/>
                <w:color w:val="auto"/>
              </w:rPr>
            </w:pPr>
          </w:p>
        </w:tc>
      </w:tr>
    </w:tbl>
    <w:p>
      <w:pPr>
        <w:jc w:val="both"/>
        <w:spacing w:after="0" w:line="260" w:lineRule="auto"/>
        <w:rPr>
          <w:sz w:val="20"/>
          <w:szCs w:val="20"/>
          <w:color w:val="auto"/>
        </w:rPr>
      </w:pPr>
      <w:r>
        <w:rPr>
          <w:rFonts w:ascii="Arial" w:cs="Arial" w:eastAsia="Arial" w:hAnsi="Arial"/>
          <w:sz w:val="18"/>
          <w:szCs w:val="18"/>
          <w:color w:val="auto"/>
        </w:rPr>
        <w:t>the period of final maturity). Expected maturities will differ from contractual maturities because borrowers may have the right to call or prepay obligations with or without call or prepayment penalties.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5"/>
              </w:rPr>
              <w:t>As of</w:t>
            </w: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3"/>
        </w:trPr>
        <w:tc>
          <w:tcPr>
            <w:tcW w:w="54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Amortized 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5"/>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Amortized Cost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205"/>
        </w:trPr>
        <w:tc>
          <w:tcPr>
            <w:tcW w:w="54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Over one year to five years</w:t>
            </w:r>
          </w:p>
        </w:tc>
        <w:tc>
          <w:tcPr>
            <w:tcW w:w="14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five years to ten years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Over ten years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restricted securities available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6040" w:type="dxa"/>
            <w:vAlign w:val="bottom"/>
          </w:tcPr>
          <w:p>
            <w:pPr>
              <w:ind w:left="400"/>
              <w:spacing w:after="0"/>
              <w:rPr>
                <w:sz w:val="20"/>
                <w:szCs w:val="20"/>
                <w:color w:val="auto"/>
              </w:rPr>
            </w:pPr>
            <w:r>
              <w:rPr>
                <w:rFonts w:ascii="Arial" w:cs="Arial" w:eastAsia="Arial" w:hAnsi="Arial"/>
                <w:sz w:val="18"/>
                <w:szCs w:val="18"/>
                <w:b w:val="1"/>
                <w:bCs w:val="1"/>
                <w:color w:val="auto"/>
              </w:rPr>
              <w:t>LOANS RECEIVABLE</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Loans receivable and allowance for credit losses consist of the following:</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62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As of March 31, 2020</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Pr>
          <w:p>
            <w:pPr>
              <w:spacing w:after="0"/>
              <w:rPr>
                <w:sz w:val="22"/>
                <w:szCs w:val="2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Purchased Loans</w:t>
            </w:r>
          </w:p>
        </w:tc>
        <w:tc>
          <w:tcPr>
            <w:tcW w:w="380" w:type="dxa"/>
            <w:vAlign w:val="bottom"/>
          </w:tcPr>
          <w:p>
            <w:pPr>
              <w:spacing w:after="0"/>
              <w:rPr>
                <w:sz w:val="22"/>
                <w:szCs w:val="22"/>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9,859.0</w:t>
            </w:r>
          </w:p>
        </w:tc>
      </w:tr>
      <w:tr>
        <w:trPr>
          <w:trHeight w:val="283"/>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(3,240.5)</w:t>
            </w: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Loans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4,145.4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2,473.1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6,618.5</w:t>
            </w:r>
          </w:p>
        </w:tc>
      </w:tr>
      <w:tr>
        <w:trPr>
          <w:trHeight w:val="20"/>
        </w:trPr>
        <w:tc>
          <w:tcPr>
            <w:tcW w:w="62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80"/>
        </w:trPr>
        <w:tc>
          <w:tcPr>
            <w:tcW w:w="62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As of December 31, 2019</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3"/>
        </w:trPr>
        <w:tc>
          <w:tcPr>
            <w:tcW w:w="24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Pr>
          <w:p>
            <w:pPr>
              <w:spacing w:after="0"/>
              <w:rPr>
                <w:sz w:val="22"/>
                <w:szCs w:val="2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Purchased Loans</w:t>
            </w:r>
          </w:p>
        </w:tc>
        <w:tc>
          <w:tcPr>
            <w:tcW w:w="380" w:type="dxa"/>
            <w:vAlign w:val="bottom"/>
          </w:tcPr>
          <w:p>
            <w:pPr>
              <w:spacing w:after="0"/>
              <w:rPr>
                <w:sz w:val="22"/>
                <w:szCs w:val="22"/>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7,221.2</w:t>
            </w:r>
          </w:p>
        </w:tc>
      </w:tr>
      <w:tr>
        <w:trPr>
          <w:trHeight w:val="283"/>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Loans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4,195.3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2,489.9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6,685.2</w:t>
            </w:r>
          </w:p>
        </w:tc>
      </w:tr>
      <w:tr>
        <w:trPr>
          <w:trHeight w:val="20"/>
        </w:trPr>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Loans receivable and allowance for credit losses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the Three Months Ended March 31, 2020</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6"/>
        </w:trPr>
        <w:tc>
          <w:tcPr>
            <w:tcW w:w="1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8"/>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6"/>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31"/>
        </w:trPr>
        <w:tc>
          <w:tcPr>
            <w:tcW w:w="192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Loans Receivable</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Allowance for Credit Losses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20"/>
                <w:szCs w:val="20"/>
                <w:color w:val="auto"/>
              </w:rPr>
            </w:pPr>
          </w:p>
        </w:tc>
      </w:tr>
      <w:tr>
        <w:trPr>
          <w:trHeight w:val="33"/>
        </w:trPr>
        <w:tc>
          <w:tcPr>
            <w:tcW w:w="1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6"/>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Purchased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Purchased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Dealer Loans</w:t>
            </w: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18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tcPr>
          <w:p>
            <w:pPr>
              <w:ind w:left="10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16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Dealer Loans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16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50"/>
        </w:trPr>
        <w:tc>
          <w:tcPr>
            <w:tcW w:w="19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06"/>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beginning of</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6"/>
        </w:trPr>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4,195.3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6,685.2</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Adoption of CECL (1)</w:t>
            </w:r>
          </w:p>
        </w:tc>
        <w:tc>
          <w:tcPr>
            <w:tcW w:w="12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1,523.4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2,463.6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(2,463.6)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charges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361.9</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(354.7)</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Consumer Loan</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6"/>
        </w:trPr>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assignments (2)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1,055.3</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Collections (3)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(1,179.4)</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Accelerated Dealer</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6"/>
        </w:trPr>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Holdback payments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w w:val="96"/>
              </w:rPr>
              <w:t>Dealer Holdback payments</w:t>
            </w:r>
          </w:p>
        </w:tc>
        <w:tc>
          <w:tcPr>
            <w:tcW w:w="12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36.6</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Write-offs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20"/>
        </w:trPr>
        <w:tc>
          <w:tcPr>
            <w:tcW w:w="1920" w:type="dxa"/>
            <w:vAlign w:val="bottom"/>
          </w:tcPr>
          <w:p>
            <w:pPr>
              <w:ind w:left="40"/>
              <w:spacing w:after="0"/>
              <w:rPr>
                <w:sz w:val="20"/>
                <w:szCs w:val="20"/>
                <w:color w:val="auto"/>
              </w:rPr>
            </w:pPr>
            <w:r>
              <w:rPr>
                <w:rFonts w:ascii="Arial" w:cs="Arial" w:eastAsia="Arial" w:hAnsi="Arial"/>
                <w:sz w:val="16"/>
                <w:szCs w:val="16"/>
                <w:color w:val="auto"/>
                <w:w w:val="96"/>
              </w:rPr>
              <w:t>Deferral of Loan origination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0"/>
        </w:trPr>
        <w:tc>
          <w:tcPr>
            <w:tcW w:w="1920" w:type="dxa"/>
            <w:vAlign w:val="bottom"/>
          </w:tcPr>
          <w:p>
            <w:pPr>
              <w:ind w:left="20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2.2</w:t>
            </w:r>
          </w:p>
        </w:tc>
      </w:tr>
      <w:tr>
        <w:trPr>
          <w:trHeight w:val="40"/>
        </w:trPr>
        <w:tc>
          <w:tcPr>
            <w:tcW w:w="19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88"/>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5,677.7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4,181.3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9,859.0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(1,532.3)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(1,708.2)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(3,240.5)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4,145.4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2,473.1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6,618.5</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33"/>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the Three Months Ended March 31, 2019</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6"/>
        </w:trPr>
        <w:tc>
          <w:tcPr>
            <w:tcW w:w="1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8"/>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6"/>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31"/>
        </w:trPr>
        <w:tc>
          <w:tcPr>
            <w:tcW w:w="192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Loans Receivable</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Allowance for Credit Losses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Loans Receivable, Net</w:t>
            </w:r>
          </w:p>
        </w:tc>
        <w:tc>
          <w:tcPr>
            <w:tcW w:w="720" w:type="dxa"/>
            <w:vAlign w:val="bottom"/>
          </w:tcPr>
          <w:p>
            <w:pPr>
              <w:spacing w:after="0"/>
              <w:rPr>
                <w:sz w:val="20"/>
                <w:szCs w:val="20"/>
                <w:color w:val="auto"/>
              </w:rPr>
            </w:pPr>
          </w:p>
        </w:tc>
      </w:tr>
      <w:tr>
        <w:trPr>
          <w:trHeight w:val="33"/>
        </w:trPr>
        <w:tc>
          <w:tcPr>
            <w:tcW w:w="1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6"/>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Purchased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Purchased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9"/>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Dealer Loans</w:t>
            </w:r>
          </w:p>
        </w:tc>
        <w:tc>
          <w:tcPr>
            <w:tcW w:w="1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18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3"/>
          </w:tcPr>
          <w:p>
            <w:pPr>
              <w:ind w:left="100"/>
              <w:spacing w:after="0"/>
              <w:rPr>
                <w:sz w:val="20"/>
                <w:szCs w:val="20"/>
                <w:color w:val="auto"/>
              </w:rPr>
            </w:pPr>
            <w:r>
              <w:rPr>
                <w:rFonts w:ascii="Arial" w:cs="Arial" w:eastAsia="Arial" w:hAnsi="Arial"/>
                <w:sz w:val="13"/>
                <w:szCs w:val="13"/>
                <w:b w:val="1"/>
                <w:bCs w:val="1"/>
                <w:color w:val="auto"/>
              </w:rPr>
              <w:t>Dealer Loans</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16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Dealer Loans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Loans</w:t>
            </w:r>
          </w:p>
        </w:tc>
        <w:tc>
          <w:tcPr>
            <w:tcW w:w="16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50"/>
        </w:trPr>
        <w:tc>
          <w:tcPr>
            <w:tcW w:w="19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06"/>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beginning of</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6"/>
        </w:trPr>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3,762.9</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5,763.3</w:t>
            </w:r>
          </w:p>
        </w:tc>
      </w:tr>
      <w:tr>
        <w:trPr>
          <w:trHeight w:val="250"/>
        </w:trPr>
        <w:tc>
          <w:tcPr>
            <w:tcW w:w="1920" w:type="dxa"/>
            <w:vAlign w:val="bottom"/>
          </w:tcPr>
          <w:p>
            <w:pPr>
              <w:ind w:left="40"/>
              <w:spacing w:after="0"/>
              <w:rPr>
                <w:sz w:val="20"/>
                <w:szCs w:val="20"/>
                <w:color w:val="auto"/>
              </w:rPr>
            </w:pPr>
            <w:r>
              <w:rPr>
                <w:rFonts w:ascii="Arial" w:cs="Arial" w:eastAsia="Arial" w:hAnsi="Arial"/>
                <w:sz w:val="16"/>
                <w:szCs w:val="16"/>
                <w:color w:val="auto"/>
              </w:rPr>
              <w:t>Finance charges</w:t>
            </w:r>
          </w:p>
        </w:tc>
        <w:tc>
          <w:tcPr>
            <w:tcW w:w="12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321.9</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20"/>
        </w:trPr>
        <w:tc>
          <w:tcPr>
            <w:tcW w:w="1920" w:type="dxa"/>
            <w:vAlign w:val="bottom"/>
          </w:tcPr>
          <w:p>
            <w:pPr>
              <w:ind w:left="40"/>
              <w:spacing w:after="0"/>
              <w:rPr>
                <w:sz w:val="20"/>
                <w:szCs w:val="20"/>
                <w:color w:val="auto"/>
              </w:rPr>
            </w:pPr>
            <w:r>
              <w:rPr>
                <w:rFonts w:ascii="Arial" w:cs="Arial" w:eastAsia="Arial" w:hAnsi="Arial"/>
                <w:sz w:val="16"/>
                <w:szCs w:val="16"/>
                <w:color w:val="auto"/>
              </w:rPr>
              <w:t>New Consumer Loan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1920" w:type="dxa"/>
            <w:vAlign w:val="bottom"/>
          </w:tcPr>
          <w:p>
            <w:pPr>
              <w:ind w:left="200"/>
              <w:spacing w:after="0"/>
              <w:rPr>
                <w:sz w:val="20"/>
                <w:szCs w:val="20"/>
                <w:color w:val="auto"/>
              </w:rPr>
            </w:pPr>
            <w:r>
              <w:rPr>
                <w:rFonts w:ascii="Arial" w:cs="Arial" w:eastAsia="Arial" w:hAnsi="Arial"/>
                <w:sz w:val="16"/>
                <w:szCs w:val="16"/>
                <w:color w:val="auto"/>
              </w:rPr>
              <w:t>assignments (2)</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1,105.4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1,105.4</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Collections (3)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(1,081.5)</w:t>
            </w:r>
          </w:p>
        </w:tc>
      </w:tr>
      <w:tr>
        <w:trPr>
          <w:trHeight w:val="220"/>
        </w:trPr>
        <w:tc>
          <w:tcPr>
            <w:tcW w:w="1920" w:type="dxa"/>
            <w:vAlign w:val="bottom"/>
          </w:tcPr>
          <w:p>
            <w:pPr>
              <w:ind w:left="40"/>
              <w:spacing w:after="0"/>
              <w:rPr>
                <w:sz w:val="20"/>
                <w:szCs w:val="20"/>
                <w:color w:val="auto"/>
              </w:rPr>
            </w:pPr>
            <w:r>
              <w:rPr>
                <w:rFonts w:ascii="Arial" w:cs="Arial" w:eastAsia="Arial" w:hAnsi="Arial"/>
                <w:sz w:val="16"/>
                <w:szCs w:val="16"/>
                <w:color w:val="auto"/>
              </w:rPr>
              <w:t>Accelerated Dealer</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1920" w:type="dxa"/>
            <w:vAlign w:val="bottom"/>
          </w:tcPr>
          <w:p>
            <w:pPr>
              <w:ind w:left="200"/>
              <w:spacing w:after="0"/>
              <w:rPr>
                <w:sz w:val="20"/>
                <w:szCs w:val="20"/>
                <w:color w:val="auto"/>
              </w:rPr>
            </w:pPr>
            <w:r>
              <w:rPr>
                <w:rFonts w:ascii="Arial" w:cs="Arial" w:eastAsia="Arial" w:hAnsi="Arial"/>
                <w:sz w:val="16"/>
                <w:szCs w:val="16"/>
                <w:color w:val="auto"/>
              </w:rPr>
              <w:t>Holdback payments</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12.3</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Dealer Holdback payments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r>
      <w:tr>
        <w:trPr>
          <w:trHeight w:val="250"/>
        </w:trPr>
        <w:tc>
          <w:tcPr>
            <w:tcW w:w="1920" w:type="dxa"/>
            <w:vAlign w:val="bottom"/>
          </w:tcPr>
          <w:p>
            <w:pPr>
              <w:ind w:left="40"/>
              <w:spacing w:after="0"/>
              <w:rPr>
                <w:sz w:val="20"/>
                <w:szCs w:val="20"/>
                <w:color w:val="auto"/>
              </w:rPr>
            </w:pPr>
            <w:r>
              <w:rPr>
                <w:rFonts w:ascii="Arial" w:cs="Arial" w:eastAsia="Arial" w:hAnsi="Arial"/>
                <w:sz w:val="16"/>
                <w:szCs w:val="16"/>
                <w:color w:val="auto"/>
              </w:rPr>
              <w:t>Transfers (4)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Write-offs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50"/>
        </w:trPr>
        <w:tc>
          <w:tcPr>
            <w:tcW w:w="1920" w:type="dxa"/>
            <w:vAlign w:val="bottom"/>
          </w:tcPr>
          <w:p>
            <w:pPr>
              <w:ind w:left="40"/>
              <w:spacing w:after="0"/>
              <w:rPr>
                <w:sz w:val="20"/>
                <w:szCs w:val="20"/>
                <w:color w:val="auto"/>
              </w:rPr>
            </w:pPr>
            <w:r>
              <w:rPr>
                <w:rFonts w:ascii="Arial" w:cs="Arial" w:eastAsia="Arial" w:hAnsi="Arial"/>
                <w:sz w:val="16"/>
                <w:szCs w:val="16"/>
                <w:color w:val="auto"/>
              </w:rPr>
              <w:t>Recoveries (5)</w:t>
            </w:r>
          </w:p>
        </w:tc>
        <w:tc>
          <w:tcPr>
            <w:tcW w:w="12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Deferral of Loan origination</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65"/>
        </w:trPr>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costs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37"/>
        </w:trPr>
        <w:tc>
          <w:tcPr>
            <w:tcW w:w="19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4,347.5</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2,270.4</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6,617.9</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(383.1)</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(474.2)</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3,964.4</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2,179.3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6,143.7</w:t>
            </w:r>
          </w:p>
        </w:tc>
      </w:tr>
      <w:tr>
        <w:trPr>
          <w:trHeight w:val="46"/>
        </w:trPr>
        <w:tc>
          <w:tcPr>
            <w:tcW w:w="1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500" w:hanging="330"/>
        <w:spacing w:after="0" w:line="250"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gross-up of Loans receivable and allowance for credit losses on January 1, 2020 upon the adoption of CECL for the present value of the difference between contractual future net cash flows and expected future net cash flows discounted at the effective interest rate.</w:t>
      </w:r>
    </w:p>
    <w:p>
      <w:pPr>
        <w:ind w:left="500" w:hanging="330"/>
        <w:spacing w:after="0" w:line="241"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500" w:hanging="33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repayments that we collected on Consumer Loans assigned under our programs.</w:t>
      </w:r>
    </w:p>
    <w:p>
      <w:pPr>
        <w:spacing w:after="0" w:line="1" w:lineRule="exact"/>
        <w:rPr>
          <w:rFonts w:ascii="Arial" w:cs="Arial" w:eastAsia="Arial" w:hAnsi="Arial"/>
          <w:sz w:val="14"/>
          <w:szCs w:val="14"/>
          <w:color w:val="auto"/>
        </w:rPr>
      </w:pPr>
    </w:p>
    <w:p>
      <w:pPr>
        <w:ind w:left="500" w:hanging="330"/>
        <w:spacing w:after="0" w:line="241"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related allowance for credit losses balance to Purchased Loans in the period this forfeiture occurs.</w:t>
      </w:r>
    </w:p>
    <w:p>
      <w:pPr>
        <w:ind w:left="500" w:hanging="330"/>
        <w:spacing w:after="0" w:line="255"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Dealer Loans amount represents net cash flows received (collection less any related Dealer Holdback payments) on Dealer Loans that were previously written off in full. The Purchased Loans amount represents collections received on Purchased Loans that were previously written off in full.</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CECL, which we adopted on January 1, 2020, we are required to recognize provision for credit losses on new Consumer Loan assignments for contractual net cash flows that were not expected to be realized at the time of assignment. Under both CECL and our prior accounting method, we also recognize provision for credit losses for forecast changes in the amount and timing of expected future net cash flows subsequent to assignment. The following table summarizes the provision for credit losses for each of these components: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6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388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1100" w:type="dxa"/>
            <w:vAlign w:val="bottom"/>
          </w:tcPr>
          <w:p>
            <w:pPr>
              <w:spacing w:after="0"/>
              <w:rPr>
                <w:sz w:val="17"/>
                <w:szCs w:val="17"/>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ind w:left="2180"/>
              <w:spacing w:after="0"/>
              <w:rPr>
                <w:sz w:val="20"/>
                <w:szCs w:val="20"/>
                <w:color w:val="auto"/>
              </w:rPr>
            </w:pPr>
            <w:r>
              <w:rPr>
                <w:rFonts w:ascii="Arial" w:cs="Arial" w:eastAsia="Arial" w:hAnsi="Arial"/>
                <w:sz w:val="14"/>
                <w:szCs w:val="14"/>
                <w:b w:val="1"/>
                <w:bCs w:val="1"/>
                <w:color w:val="auto"/>
              </w:rPr>
              <w:t>Provision for Credit Losses</w:t>
            </w:r>
          </w:p>
        </w:tc>
        <w:tc>
          <w:tcPr>
            <w:tcW w:w="30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Purchased Loans</w:t>
            </w:r>
          </w:p>
        </w:tc>
        <w:tc>
          <w:tcPr>
            <w:tcW w:w="580" w:type="dxa"/>
            <w:vAlign w:val="bottom"/>
          </w:tcPr>
          <w:p>
            <w:pPr>
              <w:spacing w:after="0"/>
              <w:rPr>
                <w:sz w:val="20"/>
                <w:szCs w:val="20"/>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Total</w:t>
            </w:r>
          </w:p>
        </w:tc>
      </w:tr>
      <w:tr>
        <w:trPr>
          <w:trHeight w:val="33"/>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New Consumer Loan assignments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157.9</w:t>
            </w:r>
          </w:p>
        </w:tc>
      </w:tr>
      <w:tr>
        <w:trPr>
          <w:trHeight w:val="257"/>
        </w:trPr>
        <w:tc>
          <w:tcPr>
            <w:tcW w:w="5960" w:type="dxa"/>
            <w:vAlign w:val="bottom"/>
          </w:tcPr>
          <w:p>
            <w:pPr>
              <w:ind w:left="80"/>
              <w:spacing w:after="0"/>
              <w:rPr>
                <w:sz w:val="20"/>
                <w:szCs w:val="20"/>
                <w:color w:val="auto"/>
              </w:rPr>
            </w:pPr>
            <w:r>
              <w:rPr>
                <w:rFonts w:ascii="Arial" w:cs="Arial" w:eastAsia="Arial" w:hAnsi="Arial"/>
                <w:sz w:val="18"/>
                <w:szCs w:val="18"/>
                <w:color w:val="auto"/>
              </w:rPr>
              <w:t>Forecast changes</w:t>
            </w:r>
          </w:p>
        </w:tc>
        <w:tc>
          <w:tcPr>
            <w:tcW w:w="300" w:type="dxa"/>
            <w:vAlign w:val="bottom"/>
          </w:tcPr>
          <w:p>
            <w:pPr>
              <w:spacing w:after="0"/>
              <w:rPr>
                <w:sz w:val="22"/>
                <w:szCs w:val="22"/>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196.8</w:t>
            </w:r>
          </w:p>
        </w:tc>
      </w:tr>
      <w:tr>
        <w:trPr>
          <w:trHeight w:val="34"/>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02"/>
        </w:trPr>
        <w:tc>
          <w:tcPr>
            <w:tcW w:w="5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186.6</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Loan income (finance charge revenue less provision for credit losses expense) that we will recognize over the life of a Loan equals the cash we collect from the underlying Consumer Loan less the cash we pay to the Dealer. While the total amount of net Loan income we will recognize over the life of the Loan is not impacted by the adoption of CECL on January 1, 2020, the timing of when we will recognize this income changes significantly from our prior accounting method, as CECL requires us to recognize a significant provision for credit losses expense at the time of assignment for amounts we never expected to realize and finance charge revenue in subsequent periods that significantly exceeds our expected yields. Additional information related to new Consumer Loan assignments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4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388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For the Three Months Ended March 31, 2020</w:t>
            </w:r>
          </w:p>
        </w:tc>
        <w:tc>
          <w:tcPr>
            <w:tcW w:w="1100" w:type="dxa"/>
            <w:vAlign w:val="bottom"/>
          </w:tcPr>
          <w:p>
            <w:pPr>
              <w:spacing w:after="0"/>
              <w:rPr>
                <w:sz w:val="17"/>
                <w:szCs w:val="17"/>
                <w:color w:val="auto"/>
              </w:rPr>
            </w:pPr>
          </w:p>
        </w:tc>
      </w:tr>
      <w:tr>
        <w:trPr>
          <w:trHeight w:val="33"/>
        </w:trPr>
        <w:tc>
          <w:tcPr>
            <w:tcW w:w="5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ind w:left="1940"/>
              <w:spacing w:after="0"/>
              <w:rPr>
                <w:sz w:val="20"/>
                <w:szCs w:val="20"/>
                <w:color w:val="auto"/>
              </w:rPr>
            </w:pPr>
            <w:r>
              <w:rPr>
                <w:rFonts w:ascii="Arial" w:cs="Arial" w:eastAsia="Arial" w:hAnsi="Arial"/>
                <w:sz w:val="14"/>
                <w:szCs w:val="14"/>
                <w:b w:val="1"/>
                <w:bCs w:val="1"/>
                <w:color w:val="auto"/>
              </w:rPr>
              <w:t>New Consumer Loan Assignments</w:t>
            </w: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580" w:type="dxa"/>
            <w:vAlign w:val="bottom"/>
          </w:tcPr>
          <w:p>
            <w:pPr>
              <w:spacing w:after="0"/>
              <w:rPr>
                <w:sz w:val="20"/>
                <w:szCs w:val="20"/>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33"/>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Contractual net cash flows at the time of assignment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1,013.5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1,925.1</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Expected net cash flows at the time of assignment (2)</w:t>
            </w:r>
          </w:p>
        </w:tc>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897.6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1,474.4</w:t>
            </w: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Loans receivable at the time of assignment (3)</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1,055.3</w:t>
            </w:r>
          </w:p>
        </w:tc>
      </w:tr>
      <w:tr>
        <w:trPr>
          <w:trHeight w:val="297"/>
        </w:trPr>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Provision for credit losses expense at the time of assignment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Expected future finance charges at the time of assignment (4)</w:t>
            </w:r>
          </w:p>
        </w:tc>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577.0</w:t>
            </w:r>
          </w:p>
        </w:tc>
      </w:tr>
      <w:tr>
        <w:trPr>
          <w:trHeight w:val="34"/>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02"/>
        </w:trPr>
        <w:tc>
          <w:tcPr>
            <w:tcW w:w="5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Expected net Loan income at the time of assignment (5)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94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4"/>
                <w:szCs w:val="24"/>
                <w:color w:val="auto"/>
              </w:rPr>
            </w:pPr>
          </w:p>
        </w:tc>
        <w:tc>
          <w:tcPr>
            <w:tcW w:w="388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For the Three Months Ended March 31, 2019</w:t>
            </w:r>
          </w:p>
        </w:tc>
        <w:tc>
          <w:tcPr>
            <w:tcW w:w="1100" w:type="dxa"/>
            <w:vAlign w:val="bottom"/>
          </w:tcPr>
          <w:p>
            <w:pPr>
              <w:spacing w:after="0"/>
              <w:rPr>
                <w:sz w:val="24"/>
                <w:szCs w:val="24"/>
                <w:color w:val="auto"/>
              </w:rPr>
            </w:pPr>
          </w:p>
        </w:tc>
      </w:tr>
      <w:tr>
        <w:trPr>
          <w:trHeight w:val="33"/>
        </w:trPr>
        <w:tc>
          <w:tcPr>
            <w:tcW w:w="5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ind w:left="1940"/>
              <w:spacing w:after="0"/>
              <w:rPr>
                <w:sz w:val="20"/>
                <w:szCs w:val="20"/>
                <w:color w:val="auto"/>
              </w:rPr>
            </w:pPr>
            <w:r>
              <w:rPr>
                <w:rFonts w:ascii="Arial" w:cs="Arial" w:eastAsia="Arial" w:hAnsi="Arial"/>
                <w:sz w:val="14"/>
                <w:szCs w:val="14"/>
                <w:b w:val="1"/>
                <w:bCs w:val="1"/>
                <w:color w:val="auto"/>
              </w:rPr>
              <w:t>New Consumer Loan Assignments</w:t>
            </w: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580" w:type="dxa"/>
            <w:vAlign w:val="bottom"/>
          </w:tcPr>
          <w:p>
            <w:pPr>
              <w:spacing w:after="0"/>
              <w:rPr>
                <w:sz w:val="20"/>
                <w:szCs w:val="20"/>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33"/>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Contractual net cash flows at the time of assignment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1,981.8</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Expected net cash flows at the time of assignment (2)</w:t>
            </w:r>
          </w:p>
        </w:tc>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1,556.7</w:t>
            </w: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Loans receivable at the time of assignment (3)</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1,105.4</w:t>
            </w:r>
          </w:p>
        </w:tc>
      </w:tr>
      <w:tr>
        <w:trPr>
          <w:trHeight w:val="297"/>
        </w:trPr>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Provision for credit losses expense at the time of assignment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tcPr>
          <w:p>
            <w:pPr>
              <w:ind w:left="80"/>
              <w:spacing w:after="0"/>
              <w:rPr>
                <w:sz w:val="20"/>
                <w:szCs w:val="20"/>
                <w:color w:val="auto"/>
              </w:rPr>
            </w:pPr>
            <w:r>
              <w:rPr>
                <w:rFonts w:ascii="Arial" w:cs="Arial" w:eastAsia="Arial" w:hAnsi="Arial"/>
                <w:sz w:val="18"/>
                <w:szCs w:val="18"/>
                <w:color w:val="auto"/>
              </w:rPr>
              <w:t>Expected future finance charges at the time of assignment (4)</w:t>
            </w:r>
          </w:p>
        </w:tc>
        <w:tc>
          <w:tcPr>
            <w:tcW w:w="300" w:type="dxa"/>
            <w:vAlign w:val="bottom"/>
          </w:tcPr>
          <w:p>
            <w:pPr>
              <w:spacing w:after="0"/>
              <w:rPr>
                <w:sz w:val="22"/>
                <w:szCs w:val="22"/>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451.3</w:t>
            </w:r>
          </w:p>
        </w:tc>
      </w:tr>
      <w:tr>
        <w:trPr>
          <w:trHeight w:val="34"/>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02"/>
        </w:trPr>
        <w:tc>
          <w:tcPr>
            <w:tcW w:w="5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Expected net Loan income at the time of assignment (5)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repayments that we were contractually owed at the time of assignment on Consumer Loans assigned under our Purchase Program.</w:t>
      </w:r>
    </w:p>
    <w:p>
      <w:pPr>
        <w:jc w:val="both"/>
        <w:ind w:left="500" w:hanging="330"/>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500" w:hanging="330"/>
        <w:spacing w:after="0" w:line="260" w:lineRule="auto"/>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Dealer Loans amount represents advances paid to Dealers on Consumer Loans assigned under our Portfolio Program. The Purchased Loans amount represents one-time payments made to Dealers to purchase Consumer Loans assigned under our Purchase Program. The Loan amounts also represent the fair value at the time of assignment.</w:t>
      </w:r>
    </w:p>
    <w:p>
      <w:pPr>
        <w:ind w:left="500" w:hanging="33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revenue that is expected to be recognized on a level-yield basis over the lives of the Loans.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amount that expected net cash flows at the time of assignment (2) exceed Loans receivable at the time of assignment (3).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expected future net cash flows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4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388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For the Three Months Ended March 31, 2020</w:t>
            </w:r>
          </w:p>
        </w:tc>
        <w:tc>
          <w:tcPr>
            <w:tcW w:w="1100" w:type="dxa"/>
            <w:vAlign w:val="bottom"/>
          </w:tcPr>
          <w:p>
            <w:pPr>
              <w:spacing w:after="0"/>
              <w:rPr>
                <w:sz w:val="17"/>
                <w:szCs w:val="17"/>
                <w:color w:val="auto"/>
              </w:rPr>
            </w:pPr>
          </w:p>
        </w:tc>
      </w:tr>
      <w:tr>
        <w:trPr>
          <w:trHeight w:val="33"/>
        </w:trPr>
        <w:tc>
          <w:tcPr>
            <w:tcW w:w="5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ind w:left="2000"/>
              <w:spacing w:after="0"/>
              <w:rPr>
                <w:sz w:val="20"/>
                <w:szCs w:val="20"/>
                <w:color w:val="auto"/>
              </w:rPr>
            </w:pPr>
            <w:r>
              <w:rPr>
                <w:rFonts w:ascii="Arial" w:cs="Arial" w:eastAsia="Arial" w:hAnsi="Arial"/>
                <w:sz w:val="14"/>
                <w:szCs w:val="14"/>
                <w:b w:val="1"/>
                <w:bCs w:val="1"/>
                <w:color w:val="auto"/>
              </w:rPr>
              <w:t>Expected Future Net Cash Flows</w:t>
            </w: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580" w:type="dxa"/>
            <w:vAlign w:val="bottom"/>
          </w:tcPr>
          <w:p>
            <w:pPr>
              <w:spacing w:after="0"/>
              <w:rPr>
                <w:sz w:val="20"/>
                <w:szCs w:val="20"/>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33"/>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5,577.0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3,428.2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9,005.2</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New Consumer Loan assignments (1)</w:t>
            </w:r>
          </w:p>
        </w:tc>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897.6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1,474.4</w:t>
            </w: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Realized net cash flows (2)</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Forecast changes</w:t>
            </w: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(206.5)</w:t>
            </w: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5"/>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Transfers (3)</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r>
      <w:tr>
        <w:trPr>
          <w:trHeight w:val="257"/>
        </w:trPr>
        <w:tc>
          <w:tcPr>
            <w:tcW w:w="594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5,638.8</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3,505.1</w:t>
            </w: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9,143.9</w:t>
            </w:r>
          </w:p>
        </w:tc>
      </w:tr>
      <w:tr>
        <w:trPr>
          <w:trHeight w:val="41"/>
        </w:trPr>
        <w:tc>
          <w:tcPr>
            <w:tcW w:w="59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9"/>
        </w:trPr>
        <w:tc>
          <w:tcPr>
            <w:tcW w:w="594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4"/>
                <w:szCs w:val="24"/>
                <w:color w:val="auto"/>
              </w:rPr>
            </w:pPr>
          </w:p>
        </w:tc>
        <w:tc>
          <w:tcPr>
            <w:tcW w:w="388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For the Three Months Ended March 31, 2019</w:t>
            </w:r>
          </w:p>
        </w:tc>
        <w:tc>
          <w:tcPr>
            <w:tcW w:w="1100" w:type="dxa"/>
            <w:vAlign w:val="bottom"/>
          </w:tcPr>
          <w:p>
            <w:pPr>
              <w:spacing w:after="0"/>
              <w:rPr>
                <w:sz w:val="24"/>
                <w:szCs w:val="24"/>
                <w:color w:val="auto"/>
              </w:rPr>
            </w:pPr>
          </w:p>
        </w:tc>
      </w:tr>
      <w:tr>
        <w:trPr>
          <w:trHeight w:val="33"/>
        </w:trPr>
        <w:tc>
          <w:tcPr>
            <w:tcW w:w="5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ind w:left="2000"/>
              <w:spacing w:after="0"/>
              <w:rPr>
                <w:sz w:val="20"/>
                <w:szCs w:val="20"/>
                <w:color w:val="auto"/>
              </w:rPr>
            </w:pPr>
            <w:r>
              <w:rPr>
                <w:rFonts w:ascii="Arial" w:cs="Arial" w:eastAsia="Arial" w:hAnsi="Arial"/>
                <w:sz w:val="14"/>
                <w:szCs w:val="14"/>
                <w:b w:val="1"/>
                <w:bCs w:val="1"/>
                <w:color w:val="auto"/>
              </w:rPr>
              <w:t>Expected Future Net Cash Flows</w:t>
            </w: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580" w:type="dxa"/>
            <w:vAlign w:val="bottom"/>
          </w:tcPr>
          <w:p>
            <w:pPr>
              <w:spacing w:after="0"/>
              <w:rPr>
                <w:sz w:val="20"/>
                <w:szCs w:val="20"/>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33"/>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5,045.9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2,782.9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7,828.8</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New Consumer Loan assignments (1)</w:t>
            </w:r>
          </w:p>
        </w:tc>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1,556.7</w:t>
            </w: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Realized net cash flows (2)</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(1,034.6)</w:t>
            </w:r>
          </w:p>
        </w:tc>
      </w:tr>
      <w:tr>
        <w:trPr>
          <w:trHeight w:val="270"/>
        </w:trPr>
        <w:tc>
          <w:tcPr>
            <w:tcW w:w="5940" w:type="dxa"/>
            <w:vAlign w:val="bottom"/>
          </w:tcPr>
          <w:p>
            <w:pPr>
              <w:ind w:left="80"/>
              <w:spacing w:after="0"/>
              <w:rPr>
                <w:sz w:val="20"/>
                <w:szCs w:val="20"/>
                <w:color w:val="auto"/>
              </w:rPr>
            </w:pPr>
            <w:r>
              <w:rPr>
                <w:rFonts w:ascii="Arial" w:cs="Arial" w:eastAsia="Arial" w:hAnsi="Arial"/>
                <w:sz w:val="18"/>
                <w:szCs w:val="18"/>
                <w:color w:val="auto"/>
              </w:rPr>
              <w:t>Forecast changes</w:t>
            </w:r>
          </w:p>
        </w:tc>
        <w:tc>
          <w:tcPr>
            <w:tcW w:w="3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16.7</w:t>
            </w: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5"/>
        </w:trPr>
        <w:tc>
          <w:tcPr>
            <w:tcW w:w="5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Transfers (3)</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r>
      <w:tr>
        <w:trPr>
          <w:trHeight w:val="257"/>
        </w:trPr>
        <w:tc>
          <w:tcPr>
            <w:tcW w:w="594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5,325.6</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3,044.3</w:t>
            </w:r>
          </w:p>
        </w:tc>
        <w:tc>
          <w:tcPr>
            <w:tcW w:w="10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8,369.9</w:t>
            </w:r>
          </w:p>
        </w:tc>
      </w:tr>
      <w:tr>
        <w:trPr>
          <w:trHeight w:val="41"/>
        </w:trPr>
        <w:tc>
          <w:tcPr>
            <w:tcW w:w="59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w:t>
      </w:r>
    </w:p>
    <w:p>
      <w:pPr>
        <w:ind w:left="500" w:hanging="330"/>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collected on Consumer Loans assigned under our Portfolio Program, less the Dealer Holdback and Accelerated Dealer Holdback payments that we made. Purchased Loans amount represents repayments that we collected on Consumer Loans assigned under our Purchase Program.</w:t>
      </w:r>
    </w:p>
    <w:p>
      <w:pPr>
        <w:ind w:left="500" w:hanging="330"/>
        <w:spacing w:after="0" w:line="255"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related allowance for credit losses balance and related expected future net cash flows to Purchased Loans in the period this forfeiture occurs.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monitor and evaluate the credit quality of Consumer Loans assigned under our Portfolio and Purchase Programs on a monthly basis by comparing our current forecasted collection rates to our prior forecasted collection rates and our initial expectations. For additional information regarding credit quality, see Note 3.</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compares our forecast of Consumer Loan collection rates as of March 31, 2020 with the forecasts as of December 31, 2019 and at the time of assignment, segmented by year of assignment: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Total Loans as of March 31, 2020</w:t>
            </w:r>
          </w:p>
        </w:tc>
        <w:tc>
          <w:tcPr>
            <w:tcW w:w="1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0" w:type="dxa"/>
            <w:vAlign w:val="bottom"/>
            <w:tcBorders>
              <w:bottom w:val="single" w:sz="8" w:color="auto"/>
            </w:tcBorders>
            <w:gridSpan w:val="5"/>
          </w:tcPr>
          <w:p>
            <w:pPr>
              <w:jc w:val="right"/>
              <w:ind w:right="1428"/>
              <w:spacing w:after="0"/>
              <w:rPr>
                <w:sz w:val="20"/>
                <w:szCs w:val="20"/>
                <w:color w:val="auto"/>
              </w:rPr>
            </w:pPr>
            <w:r>
              <w:rPr>
                <w:rFonts w:ascii="Arial" w:cs="Arial" w:eastAsia="Arial" w:hAnsi="Arial"/>
                <w:sz w:val="14"/>
                <w:szCs w:val="14"/>
                <w:b w:val="1"/>
                <w:bCs w:val="1"/>
                <w:color w:val="auto"/>
              </w:rPr>
              <w:t>Forecasted Collection Percentage as of (1)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Current Forecast Variance from</w:t>
            </w:r>
          </w:p>
        </w:tc>
        <w:tc>
          <w:tcPr>
            <w:tcW w:w="0" w:type="dxa"/>
            <w:vAlign w:val="bottom"/>
          </w:tcPr>
          <w:p>
            <w:pPr>
              <w:spacing w:after="0"/>
              <w:rPr>
                <w:sz w:val="1"/>
                <w:szCs w:val="1"/>
                <w:color w:val="auto"/>
              </w:rPr>
            </w:pPr>
          </w:p>
        </w:tc>
      </w:tr>
      <w:tr>
        <w:trPr>
          <w:trHeight w:val="153"/>
        </w:trPr>
        <w:tc>
          <w:tcPr>
            <w:tcW w:w="172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Consumer Loan</w:t>
            </w:r>
          </w:p>
        </w:tc>
        <w:tc>
          <w:tcPr>
            <w:tcW w:w="17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vMerge w:val="restart"/>
          </w:tcPr>
          <w:p>
            <w:pPr>
              <w:spacing w:after="0"/>
              <w:rPr>
                <w:sz w:val="13"/>
                <w:szCs w:val="13"/>
                <w:color w:val="auto"/>
              </w:rPr>
            </w:pPr>
          </w:p>
        </w:tc>
        <w:tc>
          <w:tcPr>
            <w:tcW w:w="1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3"/>
                <w:szCs w:val="13"/>
                <w:color w:val="auto"/>
              </w:rPr>
            </w:pPr>
          </w:p>
        </w:tc>
        <w:tc>
          <w:tcPr>
            <w:tcW w:w="2120" w:type="dxa"/>
            <w:vAlign w:val="bottom"/>
            <w:gridSpan w:val="3"/>
          </w:tcPr>
          <w:p>
            <w:pPr>
              <w:ind w:left="720"/>
              <w:spacing w:after="0" w:line="153" w:lineRule="exact"/>
              <w:rPr>
                <w:sz w:val="20"/>
                <w:szCs w:val="20"/>
                <w:color w:val="auto"/>
              </w:rPr>
            </w:pPr>
            <w:r>
              <w:rPr>
                <w:rFonts w:ascii="Arial" w:cs="Arial" w:eastAsia="Arial" w:hAnsi="Arial"/>
                <w:sz w:val="14"/>
                <w:szCs w:val="14"/>
                <w:b w:val="1"/>
                <w:bCs w:val="1"/>
                <w:color w:val="auto"/>
              </w:rPr>
              <w:t>Initial</w:t>
            </w:r>
          </w:p>
        </w:tc>
        <w:tc>
          <w:tcPr>
            <w:tcW w:w="16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vMerge w:val="restart"/>
          </w:tcPr>
          <w:p>
            <w:pPr>
              <w:spacing w:after="0"/>
              <w:rPr>
                <w:sz w:val="13"/>
                <w:szCs w:val="13"/>
                <w:color w:val="auto"/>
              </w:rPr>
            </w:pPr>
          </w:p>
        </w:tc>
        <w:tc>
          <w:tcPr>
            <w:tcW w:w="1840" w:type="dxa"/>
            <w:vAlign w:val="bottom"/>
          </w:tcPr>
          <w:p>
            <w:pPr>
              <w:jc w:val="right"/>
              <w:ind w:right="65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Assignment Year</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Forecast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Dealer Loans as of March 31, 2020</w:t>
            </w: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80" w:type="dxa"/>
            <w:vAlign w:val="bottom"/>
            <w:tcBorders>
              <w:bottom w:val="single" w:sz="8" w:color="auto"/>
            </w:tcBorders>
            <w:gridSpan w:val="5"/>
          </w:tcPr>
          <w:p>
            <w:pPr>
              <w:jc w:val="center"/>
              <w:ind w:left="1273"/>
              <w:spacing w:after="0"/>
              <w:rPr>
                <w:sz w:val="20"/>
                <w:szCs w:val="20"/>
                <w:color w:val="auto"/>
              </w:rPr>
            </w:pPr>
            <w:r>
              <w:rPr>
                <w:rFonts w:ascii="Arial" w:cs="Arial" w:eastAsia="Arial" w:hAnsi="Arial"/>
                <w:sz w:val="14"/>
                <w:szCs w:val="14"/>
                <w:b w:val="1"/>
                <w:bCs w:val="1"/>
                <w:color w:val="auto"/>
                <w:w w:val="90"/>
              </w:rPr>
              <w:t>Forecasted Collection Percentage as of (1)</w:t>
            </w: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Current Forecast Variance from</w:t>
            </w:r>
          </w:p>
        </w:tc>
        <w:tc>
          <w:tcPr>
            <w:tcW w:w="0" w:type="dxa"/>
            <w:vAlign w:val="bottom"/>
          </w:tcPr>
          <w:p>
            <w:pPr>
              <w:spacing w:after="0"/>
              <w:rPr>
                <w:sz w:val="1"/>
                <w:szCs w:val="1"/>
                <w:color w:val="auto"/>
              </w:rPr>
            </w:pPr>
          </w:p>
        </w:tc>
      </w:tr>
      <w:tr>
        <w:trPr>
          <w:trHeight w:val="153"/>
        </w:trPr>
        <w:tc>
          <w:tcPr>
            <w:tcW w:w="172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Consumer Loan</w:t>
            </w:r>
          </w:p>
        </w:tc>
        <w:tc>
          <w:tcPr>
            <w:tcW w:w="1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March 31, 2020</w:t>
            </w:r>
          </w:p>
        </w:tc>
        <w:tc>
          <w:tcPr>
            <w:tcW w:w="23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1"/>
              </w:rPr>
              <w:t>December 31, 2019</w:t>
            </w:r>
          </w:p>
        </w:tc>
        <w:tc>
          <w:tcPr>
            <w:tcW w:w="1720" w:type="dxa"/>
            <w:vAlign w:val="bottom"/>
            <w:gridSpan w:val="3"/>
          </w:tcPr>
          <w:p>
            <w:pPr>
              <w:jc w:val="center"/>
              <w:ind w:right="860"/>
              <w:spacing w:after="0" w:line="153" w:lineRule="exact"/>
              <w:rPr>
                <w:sz w:val="20"/>
                <w:szCs w:val="20"/>
                <w:color w:val="auto"/>
              </w:rPr>
            </w:pPr>
            <w:r>
              <w:rPr>
                <w:rFonts w:ascii="Arial" w:cs="Arial" w:eastAsia="Arial" w:hAnsi="Arial"/>
                <w:sz w:val="14"/>
                <w:szCs w:val="14"/>
                <w:b w:val="1"/>
                <w:bCs w:val="1"/>
                <w:color w:val="auto"/>
              </w:rPr>
              <w:t>Initial</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Assignment Year</w:t>
            </w:r>
          </w:p>
        </w:tc>
        <w:tc>
          <w:tcPr>
            <w:tcW w:w="1900" w:type="dxa"/>
            <w:vAlign w:val="bottom"/>
            <w:gridSpan w:val="2"/>
            <w:vMerge w:val="continue"/>
          </w:tcPr>
          <w:p>
            <w:pPr>
              <w:spacing w:after="0"/>
              <w:rPr>
                <w:sz w:val="17"/>
                <w:szCs w:val="17"/>
                <w:color w:val="auto"/>
              </w:rPr>
            </w:pPr>
          </w:p>
        </w:tc>
        <w:tc>
          <w:tcPr>
            <w:tcW w:w="2380" w:type="dxa"/>
            <w:vAlign w:val="bottom"/>
            <w:gridSpan w:val="3"/>
            <w:vMerge w:val="continue"/>
          </w:tcPr>
          <w:p>
            <w:pPr>
              <w:spacing w:after="0"/>
              <w:rPr>
                <w:sz w:val="17"/>
                <w:szCs w:val="17"/>
                <w:color w:val="auto"/>
              </w:rPr>
            </w:pPr>
          </w:p>
        </w:tc>
        <w:tc>
          <w:tcPr>
            <w:tcW w:w="17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Forecast</w:t>
            </w:r>
          </w:p>
        </w:tc>
        <w:tc>
          <w:tcPr>
            <w:tcW w:w="1680" w:type="dxa"/>
            <w:vAlign w:val="bottom"/>
            <w:gridSpan w:val="2"/>
            <w:vMerge w:val="continue"/>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0" w:type="dxa"/>
            <w:vAlign w:val="bottom"/>
          </w:tcPr>
          <w:p>
            <w:pPr>
              <w:spacing w:after="0"/>
              <w:rPr>
                <w:sz w:val="1"/>
                <w:szCs w:val="1"/>
                <w:color w:val="auto"/>
              </w:rPr>
            </w:pPr>
          </w:p>
        </w:tc>
      </w:tr>
      <w:tr>
        <w:trPr>
          <w:trHeight w:val="250"/>
        </w:trPr>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23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center"/>
              <w:ind w:left="1572"/>
              <w:spacing w:after="0"/>
              <w:rPr>
                <w:sz w:val="20"/>
                <w:szCs w:val="20"/>
                <w:color w:val="auto"/>
              </w:rPr>
            </w:pPr>
            <w:r>
              <w:rPr>
                <w:rFonts w:ascii="Arial" w:cs="Arial" w:eastAsia="Arial" w:hAnsi="Arial"/>
                <w:sz w:val="14"/>
                <w:szCs w:val="14"/>
                <w:b w:val="1"/>
                <w:bCs w:val="1"/>
                <w:color w:val="auto"/>
                <w:w w:val="91"/>
              </w:rPr>
              <w:t>Purchased Loans as of March 31, 2020</w:t>
            </w: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80" w:type="dxa"/>
            <w:vAlign w:val="bottom"/>
            <w:tcBorders>
              <w:bottom w:val="single" w:sz="8" w:color="auto"/>
            </w:tcBorders>
            <w:gridSpan w:val="5"/>
          </w:tcPr>
          <w:p>
            <w:pPr>
              <w:jc w:val="center"/>
              <w:ind w:left="1273"/>
              <w:spacing w:after="0"/>
              <w:rPr>
                <w:sz w:val="20"/>
                <w:szCs w:val="20"/>
                <w:color w:val="auto"/>
              </w:rPr>
            </w:pPr>
            <w:r>
              <w:rPr>
                <w:rFonts w:ascii="Arial" w:cs="Arial" w:eastAsia="Arial" w:hAnsi="Arial"/>
                <w:sz w:val="14"/>
                <w:szCs w:val="14"/>
                <w:b w:val="1"/>
                <w:bCs w:val="1"/>
                <w:color w:val="auto"/>
                <w:w w:val="90"/>
              </w:rPr>
              <w:t>Forecasted Collection Percentage as of (1)</w:t>
            </w: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Current Forecast Variance from</w:t>
            </w:r>
          </w:p>
        </w:tc>
        <w:tc>
          <w:tcPr>
            <w:tcW w:w="0" w:type="dxa"/>
            <w:vAlign w:val="bottom"/>
          </w:tcPr>
          <w:p>
            <w:pPr>
              <w:spacing w:after="0"/>
              <w:rPr>
                <w:sz w:val="1"/>
                <w:szCs w:val="1"/>
                <w:color w:val="auto"/>
              </w:rPr>
            </w:pPr>
          </w:p>
        </w:tc>
      </w:tr>
      <w:tr>
        <w:trPr>
          <w:trHeight w:val="153"/>
        </w:trPr>
        <w:tc>
          <w:tcPr>
            <w:tcW w:w="172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Consumer Loan</w:t>
            </w:r>
          </w:p>
        </w:tc>
        <w:tc>
          <w:tcPr>
            <w:tcW w:w="1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March 31, 2020</w:t>
            </w:r>
          </w:p>
        </w:tc>
        <w:tc>
          <w:tcPr>
            <w:tcW w:w="23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1"/>
              </w:rPr>
              <w:t>December 31, 2019</w:t>
            </w:r>
          </w:p>
        </w:tc>
        <w:tc>
          <w:tcPr>
            <w:tcW w:w="1720" w:type="dxa"/>
            <w:vAlign w:val="bottom"/>
            <w:gridSpan w:val="3"/>
          </w:tcPr>
          <w:p>
            <w:pPr>
              <w:jc w:val="center"/>
              <w:ind w:right="860"/>
              <w:spacing w:after="0" w:line="153" w:lineRule="exact"/>
              <w:rPr>
                <w:sz w:val="20"/>
                <w:szCs w:val="20"/>
                <w:color w:val="auto"/>
              </w:rPr>
            </w:pPr>
            <w:r>
              <w:rPr>
                <w:rFonts w:ascii="Arial" w:cs="Arial" w:eastAsia="Arial" w:hAnsi="Arial"/>
                <w:sz w:val="14"/>
                <w:szCs w:val="14"/>
                <w:b w:val="1"/>
                <w:bCs w:val="1"/>
                <w:color w:val="auto"/>
              </w:rPr>
              <w:t>Initial</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Assignment Year</w:t>
            </w:r>
          </w:p>
        </w:tc>
        <w:tc>
          <w:tcPr>
            <w:tcW w:w="1900" w:type="dxa"/>
            <w:vAlign w:val="bottom"/>
            <w:gridSpan w:val="2"/>
            <w:vMerge w:val="continue"/>
          </w:tcPr>
          <w:p>
            <w:pPr>
              <w:spacing w:after="0"/>
              <w:rPr>
                <w:sz w:val="17"/>
                <w:szCs w:val="17"/>
                <w:color w:val="auto"/>
              </w:rPr>
            </w:pPr>
          </w:p>
        </w:tc>
        <w:tc>
          <w:tcPr>
            <w:tcW w:w="2380" w:type="dxa"/>
            <w:vAlign w:val="bottom"/>
            <w:gridSpan w:val="3"/>
            <w:vMerge w:val="continue"/>
          </w:tcPr>
          <w:p>
            <w:pPr>
              <w:spacing w:after="0"/>
              <w:rPr>
                <w:sz w:val="17"/>
                <w:szCs w:val="17"/>
                <w:color w:val="auto"/>
              </w:rPr>
            </w:pPr>
          </w:p>
        </w:tc>
        <w:tc>
          <w:tcPr>
            <w:tcW w:w="17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Forecast</w:t>
            </w:r>
          </w:p>
        </w:tc>
        <w:tc>
          <w:tcPr>
            <w:tcW w:w="1680" w:type="dxa"/>
            <w:vAlign w:val="bottom"/>
            <w:gridSpan w:val="2"/>
            <w:vMerge w:val="continue"/>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0" w:type="dxa"/>
            <w:vAlign w:val="bottom"/>
          </w:tcPr>
          <w:p>
            <w:pPr>
              <w:spacing w:after="0"/>
              <w:rPr>
                <w:sz w:val="1"/>
                <w:szCs w:val="1"/>
                <w:color w:val="auto"/>
              </w:rPr>
            </w:pPr>
          </w:p>
        </w:tc>
      </w:tr>
      <w:tr>
        <w:trPr>
          <w:trHeight w:val="250"/>
        </w:trPr>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3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500" w:right="20" w:hanging="330"/>
        <w:spacing w:after="0" w:line="257"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evaluate and adjust the expected collection rate of each Consumer Loan subsequent to assignment primarily through the monitoring of consumer payment behavior. The following table summarizes the past-due status of Consumer Loan assignments segmented by year of assignment: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 w:type="dxa"/>
            <w:vAlign w:val="bottom"/>
          </w:tcPr>
          <w:p>
            <w:pPr>
              <w:spacing w:after="0"/>
              <w:rPr>
                <w:sz w:val="17"/>
                <w:szCs w:val="17"/>
                <w:color w:val="auto"/>
              </w:rPr>
            </w:pPr>
          </w:p>
        </w:tc>
        <w:tc>
          <w:tcPr>
            <w:tcW w:w="29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2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3"/>
              </w:rPr>
              <w:t>Total Loans as of March 31, 2020 (1) (2)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w w:val="93"/>
              </w:rPr>
              <w:t>Pre-term Consumer Loans (3)</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Past Due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Past Due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Post-term Consumer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00" w:type="dxa"/>
            <w:vAlign w:val="bottom"/>
          </w:tcPr>
          <w:p>
            <w:pPr>
              <w:ind w:left="420"/>
              <w:spacing w:after="0"/>
              <w:rPr>
                <w:sz w:val="20"/>
                <w:szCs w:val="20"/>
                <w:color w:val="auto"/>
              </w:rPr>
            </w:pPr>
            <w:r>
              <w:rPr>
                <w:rFonts w:ascii="Arial" w:cs="Arial" w:eastAsia="Arial" w:hAnsi="Arial"/>
                <w:sz w:val="14"/>
                <w:szCs w:val="14"/>
                <w:b w:val="1"/>
                <w:bCs w:val="1"/>
                <w:color w:val="auto"/>
              </w:rPr>
              <w:t>Consumer Loan Assignment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12"/>
              <w:spacing w:after="0"/>
              <w:rPr>
                <w:sz w:val="20"/>
                <w:szCs w:val="20"/>
                <w:color w:val="auto"/>
              </w:rPr>
            </w:pPr>
            <w:r>
              <w:rPr>
                <w:rFonts w:ascii="Arial" w:cs="Arial" w:eastAsia="Arial" w:hAnsi="Arial"/>
                <w:sz w:val="14"/>
                <w:szCs w:val="14"/>
                <w:b w:val="1"/>
                <w:bCs w:val="1"/>
                <w:color w:val="auto"/>
              </w:rPr>
              <w:t>Current (5)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11-90 Days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Over 90 Days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Loans (4)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and Prior</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4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ind w:left="8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ind w:left="8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1,458.4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4,235.7</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40" w:type="dxa"/>
            <w:vAlign w:val="bottom"/>
            <w:gridSpan w:val="2"/>
          </w:tcPr>
          <w:p>
            <w:pPr>
              <w:ind w:left="8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1,154.2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6,336.4</w:t>
            </w:r>
          </w:p>
        </w:tc>
        <w:tc>
          <w:tcPr>
            <w:tcW w:w="4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1,933.9</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9,859.0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3"/>
              </w:rPr>
              <w:t>Dealer Loans as of March 31, 2020 (1)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9"/>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Pre-term Consumer Loans (3)</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Post-term Consumer</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Past Due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Past Due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00" w:type="dxa"/>
            <w:vAlign w:val="bottom"/>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32"/>
              <w:spacing w:after="0"/>
              <w:rPr>
                <w:sz w:val="20"/>
                <w:szCs w:val="20"/>
                <w:color w:val="auto"/>
              </w:rPr>
            </w:pPr>
            <w:r>
              <w:rPr>
                <w:rFonts w:ascii="Arial" w:cs="Arial" w:eastAsia="Arial" w:hAnsi="Arial"/>
                <w:sz w:val="14"/>
                <w:szCs w:val="14"/>
                <w:b w:val="1"/>
                <w:bCs w:val="1"/>
                <w:color w:val="auto"/>
              </w:rPr>
              <w:t>Current (5)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11-90 Days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Over 90 Days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Loans (4)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2015 and Prior</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107.5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ind w:left="12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844.7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328.5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286.1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1,459.4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529.3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40" w:type="dxa"/>
            <w:vAlign w:val="bottom"/>
            <w:gridSpan w:val="2"/>
          </w:tcPr>
          <w:p>
            <w:pPr>
              <w:ind w:left="1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765.9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814.6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3,708.2</w:t>
            </w: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1,073.6</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777.4</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2"/>
              </w:rPr>
              <w:t>Purchased Loans as of March 31, 2020 (2)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9"/>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Pre-term Consumer Loans (3)</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Post-term Consumer</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Past Due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Past Due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00" w:type="dxa"/>
            <w:vAlign w:val="bottom"/>
          </w:tcPr>
          <w:p>
            <w:pPr>
              <w:ind w:left="440"/>
              <w:spacing w:after="0"/>
              <w:rPr>
                <w:sz w:val="20"/>
                <w:szCs w:val="20"/>
                <w:color w:val="auto"/>
              </w:rPr>
            </w:pPr>
            <w:r>
              <w:rPr>
                <w:rFonts w:ascii="Arial" w:cs="Arial" w:eastAsia="Arial" w:hAnsi="Arial"/>
                <w:sz w:val="14"/>
                <w:szCs w:val="14"/>
                <w:b w:val="1"/>
                <w:bCs w:val="1"/>
                <w:color w:val="auto"/>
              </w:rPr>
              <w:t>Consumer Loan Assignment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32"/>
              <w:spacing w:after="0"/>
              <w:rPr>
                <w:sz w:val="20"/>
                <w:szCs w:val="20"/>
                <w:color w:val="auto"/>
              </w:rPr>
            </w:pPr>
            <w:r>
              <w:rPr>
                <w:rFonts w:ascii="Arial" w:cs="Arial" w:eastAsia="Arial" w:hAnsi="Arial"/>
                <w:sz w:val="14"/>
                <w:szCs w:val="14"/>
                <w:b w:val="1"/>
                <w:bCs w:val="1"/>
                <w:color w:val="auto"/>
              </w:rPr>
              <w:t>Current (5)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11-90 Days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Over 90 Days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Loans (4)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2015 and Prior</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gridSpan w:val="2"/>
          </w:tcPr>
          <w:p>
            <w:pPr>
              <w:ind w:left="12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255.1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242.8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433.4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40" w:type="dxa"/>
            <w:vAlign w:val="bottom"/>
            <w:gridSpan w:val="2"/>
          </w:tcPr>
          <w:p>
            <w:pPr>
              <w:ind w:left="1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388.3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29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2,628.2</w:t>
            </w:r>
          </w:p>
        </w:tc>
        <w:tc>
          <w:tcPr>
            <w:tcW w:w="4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860.3</w:t>
            </w: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660.1</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line="250"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Consumer Loans are aggregated by Dealer for purposes of recognizing revenue and evaluating impairment, the Dealer Loan amount was estimated by allocating the balance of each Dealer Loan to the underlying Consumer Loans based on the forecasted future collections of each Consumer Loan.</w:t>
      </w:r>
    </w:p>
    <w:p>
      <w:pPr>
        <w:ind w:left="500" w:right="20" w:hanging="330"/>
        <w:spacing w:after="0" w:line="24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certain Consumer Loans are aggregated by Dealer or month of purchase for purposes of recognizing revenue and evaluating impairment, the Purchased Loan amount was estimated by allocating the balance of certain Purchased Loans to the underlying Consumer Loans based on the forecasted future collections of each Consumer Loan.</w:t>
      </w:r>
    </w:p>
    <w:p>
      <w:pPr>
        <w:ind w:left="500" w:hanging="330"/>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Loan balance attributable to Consumer Loans outstanding within their initial loan terms.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Loan balance attributable to Consumer Loans outstanding beyond their initial loan terms.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consider a Consumer Loan to be current for purposes of forecasting expected collection rates if contractual repayments are less than 11 days past due.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March 2020, COVID-19 began to spread rapidly across the United States. </w:t>
      </w:r>
      <w:r>
        <w:rPr>
          <w:rFonts w:ascii="Arial" w:cs="Arial" w:eastAsia="Arial" w:hAnsi="Arial"/>
          <w:sz w:val="16"/>
          <w:szCs w:val="16"/>
          <w:color w:val="212529"/>
        </w:rPr>
        <w:t>In an effort to slow the spread of the virus, authorities implemented</w:t>
      </w:r>
      <w:r>
        <w:rPr>
          <w:rFonts w:ascii="Arial" w:cs="Arial" w:eastAsia="Arial" w:hAnsi="Arial"/>
          <w:sz w:val="16"/>
          <w:szCs w:val="16"/>
          <w:color w:val="auto"/>
        </w:rPr>
        <w:t xml:space="preserve"> </w:t>
      </w:r>
      <w:r>
        <w:rPr>
          <w:rFonts w:ascii="Arial" w:cs="Arial" w:eastAsia="Arial" w:hAnsi="Arial"/>
          <w:sz w:val="16"/>
          <w:szCs w:val="16"/>
          <w:color w:val="212529"/>
        </w:rPr>
        <w:t xml:space="preserve">various measures, including travel bans, stay-at-home orders and shutdowns of non-essential businesses. These measures have caused a significant decline in economic activity and a dramatic increase in the number of individuals who are no longer employed. Starting in mid-March, we experienced a substantial reduction in demand for our product and a significant decline in cash flows from our Loan portfolio that lasted through mid-April, after which collections and new loan volumes improved significantly. As the virus is not yet contained, the ultimate impact of the pandemic on our business is not yet known. The impact will </w:t>
      </w:r>
      <w:r>
        <w:rPr>
          <w:rFonts w:ascii="Arial" w:cs="Arial" w:eastAsia="Arial" w:hAnsi="Arial"/>
          <w:sz w:val="16"/>
          <w:szCs w:val="16"/>
          <w:color w:val="000000"/>
        </w:rPr>
        <w:t>depend on future developments, including, but not limited to, the duration and spread of the pandemic, its severity, the actions to</w:t>
      </w:r>
      <w:r>
        <w:rPr>
          <w:rFonts w:ascii="Arial" w:cs="Arial" w:eastAsia="Arial" w:hAnsi="Arial"/>
          <w:sz w:val="16"/>
          <w:szCs w:val="16"/>
          <w:color w:val="212529"/>
        </w:rPr>
        <w:t xml:space="preserve"> </w:t>
      </w:r>
      <w:r>
        <w:rPr>
          <w:rFonts w:ascii="Arial" w:cs="Arial" w:eastAsia="Arial" w:hAnsi="Arial"/>
          <w:sz w:val="16"/>
          <w:szCs w:val="16"/>
          <w:color w:val="000000"/>
        </w:rPr>
        <w:t>contain the disease or mitigate its impact, and the duration, timing and severity of the impact on consumer behavior and economic activity.</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first quarter, we reduced our estimate of future net cash flows from our Loan portfolio by $206.5 million, or 2.3% of the forecasted net cash flows at the start of the period, primarily due to the impact of the COVID-19 pandemic. The reduction is comprised of: (1) $44.3 million calculated by our forecasting model, which reflects lower realized collections during the quarter and (2) an additional $162.2 million, which represents our best estimate of the future impact of the COVID-19 pandemic on future net cash flows. Under CECL, changes in forecasted net cash flows are recorded as a provision for credit losses in the current period. While the adjustment to our forecast represents our best estimate at this time, the COVID-19 pandemic has created conditions that do not allow us to forecast future cash flows from our Loan portfolio with confidence.</w:t>
      </w:r>
    </w:p>
    <w:p>
      <w:pPr>
        <w:spacing w:after="0" w:line="23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Forecasted collection rates in the tables above reflect a reduction in collection rates calculated by our forecasting model and an additional subjective adjustment which considers the future impact of COVID-19. The COVID-19 adjustment for total loans is detailed by year of assignment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gridSpan w:val="5"/>
          </w:tcPr>
          <w:p>
            <w:pPr>
              <w:jc w:val="right"/>
              <w:ind w:right="1013"/>
              <w:spacing w:after="0"/>
              <w:rPr>
                <w:sz w:val="20"/>
                <w:szCs w:val="20"/>
                <w:color w:val="auto"/>
              </w:rPr>
            </w:pPr>
            <w:r>
              <w:rPr>
                <w:rFonts w:ascii="Arial" w:cs="Arial" w:eastAsia="Arial" w:hAnsi="Arial"/>
                <w:sz w:val="14"/>
                <w:szCs w:val="14"/>
                <w:b w:val="1"/>
                <w:bCs w:val="1"/>
                <w:color w:val="auto"/>
              </w:rPr>
              <w:t>Forecasted Collection Percentage as of March 31, 2020</w:t>
            </w:r>
          </w:p>
        </w:tc>
      </w:tr>
      <w:tr>
        <w:trPr>
          <w:trHeight w:val="46"/>
        </w:trPr>
        <w:tc>
          <w:tcPr>
            <w:tcW w:w="4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153"/>
        </w:trPr>
        <w:tc>
          <w:tcPr>
            <w:tcW w:w="4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Prior to COVID-19</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COVID-19</w:t>
            </w:r>
          </w:p>
        </w:tc>
      </w:tr>
      <w:tr>
        <w:trPr>
          <w:trHeight w:val="232"/>
        </w:trPr>
        <w:tc>
          <w:tcPr>
            <w:tcW w:w="4680" w:type="dxa"/>
            <w:vAlign w:val="bottom"/>
            <w:tcBorders>
              <w:bottom w:val="single" w:sz="8" w:color="auto"/>
            </w:tcBorders>
          </w:tcPr>
          <w:p>
            <w:pPr>
              <w:jc w:val="center"/>
              <w:ind w:left="832"/>
              <w:spacing w:after="0"/>
              <w:rPr>
                <w:sz w:val="20"/>
                <w:szCs w:val="20"/>
                <w:color w:val="auto"/>
              </w:rPr>
            </w:pPr>
            <w:r>
              <w:rPr>
                <w:rFonts w:ascii="Arial" w:cs="Arial" w:eastAsia="Arial" w:hAnsi="Arial"/>
                <w:sz w:val="14"/>
                <w:szCs w:val="14"/>
                <w:b w:val="1"/>
                <w:bCs w:val="1"/>
                <w:color w:val="auto"/>
                <w:w w:val="92"/>
              </w:rPr>
              <w:t>Consumer Loan Assignment Year</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COVID-19 Adjustment</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Adjustment</w:t>
            </w:r>
          </w:p>
        </w:tc>
      </w:tr>
      <w:tr>
        <w:trPr>
          <w:trHeight w:val="250"/>
        </w:trPr>
        <w:tc>
          <w:tcPr>
            <w:tcW w:w="4680" w:type="dxa"/>
            <w:vAlign w:val="bottom"/>
            <w:tcBorders>
              <w:bottom w:val="single" w:sz="8" w:color="CCEEFF"/>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2011</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4680" w:type="dxa"/>
            <w:vAlign w:val="bottom"/>
          </w:tcPr>
          <w:p>
            <w:pPr>
              <w:jc w:val="center"/>
              <w:ind w:left="792"/>
              <w:spacing w:after="0"/>
              <w:rPr>
                <w:sz w:val="20"/>
                <w:szCs w:val="20"/>
                <w:color w:val="auto"/>
              </w:rPr>
            </w:pPr>
            <w:r>
              <w:rPr>
                <w:rFonts w:ascii="Arial" w:cs="Arial" w:eastAsia="Arial" w:hAnsi="Arial"/>
                <w:sz w:val="18"/>
                <w:szCs w:val="18"/>
                <w:color w:val="auto"/>
                <w:w w:val="89"/>
              </w:rPr>
              <w:t>2012</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2013</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4680" w:type="dxa"/>
            <w:vAlign w:val="bottom"/>
          </w:tcPr>
          <w:p>
            <w:pPr>
              <w:jc w:val="center"/>
              <w:ind w:left="792"/>
              <w:spacing w:after="0"/>
              <w:rPr>
                <w:sz w:val="20"/>
                <w:szCs w:val="20"/>
                <w:color w:val="auto"/>
              </w:rPr>
            </w:pPr>
            <w:r>
              <w:rPr>
                <w:rFonts w:ascii="Arial" w:cs="Arial" w:eastAsia="Arial" w:hAnsi="Arial"/>
                <w:sz w:val="18"/>
                <w:szCs w:val="18"/>
                <w:color w:val="auto"/>
                <w:w w:val="89"/>
              </w:rPr>
              <w:t>2014</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7"/>
        </w:trPr>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2015</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4680" w:type="dxa"/>
            <w:vAlign w:val="bottom"/>
          </w:tcPr>
          <w:p>
            <w:pPr>
              <w:jc w:val="center"/>
              <w:ind w:left="792"/>
              <w:spacing w:after="0"/>
              <w:rPr>
                <w:sz w:val="20"/>
                <w:szCs w:val="20"/>
                <w:color w:val="auto"/>
              </w:rPr>
            </w:pPr>
            <w:r>
              <w:rPr>
                <w:rFonts w:ascii="Arial" w:cs="Arial" w:eastAsia="Arial" w:hAnsi="Arial"/>
                <w:sz w:val="18"/>
                <w:szCs w:val="18"/>
                <w:color w:val="auto"/>
                <w:w w:val="89"/>
              </w:rPr>
              <w:t>2016</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2017</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43"/>
        </w:trPr>
        <w:tc>
          <w:tcPr>
            <w:tcW w:w="4680" w:type="dxa"/>
            <w:vAlign w:val="bottom"/>
          </w:tcPr>
          <w:p>
            <w:pPr>
              <w:jc w:val="center"/>
              <w:ind w:left="792"/>
              <w:spacing w:after="0"/>
              <w:rPr>
                <w:sz w:val="20"/>
                <w:szCs w:val="20"/>
                <w:color w:val="auto"/>
              </w:rPr>
            </w:pPr>
            <w:r>
              <w:rPr>
                <w:rFonts w:ascii="Arial" w:cs="Arial" w:eastAsia="Arial" w:hAnsi="Arial"/>
                <w:sz w:val="18"/>
                <w:szCs w:val="18"/>
                <w:color w:val="auto"/>
                <w:w w:val="89"/>
              </w:rPr>
              <w:t>2018</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2019</w:t>
            </w:r>
          </w:p>
        </w:tc>
        <w:tc>
          <w:tcPr>
            <w:tcW w:w="2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43"/>
        </w:trPr>
        <w:tc>
          <w:tcPr>
            <w:tcW w:w="4680" w:type="dxa"/>
            <w:vAlign w:val="bottom"/>
          </w:tcPr>
          <w:p>
            <w:pPr>
              <w:jc w:val="center"/>
              <w:ind w:left="792"/>
              <w:spacing w:after="0"/>
              <w:rPr>
                <w:sz w:val="20"/>
                <w:szCs w:val="20"/>
                <w:color w:val="auto"/>
              </w:rPr>
            </w:pPr>
            <w:r>
              <w:rPr>
                <w:rFonts w:ascii="Arial" w:cs="Arial" w:eastAsia="Arial" w:hAnsi="Arial"/>
                <w:sz w:val="18"/>
                <w:szCs w:val="18"/>
                <w:color w:val="auto"/>
                <w:w w:val="89"/>
              </w:rPr>
              <w:t>2020</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891"/>
        </w:trPr>
        <w:tc>
          <w:tcPr>
            <w:tcW w:w="4680" w:type="dxa"/>
            <w:vAlign w:val="bottom"/>
          </w:tcPr>
          <w:p>
            <w:pPr>
              <w:spacing w:after="0"/>
              <w:rPr>
                <w:sz w:val="24"/>
                <w:szCs w:val="24"/>
                <w:color w:val="auto"/>
              </w:rPr>
            </w:pPr>
          </w:p>
        </w:tc>
        <w:tc>
          <w:tcPr>
            <w:tcW w:w="2820" w:type="dxa"/>
            <w:vAlign w:val="bottom"/>
            <w:gridSpan w:val="3"/>
          </w:tcPr>
          <w:p>
            <w:pPr>
              <w:jc w:val="right"/>
              <w:ind w:right="170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Prior Year Loan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CECL on January 1, 2020 eliminated the following disclosures for 2020 that were required in prior years.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1000" w:type="dxa"/>
            <w:vAlign w:val="bottom"/>
            <w:tcBorders>
              <w:bottom w:val="single" w:sz="8" w:color="auto"/>
            </w:tcBorders>
          </w:tcPr>
          <w:p>
            <w:pPr>
              <w:spacing w:after="0"/>
              <w:rPr>
                <w:sz w:val="17"/>
                <w:szCs w:val="17"/>
                <w:color w:val="auto"/>
              </w:rPr>
            </w:pPr>
          </w:p>
        </w:tc>
      </w:tr>
      <w:tr>
        <w:trPr>
          <w:trHeight w:val="263"/>
        </w:trPr>
        <w:tc>
          <w:tcPr>
            <w:tcW w:w="6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Dealer Loans</w:t>
            </w:r>
          </w:p>
        </w:tc>
        <w:tc>
          <w:tcPr>
            <w:tcW w:w="180" w:type="dxa"/>
            <w:vAlign w:val="bottom"/>
          </w:tcPr>
          <w:p>
            <w:pPr>
              <w:spacing w:after="0"/>
              <w:rPr>
                <w:sz w:val="22"/>
                <w:szCs w:val="22"/>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Purchased Loans</w:t>
            </w:r>
          </w:p>
        </w:tc>
        <w:tc>
          <w:tcPr>
            <w:tcW w:w="580" w:type="dxa"/>
            <w:vAlign w:val="bottom"/>
          </w:tcPr>
          <w:p>
            <w:pPr>
              <w:spacing w:after="0"/>
              <w:rPr>
                <w:sz w:val="22"/>
                <w:szCs w:val="22"/>
                <w:color w:val="auto"/>
              </w:rPr>
            </w:pPr>
          </w:p>
        </w:tc>
        <w:tc>
          <w:tcPr>
            <w:tcW w:w="100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2,065.5</w:t>
            </w:r>
          </w:p>
        </w:tc>
      </w:tr>
      <w:tr>
        <w:trPr>
          <w:trHeight w:val="243"/>
        </w:trPr>
        <w:tc>
          <w:tcPr>
            <w:tcW w:w="6280" w:type="dxa"/>
            <w:vAlign w:val="bottom"/>
          </w:tcPr>
          <w:p>
            <w:pPr>
              <w:ind w:left="600"/>
              <w:spacing w:after="0"/>
              <w:rPr>
                <w:sz w:val="20"/>
                <w:szCs w:val="20"/>
                <w:color w:val="auto"/>
              </w:rPr>
            </w:pPr>
            <w:r>
              <w:rPr>
                <w:rFonts w:ascii="Arial" w:cs="Arial" w:eastAsia="Arial" w:hAnsi="Arial"/>
                <w:sz w:val="18"/>
                <w:szCs w:val="18"/>
                <w:color w:val="auto"/>
              </w:rPr>
              <w:t>New Consumer Loan assignments (1)</w:t>
            </w: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451.3</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Accretion (2)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43"/>
        </w:trPr>
        <w:tc>
          <w:tcPr>
            <w:tcW w:w="628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14.5</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Forecast changes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r>
      <w:tr>
        <w:trPr>
          <w:trHeight w:val="283"/>
        </w:trPr>
        <w:tc>
          <w:tcPr>
            <w:tcW w:w="62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Transfers (3)</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1,361.2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2,226.2</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17"/>
        <w:spacing w:after="0" w:line="247"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ind w:left="500" w:hanging="317"/>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finance charges excluding the amortization of deferred direct origination costs for Dealer Loans.</w:t>
      </w:r>
    </w:p>
    <w:p>
      <w:pPr>
        <w:spacing w:after="0" w:line="1" w:lineRule="exact"/>
        <w:rPr>
          <w:rFonts w:ascii="Arial" w:cs="Arial" w:eastAsia="Arial" w:hAnsi="Arial"/>
          <w:sz w:val="14"/>
          <w:szCs w:val="14"/>
          <w:color w:val="auto"/>
        </w:rPr>
      </w:pPr>
    </w:p>
    <w:p>
      <w:pPr>
        <w:ind w:left="500" w:hanging="317"/>
        <w:spacing w:after="0" w:line="255"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the related allowance for credit losses balance and related expected future net cash flows to Purchased Loans in the period this forfeiture occurs.</w:t>
      </w:r>
    </w:p>
    <w:p>
      <w:pPr>
        <w:spacing w:after="0" w:line="1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Advances paid to Dealers on Consumer Loans assigned under our Portfolio Program and one-time payments made to Dealers to purchase Consumer Loans assigned under our Purchase Program are aggregated into pools for purposes of recognizing revenue and evaluating impairment. As a result of this aggregation, we are not able to segment the carrying amounts of the majority of our Loan portfolio by year of assignment. We are able to segment our Loan portfolio by the performance of the Loan pools. Performance considers both the amount and timing of expected net cash flows and is measured by comparing the balance of the Loan pool to the discounted value of the expected future net cash flows of each Loan pool using the yield established at the time of assignment. The following table segments our Loan portfolio by the performance of the Loan pools: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As of December 31, 2019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4"/>
              </w:rPr>
              <w:t>Loan Pool Performance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3"/>
              </w:rPr>
              <w:t>Less than Initial Estimates</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Purchased</w:t>
            </w:r>
          </w:p>
        </w:tc>
        <w:tc>
          <w:tcPr>
            <w:tcW w:w="400" w:type="dxa"/>
            <w:vAlign w:val="bottom"/>
          </w:tcPr>
          <w:p>
            <w:pPr>
              <w:spacing w:after="0"/>
              <w:rPr>
                <w:sz w:val="13"/>
                <w:szCs w:val="13"/>
                <w:color w:val="auto"/>
              </w:rPr>
            </w:pPr>
          </w:p>
        </w:tc>
        <w:tc>
          <w:tcPr>
            <w:tcW w:w="9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Dealer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3"/>
                <w:szCs w:val="13"/>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Loans</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1,591.3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3,032.0</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3,623.0</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 receivable,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1,591.3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2,006.9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3,598.2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3,087.0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REINSURANCE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reinsurance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4"/>
                <w:szCs w:val="14"/>
                <w:color w:val="auto"/>
              </w:rPr>
            </w:pPr>
          </w:p>
        </w:tc>
        <w:tc>
          <w:tcPr>
            <w:tcW w:w="28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For the Three Months Ended</w:t>
            </w:r>
          </w:p>
        </w:tc>
      </w:tr>
      <w:tr>
        <w:trPr>
          <w:trHeight w:val="205"/>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assumed written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claims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Amortization of capitalized acquisition costs</w:t>
            </w: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0.3</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trust assets and related reinsurance liabilities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500" w:type="dxa"/>
            <w:vAlign w:val="bottom"/>
            <w:tcBorders>
              <w:bottom w:val="single" w:sz="8" w:color="auto"/>
            </w:tcBorders>
          </w:tcPr>
          <w:p>
            <w:pPr>
              <w:spacing w:after="0"/>
              <w:rPr>
                <w:sz w:val="17"/>
                <w:szCs w:val="17"/>
                <w:color w:val="auto"/>
              </w:rPr>
            </w:pPr>
          </w:p>
        </w:tc>
      </w:tr>
      <w:tr>
        <w:trPr>
          <w:trHeight w:val="263"/>
        </w:trPr>
        <w:tc>
          <w:tcPr>
            <w:tcW w:w="2700" w:type="dxa"/>
            <w:vAlign w:val="bottom"/>
            <w:tcBorders>
              <w:bottom w:val="single" w:sz="8" w:color="CCEEFF"/>
            </w:tcBorders>
          </w:tcPr>
          <w:p>
            <w:pPr>
              <w:spacing w:after="0"/>
              <w:rPr>
                <w:sz w:val="22"/>
                <w:szCs w:val="22"/>
                <w:color w:val="auto"/>
              </w:rPr>
            </w:pPr>
          </w:p>
        </w:tc>
        <w:tc>
          <w:tcPr>
            <w:tcW w:w="494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assets</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Trust assets</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Restricted securities available for sale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59.3</w:t>
            </w:r>
          </w:p>
        </w:tc>
      </w:tr>
      <w:tr>
        <w:trPr>
          <w:trHeight w:val="27"/>
        </w:trPr>
        <w:tc>
          <w:tcPr>
            <w:tcW w:w="27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Claims reserve (1)</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w:t>
            </w:r>
          </w:p>
        </w:tc>
      </w:tr>
    </w:tbl>
    <w:p>
      <w:pPr>
        <w:spacing w:after="0" w:line="224" w:lineRule="exact"/>
        <w:rPr>
          <w:sz w:val="20"/>
          <w:szCs w:val="20"/>
          <w:color w:val="auto"/>
        </w:rPr>
      </w:pPr>
    </w:p>
    <w:p>
      <w:pPr>
        <w:ind w:left="500" w:hanging="330"/>
        <w:spacing w:after="0"/>
        <w:tabs>
          <w:tab w:leader="none" w:pos="5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claims reserve represents our liability for incurred-but-not-reported claims and is estimated based on historical claims experience.</w:t>
      </w:r>
    </w:p>
    <w:p>
      <w:pPr>
        <w:spacing w:after="0" w:line="217"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Ancillary product profit sharing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Remarketing fees</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Dealer enrollment fees</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support products and services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GPS-SID fees</w:t>
            </w:r>
          </w:p>
        </w:tc>
        <w:tc>
          <w:tcPr>
            <w:tcW w:w="3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64"/>
        </w:trPr>
        <w:tc>
          <w:tcPr>
            <w:tcW w:w="754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w:t>
            </w: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Ancillary product profit sharing consists of payments received from Third Party Providers (“TPPs”) based upon the performance of vehicle service contracts and Guaranteed Asset Protection (“GAP”) contracts, and is recognized as income over the life of the vehicle service contracts and GAP contracts.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Remarketing fees consist of fees retained from the sale of repossessed vehicles by Vehicle Remarketing Services, Inc. (“VRS”), our wholly-owned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consists of income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Dealer enrollment fees include fees from Dealers that enrolled in our Portfolio Program prior to August 5, 2019. Depending on the enrollment option selected by the Dealer, Dealers may have enrolled by paying us an upfront, one-time fee, or by agreeing to allow us to retain 50% of their accelerated Dealer Holdback payment(s) on the first 100 Consumer Loan assignments. For additional information regarding program enrollment, see Note 2 to the consolidated financial statements. A portion of the $9,850 upfront, one-time fee is considered to be Dealer support products and services revenue. The remaining portion of the $9,850 fee is considered to be a Dealer enrollment fee, which is amortized on a straight-line basis over the estimated life of the Dealer relationship. The 50% portion of the accelerated Dealer Holdback payment(s) on the first 100 Consumer Loan assignments is also considered to be a Dealer enrollment fee. We do not recognize any of this Dealer enrollment fee until the Dealer has met the eligibility requirements to receive an accelerated Dealer Holdback payment and the amount of the first payment, if any, has been calculated. Once an accelerated Dealer Holdback payment has been calculated, we defer the 50% portion that we keep and recognize it on a straight-line basis over the remaining estimated life of the Dealer relationship. Beginning August 5, 2019, Dealers may enroll in our Portfolio Program without incurring an enrollment fee.</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Dealer support products and services consist of income earned from products and services provided to Dealers to assist with their operations, including sales and marketing, purchasing supplies and materials and acquiring vehicle inventory. Income is recognized in the period the product or service is provided.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GPS-SID fees consist of fees we received from a TPP for providing Dealers in certain states the ability to purchase GPS Starter Interrupt Devices ("GPS-SID"). Through this program, Dealers can install GPS-SID on vehicles financed by us that can be activated if the consumer fails to make payments on their account, and can result in the prompt repossession of the vehicle. Dealers purchased GPS-SID directly from the TPP and the TPP paid us a vendor fee for each device sold. GPS-SID fee income was recognized when the units were sold. Effective during the second quarter of 2019, we no longer provide Dealers the ability to purchase GPS-SID through this program. We allowed Dealers to install previously purchased GPS-SID on vehicles financed by us until September 1, 2019.</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other income by major source of income and timing of the revenue recognition: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Ancillary product</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Dealer enrollment</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Dealer support</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Remarketing fees</w:t>
            </w:r>
          </w:p>
        </w:tc>
        <w:tc>
          <w:tcPr>
            <w:tcW w:w="26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Interest</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products and</w:t>
            </w:r>
          </w:p>
        </w:tc>
        <w:tc>
          <w:tcPr>
            <w:tcW w:w="26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profit sharing</w:t>
            </w:r>
          </w:p>
        </w:tc>
        <w:tc>
          <w:tcPr>
            <w:tcW w:w="13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fees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2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Source of income</w:t>
            </w:r>
          </w:p>
        </w:tc>
        <w:tc>
          <w:tcPr>
            <w:tcW w:w="16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CCEEFF"/>
            </w:tcBorders>
          </w:tcPr>
          <w:p>
            <w:pPr>
              <w:spacing w:after="0"/>
              <w:rPr>
                <w:sz w:val="22"/>
                <w:szCs w:val="22"/>
                <w:color w:val="auto"/>
              </w:rPr>
            </w:pPr>
          </w:p>
        </w:tc>
        <w:tc>
          <w:tcPr>
            <w:tcW w:w="9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9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Party Providers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83"/>
        </w:trPr>
        <w:tc>
          <w:tcPr>
            <w:tcW w:w="1920" w:type="dxa"/>
            <w:vAlign w:val="bottom"/>
          </w:tcPr>
          <w:p>
            <w:pPr>
              <w:ind w:left="40"/>
              <w:spacing w:after="0"/>
              <w:rPr>
                <w:sz w:val="20"/>
                <w:szCs w:val="20"/>
                <w:color w:val="auto"/>
              </w:rPr>
            </w:pPr>
            <w:r>
              <w:rPr>
                <w:rFonts w:ascii="Arial" w:cs="Arial" w:eastAsia="Arial" w:hAnsi="Arial"/>
                <w:sz w:val="18"/>
                <w:szCs w:val="18"/>
                <w:color w:val="auto"/>
              </w:rPr>
              <w:t>Dealers</w:t>
            </w: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1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Timing of revenue recognition</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 time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83"/>
        </w:trPr>
        <w:tc>
          <w:tcPr>
            <w:tcW w:w="1920" w:type="dxa"/>
            <w:vAlign w:val="bottom"/>
          </w:tcPr>
          <w:p>
            <w:pPr>
              <w:ind w:left="40"/>
              <w:spacing w:after="0"/>
              <w:rPr>
                <w:sz w:val="20"/>
                <w:szCs w:val="20"/>
                <w:color w:val="auto"/>
              </w:rPr>
            </w:pPr>
            <w:r>
              <w:rPr>
                <w:rFonts w:ascii="Arial" w:cs="Arial" w:eastAsia="Arial" w:hAnsi="Arial"/>
                <w:sz w:val="18"/>
                <w:szCs w:val="18"/>
                <w:color w:val="auto"/>
              </w:rPr>
              <w:t>At a point in time</w:t>
            </w: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1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9.</w:t>
            </w:r>
          </w:p>
        </w:tc>
        <w:tc>
          <w:tcPr>
            <w:tcW w:w="3500" w:type="dxa"/>
            <w:vAlign w:val="bottom"/>
          </w:tcPr>
          <w:p>
            <w:pPr>
              <w:ind w:left="40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5"/>
              </w:rPr>
              <w:t>As of March 31, 2020</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6"/>
              </w:rPr>
              <w:t>Principal Outstanding</w:t>
            </w:r>
          </w:p>
        </w:tc>
        <w:tc>
          <w:tcPr>
            <w:tcW w:w="120" w:type="dxa"/>
            <w:vAlign w:val="bottom"/>
            <w:vMerge w:val="restart"/>
          </w:tcPr>
          <w:p>
            <w:pPr>
              <w:spacing w:after="0"/>
              <w:rPr>
                <w:sz w:val="13"/>
                <w:szCs w:val="13"/>
                <w:color w:val="auto"/>
              </w:rPr>
            </w:pPr>
          </w:p>
        </w:tc>
        <w:tc>
          <w:tcPr>
            <w:tcW w:w="19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Unamortized Debt Issuance</w:t>
            </w:r>
          </w:p>
        </w:tc>
        <w:tc>
          <w:tcPr>
            <w:tcW w:w="160" w:type="dxa"/>
            <w:vAlign w:val="bottom"/>
          </w:tcPr>
          <w:p>
            <w:pPr>
              <w:spacing w:after="0"/>
              <w:rPr>
                <w:sz w:val="13"/>
                <w:szCs w:val="13"/>
                <w:color w:val="auto"/>
              </w:rPr>
            </w:pPr>
          </w:p>
        </w:tc>
        <w:tc>
          <w:tcPr>
            <w:tcW w:w="16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Unamortized Discount</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05"/>
        </w:trPr>
        <w:tc>
          <w:tcPr>
            <w:tcW w:w="2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Secured financing (2)</w:t>
            </w:r>
          </w:p>
        </w:tc>
        <w:tc>
          <w:tcPr>
            <w:tcW w:w="16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3,974.4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3,957.6</w:t>
            </w:r>
          </w:p>
        </w:tc>
        <w:tc>
          <w:tcPr>
            <w:tcW w:w="0" w:type="dxa"/>
            <w:vAlign w:val="bottom"/>
          </w:tcPr>
          <w:p>
            <w:pPr>
              <w:spacing w:after="0"/>
              <w:rPr>
                <w:sz w:val="1"/>
                <w:szCs w:val="1"/>
                <w:color w:val="auto"/>
              </w:rPr>
            </w:pPr>
          </w:p>
        </w:tc>
      </w:tr>
      <w:tr>
        <w:trPr>
          <w:trHeight w:val="27"/>
        </w:trPr>
        <w:tc>
          <w:tcPr>
            <w:tcW w:w="3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83"/>
        </w:trPr>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Mortgage note</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4,865.4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4,837.8</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2"/>
              </w:rPr>
              <w:t>As of December 31, 2019</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6"/>
              </w:rPr>
              <w:t>Principal Outstanding</w:t>
            </w:r>
          </w:p>
        </w:tc>
        <w:tc>
          <w:tcPr>
            <w:tcW w:w="120" w:type="dxa"/>
            <w:vAlign w:val="bottom"/>
            <w:vMerge w:val="restart"/>
          </w:tcPr>
          <w:p>
            <w:pPr>
              <w:spacing w:after="0"/>
              <w:rPr>
                <w:sz w:val="13"/>
                <w:szCs w:val="13"/>
                <w:color w:val="auto"/>
              </w:rPr>
            </w:pPr>
          </w:p>
        </w:tc>
        <w:tc>
          <w:tcPr>
            <w:tcW w:w="19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Unamortized Debt Issuance</w:t>
            </w:r>
          </w:p>
        </w:tc>
        <w:tc>
          <w:tcPr>
            <w:tcW w:w="160" w:type="dxa"/>
            <w:vAlign w:val="bottom"/>
          </w:tcPr>
          <w:p>
            <w:pPr>
              <w:spacing w:after="0"/>
              <w:rPr>
                <w:sz w:val="13"/>
                <w:szCs w:val="13"/>
                <w:color w:val="auto"/>
              </w:rPr>
            </w:pPr>
          </w:p>
        </w:tc>
        <w:tc>
          <w:tcPr>
            <w:tcW w:w="16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Unamortized Discount</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05"/>
        </w:trPr>
        <w:tc>
          <w:tcPr>
            <w:tcW w:w="24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Secured financing (2)</w:t>
            </w:r>
          </w:p>
        </w:tc>
        <w:tc>
          <w:tcPr>
            <w:tcW w:w="16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3,355.6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3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8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Mortgage note</w:t>
            </w:r>
          </w:p>
        </w:tc>
        <w:tc>
          <w:tcPr>
            <w:tcW w:w="160" w:type="dxa"/>
            <w:vAlign w:val="bottom"/>
          </w:tcPr>
          <w:p>
            <w:pPr>
              <w:spacing w:after="0"/>
              <w:rPr>
                <w:sz w:val="24"/>
                <w:szCs w:val="24"/>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4,568.7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Excludes deferred debt issuance costs of $2.8 million and $3.2 million as of March 31, 2020 and December 31, 2019, respectively, which are included in other assets.</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Warehouse facilities and Term ABS.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information for each of our financing transactions in place as of March 31, 2020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Financings</w:t>
            </w: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Wholly-owned</w:t>
            </w:r>
          </w:p>
        </w:tc>
        <w:tc>
          <w:tcPr>
            <w:tcW w:w="16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Financing</w:t>
            </w:r>
          </w:p>
        </w:tc>
        <w:tc>
          <w:tcPr>
            <w:tcW w:w="3020" w:type="dxa"/>
            <w:vAlign w:val="bottom"/>
          </w:tcPr>
          <w:p>
            <w:pPr>
              <w:ind w:left="920"/>
              <w:spacing w:after="0"/>
              <w:rPr>
                <w:sz w:val="20"/>
                <w:szCs w:val="20"/>
                <w:color w:val="auto"/>
              </w:rPr>
            </w:pPr>
            <w:r>
              <w:rPr>
                <w:rFonts w:ascii="Arial" w:cs="Arial" w:eastAsia="Arial" w:hAnsi="Arial"/>
                <w:sz w:val="14"/>
                <w:szCs w:val="14"/>
                <w:b w:val="1"/>
                <w:bCs w:val="1"/>
                <w:color w:val="auto"/>
              </w:rPr>
              <w:t>Interest Rate as of</w:t>
            </w:r>
          </w:p>
        </w:tc>
        <w:tc>
          <w:tcPr>
            <w:tcW w:w="0" w:type="dxa"/>
            <w:vAlign w:val="bottom"/>
          </w:tcPr>
          <w:p>
            <w:pPr>
              <w:spacing w:after="0"/>
              <w:rPr>
                <w:sz w:val="1"/>
                <w:szCs w:val="1"/>
                <w:color w:val="auto"/>
              </w:rPr>
            </w:pPr>
          </w:p>
        </w:tc>
      </w:tr>
      <w:tr>
        <w:trPr>
          <w:trHeight w:val="205"/>
        </w:trPr>
        <w:tc>
          <w:tcPr>
            <w:tcW w:w="2720" w:type="dxa"/>
            <w:vAlign w:val="bottom"/>
            <w:gridSpan w:val="2"/>
            <w:vMerge w:val="continue"/>
          </w:tcPr>
          <w:p>
            <w:pPr>
              <w:spacing w:after="0"/>
              <w:rPr>
                <w:sz w:val="17"/>
                <w:szCs w:val="17"/>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Subsidiary</w:t>
            </w:r>
          </w:p>
        </w:tc>
        <w:tc>
          <w:tcPr>
            <w:tcW w:w="16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020" w:type="dxa"/>
            <w:vAlign w:val="bottom"/>
          </w:tcPr>
          <w:p>
            <w:pPr>
              <w:ind w:left="10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29"/>
        </w:trPr>
        <w:tc>
          <w:tcPr>
            <w:tcW w:w="2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At our option, either LIBOR plus 187.5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basis points or the prime rate plus 87.5</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 Line of Credit</w:t>
            </w: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06/22/2022</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basis points</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CAC Warehouse Funding Corp.</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Warehouse Facility II (1)</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07/12/2022</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LIBOR plus 175 basis points (3)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IV (1)</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IV</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07/26/2022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LIBOR plus 200 basis points (3)</w:t>
            </w:r>
          </w:p>
        </w:tc>
        <w:tc>
          <w:tcPr>
            <w:tcW w:w="0" w:type="dxa"/>
            <w:vAlign w:val="bottom"/>
          </w:tcPr>
          <w:p>
            <w:pPr>
              <w:spacing w:after="0"/>
              <w:rPr>
                <w:sz w:val="1"/>
                <w:szCs w:val="1"/>
                <w:color w:val="auto"/>
              </w:rPr>
            </w:pP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Warehouse Facility V (1)</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CAC Warehouse Funding LLC V</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08/17/2021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LIBOR plus 190 basis points (3)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 (1)</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09/30/2022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8"/>
              </w:rPr>
              <w:t>Commercial paper rate plus 200 basis</w:t>
            </w: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Warehouse Facility VII (1)</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rPr>
              <w:t>VII</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12/16/2021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points (3)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CAC Warehouse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VIII (1)</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VIII</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07/26/2022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LIBOR plus 190 basis points (3)</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Term ABS 2017-1 (1)</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2017-1</w:t>
            </w:r>
          </w:p>
        </w:tc>
        <w:tc>
          <w:tcPr>
            <w:tcW w:w="1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02/15/2019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2017-2 (1)</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2017-2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06/17/2019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Term ABS 2017-3 (1)</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2017-3</w:t>
            </w:r>
          </w:p>
        </w:tc>
        <w:tc>
          <w:tcPr>
            <w:tcW w:w="1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10/15/2019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2018-1 (1)</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2018-1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02/17/2020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Term ABS 2018-2 (1)</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2018-2</w:t>
            </w:r>
          </w:p>
        </w:tc>
        <w:tc>
          <w:tcPr>
            <w:tcW w:w="1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05/15/2020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2018-3 (1)</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2018-3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08/17/2020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Term ABS 2019-1 (1)</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2019-1</w:t>
            </w:r>
          </w:p>
        </w:tc>
        <w:tc>
          <w:tcPr>
            <w:tcW w:w="1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02/15/2021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2019-2 (1)</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2019-2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08/15/2022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Term ABS 2019-3 (1)</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2019-3</w:t>
            </w:r>
          </w:p>
        </w:tc>
        <w:tc>
          <w:tcPr>
            <w:tcW w:w="1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11/15/2021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Credit Acceptance Funding LLC</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2020-1 (1)</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2020-1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02/15/2022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2024 Senior Notes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12/31/2024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2026 Senior Notes</w:t>
            </w: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03/15/2026</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Mortgage Note (1)</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Chapter 4 Properties, LLC</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08/06/2023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LIBOR plus 150 basis points</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00" w:hanging="317"/>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spacing w:after="0" w:line="13" w:lineRule="exact"/>
        <w:rPr>
          <w:rFonts w:ascii="Arial" w:cs="Arial" w:eastAsia="Arial" w:hAnsi="Arial"/>
          <w:sz w:val="14"/>
          <w:szCs w:val="14"/>
          <w:color w:val="auto"/>
        </w:rPr>
      </w:pPr>
    </w:p>
    <w:p>
      <w:pPr>
        <w:ind w:left="500" w:hanging="317"/>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based on the cash flows of the pledged assets.</w:t>
      </w:r>
    </w:p>
    <w:p>
      <w:pPr>
        <w:spacing w:after="0" w:line="1" w:lineRule="exact"/>
        <w:rPr>
          <w:rFonts w:ascii="Arial" w:cs="Arial" w:eastAsia="Arial" w:hAnsi="Arial"/>
          <w:sz w:val="14"/>
          <w:szCs w:val="14"/>
          <w:color w:val="auto"/>
        </w:rPr>
      </w:pPr>
    </w:p>
    <w:p>
      <w:pPr>
        <w:ind w:left="500" w:hanging="317"/>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spacing w:after="0" w:line="1" w:lineRule="exact"/>
        <w:rPr>
          <w:rFonts w:ascii="Arial" w:cs="Arial" w:eastAsia="Arial" w:hAnsi="Arial"/>
          <w:sz w:val="14"/>
          <w:szCs w:val="14"/>
          <w:color w:val="auto"/>
        </w:rPr>
      </w:pPr>
    </w:p>
    <w:p>
      <w:pPr>
        <w:ind w:left="500" w:hanging="317"/>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August 17, 2023 will be due on that date.</w:t>
      </w:r>
    </w:p>
    <w:p>
      <w:pPr>
        <w:spacing w:after="0" w:line="12" w:lineRule="exact"/>
        <w:rPr>
          <w:rFonts w:ascii="Arial" w:cs="Arial" w:eastAsia="Arial" w:hAnsi="Arial"/>
          <w:sz w:val="13"/>
          <w:szCs w:val="13"/>
          <w:color w:val="auto"/>
        </w:rPr>
      </w:pPr>
    </w:p>
    <w:p>
      <w:pPr>
        <w:ind w:left="500" w:hanging="317"/>
        <w:spacing w:after="0" w:line="241"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and any amounts remaining on December 16, 2023 will be due on that date.</w:t>
      </w:r>
    </w:p>
    <w:p>
      <w:pPr>
        <w:ind w:left="500" w:right="20" w:hanging="317"/>
        <w:spacing w:after="0" w:line="255"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revolving maturity date. The Company has the option to redeem and retire the indebtedness after the revolving maturity date. If we do not elect this option, the outstanding balance will amortize based on the cash flows of the pledged assets.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For the Three Months Ended</w:t>
            </w:r>
          </w:p>
        </w:tc>
      </w:tr>
      <w:tr>
        <w:trPr>
          <w:trHeight w:val="205"/>
        </w:trPr>
        <w:tc>
          <w:tcPr>
            <w:tcW w:w="44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263"/>
        </w:trPr>
        <w:tc>
          <w:tcPr>
            <w:tcW w:w="44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9"/>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3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4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w:t>
            </w: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88.4</w:t>
            </w: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201.0</w:t>
            </w: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w:t>
            </w: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VIII</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837"/>
        </w:trPr>
        <w:tc>
          <w:tcPr>
            <w:tcW w:w="4420" w:type="dxa"/>
            <w:vAlign w:val="bottom"/>
          </w:tcPr>
          <w:p>
            <w:pPr>
              <w:spacing w:after="0"/>
              <w:rPr>
                <w:sz w:val="24"/>
                <w:szCs w:val="24"/>
                <w:color w:val="auto"/>
              </w:rPr>
            </w:pPr>
          </w:p>
        </w:tc>
        <w:tc>
          <w:tcPr>
            <w:tcW w:w="3800" w:type="dxa"/>
            <w:vAlign w:val="bottom"/>
          </w:tcPr>
          <w:p>
            <w:pPr>
              <w:jc w:val="right"/>
              <w:ind w:right="241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40" w:type="dxa"/>
            <w:vAlign w:val="bottom"/>
            <w:tcBorders>
              <w:bottom w:val="single" w:sz="8" w:color="auto"/>
            </w:tcBorders>
          </w:tcPr>
          <w:p>
            <w:pPr>
              <w:spacing w:after="0"/>
              <w:rPr>
                <w:sz w:val="17"/>
                <w:szCs w:val="17"/>
                <w:color w:val="auto"/>
              </w:rPr>
            </w:pPr>
          </w:p>
        </w:tc>
      </w:tr>
      <w:tr>
        <w:trPr>
          <w:trHeight w:val="263"/>
        </w:trPr>
        <w:tc>
          <w:tcPr>
            <w:tcW w:w="7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22"/>
                <w:szCs w:val="22"/>
                <w:color w:val="auto"/>
              </w:rPr>
            </w:pPr>
          </w:p>
        </w:tc>
        <w:tc>
          <w:tcPr>
            <w:tcW w:w="1540" w:type="dxa"/>
            <w:vAlign w:val="bottom"/>
          </w:tcPr>
          <w:p>
            <w:pPr>
              <w:jc w:val="right"/>
              <w:ind w:right="210"/>
              <w:spacing w:after="0"/>
              <w:rPr>
                <w:sz w:val="20"/>
                <w:szCs w:val="20"/>
                <w:color w:val="auto"/>
              </w:rPr>
            </w:pPr>
            <w:r>
              <w:rPr>
                <w:rFonts w:ascii="Arial" w:cs="Arial" w:eastAsia="Arial" w:hAnsi="Arial"/>
                <w:sz w:val="14"/>
                <w:szCs w:val="14"/>
                <w:b w:val="1"/>
                <w:bCs w:val="1"/>
                <w:color w:val="auto"/>
                <w:w w:val="96"/>
              </w:rPr>
              <w:t>December 31, 2019</w:t>
            </w:r>
          </w:p>
        </w:tc>
      </w:tr>
      <w:tr>
        <w:trPr>
          <w:trHeight w:val="230"/>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340.0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400.0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300.0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75.0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150.0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VIII</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Amount available for borrowing (1)</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200.0</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Pr>
          <w:p>
            <w:pPr>
              <w:spacing w:after="0"/>
              <w:rPr>
                <w:sz w:val="21"/>
                <w:szCs w:val="21"/>
                <w:color w:val="auto"/>
              </w:rPr>
            </w:pPr>
          </w:p>
        </w:tc>
        <w:tc>
          <w:tcPr>
            <w:tcW w:w="150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Term ABS 2016-3</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51.8</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6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219.5</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60" w:type="dxa"/>
            <w:vAlign w:val="bottom"/>
          </w:tcPr>
          <w:p>
            <w:pPr>
              <w:spacing w:after="0"/>
              <w:rPr>
                <w:sz w:val="21"/>
                <w:szCs w:val="21"/>
                <w:color w:val="auto"/>
              </w:rPr>
            </w:pP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 ABS 2017-1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120.9</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248.5</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292.8</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27.4</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26.1</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Term ABS 2017-2</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202.9</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277.2</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357.3</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426.7</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2017-3</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238.6</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303.2</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332.6</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393.0</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31.6</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29.3</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Term ABS 2018-1</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463.6</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500.0</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570.0</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609.5</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43.8</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2018-2</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450.0</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450.0</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528.7</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550.4</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43.4</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37.6</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Term ABS 2018-3</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398.3</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398.3</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469.8</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487.7</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37.8</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2019-1</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402.5</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402.5</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473.0</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490.2</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36.7</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31.9</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Term ABS 2019-2</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500.0</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500.0</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642.0</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628.5</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45.2</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38.6</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2019-3</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351.7</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351.7</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515.4</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428.6</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36.4</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27.2</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60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 ABS 2020-1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500.0</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836.9</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49.5</w:t>
            </w:r>
          </w:p>
        </w:tc>
        <w:tc>
          <w:tcPr>
            <w:tcW w:w="7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2021 Senior Notes</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151.8</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2023 Senior Notes</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250.0</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2024 Senior Notes</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400.0</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5.125%</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5.125%</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2026 Senior Notes</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400.0</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400.0</w:t>
            </w: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Mortgage Note</w:t>
            </w: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w:t>
            </w: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r>
    </w:tbl>
    <w:p>
      <w:pPr>
        <w:spacing w:after="0" w:line="170"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Availability may be limited by the amount of assets pledged as collateral.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$340.0 million revolving secured line of credit facility with a commercial bank syndicate. Borrowings under the revolving secured line of credit facility, including any letters of credit issued under the facility, are subject to a borrowing-base limitation. This limitation equals 80% of the value of Loans, as defined in the agreement,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six Warehouse facilities with total borrowing capacity of $1,225.0 million. Each of the facilities is with a different lender or group of lenders. Under each Warehouse facility, we can contribute Loans to our wholly-owned subsidiaries in return for cash and equity in each subsidiary. In turn, each subsidiary pledges the Loans as collateral to lenders to secure financing that will fund the cash portion of the purchase price of the Loans. The financing provided to each subsidiary under the applicable facility is generally limited to the lesser of 80% of the value of the contributed Loans, as defined in the agreements, plus the restricted cash and cash equivalents pledged as collateral on such Loans or the facility limit.</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subsidiaries pay us a monthly servicing fee equal to 6% of the collections received with respect to the contributed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that of Term</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ABS 2019-2, contributed the Loans to a respective trust that issued notes to qualified institutional investors. The Funding LLC for the Term ABS 2019-2 transaction pledged the Loans to a lender. The Term ABS 2017-1, 2017-2, 2017-3, 2018-1, 2018-2, 2018-3, 2019-1, 2019-3 and 2020-1 transactions each consist of three classes of notes.</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financing at the time of issuance has a specified revolving period during which we are likely to contribute additional Loans to each Funding LLC. Each Funding LLC will then contribute the Loans to its respective trust. At the end of the applicable revolving period, the debt outstanding under each financing will begin to amortize.</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financings create indebtedness for which the trusts or Funding LLCs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 ABS Financings</w:t>
            </w:r>
          </w:p>
        </w:tc>
        <w:tc>
          <w:tcPr>
            <w:tcW w:w="120" w:type="dxa"/>
            <w:vAlign w:val="bottom"/>
            <w:vMerge w:val="restart"/>
          </w:tcPr>
          <w:p>
            <w:pPr>
              <w:spacing w:after="0"/>
              <w:rPr>
                <w:sz w:val="14"/>
                <w:szCs w:val="14"/>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Book Value of Loans</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Revolving Period</w:t>
            </w:r>
          </w:p>
        </w:tc>
        <w:tc>
          <w:tcPr>
            <w:tcW w:w="0" w:type="dxa"/>
            <w:vAlign w:val="bottom"/>
          </w:tcPr>
          <w:p>
            <w:pPr>
              <w:spacing w:after="0"/>
              <w:rPr>
                <w:sz w:val="1"/>
                <w:szCs w:val="1"/>
                <w:color w:val="auto"/>
              </w:rPr>
            </w:pPr>
          </w:p>
        </w:tc>
      </w:tr>
      <w:tr>
        <w:trPr>
          <w:trHeight w:val="205"/>
        </w:trPr>
        <w:tc>
          <w:tcPr>
            <w:tcW w:w="2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Contributed at Closing</w:t>
            </w:r>
          </w:p>
        </w:tc>
        <w:tc>
          <w:tcPr>
            <w:tcW w:w="100" w:type="dxa"/>
            <w:vAlign w:val="bottom"/>
            <w:tcBorders>
              <w:bottom w:val="single" w:sz="8" w:color="CCEEFF"/>
            </w:tcBorders>
          </w:tcPr>
          <w:p>
            <w:pPr>
              <w:spacing w:after="0"/>
              <w:rPr>
                <w:sz w:val="17"/>
                <w:szCs w:val="17"/>
                <w:color w:val="auto"/>
              </w:rPr>
            </w:pPr>
          </w:p>
        </w:tc>
        <w:tc>
          <w:tcPr>
            <w:tcW w:w="4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2017-1</w:t>
            </w:r>
          </w:p>
        </w:tc>
        <w:tc>
          <w:tcPr>
            <w:tcW w:w="2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23,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February 15, 2019</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Term ABS 2017-2</w:t>
            </w: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2017</w:t>
            </w:r>
          </w:p>
        </w:tc>
        <w:tc>
          <w:tcPr>
            <w:tcW w:w="20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1"/>
                <w:szCs w:val="21"/>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Through June 17, 2019</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2017-3</w:t>
            </w:r>
          </w:p>
        </w:tc>
        <w:tc>
          <w:tcPr>
            <w:tcW w:w="2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26, 2017</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October 15, 2019</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Term ABS 2018-1</w:t>
            </w: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22, 2018</w:t>
            </w:r>
          </w:p>
        </w:tc>
        <w:tc>
          <w:tcPr>
            <w:tcW w:w="20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1"/>
                <w:szCs w:val="21"/>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Through February 17, 2020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2018-2</w:t>
            </w:r>
          </w:p>
        </w:tc>
        <w:tc>
          <w:tcPr>
            <w:tcW w:w="2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24, 2018</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Through May 15, 2020</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Term ABS 2018-3</w:t>
            </w: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23, 2018</w:t>
            </w:r>
          </w:p>
        </w:tc>
        <w:tc>
          <w:tcPr>
            <w:tcW w:w="20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Through August 17, 2020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2019-1</w:t>
            </w:r>
          </w:p>
        </w:tc>
        <w:tc>
          <w:tcPr>
            <w:tcW w:w="2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21, 2019</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February 15, 2021</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Term ABS 2019-2</w:t>
            </w: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28, 2019</w:t>
            </w:r>
          </w:p>
        </w:tc>
        <w:tc>
          <w:tcPr>
            <w:tcW w:w="20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1"/>
                <w:szCs w:val="21"/>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Through August 15, 2022</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2019-3</w:t>
            </w:r>
          </w:p>
        </w:tc>
        <w:tc>
          <w:tcPr>
            <w:tcW w:w="2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21, 2019</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November 15, 2021</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Term ABS 2020-1</w:t>
            </w:r>
          </w:p>
        </w:tc>
        <w:tc>
          <w:tcPr>
            <w:tcW w:w="24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2020</w:t>
            </w:r>
          </w:p>
        </w:tc>
        <w:tc>
          <w:tcPr>
            <w:tcW w:w="20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1"/>
                <w:szCs w:val="21"/>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Through February 15,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18, 2019, we issued $400.0 million aggregate principal amount of 5.125% senior notes due 2024 (the “2024 senior notes”). The 2024 senior notes were issued pursuant to an indenture, dated as of December 18, 2019, among the Company, as issuer, the Company’s subsidiaries Buyers Vehicle Protection Plan, Inc. and Vehicle Remarketing Services, Inc., as guarantors (collectively, the “Guarantors”), and U.S. Bank National Association, as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2024 senior notes mature on December 31, 2024 and bear interest at a rate of 5.125% per annum, computed on the basis of a 360-day year composed of twelve 30-day months and payable semi-annually on June 30 and December 31 of each year, beginning on June 30, 2020.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used the remaining net proceeds from the 2024 senior notes, together with borrowings under our revolving credit facility, to redeem in full the $250.0 million outstanding principal amount of our 7.375% senior notes due 2023 (the “2023 senior notes”) on March 15, 2020. During the fourth quarter of 2019, we recognized a pre-tax loss on extinguishment of debt of $1.8 million related to the repurchase of the 2021 senior notes in the fourth quarter of 2019 and the irrevocable notice given in December 2019 for the redemption of the remaining 2021 senior notes in the first quarter of 2020. During the first quarter of 2020, we recognized a pre-tax loss on extinguishment of debt of $7.4 million related to the redemption of the 2023 senior notes.</w:t>
      </w:r>
    </w:p>
    <w:p>
      <w:pPr>
        <w:spacing w:after="0" w:line="19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March 7, 2019, we issued $400.0 million aggregate principal amount of 6.625% senior notes due 2026 (the “2026 senior notes”). The 2026 senior notes were issued pursuant to an indenture, dated as of March 7, 2019, among the Company, as issuer, the Guarantors and U.S. Bank National Association, as trustee.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2026 senior notes mature on March 15, 2026 and bear interest at a rate of 6.625% per annum, computed on the basis of a 360-day year composed of twelve 30-day months and payable semi-annually on March 15 and September 15 of each year, beginning on September 15, 2019. We used the net proceeds from the offering of the 2026 senior notes for general corporate purposes, including repayment of outstanding borrowings under our revolving secured line of credit facility.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2024 senior notes and 2026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6, 2018, we entered into a $12.0 million mortgage note with a commercial bank that is secured by a first mortgage lien on a building acquired by us and an assignment of all leases, rents, revenues and profits under all present and future leases of the building. The note matures on August 6, 2023, and bears interest at LIBOR plus 150 basis points.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March 31, 2020, we were in compliance with our covenants under the revolving secured line of credit facility and our Warehouse facilities,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These covenants also limit the maximum ratio of our funded debt less unrestricted cash and cash equivalents to tangible net worth. Additionally, we must maintain consolidated net income of not less than $1 for the two most recently ended fiscal quarters. Some of these covenants may indirectly limit the repurchase of common stock or payment of dividends on common stock. Our Warehouse facilities also contain covenants that measure the performance of the contributed assets.</w:t>
      </w:r>
    </w:p>
    <w:p>
      <w:pPr>
        <w:spacing w:after="0" w:line="16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Term ABS financings also contain covenants that measure the performance of the contributed assets. As of March 31, 2020, we were in compliance with all such covenants. As of the end of the quarter, we were also in compliance with our covenants under the senior notes indentures.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AND HEDGING INSTRUMENTS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our interest rate cap agreements that were in effect as of March 31, 2020 and December 31, 2019:</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Facility Amount</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vMerge w:val="restart"/>
          </w:tcPr>
          <w:p>
            <w:pPr>
              <w:jc w:val="center"/>
              <w:ind w:right="381"/>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Start</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End</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Cap Interest Rate</w:t>
            </w: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8"/>
                <w:szCs w:val="18"/>
                <w:color w:val="auto"/>
                <w:w w:val="92"/>
                <w:shd w:val="clear" w:color="auto" w:fill="CCEEFF"/>
              </w:rPr>
              <w:t>Warehouse Facility II</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right="381"/>
              <w:spacing w:after="0"/>
              <w:rPr>
                <w:sz w:val="20"/>
                <w:szCs w:val="20"/>
                <w:color w:val="auto"/>
              </w:rPr>
            </w:pPr>
            <w:r>
              <w:rPr>
                <w:rFonts w:ascii="Arial" w:cs="Arial" w:eastAsia="Arial" w:hAnsi="Arial"/>
                <w:sz w:val="18"/>
                <w:szCs w:val="18"/>
                <w:color w:val="auto"/>
                <w:w w:val="89"/>
                <w:shd w:val="clear" w:color="auto" w:fill="CCEEFF"/>
              </w:rPr>
              <w:t>Cap Floating Rate</w:t>
            </w:r>
          </w:p>
        </w:tc>
        <w:tc>
          <w:tcPr>
            <w:tcW w:w="380" w:type="dxa"/>
            <w:vAlign w:val="bottom"/>
            <w:tcBorders>
              <w:bottom w:val="single" w:sz="8" w:color="CCEEFF"/>
            </w:tcBorders>
            <w:gridSpan w:val="2"/>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12/2017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86"/>
                <w:shd w:val="clear" w:color="auto" w:fill="CCEEFF"/>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shd w:val="clear" w:color="auto" w:fill="CCEEFF"/>
              </w:rPr>
              <w:t>Warehouse Facility IV</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right="381"/>
              <w:spacing w:after="0"/>
              <w:rPr>
                <w:sz w:val="20"/>
                <w:szCs w:val="20"/>
                <w:color w:val="auto"/>
              </w:rPr>
            </w:pPr>
            <w:r>
              <w:rPr>
                <w:rFonts w:ascii="Arial" w:cs="Arial" w:eastAsia="Arial" w:hAnsi="Arial"/>
                <w:sz w:val="18"/>
                <w:szCs w:val="18"/>
                <w:color w:val="auto"/>
                <w:w w:val="89"/>
                <w:shd w:val="clear" w:color="auto" w:fill="CCEEFF"/>
              </w:rPr>
              <w:t>Cap Floating Rate</w:t>
            </w:r>
          </w:p>
        </w:tc>
        <w:tc>
          <w:tcPr>
            <w:tcW w:w="380" w:type="dxa"/>
            <w:vAlign w:val="bottom"/>
            <w:tcBorders>
              <w:bottom w:val="single" w:sz="8" w:color="CCEEFF"/>
            </w:tcBorders>
            <w:gridSpan w:val="2"/>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05/2017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04/2021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05/2018</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89"/>
              </w:rPr>
              <w:t>Cap Floating Rate</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07/2019</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07/2023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6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Warehouse Facility V</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08/2018</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Warehouse Facility VII</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12/2017</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11/2021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89"/>
              </w:rPr>
              <w:t>Cap Floating Rate</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01/2020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12/2023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Warehouse Facility VIII</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08/2019</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636"/>
        </w:trPr>
        <w:tc>
          <w:tcPr>
            <w:tcW w:w="1340" w:type="dxa"/>
            <w:vAlign w:val="bottom"/>
            <w:gridSpan w:val="3"/>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0"/>
              </w:rPr>
              <w:t>As of December 31, 2019</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2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Facility Amount</w:t>
            </w:r>
          </w:p>
        </w:tc>
        <w:tc>
          <w:tcPr>
            <w:tcW w:w="12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vMerge w:val="restart"/>
          </w:tcPr>
          <w:p>
            <w:pPr>
              <w:jc w:val="center"/>
              <w:ind w:right="319"/>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vMerge w:val="restart"/>
          </w:tcPr>
          <w:p>
            <w:pPr>
              <w:jc w:val="center"/>
              <w:ind w:right="501"/>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Start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End</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Cap Interest Rate</w:t>
            </w: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1"/>
              </w:rPr>
              <w:t>Warehouse Facility II</w:t>
            </w:r>
          </w:p>
        </w:tc>
        <w:tc>
          <w:tcPr>
            <w:tcW w:w="2620" w:type="dxa"/>
            <w:vAlign w:val="bottom"/>
            <w:tcBorders>
              <w:bottom w:val="single" w:sz="8" w:color="CCEEFF"/>
            </w:tcBorders>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12/2017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86"/>
                <w:shd w:val="clear" w:color="auto" w:fill="CCEEFF"/>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2"/>
              </w:rPr>
              <w:t>Warehouse Facility IV</w:t>
            </w:r>
          </w:p>
        </w:tc>
        <w:tc>
          <w:tcPr>
            <w:tcW w:w="2620" w:type="dxa"/>
            <w:vAlign w:val="bottom"/>
            <w:tcBorders>
              <w:bottom w:val="single" w:sz="8" w:color="CCEEFF"/>
            </w:tcBorders>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05/2017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w w:val="86"/>
                <w:shd w:val="clear" w:color="auto" w:fill="CCEEFF"/>
              </w:rPr>
              <w:t>04/2021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05/2018</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07/2019</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07/2023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80" w:type="dxa"/>
            <w:vAlign w:val="bottom"/>
            <w:gridSpan w:val="2"/>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Warehouse Facility V</w:t>
            </w:r>
          </w:p>
        </w:tc>
        <w:tc>
          <w:tcPr>
            <w:tcW w:w="262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08/2018</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4"/>
              </w:rPr>
              <w:t>Warehouse Facility VII</w:t>
            </w:r>
          </w:p>
        </w:tc>
        <w:tc>
          <w:tcPr>
            <w:tcW w:w="2620" w:type="dxa"/>
            <w:vAlign w:val="bottom"/>
            <w:tcBorders>
              <w:bottom w:val="single" w:sz="8" w:color="CCEEFF"/>
            </w:tcBorders>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12/2017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11/2021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8"/>
                <w:szCs w:val="18"/>
                <w:color w:val="auto"/>
                <w:w w:val="93"/>
              </w:rPr>
              <w:t>Warehouse Facility VIII</w:t>
            </w:r>
          </w:p>
        </w:tc>
        <w:tc>
          <w:tcPr>
            <w:tcW w:w="262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Cap Floating Rate</w:t>
            </w:r>
          </w:p>
        </w:tc>
        <w:tc>
          <w:tcPr>
            <w:tcW w:w="860" w:type="dxa"/>
            <w:vAlign w:val="bottom"/>
          </w:tcPr>
          <w:p>
            <w:pPr>
              <w:spacing w:after="0"/>
              <w:rPr>
                <w:sz w:val="20"/>
                <w:szCs w:val="20"/>
                <w:color w:val="auto"/>
              </w:rPr>
            </w:pPr>
            <w:r>
              <w:rPr>
                <w:rFonts w:ascii="Arial" w:cs="Arial" w:eastAsia="Arial" w:hAnsi="Arial"/>
                <w:sz w:val="18"/>
                <w:szCs w:val="18"/>
                <w:color w:val="auto"/>
              </w:rPr>
              <w:t>08/2019</w:t>
            </w:r>
          </w:p>
        </w:tc>
        <w:tc>
          <w:tcPr>
            <w:tcW w:w="100" w:type="dxa"/>
            <w:vAlign w:val="bottom"/>
          </w:tcPr>
          <w:p>
            <w:pPr>
              <w:spacing w:after="0"/>
              <w:rPr>
                <w:sz w:val="21"/>
                <w:szCs w:val="21"/>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80" w:hanging="329"/>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Rate excludes the spread over the LIBOR or commercial paper rate.</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interest rate caps have not been designated as hedging instruments. As of March 31, 2020 and December 31, 2019, the interest rate caps had a fair value of $0.0 million and $0.1 million, respectively, as the capped rates were significantly above market rates.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63"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3"/>
        </w:trPr>
        <w:tc>
          <w:tcPr>
            <w:tcW w:w="8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9120" w:type="dxa"/>
            <w:vAlign w:val="bottom"/>
            <w:gridSpan w:val="2"/>
          </w:tcPr>
          <w:p>
            <w:pPr>
              <w:ind w:left="280"/>
              <w:spacing w:after="0"/>
              <w:rPr>
                <w:sz w:val="20"/>
                <w:szCs w:val="20"/>
                <w:color w:val="auto"/>
              </w:rPr>
            </w:pPr>
            <w:r>
              <w:rPr>
                <w:rFonts w:ascii="Arial" w:cs="Arial" w:eastAsia="Arial" w:hAnsi="Arial"/>
                <w:sz w:val="18"/>
                <w:szCs w:val="18"/>
                <w:color w:val="auto"/>
              </w:rPr>
              <w:t>State income taxes</w:t>
            </w:r>
          </w:p>
        </w:tc>
        <w:tc>
          <w:tcPr>
            <w:tcW w:w="5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8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 plans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8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-0.9 %</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57"/>
        </w:trPr>
        <w:tc>
          <w:tcPr>
            <w:tcW w:w="9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25.7 %</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Excess tax benefits from stock-based compensation plans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first quarter of each year, we receive a tax benefit upon the vesting of restricted stock and the conversion of restricted stock units to common stock based on the fair value of the shares. The amount by which this tax benefit exceeds the grant-date fair value that was recognized as stock-based compensation expense is referred to as an excess tax benefit. Excess tax benefits are recognized in provision (benefit) for income taxes and reduce (increase) our effective income tax rate. The impact of excess tax benefits on the effective income tax rate decreased in magnitude from 2019 to 2020 primarily due to a decrease in the number of restricted stock units that were converted to common stock due to the timing of long-term stock award grants.</w:t>
      </w:r>
    </w:p>
    <w:p>
      <w:pPr>
        <w:spacing w:after="0" w:line="157"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income (loss) per share has been computed by dividing net income (loss) by the basic number of weighted average shares outstanding. Diluted net income (loss) per share has been computed by dividing net income (loss) by the diluted number of weighted average shares outstanding using the treasury stock method. The share effect is as follows:</w:t>
      </w:r>
    </w:p>
    <w:p>
      <w:pPr>
        <w:spacing w:after="0" w:line="33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18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264"/>
        </w:trPr>
        <w:tc>
          <w:tcPr>
            <w:tcW w:w="8440" w:type="dxa"/>
            <w:vAlign w:val="bottom"/>
          </w:tcPr>
          <w:p>
            <w:pPr>
              <w:spacing w:after="0"/>
              <w:rPr>
                <w:sz w:val="22"/>
                <w:szCs w:val="22"/>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30"/>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shares</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17,883,535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18,669,719</w:t>
            </w:r>
          </w:p>
        </w:tc>
      </w:tr>
      <w:tr>
        <w:trPr>
          <w:trHeight w:val="283"/>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Vested restricted stock units</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301,930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285,472</w:t>
            </w: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number of weighted average shares outstanding</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18,185,465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18,955,191</w:t>
            </w:r>
          </w:p>
        </w:tc>
      </w:tr>
      <w:tr>
        <w:trPr>
          <w:trHeight w:val="283"/>
        </w:trPr>
        <w:tc>
          <w:tcPr>
            <w:tcW w:w="8440" w:type="dxa"/>
            <w:vAlign w:val="bottom"/>
          </w:tcPr>
          <w:p>
            <w:pPr>
              <w:ind w:left="280"/>
              <w:spacing w:after="0"/>
              <w:rPr>
                <w:sz w:val="20"/>
                <w:szCs w:val="20"/>
                <w:color w:val="auto"/>
              </w:rPr>
            </w:pPr>
            <w:r>
              <w:rPr>
                <w:rFonts w:ascii="Arial" w:cs="Arial" w:eastAsia="Arial" w:hAnsi="Arial"/>
                <w:sz w:val="18"/>
                <w:szCs w:val="18"/>
                <w:color w:val="auto"/>
              </w:rPr>
              <w:t>Dilutive effect of restricted stock and restricted stock units</w:t>
            </w:r>
          </w:p>
        </w:tc>
        <w:tc>
          <w:tcPr>
            <w:tcW w:w="18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49,307</w:t>
            </w:r>
          </w:p>
        </w:tc>
      </w:tr>
      <w:tr>
        <w:trPr>
          <w:trHeight w:val="257"/>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number of weighted average shares outstanding</w:t>
            </w:r>
          </w:p>
        </w:tc>
        <w:tc>
          <w:tcPr>
            <w:tcW w:w="13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18,185,465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19,004,498</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2020 and 2019, there were 73,655 and 5,296 shares of restricted stock and restricted stock units that were not included in the computation of diluted net income (loss) per share because their inclusion would have been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stock repurchases for the three months ended March 31,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8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1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For the Three Months Ended March 31,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2020</w:t>
            </w: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9"/>
              </w:rPr>
              <w:t>2019</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0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tcPr>
          <w:p>
            <w:pPr>
              <w:spacing w:after="0"/>
              <w:rPr>
                <w:sz w:val="13"/>
                <w:szCs w:val="13"/>
                <w:color w:val="auto"/>
              </w:rPr>
            </w:pPr>
          </w:p>
        </w:tc>
        <w:tc>
          <w:tcPr>
            <w:tcW w:w="16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58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5"/>
        </w:trPr>
        <w:tc>
          <w:tcPr>
            <w:tcW w:w="40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Repurchased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Repurchased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 Market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710,157</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225,915</w:t>
            </w:r>
          </w:p>
        </w:tc>
        <w:tc>
          <w:tcPr>
            <w:tcW w:w="6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83"/>
        </w:trPr>
        <w:tc>
          <w:tcPr>
            <w:tcW w:w="41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4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725,220</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268,611</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1"/>
          <w:numId w:val="42"/>
        </w:numPr>
        <w:rPr>
          <w:rFonts w:ascii="Arial" w:cs="Arial" w:eastAsia="Arial" w:hAnsi="Arial"/>
          <w:sz w:val="14"/>
          <w:szCs w:val="14"/>
          <w:color w:val="auto"/>
        </w:rPr>
      </w:pPr>
      <w:r>
        <w:rPr>
          <w:rFonts w:ascii="Arial" w:cs="Arial" w:eastAsia="Arial" w:hAnsi="Arial"/>
          <w:sz w:val="14"/>
          <w:szCs w:val="14"/>
          <w:color w:val="auto"/>
        </w:rPr>
        <w:t>Represents repurchases under authorizations by the board of directors for the repurchase of shares by us from time to time in the open market or in privately negotiated transactions. On March 5, 2020, the board of directors authorized the repurchase of up to three million shares of our common stock in addition to the board’s prior authorizations. As of March 31, 2020, we had authorization to repurchase 3,059,556 shares of our common stock.</w:t>
      </w:r>
    </w:p>
    <w:p>
      <w:pPr>
        <w:ind w:left="500" w:hanging="330"/>
        <w:spacing w:after="0" w:line="255" w:lineRule="auto"/>
        <w:tabs>
          <w:tab w:leader="none" w:pos="500" w:val="left"/>
        </w:tabs>
        <w:numPr>
          <w:ilvl w:val="1"/>
          <w:numId w:val="42"/>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upon the vesting of restricted stock and restricted stock units and the conversion of restricted stock units to common stock.</w:t>
      </w:r>
    </w:p>
    <w:p>
      <w:pPr>
        <w:spacing w:after="0" w:line="186" w:lineRule="exact"/>
        <w:rPr>
          <w:rFonts w:ascii="Arial" w:cs="Arial" w:eastAsia="Arial" w:hAnsi="Arial"/>
          <w:sz w:val="14"/>
          <w:szCs w:val="14"/>
          <w:color w:val="auto"/>
        </w:rPr>
      </w:pPr>
    </w:p>
    <w:p>
      <w:pPr>
        <w:ind w:left="640" w:hanging="632"/>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rPr>
              <w:t>For the Three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83"/>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Restricted stock units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340"/>
              <w:spacing w:after="0"/>
              <w:rPr>
                <w:sz w:val="20"/>
                <w:szCs w:val="20"/>
                <w:color w:val="auto"/>
              </w:rPr>
            </w:pPr>
            <w:r>
              <w:rPr>
                <w:rFonts w:ascii="Arial" w:cs="Arial" w:eastAsia="Arial" w:hAnsi="Arial"/>
                <w:sz w:val="18"/>
                <w:szCs w:val="18"/>
                <w:color w:val="auto"/>
              </w:rPr>
              <w:t>A summary of the non-vested restricted stock activity is presented below:</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vMerge w:val="restart"/>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205"/>
        </w:trPr>
        <w:tc>
          <w:tcPr>
            <w:tcW w:w="7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Date Fair Value Per Share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137,503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Vested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182.61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318.41</w:t>
            </w:r>
          </w:p>
        </w:tc>
        <w:tc>
          <w:tcPr>
            <w:tcW w:w="0" w:type="dxa"/>
            <w:vAlign w:val="bottom"/>
          </w:tcPr>
          <w:p>
            <w:pPr>
              <w:spacing w:after="0"/>
              <w:rPr>
                <w:sz w:val="1"/>
                <w:szCs w:val="1"/>
                <w:color w:val="auto"/>
              </w:rPr>
            </w:pPr>
          </w:p>
        </w:tc>
      </w:tr>
      <w:tr>
        <w:trPr>
          <w:trHeight w:val="26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Non-vested as of March 31, 2020</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122,818</w:t>
            </w:r>
          </w:p>
        </w:tc>
        <w:tc>
          <w:tcPr>
            <w:tcW w:w="100" w:type="dxa"/>
            <w:vAlign w:val="bottom"/>
          </w:tcPr>
          <w:p>
            <w:pPr>
              <w:spacing w:after="0"/>
              <w:rPr>
                <w:sz w:val="22"/>
                <w:szCs w:val="22"/>
                <w:color w:val="auto"/>
              </w:rPr>
            </w:pPr>
          </w:p>
        </w:tc>
        <w:tc>
          <w:tcPr>
            <w:tcW w:w="1120" w:type="dxa"/>
            <w:vAlign w:val="bottom"/>
          </w:tcPr>
          <w:p>
            <w:pPr>
              <w:jc w:val="right"/>
              <w:ind w:right="918"/>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340"/>
              <w:spacing w:after="0"/>
              <w:rPr>
                <w:sz w:val="20"/>
                <w:szCs w:val="20"/>
                <w:color w:val="auto"/>
              </w:rPr>
            </w:pPr>
            <w:r>
              <w:rPr>
                <w:rFonts w:ascii="Arial" w:cs="Arial" w:eastAsia="Arial" w:hAnsi="Arial"/>
                <w:sz w:val="18"/>
                <w:szCs w:val="18"/>
                <w:color w:val="auto"/>
              </w:rPr>
              <w:t>A summary of the restricted stock unit activity is presented below:</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 Restricted</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205"/>
        </w:trPr>
        <w:tc>
          <w:tcPr>
            <w:tcW w:w="7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Date Fair Value Per Share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428,831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132.99</w:t>
            </w:r>
          </w:p>
        </w:tc>
        <w:tc>
          <w:tcPr>
            <w:tcW w:w="0" w:type="dxa"/>
            <w:vAlign w:val="bottom"/>
          </w:tcPr>
          <w:p>
            <w:pPr>
              <w:spacing w:after="0"/>
              <w:rPr>
                <w:sz w:val="1"/>
                <w:szCs w:val="1"/>
                <w:color w:val="auto"/>
              </w:rPr>
            </w:pP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461.53</w:t>
            </w:r>
          </w:p>
        </w:tc>
        <w:tc>
          <w:tcPr>
            <w:tcW w:w="0" w:type="dxa"/>
            <w:vAlign w:val="bottom"/>
          </w:tcPr>
          <w:p>
            <w:pPr>
              <w:spacing w:after="0"/>
              <w:rPr>
                <w:sz w:val="1"/>
                <w:szCs w:val="1"/>
                <w:color w:val="auto"/>
              </w:rPr>
            </w:pPr>
          </w:p>
        </w:tc>
      </w:tr>
      <w:tr>
        <w:trPr>
          <w:trHeight w:val="27"/>
        </w:trPr>
        <w:tc>
          <w:tcPr>
            <w:tcW w:w="7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Converted</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6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Outstanding as of March 31, 2020</w:t>
            </w: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407,360</w:t>
            </w:r>
          </w:p>
        </w:tc>
        <w:tc>
          <w:tcPr>
            <w:tcW w:w="100" w:type="dxa"/>
            <w:vAlign w:val="bottom"/>
          </w:tcPr>
          <w:p>
            <w:pPr>
              <w:spacing w:after="0"/>
              <w:rPr>
                <w:sz w:val="22"/>
                <w:szCs w:val="22"/>
                <w:color w:val="auto"/>
              </w:rPr>
            </w:pPr>
          </w:p>
        </w:tc>
        <w:tc>
          <w:tcPr>
            <w:tcW w:w="1120" w:type="dxa"/>
            <w:vAlign w:val="bottom"/>
          </w:tcPr>
          <w:p>
            <w:pPr>
              <w:jc w:val="right"/>
              <w:ind w:right="918"/>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134.85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right="7200" w:firstLine="8"/>
        <w:spacing w:after="0" w:line="503" w:lineRule="auto"/>
        <w:tabs>
          <w:tab w:leader="none" w:pos="58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and Other Legal Matters</w:t>
      </w:r>
    </w:p>
    <w:p>
      <w:pPr>
        <w:jc w:val="both"/>
        <w:ind w:firstLine="324"/>
        <w:spacing w:after="0" w:line="287"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The following matters include current actions to which we are a party and updates to matters that were disclosed in our Annual Report on Form 10-K for the year ended December 31, 2019.</w:t>
      </w:r>
    </w:p>
    <w:p>
      <w:pPr>
        <w:spacing w:after="0" w:line="16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May 7, 2019, we received a subpoena from the Office of the New York State Attorney General, relating to the Company’s origination and collection policies and procedures in the state of New York.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and that the Bureau would be issuing another, similar civil investigative demand.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14, 2017, we received a subpoena from the Attorney General of the State of Mississippi, relating to the origination and collection of non-prime auto loans in the state of Mississippi. The Company cooperated with the inquiry. On April 23, 2019, the Attorney General of the State of Mississippi, on behalf of the State of Mississippi, filed a complaint in the Chancery Court of the First Judicial District of Hinds County, Mississippi, alleging that the Company engaged in unfair and deceptive trade practices in subprime auto lending, loan servicing, vehicle repossession and debt collection in the State of Mississippi in violation of the Mississippi Consumer Protection Act. The complaint seeks injunctive relief, including civil penalties and disgorgement, and payment of the State’s attorney’s fees and costs. We cannot predict the duration or outcome of this lawsuit at this time. As a result, we are unable to estimate the reasonably possible loss or range of reasonably possible loss arising from this lawsuit. The Company intends to vigorously defend itself in this matter.</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We are cooperating with these inquiries and cannot predict the eventual scope, duration or outcome at this time. As a result, we are unable to estimate the reasonably possible loss or range of reasonably possible loss arising from these investigations.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seeking updated information on its original civil investigation demand, additional information related to the Company's origination and collection of Consumer Loans, and information regarding securitization activities. In connection with this inquiry, we were informed by representatives of the Office of the Attorney General that it believes that the Company may have engaged in unfair and deceptive acts or practices related to the origination and collection of auto loans, which may have caused some of the Company’s representations and warranties contained in securitization documents to be inaccurate. The investigation relating to the origination, collection and securitization of non-prime auto loans and securities transactions by the Office of the Attorney General remains ongoing.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adverse ultimate disposition in any action to which we are a party or otherwise subject could have a material adverse impact on our financial position, liquidity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and analysis should be read in conjunction with the consolidated financial statements and related notes included in Item 8 -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Supplementary Data, of our 2019 Annual Report on Form 10-K, as well as Part I - Item 1 - Financial Statements, of this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2020, consolidated net loss was $83.8 million, or $4.61 per diluted share, compared to consolidated net income of $164.4 million, or $8.65 per diluted share, for the same period in 2019.</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2020, COVID-19 began to spread rapidly across the United States. In an effort to slow the spread of the virus, authorities implemented various measures, including travel bans, stay-at-home orders and shutdowns of non-essential businesses. These measures have caused a significant decline in economic activity and a dramatic increase in the number of individuals who are no longer employed. As detailed below, starting in mid-March, we experienced a substantial reduction in demand for our product and a significant decline in cash flows from our Loan portfolio </w:t>
      </w:r>
      <w:r>
        <w:rPr>
          <w:rFonts w:ascii="Arial" w:cs="Arial" w:eastAsia="Arial" w:hAnsi="Arial"/>
          <w:sz w:val="18"/>
          <w:szCs w:val="18"/>
          <w:color w:val="212529"/>
        </w:rPr>
        <w:t>that lasted through mid-April,</w:t>
      </w:r>
      <w:r>
        <w:rPr>
          <w:rFonts w:ascii="Arial" w:cs="Arial" w:eastAsia="Arial" w:hAnsi="Arial"/>
          <w:sz w:val="18"/>
          <w:szCs w:val="18"/>
          <w:color w:val="auto"/>
        </w:rPr>
        <w:t xml:space="preserve"> </w:t>
      </w:r>
      <w:r>
        <w:rPr>
          <w:rFonts w:ascii="Arial" w:cs="Arial" w:eastAsia="Arial" w:hAnsi="Arial"/>
          <w:sz w:val="18"/>
          <w:szCs w:val="18"/>
          <w:color w:val="212529"/>
        </w:rPr>
        <w:t>after which collections and new loan volumes improved significantly</w:t>
      </w:r>
      <w:r>
        <w:rPr>
          <w:rFonts w:ascii="Arial" w:cs="Arial" w:eastAsia="Arial" w:hAnsi="Arial"/>
          <w:sz w:val="18"/>
          <w:szCs w:val="18"/>
          <w:color w:val="000000"/>
        </w:rPr>
        <w:t>. As the virus is not yet contained, the ultimate impact of the pandemic on our</w:t>
      </w:r>
      <w:r>
        <w:rPr>
          <w:rFonts w:ascii="Arial" w:cs="Arial" w:eastAsia="Arial" w:hAnsi="Arial"/>
          <w:sz w:val="18"/>
          <w:szCs w:val="18"/>
          <w:color w:val="212529"/>
        </w:rPr>
        <w:t xml:space="preserve"> </w:t>
      </w:r>
      <w:r>
        <w:rPr>
          <w:rFonts w:ascii="Arial" w:cs="Arial" w:eastAsia="Arial" w:hAnsi="Arial"/>
          <w:sz w:val="18"/>
          <w:szCs w:val="18"/>
          <w:color w:val="000000"/>
        </w:rPr>
        <w:t>business is not yet known. The impact will depend on future developments, including, but not limited to, the duration and spread of the pandemic, its severity, the actions to contain the disease or mitigate its impact, and the duration, timing and severity of the impact on consumer behavior and economic activity.</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Results for the quarter ended March 31, 2020 include a provision for credit losses of $354.7 million reflecting the adoption of CECL on January 1, 2020 and the impact of a reduction in forecasted future cash flows from our Loan portfolio. Under CECL, we are required to record a provision for credit losses for every new loan at the time that loan is originated equal to the difference between the amount we paid to acquire the loan and present value of forecasted net cash flows using an effective interest rate prescribed under CECL. The effective interest rate under CECL is calculated assuming 100% of the contractually scheduled payments of each loan are received. Since we do not expect to receive this amount, the effective rate under CECL is higher than the rate we expect to earn. Using the higher effective rate prescribed by CECL to record the loan results in a value for each loan that is less than amount we paid to acquire the loan. This difference is recorded as an allowance for credit losses along with a corresponding provision for credit losses. During the most recent quarter, we recorded a provision for credit losses of $157.9 million related to new Consumer Loan assignments. Over the life of the loan, assuming actual cash flows are equal to our forecast, an amount equivalent to this provision for credit losses will be recorded as finance charge revenue, which is recognized using the same effective interest rate used to record the loan.</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remaining provision for credit losses of $196.8 million reflects a reduction in our estimate of future net cash flows from our Loan portfolio discussed below. Under CECL, the net present value of the change in our net cash flow forecast is recorded as a provision for credit losses.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Metrics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March 31, 2020 with the forecasts as of December 31, 2019 and at the time of assignment, segmented by year of assignment: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bottom w:val="single" w:sz="8" w:color="auto"/>
            </w:tcBorders>
            <w:gridSpan w:val="5"/>
          </w:tcPr>
          <w:p>
            <w:pPr>
              <w:jc w:val="center"/>
              <w:ind w:left="1293"/>
              <w:spacing w:after="0"/>
              <w:rPr>
                <w:sz w:val="20"/>
                <w:szCs w:val="20"/>
                <w:color w:val="auto"/>
              </w:rPr>
            </w:pPr>
            <w:r>
              <w:rPr>
                <w:rFonts w:ascii="Arial" w:cs="Arial" w:eastAsia="Arial" w:hAnsi="Arial"/>
                <w:sz w:val="14"/>
                <w:szCs w:val="14"/>
                <w:b w:val="1"/>
                <w:bCs w:val="1"/>
                <w:color w:val="auto"/>
                <w:w w:val="91"/>
              </w:rPr>
              <w:t>Forecasted Collection Percentage as of (1)</w:t>
            </w: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Current Forecast Variance from</w:t>
            </w:r>
          </w:p>
        </w:tc>
      </w:tr>
      <w:tr>
        <w:trPr>
          <w:trHeight w:val="263"/>
        </w:trPr>
        <w:tc>
          <w:tcPr>
            <w:tcW w:w="2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Consumer Loan Assignment Year</w:t>
            </w:r>
          </w:p>
        </w:tc>
        <w:tc>
          <w:tcPr>
            <w:tcW w:w="180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2020</w:t>
            </w:r>
          </w:p>
        </w:tc>
        <w:tc>
          <w:tcPr>
            <w:tcW w:w="2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December 31, 2019</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Initial Forecast</w:t>
            </w: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2019</w:t>
            </w:r>
          </w:p>
        </w:tc>
        <w:tc>
          <w:tcPr>
            <w:tcW w:w="1740" w:type="dxa"/>
            <w:vAlign w:val="bottom"/>
          </w:tcPr>
          <w:p>
            <w:pPr>
              <w:jc w:val="right"/>
              <w:ind w:right="312"/>
              <w:spacing w:after="0"/>
              <w:rPr>
                <w:sz w:val="20"/>
                <w:szCs w:val="20"/>
                <w:color w:val="auto"/>
              </w:rPr>
            </w:pPr>
            <w:r>
              <w:rPr>
                <w:rFonts w:ascii="Arial" w:cs="Arial" w:eastAsia="Arial" w:hAnsi="Arial"/>
                <w:sz w:val="14"/>
                <w:szCs w:val="14"/>
                <w:b w:val="1"/>
                <w:bCs w:val="1"/>
                <w:color w:val="auto"/>
              </w:rPr>
              <w:t>Initial Forecast</w:t>
            </w:r>
          </w:p>
        </w:tc>
      </w:tr>
      <w:tr>
        <w:trPr>
          <w:trHeight w:val="250"/>
        </w:trPr>
        <w:tc>
          <w:tcPr>
            <w:tcW w:w="2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21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21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21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21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21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130" w:lineRule="exact"/>
        <w:rPr>
          <w:sz w:val="20"/>
          <w:szCs w:val="20"/>
          <w:color w:val="auto"/>
        </w:rPr>
      </w:pPr>
    </w:p>
    <w:p>
      <w:pPr>
        <w:jc w:val="both"/>
        <w:ind w:left="500" w:hanging="330"/>
        <w:spacing w:after="0" w:line="257" w:lineRule="auto"/>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2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Consumer Loans assigned in 2011 through 2013 have yielded forecasted collection results materially better than our initial estimates, while Consumer Loans assigned in 2015, 2016, 2019 and 2020 have yielded forecasted collection results materially worse than our initial estimates. For Consumer Loans assigned in 2014, 2017 and 2018, actual results have been close to our initial estimates. For the three months ended March 31, 2020, forecasted collection rates declined for Consumer Loans assigned in 2016 through 2020 and were generally consistent with expectations at the start of the period for all other assignment years presented.</w:t>
      </w:r>
    </w:p>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Forecasted collection rates in the table above reflect a reduction in collection rates calculated by our forecasting model and an additional subjective adjustment which considers the future impact of COVID-19. The COVID-19 adjustment is detailed by year of assignment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Forecasted Collection Percentage as of March 31, 2020</w:t>
            </w:r>
          </w:p>
        </w:tc>
        <w:tc>
          <w:tcPr>
            <w:tcW w:w="0" w:type="dxa"/>
            <w:vAlign w:val="bottom"/>
          </w:tcPr>
          <w:p>
            <w:pPr>
              <w:spacing w:after="0"/>
              <w:rPr>
                <w:sz w:val="1"/>
                <w:szCs w:val="1"/>
                <w:color w:val="auto"/>
              </w:rPr>
            </w:pPr>
          </w:p>
        </w:tc>
      </w:tr>
      <w:tr>
        <w:trPr>
          <w:trHeight w:val="153"/>
        </w:trPr>
        <w:tc>
          <w:tcPr>
            <w:tcW w:w="5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Consumer Loan Assignment Year</w:t>
            </w:r>
          </w:p>
        </w:tc>
        <w:tc>
          <w:tcPr>
            <w:tcW w:w="18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Prior to COVID-19</w:t>
            </w: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COVID-19 Adjustment</w:t>
            </w:r>
          </w:p>
        </w:tc>
        <w:tc>
          <w:tcPr>
            <w:tcW w:w="174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After COVID-19</w:t>
            </w:r>
          </w:p>
        </w:tc>
        <w:tc>
          <w:tcPr>
            <w:tcW w:w="0" w:type="dxa"/>
            <w:vAlign w:val="bottom"/>
          </w:tcPr>
          <w:p>
            <w:pPr>
              <w:spacing w:after="0"/>
              <w:rPr>
                <w:sz w:val="1"/>
                <w:szCs w:val="1"/>
                <w:color w:val="auto"/>
              </w:rPr>
            </w:pPr>
          </w:p>
        </w:tc>
      </w:tr>
      <w:tr>
        <w:trPr>
          <w:trHeight w:val="205"/>
        </w:trPr>
        <w:tc>
          <w:tcPr>
            <w:tcW w:w="5760" w:type="dxa"/>
            <w:vAlign w:val="bottom"/>
            <w:gridSpan w:val="2"/>
            <w:vMerge w:val="continue"/>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Adjustment</w:t>
            </w:r>
          </w:p>
        </w:tc>
        <w:tc>
          <w:tcPr>
            <w:tcW w:w="1880" w:type="dxa"/>
            <w:vAlign w:val="bottom"/>
            <w:gridSpan w:val="2"/>
            <w:vMerge w:val="continue"/>
          </w:tcPr>
          <w:p>
            <w:pPr>
              <w:spacing w:after="0"/>
              <w:rPr>
                <w:sz w:val="17"/>
                <w:szCs w:val="17"/>
                <w:color w:val="auto"/>
              </w:rPr>
            </w:pPr>
          </w:p>
        </w:tc>
        <w:tc>
          <w:tcPr>
            <w:tcW w:w="1740" w:type="dxa"/>
            <w:vAlign w:val="bottom"/>
          </w:tcPr>
          <w:p>
            <w:pPr>
              <w:jc w:val="right"/>
              <w:ind w:right="433"/>
              <w:spacing w:after="0"/>
              <w:rPr>
                <w:sz w:val="20"/>
                <w:szCs w:val="20"/>
                <w:color w:val="auto"/>
              </w:rPr>
            </w:pPr>
            <w:r>
              <w:rPr>
                <w:rFonts w:ascii="Arial" w:cs="Arial" w:eastAsia="Arial" w:hAnsi="Arial"/>
                <w:sz w:val="14"/>
                <w:szCs w:val="14"/>
                <w:b w:val="1"/>
                <w:bCs w:val="1"/>
                <w:color w:val="auto"/>
              </w:rPr>
              <w:t>Adjustment</w:t>
            </w:r>
          </w:p>
        </w:tc>
        <w:tc>
          <w:tcPr>
            <w:tcW w:w="0" w:type="dxa"/>
            <w:vAlign w:val="bottom"/>
          </w:tcPr>
          <w:p>
            <w:pPr>
              <w:spacing w:after="0"/>
              <w:rPr>
                <w:sz w:val="1"/>
                <w:szCs w:val="1"/>
                <w:color w:val="auto"/>
              </w:rPr>
            </w:pPr>
          </w:p>
        </w:tc>
      </w:tr>
      <w:tr>
        <w:trPr>
          <w:trHeight w:val="250"/>
        </w:trPr>
        <w:tc>
          <w:tcPr>
            <w:tcW w:w="5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forecasted collection rates for the three months ended March 31, 2020 and 2019 impacted forecasted net cash flows (forecasted collections less forecasted Dealer Holdback payments)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4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263"/>
        </w:trPr>
        <w:tc>
          <w:tcPr>
            <w:tcW w:w="830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5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Dealer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Purchased Loans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16.2</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r>
      <w:tr>
        <w:trPr>
          <w:trHeight w:val="20"/>
        </w:trPr>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first quarter, we reduced our estimate of future net cash flows from our Loan portfolio by $206.5 million, or 2.3% of the forecasted net cash flows at the start of the period, primarily due to the impact of the COVID-19 pandemic. The reduction is comprised of: (1) $44.3 million calculated by our forecasting model, which reflects lower realized collections during the quarter and (2) an additional $162.2 million, which represents our best estimate of the future impact of the COVID-19 pandemic on future net cash flows. Under CECL, changes in forecasted net cash flows are recorded as a provision for credit losses in the current period. While the adjustment to our forecast represents our best estimate at this time, the COVID-19 pandemic has created conditions that do not allow us to forecast future cash flows from our Loan portfolio with confidence.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realized collections in each of the last five months as compared to the same period in the previous year:</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bottom w:val="single" w:sz="8" w:color="auto"/>
            </w:tcBorders>
            <w:gridSpan w:val="3"/>
          </w:tcPr>
          <w:p>
            <w:pPr>
              <w:jc w:val="right"/>
              <w:ind w:right="1213"/>
              <w:spacing w:after="0"/>
              <w:rPr>
                <w:sz w:val="20"/>
                <w:szCs w:val="20"/>
                <w:color w:val="auto"/>
              </w:rPr>
            </w:pPr>
            <w:r>
              <w:rPr>
                <w:rFonts w:ascii="Arial" w:cs="Arial" w:eastAsia="Arial" w:hAnsi="Arial"/>
                <w:sz w:val="14"/>
                <w:szCs w:val="14"/>
                <w:b w:val="1"/>
                <w:bCs w:val="1"/>
                <w:color w:val="auto"/>
              </w:rPr>
              <w:t>Year over Year Percent Change</w:t>
            </w:r>
          </w:p>
        </w:tc>
      </w:tr>
      <w:tr>
        <w:trPr>
          <w:trHeight w:val="263"/>
        </w:trPr>
        <w:tc>
          <w:tcPr>
            <w:tcW w:w="65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Month Ended</w:t>
            </w: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Front End Collections (1)</w:t>
            </w: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 Collections</w:t>
            </w: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31, 2020</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February 29, 2020</w:t>
            </w:r>
          </w:p>
        </w:tc>
        <w:tc>
          <w:tcPr>
            <w:tcW w:w="222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April 30, 2020</w:t>
            </w:r>
          </w:p>
        </w:tc>
        <w:tc>
          <w:tcPr>
            <w:tcW w:w="222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26, 2020 Month-to-Date (2)</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6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collections realized on Consumer Loans that are either current or in the early stages of delinquency.</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2020 period had one less business day than the comparable 2019 period.</w:t>
      </w:r>
    </w:p>
    <w:p>
      <w:pPr>
        <w:spacing w:after="0" w:line="20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Starting in mid-March, we experienced a reduction in realized collections at the same time government authorities began to implement restrictions that limited economic activity. The reduction in Front End Collections reflects a lower volume of payments from customers while the reduction in Total Collections also includes lower realized collections from repossessions, which were suspended as the crisis began to unfold. Starting in mid-April, Front End Collections improved at the same time federal stimulus payments began to be distributed and such improvement has continued into May.</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comparing year over year changes in collections on a monthly basis, variations in the calendar can have a meaningful impact on the results as collections fluctuate according to the day of the week. In addition, February of 2020 had 29 days as compared to 28 in the prior year. The following table presents year over year collection results after adjusting for these differences: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auto"/>
            </w:tcBorders>
            <w:gridSpan w:val="3"/>
          </w:tcPr>
          <w:p>
            <w:pPr>
              <w:jc w:val="right"/>
              <w:ind w:right="1193"/>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65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Month Ended</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Front End Collections (1)</w:t>
            </w:r>
          </w:p>
        </w:tc>
        <w:tc>
          <w:tcPr>
            <w:tcW w:w="12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 Collections</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31, 2020</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February 29, 2020</w:t>
            </w:r>
          </w:p>
        </w:tc>
        <w:tc>
          <w:tcPr>
            <w:tcW w:w="2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7"/>
        </w:trPr>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April 30, 2020</w:t>
            </w:r>
          </w:p>
        </w:tc>
        <w:tc>
          <w:tcPr>
            <w:tcW w:w="21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26, 2020 Month-to-Date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6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collections realized on Consumer Loans that are either current or in the early stages of delinquency.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10 years: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Consumer Loan Assignment Year</w:t>
            </w:r>
          </w:p>
        </w:tc>
        <w:tc>
          <w:tcPr>
            <w:tcW w:w="19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Consumer Loan (1)</w:t>
            </w: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Advance (2)</w:t>
            </w:r>
          </w:p>
        </w:tc>
        <w:tc>
          <w:tcPr>
            <w:tcW w:w="178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Initial Loan Term (in</w:t>
            </w:r>
          </w:p>
        </w:tc>
        <w:tc>
          <w:tcPr>
            <w:tcW w:w="0" w:type="dxa"/>
            <w:vAlign w:val="bottom"/>
          </w:tcPr>
          <w:p>
            <w:pPr>
              <w:spacing w:after="0"/>
              <w:rPr>
                <w:sz w:val="1"/>
                <w:szCs w:val="1"/>
                <w:color w:val="auto"/>
              </w:rPr>
            </w:pPr>
          </w:p>
        </w:tc>
      </w:tr>
      <w:tr>
        <w:trPr>
          <w:trHeight w:val="205"/>
        </w:trPr>
        <w:tc>
          <w:tcPr>
            <w:tcW w:w="564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780" w:type="dxa"/>
            <w:vAlign w:val="bottom"/>
          </w:tcPr>
          <w:p>
            <w:pPr>
              <w:jc w:val="right"/>
              <w:ind w:right="553"/>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5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5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5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15,692</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5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5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22,158</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9,635</w:t>
            </w:r>
          </w:p>
        </w:tc>
        <w:tc>
          <w:tcPr>
            <w:tcW w:w="12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5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23,717</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10,405</w:t>
            </w:r>
          </w:p>
        </w:tc>
        <w:tc>
          <w:tcPr>
            <w:tcW w:w="12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3"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presents forecasted Consumer Loan collection rates, advance rates, the spread (the forecasted collection rate less the advance rate), and the percentage of the forecasted collections that had been realized as of March 31, 2020. All amounts, unless otherwise noted, are presented as a percentage of the initial balance of the Consumer Loan (principal + interest). The table includes both Dealer Loans and Purchased Loans.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As of March 31, 2020</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Consumer Loan Assignment Year</w:t>
            </w: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Advance % (1)</w:t>
            </w:r>
          </w:p>
        </w:tc>
        <w:tc>
          <w:tcPr>
            <w:tcW w:w="14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Spread %</w:t>
            </w:r>
          </w:p>
        </w:tc>
        <w:tc>
          <w:tcPr>
            <w:tcW w:w="128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Collection %</w:t>
            </w:r>
          </w:p>
        </w:tc>
        <w:tc>
          <w:tcPr>
            <w:tcW w:w="140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80" w:type="dxa"/>
            <w:vAlign w:val="bottom"/>
          </w:tcPr>
          <w:p>
            <w:pPr>
              <w:jc w:val="right"/>
              <w:ind w:right="19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69" w:lineRule="auto"/>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500" w:hanging="330"/>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25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2015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spread between the forecasted collection rate and the advance rate has ranged from 17.4% to 29.3%, on an annual basis, over the last 10 years. The spread was at the high end of this range in 2011, when the competitive environment was unusually favorable, and much lower during other years (2015 through 2020) when competition was more intense. The decrease in the spread from 2019 to 2020 was primarily the result of a lower initial forecast on Consumer Loans assigned to us in 2020 and the performance of 2020 Consumer Loans in our Purchased Loan portfolio, which has deteriorated from our initial estimates by a greater margin than those assigned to us in 2019.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compares our forecast of Consumer Loan collection rates as of March 31, 2020 with the forecasts at the time of assignment,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Dealer Loans and Purchased Loans separately:</w:t>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23495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03" w:lineRule="exact"/>
        <w:rPr>
          <w:sz w:val="20"/>
          <w:szCs w:val="20"/>
          <w:color w:val="auto"/>
        </w:rPr>
      </w:pPr>
    </w:p>
    <w:p>
      <w:pPr>
        <w:ind w:left="30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38100</wp:posOffset>
            </wp:positionV>
            <wp:extent cx="16630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ind w:right="1480"/>
        <w:spacing w:after="0"/>
        <w:rPr>
          <w:sz w:val="20"/>
          <w:szCs w:val="20"/>
          <w:color w:val="auto"/>
        </w:rPr>
      </w:pPr>
      <w:r>
        <w:rPr>
          <w:rFonts w:ascii="Arial" w:cs="Arial" w:eastAsia="Arial" w:hAnsi="Arial"/>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2571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03" w:lineRule="exact"/>
        <w:rPr>
          <w:sz w:val="20"/>
          <w:szCs w:val="20"/>
          <w:color w:val="auto"/>
        </w:rPr>
      </w:pPr>
    </w:p>
    <w:p>
      <w:pPr>
        <w:jc w:val="right"/>
        <w:ind w:right="144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wp:posOffset>
            </wp:positionV>
            <wp:extent cx="1671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1320" cy="1714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520" w:space="720"/>
            <w:col w:w="40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3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Consumer Loan Assignment Year</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2020</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2020</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3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5"/>
        </w:trPr>
        <w:tc>
          <w:tcPr>
            <w:tcW w:w="302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Forecast</w:t>
            </w: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Forecast</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29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9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29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29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2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w:t>
      </w:r>
    </w:p>
    <w:p>
      <w:pPr>
        <w:spacing w:after="0" w:line="2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March 31, 2020 for Dealer Loans and Purchased Loans separately. All amounts are presented as a percentage of the initial balance of the Consumer Loan (principal + interest).</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Dealer Loans</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Purchased Loans</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Consumer Loan Assignment Year</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Forecasted</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Advance % (1)(2)</w:t>
            </w:r>
          </w:p>
        </w:tc>
        <w:tc>
          <w:tcPr>
            <w:tcW w:w="13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Spread %</w:t>
            </w: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Advance % (1)(2)</w:t>
            </w:r>
          </w:p>
        </w:tc>
        <w:tc>
          <w:tcPr>
            <w:tcW w:w="12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205"/>
        </w:trPr>
        <w:tc>
          <w:tcPr>
            <w:tcW w:w="3060" w:type="dxa"/>
            <w:vAlign w:val="bottom"/>
            <w:gridSpan w:val="2"/>
            <w:vMerge w:val="continue"/>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Collection % (1)</w:t>
            </w:r>
          </w:p>
        </w:tc>
        <w:tc>
          <w:tcPr>
            <w:tcW w:w="13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Collection % (1)</w:t>
            </w:r>
          </w:p>
        </w:tc>
        <w:tc>
          <w:tcPr>
            <w:tcW w:w="13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330"/>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3" w:lineRule="exact"/>
        <w:rPr>
          <w:rFonts w:ascii="Arial" w:cs="Arial" w:eastAsia="Arial" w:hAnsi="Arial"/>
          <w:sz w:val="14"/>
          <w:szCs w:val="14"/>
          <w:color w:val="auto"/>
        </w:rPr>
      </w:pPr>
    </w:p>
    <w:p>
      <w:pPr>
        <w:ind w:left="500" w:right="20" w:hanging="330"/>
        <w:spacing w:after="0" w:line="293" w:lineRule="auto"/>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spread on Dealer Loans decreased from 19.5% in 2019 to 18.5% in 2020, primarily as a result of a lower initial forecast on Dealer Loans assigned to us in 2020. The spread on Purchased Loans decreased from 18.0% in 2019 to 15.8% in 2020, primarily as a result of a lower initial forecast on Purchased Loans assigned to us in 2020 and the performance of 2020 Consumer Loans in our Purchased Loan portfolio, which has deteriorated from our initial estimates by a greater margin than those assigned to us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strategy for accessing capital on acceptable terms needed to maintain and grow the business is to: (1) maintain consistent financial performance;</w:t>
      </w:r>
    </w:p>
    <w:p>
      <w:pPr>
        <w:spacing w:after="0" w:line="46" w:lineRule="exact"/>
        <w:rPr>
          <w:sz w:val="20"/>
          <w:szCs w:val="20"/>
          <w:color w:val="auto"/>
        </w:rPr>
      </w:pPr>
    </w:p>
    <w:p>
      <w:pPr>
        <w:jc w:val="both"/>
        <w:ind w:firstLine="8"/>
        <w:spacing w:after="0" w:line="255" w:lineRule="auto"/>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modest financial leverage; and (3) maintain multiple funding sources. Our funded debt to equity ratio was 2.5 to 1 as of March 31, 2020. We currently utilize the following primary forms of debt financing: (1) a revolving secured line of credit; (2) Warehouse facilities; (3) Term ABS financings; and (4) senior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five quarters as compared to the same period in the previous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7480" w:type="dxa"/>
            <w:vAlign w:val="bottom"/>
            <w:tcBorders>
              <w:bottom w:val="single" w:sz="8" w:color="auto"/>
            </w:tcBorders>
          </w:tcPr>
          <w:p>
            <w:pPr>
              <w:ind w:left="3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Dollar Volume (1)</w:t>
            </w: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7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right="20" w:hanging="330"/>
        <w:spacing w:after="0" w:line="273"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Unit and dollar volumes declined 10.1% and 4.5%, respectively, during the first quarter of 2020 as the number of active Dealers grew 2.2% while average unit volume per active Dealer declined 12.0%. Dollar volume declined less than unit volume declined during the first quarter of 2020 due to an increase in the average advance paid per unit. This increase was the result of an increase in the average size of the Consumer Loans assigned, primarily due to increases in the average vehicle selling price and average initial loan term and an increase in Purchased Loans as a percentage of total unit volume.</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Consumer Loan assignment unit volume in each of the last five months as compared to the same period in the previous year:</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Year over Year Percent Change</w:t>
            </w:r>
          </w:p>
        </w:tc>
      </w:tr>
      <w:tr>
        <w:trPr>
          <w:trHeight w:val="250"/>
        </w:trPr>
        <w:tc>
          <w:tcPr>
            <w:tcW w:w="840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Month Ended</w:t>
            </w:r>
          </w:p>
        </w:tc>
        <w:tc>
          <w:tcPr>
            <w:tcW w:w="120" w:type="dxa"/>
            <w:vAlign w:val="bottom"/>
            <w:tcBorders>
              <w:bottom w:val="single" w:sz="8" w:color="CCEEFF"/>
            </w:tcBorders>
          </w:tcPr>
          <w:p>
            <w:pPr>
              <w:spacing w:after="0"/>
              <w:rPr>
                <w:sz w:val="21"/>
                <w:szCs w:val="21"/>
                <w:color w:val="auto"/>
              </w:rPr>
            </w:pPr>
          </w:p>
        </w:tc>
        <w:tc>
          <w:tcPr>
            <w:tcW w:w="266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Unit Volume</w:t>
            </w: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31, 2020</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February 29, 2020</w:t>
            </w:r>
          </w:p>
        </w:tc>
        <w:tc>
          <w:tcPr>
            <w:tcW w:w="26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April 30, 2020</w:t>
            </w:r>
          </w:p>
        </w:tc>
        <w:tc>
          <w:tcPr>
            <w:tcW w:w="2660" w:type="dxa"/>
            <w:vAlign w:val="bottom"/>
          </w:tcPr>
          <w:p>
            <w:pPr>
              <w:jc w:val="right"/>
              <w:spacing w:after="0"/>
              <w:rPr>
                <w:sz w:val="20"/>
                <w:szCs w:val="20"/>
                <w:color w:val="auto"/>
              </w:rPr>
            </w:pPr>
            <w:r>
              <w:rPr>
                <w:rFonts w:ascii="Arial" w:cs="Arial" w:eastAsia="Arial" w:hAnsi="Arial"/>
                <w:sz w:val="18"/>
                <w:szCs w:val="18"/>
                <w:color w:val="auto"/>
              </w:rPr>
              <w:t>-22.3 %</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3"/>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26, 2020 Month-to-Date (1)</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8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2020 period had one less business day than the comparable 2019 period.</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the declines in unit volume for the months ended March 31, 2020 and April 30, 2020 were primarily due to the impact of COVID-19, which resulted in many Dealers temporarily closing or restricting their operations and a deterioration in consumer demand for Dealers that have remained open. During the latter part of April and continuing into May, unit volumes improved. We believe the improvement resulted from a combination of Dealers gradually reopening their operations and the release of federal stimulus payments.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0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6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101,477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112,844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83"/>
        </w:trPr>
        <w:tc>
          <w:tcPr>
            <w:tcW w:w="722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Active Dealers (1)</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9,843</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9,633</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7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active Dealer</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97"/>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7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 from Dealers active both periods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81,029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96,732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84"/>
        </w:trPr>
        <w:tc>
          <w:tcPr>
            <w:tcW w:w="722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Dealers active both periods</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6,681</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Dealer active both periods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97"/>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722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color w:val="auto"/>
              </w:rPr>
              <w:t>Consumer Loan unit volume from Dealers not active both periods</w:t>
            </w:r>
          </w:p>
        </w:tc>
        <w:tc>
          <w:tcPr>
            <w:tcW w:w="12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20,448</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16,112</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26.9 %</w:t>
            </w:r>
          </w:p>
        </w:tc>
      </w:tr>
      <w:tr>
        <w:trPr>
          <w:trHeight w:val="216"/>
        </w:trPr>
        <w:tc>
          <w:tcPr>
            <w:tcW w:w="3140" w:type="dxa"/>
            <w:vAlign w:val="bottom"/>
            <w:tcBorders>
              <w:top w:val="single" w:sz="8" w:color="CCEEFF"/>
            </w:tcBorders>
            <w:gridSpan w:val="5"/>
          </w:tcPr>
          <w:p>
            <w:pPr>
              <w:ind w:left="40"/>
              <w:spacing w:after="0"/>
              <w:rPr>
                <w:sz w:val="20"/>
                <w:szCs w:val="20"/>
                <w:color w:val="auto"/>
              </w:rPr>
            </w:pPr>
            <w:r>
              <w:rPr>
                <w:rFonts w:ascii="Arial" w:cs="Arial" w:eastAsia="Arial" w:hAnsi="Arial"/>
                <w:sz w:val="18"/>
                <w:szCs w:val="18"/>
                <w:color w:val="auto"/>
              </w:rPr>
              <w:t>Dealers not active both periods</w:t>
            </w:r>
          </w:p>
        </w:tc>
        <w:tc>
          <w:tcPr>
            <w:tcW w:w="220" w:type="dxa"/>
            <w:vAlign w:val="bottom"/>
            <w:tcBorders>
              <w:top w:val="single" w:sz="8" w:color="auto"/>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3,162</w:t>
            </w: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2,952</w:t>
            </w:r>
          </w:p>
        </w:tc>
        <w:tc>
          <w:tcPr>
            <w:tcW w:w="1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7.1 %</w:t>
            </w:r>
          </w:p>
        </w:tc>
      </w:tr>
      <w:tr>
        <w:trPr>
          <w:trHeight w:val="41"/>
        </w:trPr>
        <w:tc>
          <w:tcPr>
            <w:tcW w:w="62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86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r>
      <w:tr>
        <w:trPr>
          <w:trHeight w:val="203"/>
        </w:trPr>
        <w:tc>
          <w:tcPr>
            <w:tcW w:w="722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color w:val="auto"/>
              </w:rPr>
              <w:t>Average volume per Dealer not active both periods</w:t>
            </w:r>
          </w:p>
        </w:tc>
        <w:tc>
          <w:tcPr>
            <w:tcW w:w="12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5.5</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18.2 %</w:t>
            </w: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bl>
    <w:p>
      <w:pPr>
        <w:spacing w:after="0" w:line="103"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4180" w:type="dxa"/>
            <w:vAlign w:val="bottom"/>
            <w:tcBorders>
              <w:bottom w:val="single" w:sz="8" w:color="auto"/>
            </w:tcBorders>
            <w:gridSpan w:val="5"/>
          </w:tcPr>
          <w:p>
            <w:pPr>
              <w:jc w:val="right"/>
              <w:ind w:right="76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0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unit volume from new active Dealers</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6,082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283"/>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active Dealers (1)</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1,224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-26.3 %</w:t>
            </w:r>
          </w:p>
        </w:tc>
      </w:tr>
      <w:tr>
        <w:trPr>
          <w:trHeight w:val="243"/>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volume per new active Dealer</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97"/>
        </w:trPr>
        <w:tc>
          <w:tcPr>
            <w:tcW w:w="7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Attrition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70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17"/>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3" w:lineRule="exact"/>
        <w:rPr>
          <w:rFonts w:ascii="Arial" w:cs="Arial" w:eastAsia="Arial" w:hAnsi="Arial"/>
          <w:sz w:val="14"/>
          <w:szCs w:val="14"/>
          <w:color w:val="auto"/>
        </w:rPr>
      </w:pPr>
    </w:p>
    <w:p>
      <w:pPr>
        <w:ind w:left="500" w:hanging="317"/>
        <w:spacing w:after="0" w:line="255" w:lineRule="auto"/>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percentage of Consumer Loans assigned to us as Dealer Loans and Purchased Loans for each of the last five quarters: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1173"/>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Dollar Volume (1)</w:t>
            </w:r>
          </w:p>
        </w:tc>
      </w:tr>
      <w:tr>
        <w:trPr>
          <w:trHeight w:val="263"/>
        </w:trPr>
        <w:tc>
          <w:tcPr>
            <w:tcW w:w="43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Purchased Loans</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Purchased Loans</w:t>
            </w: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3"/>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16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600" w:type="dxa"/>
            <w:vAlign w:val="bottom"/>
          </w:tcPr>
          <w:p>
            <w:pPr>
              <w:ind w:left="1100"/>
              <w:spacing w:after="0"/>
              <w:rPr>
                <w:sz w:val="20"/>
                <w:szCs w:val="20"/>
                <w:color w:val="auto"/>
              </w:rPr>
            </w:pPr>
            <w:r>
              <w:rPr>
                <w:rFonts w:ascii="Arial" w:cs="Arial" w:eastAsia="Arial" w:hAnsi="Arial"/>
                <w:sz w:val="18"/>
                <w:szCs w:val="18"/>
                <w:color w:val="auto"/>
                <w:w w:val="93"/>
              </w:rPr>
              <w:t>63.7%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3"/>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6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00" w:type="dxa"/>
            <w:vAlign w:val="bottom"/>
          </w:tcPr>
          <w:p>
            <w:pPr>
              <w:ind w:left="1100"/>
              <w:spacing w:after="0"/>
              <w:rPr>
                <w:sz w:val="20"/>
                <w:szCs w:val="20"/>
                <w:color w:val="auto"/>
              </w:rPr>
            </w:pPr>
            <w:r>
              <w:rPr>
                <w:rFonts w:ascii="Arial" w:cs="Arial" w:eastAsia="Arial" w:hAnsi="Arial"/>
                <w:sz w:val="18"/>
                <w:szCs w:val="18"/>
                <w:color w:val="auto"/>
                <w:w w:val="93"/>
              </w:rPr>
              <w:t>64.0%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3"/>
              </w:rPr>
              <w:t>60.5%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500" w:right="20" w:hanging="317"/>
        <w:spacing w:after="0" w:line="273" w:lineRule="auto"/>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31, 2020 and December 31, 2019, the net Dealer Loans receivable balance was 62.6% and 62.8%, respectively, of the total net Loans receivable balance.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Three Months Ended March 31, 2020 Compared to Three Months Ended March 31,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results of operations and income statement data on a consolidated basis.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50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660" w:type="dxa"/>
            <w:vAlign w:val="bottom"/>
          </w:tcPr>
          <w:p>
            <w:pPr>
              <w:jc w:val="right"/>
              <w:ind w:right="41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Finance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Premiums earned</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84"/>
        </w:trPr>
        <w:tc>
          <w:tcPr>
            <w:tcW w:w="4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Salaries and wages (1)</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Sales and marketing (1)</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2,346.2 %</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claims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83"/>
        </w:trPr>
        <w:tc>
          <w:tcPr>
            <w:tcW w:w="450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1"/>
        </w:trPr>
        <w:tc>
          <w:tcPr>
            <w:tcW w:w="45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240.3 %</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w w:val="98"/>
              </w:rPr>
              <w:t>Income (loss) before provision (benefit) for income taxes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-154.7 %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-169.2 %</w:t>
            </w: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-151.0 %</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-153.2 %</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-153.3 %</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18,185,465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18,955,191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(769,726)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18,185,465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19,004,498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(819,033)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(1)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783"/>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25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Financial Accounting Standards Board issued a new accounting standard (known as CECL) that changed how we account for our Loans effective January 1, 2020. The net Loan income (finance charge revenue less provision for credit losses expense) that we recognize over the life of a Loan equals the cash we collect from the underlying Consumer Loan less the cash we pay to the Dealer. While the total amount of net Loan income we will recognize over the life of the Loan is not impacted by CECL, the timing of when we will recognize this income has changed significantly from our prior accounting method. We believe that recognizing net Loan income on a level-yield basis over the life of the Loan based on expected future net cash flows matches the economics of our business. We believe CECL diverges from economic reality by requiring us to recognize a significant provision for credit losses expense at the time of assignment for amounts we never expected to realize and finance charge revenue in subsequent periods that is significantly in excess of our expected yields. Given the significant change in timing of net Loan income recognition, we believe net income for the year ending December 31, 2020 will be significantly lower under CECL than what would be reported under our prior accounting method, with the greatest impact occurring in the quarter of adoption. The ultimate financial statement impact of CECL will depend on Consumer Loan assignment volume and the percentage of Consumer Loans assigned to us as Purchased Loans, the size and composition of our Loan portfolio, the Loan portfolio’s credit quality and economic conditions. For additional information, see Note 3 to the consolidated financial statements contained in Part I - Item 1 of this Form 10-Q, which is incorporated herein by reference.</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increase of $40.0 million, or 12.4%, was primarily the result of an increase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the average yield on our Loan portfolio,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Three Months Ended March 31,</w:t>
            </w:r>
          </w:p>
        </w:tc>
        <w:tc>
          <w:tcPr>
            <w:tcW w:w="1300" w:type="dxa"/>
            <w:vAlign w:val="bottom"/>
            <w:tcBorders>
              <w:bottom w:val="single" w:sz="8" w:color="auto"/>
            </w:tcBorders>
          </w:tcPr>
          <w:p>
            <w:pPr>
              <w:spacing w:after="0"/>
              <w:rPr>
                <w:sz w:val="17"/>
                <w:szCs w:val="17"/>
                <w:color w:val="auto"/>
              </w:rPr>
            </w:pPr>
          </w:p>
        </w:tc>
      </w:tr>
      <w:tr>
        <w:trPr>
          <w:trHeight w:val="263"/>
        </w:trPr>
        <w:tc>
          <w:tcPr>
            <w:tcW w:w="57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6,682.9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5,894.1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788.8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impact each component had on the overall increase in finance charges for the three months ended March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6"/>
                <w:szCs w:val="16"/>
                <w:color w:val="auto"/>
              </w:rPr>
            </w:pPr>
          </w:p>
        </w:tc>
        <w:tc>
          <w:tcPr>
            <w:tcW w:w="216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Year over Year Change</w:t>
            </w:r>
          </w:p>
        </w:tc>
      </w:tr>
      <w:tr>
        <w:trPr>
          <w:trHeight w:val="165"/>
        </w:trPr>
        <w:tc>
          <w:tcPr>
            <w:tcW w:w="874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Three Months Ended March</w:t>
            </w:r>
          </w:p>
        </w:tc>
      </w:tr>
      <w:tr>
        <w:trPr>
          <w:trHeight w:val="205"/>
        </w:trPr>
        <w:tc>
          <w:tcPr>
            <w:tcW w:w="8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1"/>
              </w:rPr>
              <w:t>31, 2020</w:t>
            </w: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43.1</w:t>
            </w:r>
          </w:p>
        </w:tc>
      </w:tr>
      <w:tr>
        <w:trPr>
          <w:trHeight w:val="284"/>
        </w:trPr>
        <w:tc>
          <w:tcPr>
            <w:tcW w:w="8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increase in finance charges</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40.0</w:t>
            </w:r>
          </w:p>
        </w:tc>
      </w:tr>
      <w:tr>
        <w:trPr>
          <w:trHeight w:val="20"/>
        </w:trPr>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the average net Loans receivable balance was primarily due to the dollar volume of new Consumer Loan assignments exceeding the principal collected on Loans receivable. The average yield on our Loan portfolio for the three months ended March 31, 2020 decreased as compared to the same period in 2019 due to lower yields on more recent Consumer Loan assignments.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The decrease of $2.3 million, or 2.8%, was primarily due to a decrease in salaries and wages expense of $3.7 million, or 7.6%,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cash-based incentive compensation expense due to a decline in Company performance measures, partially offset by an increase in fringe benefits primarily due to higher medical claims.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The increase of $340.2 million, or 2,346.2%, was primarily due to a decline in Consumer Loan performance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our adoption of CECL on January 1, 2020.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CECL, we are required to recognize provision for credit losses on new Consumer Loan assignments for contractual net cash flows that were not expected to be realized at the time of assignment. Under both CECL and our prior accounting method, we also recognize provision for credit losses for forecast changes in the amount and timing of expected future net cash flows subsequent to assignment. The following table summarizes the provision for credit losses for each of these components: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Three Months Ended March 31,</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2160"/>
              <w:spacing w:after="0"/>
              <w:rPr>
                <w:sz w:val="20"/>
                <w:szCs w:val="20"/>
                <w:color w:val="auto"/>
              </w:rPr>
            </w:pPr>
            <w:r>
              <w:rPr>
                <w:rFonts w:ascii="Arial" w:cs="Arial" w:eastAsia="Arial" w:hAnsi="Arial"/>
                <w:sz w:val="14"/>
                <w:szCs w:val="14"/>
                <w:b w:val="1"/>
                <w:bCs w:val="1"/>
                <w:color w:val="auto"/>
              </w:rPr>
              <w:t>Provision for Credit Losses</w:t>
            </w:r>
          </w:p>
        </w:tc>
        <w:tc>
          <w:tcPr>
            <w:tcW w:w="12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Consumer Loan assignments</w:t>
            </w: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8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Forecast changes</w:t>
            </w:r>
          </w:p>
        </w:tc>
        <w:tc>
          <w:tcPr>
            <w:tcW w:w="12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49</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6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increase in provision for credit losses related to forecast changes is primarily due to a decline in Consumer Loan performance. During the first quarter of 2020, we reduced forecasted collection rates to reflect the estimated long-term impact of COVID-19 on Consumer Loan performance.</w:t>
      </w:r>
    </w:p>
    <w:p>
      <w:pPr>
        <w:spacing w:after="0" w:line="1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additional information, see Note 3 and Note 6 to the consolidated financial statements contained in Part I - Item 1 of this Form 10-Q, which is incorporated herein by reference.</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The increase of $6.9 million, or 15.3%, was due to an increase in the average outstanding debt principal balance. The following table shows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the average outstanding debt balance, and the average cost of debt for the three months ended March 31, 2020 and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Three Months Ended March 31,</w:t>
            </w:r>
          </w:p>
        </w:tc>
        <w:tc>
          <w:tcPr>
            <w:tcW w:w="1300" w:type="dxa"/>
            <w:vAlign w:val="bottom"/>
            <w:tcBorders>
              <w:bottom w:val="single" w:sz="8" w:color="auto"/>
            </w:tcBorders>
          </w:tcPr>
          <w:p>
            <w:pPr>
              <w:spacing w:after="0"/>
              <w:rPr>
                <w:sz w:val="17"/>
                <w:szCs w:val="17"/>
                <w:color w:val="auto"/>
              </w:rPr>
            </w:pPr>
          </w:p>
        </w:tc>
      </w:tr>
      <w:tr>
        <w:trPr>
          <w:trHeight w:val="263"/>
        </w:trPr>
        <w:tc>
          <w:tcPr>
            <w:tcW w:w="57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Change</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6.9</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4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4,625.7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4,019.5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606.2</w:t>
            </w:r>
          </w:p>
        </w:tc>
      </w:tr>
      <w:tr>
        <w:trPr>
          <w:trHeight w:val="27"/>
        </w:trPr>
        <w:tc>
          <w:tcPr>
            <w:tcW w:w="5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the unamortized debt discount and excludes deferred debt issuance costs.</w:t>
      </w: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the average outstanding debt principal balance was primarily due to borrowings used to fund the growth in our Loan portfolio and stock repurchases.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For the three months ended March 31, 2020, we recognized a loss on extinguishment of debt of $7.4 million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redemption of the 2023 senior notes in March 2020. We used the net proceeds from the December 2019 issuance of the 2024 senior notes, together with borrowings under our revolving credit facilities, to fund the redemption of the 2023 senior notes. For additional information, see Note 9 to the consolidated financial statements contained in Part I - Item 1 of this Form 10-Q, which is incorporated herein by reference.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three months ended March 31, 2020, the effective income tax rate increased to 25.7% from 20.3%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2019. The increase was primarily due to a decrease in tax benefits related to our stock-based compensation plan. For additional information, see Note 11 to the consolidated financial statements contained in Part I - Item 1 of this Form 10-Q, which is incorporated herein by reference.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March 31, 2020. For information regarding these financings and the covenants included in the related documents, see Note 9 to the consolidated financial statements contained in Part I - Item 1 of this Form 10-Q, which is incorporated herein by reference.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17, 2020, we used a portion of the net proceeds from the 2024 senior notes to redeem the remaining $151.8 million outstanding principal amount of the 2021 senior notes.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20, 2020, we completed a $500.0 million Term ABS financing, which was used to repay outstanding indebtedness. The financing has an expected annualized cost of approximately 2.5% (including the initial purchasers’ fees and other costs), and it will revolve for 24 months, after which it will amortize based upon the cash flows on the contributed Loans.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15, 2020, we redeemed the $250.0 million outstanding principal amount of the 2023 senior notes in accordance with the terms of the indenture governing the 2023 notes at a redemption price equal to 101.844% of the principal amount thereof.</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as of March 31, 2020 and December 31, 2019 was $25.7 million and $187.4 million, respectively. As of March 31, 2020 and December 31, 2019, we had $1,085.1 million and $1,565.0 million, respectively, in unused and available lines of credit. Our total balance sheet indebtedness increased $299.0 million to $4,837.8 million as of March 31, 2020 from $4,538.8 million as of December 31, 2019 primarily due to the growth in new Consumer Loan assignments and stock repurchases.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scheduled principal debt maturities as of March 31, 2020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5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9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Scheduled Principal Debt</w:t>
            </w:r>
          </w:p>
        </w:tc>
        <w:tc>
          <w:tcPr>
            <w:tcW w:w="0" w:type="dxa"/>
            <w:vAlign w:val="bottom"/>
          </w:tcPr>
          <w:p>
            <w:pPr>
              <w:spacing w:after="0"/>
              <w:rPr>
                <w:sz w:val="1"/>
                <w:szCs w:val="1"/>
                <w:color w:val="auto"/>
              </w:rPr>
            </w:pPr>
          </w:p>
        </w:tc>
      </w:tr>
      <w:tr>
        <w:trPr>
          <w:trHeight w:val="205"/>
        </w:trPr>
        <w:tc>
          <w:tcPr>
            <w:tcW w:w="94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Maturities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Remainder of 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Over five years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1021" w:hanging="1021"/>
        <w:spacing w:after="0"/>
        <w:tabs>
          <w:tab w:leader="none" w:pos="10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1,076.9</w:t>
      </w:r>
    </w:p>
    <w:p>
      <w:pPr>
        <w:spacing w:after="0" w:line="86"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1,049.6</w:t>
      </w:r>
    </w:p>
    <w:p>
      <w:pPr>
        <w:spacing w:after="0" w:line="86" w:lineRule="exact"/>
        <w:rPr>
          <w:rFonts w:ascii="Arial" w:cs="Arial" w:eastAsia="Arial" w:hAnsi="Arial"/>
          <w:sz w:val="16"/>
          <w:szCs w:val="16"/>
          <w:color w:val="auto"/>
        </w:rPr>
      </w:pPr>
    </w:p>
    <w:p>
      <w:pPr>
        <w:ind w:left="1021"/>
        <w:spacing w:after="0"/>
        <w:rPr>
          <w:rFonts w:ascii="Arial" w:cs="Arial" w:eastAsia="Arial" w:hAnsi="Arial"/>
          <w:sz w:val="16"/>
          <w:szCs w:val="16"/>
          <w:color w:val="auto"/>
        </w:rPr>
      </w:pPr>
      <w:r>
        <w:rPr>
          <w:rFonts w:ascii="Arial" w:cs="Arial" w:eastAsia="Arial" w:hAnsi="Arial"/>
          <w:sz w:val="16"/>
          <w:szCs w:val="16"/>
          <w:color w:val="auto"/>
        </w:rPr>
        <w:t>1,542.9</w:t>
      </w:r>
    </w:p>
    <w:p>
      <w:pPr>
        <w:spacing w:after="0" w:line="86" w:lineRule="exact"/>
        <w:rPr>
          <w:rFonts w:ascii="Arial" w:cs="Arial" w:eastAsia="Arial" w:hAnsi="Arial"/>
          <w:sz w:val="16"/>
          <w:szCs w:val="16"/>
          <w:color w:val="auto"/>
        </w:rPr>
      </w:pPr>
    </w:p>
    <w:p>
      <w:pPr>
        <w:ind w:left="1141"/>
        <w:spacing w:after="0"/>
        <w:rPr>
          <w:rFonts w:ascii="Arial" w:cs="Arial" w:eastAsia="Arial" w:hAnsi="Arial"/>
          <w:sz w:val="16"/>
          <w:szCs w:val="16"/>
          <w:color w:val="auto"/>
        </w:rPr>
      </w:pPr>
      <w:r>
        <w:rPr>
          <w:rFonts w:ascii="Arial" w:cs="Arial" w:eastAsia="Arial" w:hAnsi="Arial"/>
          <w:sz w:val="16"/>
          <w:szCs w:val="16"/>
          <w:color w:val="auto"/>
        </w:rPr>
        <w:t>396.0</w:t>
      </w:r>
    </w:p>
    <w:p>
      <w:pPr>
        <w:spacing w:after="0" w:line="86" w:lineRule="exact"/>
        <w:rPr>
          <w:rFonts w:ascii="Arial" w:cs="Arial" w:eastAsia="Arial" w:hAnsi="Arial"/>
          <w:sz w:val="16"/>
          <w:szCs w:val="16"/>
          <w:color w:val="auto"/>
        </w:rPr>
      </w:pPr>
    </w:p>
    <w:p>
      <w:pPr>
        <w:ind w:left="1141"/>
        <w:spacing w:after="0"/>
        <w:rPr>
          <w:rFonts w:ascii="Arial" w:cs="Arial" w:eastAsia="Arial" w:hAnsi="Arial"/>
          <w:sz w:val="16"/>
          <w:szCs w:val="16"/>
          <w:color w:val="auto"/>
        </w:rPr>
      </w:pPr>
      <w:r>
        <w:rPr>
          <w:rFonts w:ascii="Arial" w:cs="Arial" w:eastAsia="Arial" w:hAnsi="Arial"/>
          <w:sz w:val="16"/>
          <w:szCs w:val="16"/>
          <w:color w:val="auto"/>
        </w:rPr>
        <w:t>400.0</w:t>
      </w:r>
    </w:p>
    <w:p>
      <w:pPr>
        <w:spacing w:after="0" w:line="86" w:lineRule="exact"/>
        <w:rPr>
          <w:rFonts w:ascii="Arial" w:cs="Arial" w:eastAsia="Arial" w:hAnsi="Arial"/>
          <w:sz w:val="16"/>
          <w:szCs w:val="16"/>
          <w:color w:val="auto"/>
        </w:rPr>
      </w:pPr>
    </w:p>
    <w:p>
      <w:pPr>
        <w:ind w:left="1141"/>
        <w:spacing w:after="0"/>
        <w:rPr>
          <w:rFonts w:ascii="Arial" w:cs="Arial" w:eastAsia="Arial" w:hAnsi="Arial"/>
          <w:sz w:val="16"/>
          <w:szCs w:val="16"/>
          <w:color w:val="auto"/>
        </w:rPr>
      </w:pPr>
      <w:r>
        <w:rPr>
          <w:rFonts w:ascii="Arial" w:cs="Arial" w:eastAsia="Arial" w:hAnsi="Arial"/>
          <w:sz w:val="16"/>
          <w:szCs w:val="16"/>
          <w:color w:val="auto"/>
        </w:rPr>
        <w:t>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-638810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-295910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46355</wp:posOffset>
            </wp:positionV>
            <wp:extent cx="713232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93" w:lineRule="exact"/>
        <w:rPr>
          <w:sz w:val="20"/>
          <w:szCs w:val="20"/>
          <w:color w:val="auto"/>
        </w:rPr>
      </w:pPr>
    </w:p>
    <w:p>
      <w:pPr>
        <w:ind w:left="1021" w:hanging="1021"/>
        <w:spacing w:after="0"/>
        <w:tabs>
          <w:tab w:leader="none" w:pos="1021" w:val="left"/>
        </w:tabs>
        <w:numPr>
          <w:ilvl w:val="0"/>
          <w:numId w:val="60"/>
        </w:numPr>
        <w:rPr>
          <w:rFonts w:ascii="Arial" w:cs="Arial" w:eastAsia="Arial" w:hAnsi="Arial"/>
          <w:sz w:val="16"/>
          <w:szCs w:val="16"/>
          <w:color w:val="auto"/>
        </w:rPr>
      </w:pPr>
      <w:r>
        <w:rPr>
          <w:rFonts w:ascii="Arial" w:cs="Arial" w:eastAsia="Arial" w:hAnsi="Arial"/>
          <w:sz w:val="16"/>
          <w:szCs w:val="16"/>
          <w:color w:val="auto"/>
        </w:rPr>
        <w:t>4,865.4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071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859" w:space="720"/>
            <w:col w:w="1661"/>
          </w:cols>
          <w:pgMar w:left="320" w:top="125" w:right="339" w:bottom="1440" w:gutter="0" w:footer="0" w:header="0"/>
          <w:type w:val="continuous"/>
        </w:sectPr>
      </w:pPr>
    </w:p>
    <w:p>
      <w:pPr>
        <w:spacing w:after="0" w:line="75" w:lineRule="exact"/>
        <w:rPr>
          <w:sz w:val="20"/>
          <w:szCs w:val="20"/>
          <w:color w:val="auto"/>
        </w:rPr>
      </w:pPr>
    </w:p>
    <w:p>
      <w:pPr>
        <w:ind w:left="500" w:hanging="317"/>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principal maturities of certain financings are estimated based on forecasted collections.</w:t>
      </w:r>
    </w:p>
    <w:p>
      <w:pPr>
        <w:spacing w:after="0" w:line="16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Based upon anticipated cash flows, management believes that cash flows from operations and our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2019 discusses several critical accounting estimates, which we believe involve a high degree of judgment and complexity. There have been no material changes to the estimates and assumptions associated with these accounting estimates from those discussed in our Annual Report on Form 10-K for the year ended December 31, 2019, except as described below:</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accounting for finance charge revenue and allowance for credit losses involves significant estimates related to the amount and timing of future collections and Dealer Holdback payments. During the first quarter of 2020, we reduced forecasted collection rates to reflect the estimated long-term impact of COVID-19 on Consumer Loan performance. In addition, we adopted CECL on January 1, 2020, which changed our accounting policies for finance charge revenue and allowance for credit losses. Our provision for credit losses for the three months ended March 31, 2020, included:</w:t>
      </w:r>
    </w:p>
    <w:p>
      <w:pPr>
        <w:spacing w:after="0" w:line="1" w:lineRule="exact"/>
        <w:rPr>
          <w:sz w:val="20"/>
          <w:szCs w:val="20"/>
          <w:color w:val="auto"/>
        </w:rPr>
      </w:pPr>
    </w:p>
    <w:p>
      <w:pPr>
        <w:ind w:left="660" w:right="20" w:hanging="328"/>
        <w:spacing w:after="0" w:line="25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$196.8 million provision for credit losses on forecasts changes during the first quarter of 2020 primarily related to the COVID-19 forecast adjustment, which reduced consolidated net income by $151.5 million, or $8.33 per diluted share; and.</w:t>
      </w:r>
    </w:p>
    <w:p>
      <w:pPr>
        <w:ind w:left="660" w:hanging="328"/>
        <w:spacing w:after="0" w:line="26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$157.9 million provision for credit losses on new Consumer Loan assignments related to our adoption of CECL on January 1, 2020, which reduced consolidated net income by $121.6 million, or $6.69 per diluted share.</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additional information, see Note 3 and Note 6 to the consolidated financial statements contained in Part I - Item 1 of this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make forward-looking statements in this report and may make such statements in future filings with the Securities and Exchange Commission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2019 and Item 1A in Part II of this report, other risk factors discussed herein or listed from time to time in our reports filed with the SEC and the following:</w:t>
      </w:r>
    </w:p>
    <w:p>
      <w:pPr>
        <w:spacing w:after="0" w:line="192"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violation of the terms of our Term ABS facilities or Warehouse facilities could have a material adverse impact on our operations.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phaseout of the London Interbank Offered Rate ("LIBOR"), or the replacement of LIBOR with a different reference rate, could result in a material adverse effect on our business.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current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our Annual Report on Form 10-K for the year ended December 31, 2019 for a complete discussion of our market risk. There have been no material changes to the market risk information included in our 2019 Annual Report on Form 10-K.</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332"/>
        <w:spacing w:after="0" w:line="254" w:lineRule="auto"/>
        <w:tabs>
          <w:tab w:leader="none" w:pos="582"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Our management, with the participation of our Chief Executive Officer and Chief Financial Officer, has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1" w:lineRule="exact"/>
        <w:rPr>
          <w:rFonts w:ascii="Arial" w:cs="Arial" w:eastAsia="Arial" w:hAnsi="Arial"/>
          <w:sz w:val="18"/>
          <w:szCs w:val="18"/>
          <w:color w:val="auto"/>
        </w:rPr>
      </w:pPr>
    </w:p>
    <w:p>
      <w:pPr>
        <w:jc w:val="both"/>
        <w:ind w:firstLine="332"/>
        <w:spacing w:after="0" w:line="263" w:lineRule="auto"/>
        <w:tabs>
          <w:tab w:leader="none" w:pos="592"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 or otherwise subject could have a material adverse impact on our financial position, liquidity and results of operations.</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15 to the consolidated financial statements contained in Part I - Item 1 of this Form 10-Q, which is incorporated herein by reference.</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risk factor updates and supplements, and should be read in conjunction with, the risk factors disclosed in Item 1A of our Annual Report on Form 10-K for the year ended December 31, 2019</w:t>
      </w:r>
    </w:p>
    <w:p>
      <w:pPr>
        <w:spacing w:after="0" w:line="11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The current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1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COVID-19 pandemic has caused a deterioration in the U.S. economy and our industry and could result in a period of substantial economic and financial turmoil. The impact of this event on our business and the severity of an economic downturn are uncertain; however, it is likely that the pandemic will adversely affect our business, team members, current and potential consumers, automobile dealers, and vendors, as well as our financial condition, liquidity, and results of operations. Many of our team members, consumers, automobile dealers, and vendors are located in areas impacted by COVID-19.</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an attempt to slow the spread of COVID-19, state governments have implemented social distancing guidelines, travel bans and restrictions, quarantines, shelter-in-place orders and shutdowns. These actions have caused economic hardship in the areas in which they have been implemented and have led to an increase in unemployment and resulted in many consumers delaying payments or re-allocating resources, leading to a significant decrease in our realized collections. We are working with our consumers to provide temporary relief where possible, including the suspension of involuntary vehicle repossessions. Additionally, many automobile dealers have been required to temporarily close or restrict their operations, and even for dealerships that have remained open, consumer demand has deteriorated. As a result, we have recently experienced a significant decline in Consumer Loan assignments. The spread of COVID-19 has also caused us to modify our business practices in an effort to increase team member safety, including reconfiguring workstations to increase physical distance between team members, limiting travel, and canceling physical participation in meetings and events, and we may take further actions as required by government authorities or that we determine are in the best interests of our team members. Our business operations may be disrupted further if significant portions of our workforce are unable to work effectively, including because of illness, quarantines, or other restrictions in connection with the COVID-19 pandemic.</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is no certainty that such measures will be sufficient to mitigate the risks posed by the disease, and our ability to perform certain functions could be negatively impacted. While the potential impact and duration of the COVID-19 pandemic on the U.S. economy and our industry in particular are difficult to assess or predict, the pandemic has resulted in significant disruption of financial markets, which may reduce our ability to access capital or our consumers’ ability to repay past or future Consumer Loans, and could negatively affect our liquidity and results of operations. In addition, a recession or further financial market correction resulting from the spread of COVID-19 could adversely affect demand for used vehicles. A continued disruption in our workforce, decrease in collections from our consumers or decline in Consumer Loan assignments could cause a material adverse effect on our financial position, liquidity, and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COVID-19 pandemic is rapidly evolving, and we will continue to monitor the situation closely. The ultimate impact of this pandemic or a similar health epidemic is highly uncertain and subject to change. The extent of the impact of the COVID-19 pandemic on our operational and financial performance will depend on future developments, including, but not limited to, the duration and spread of the pandemic, its severity, the actions to contain the disease or mitigate its impact, related restrictions on travel, and the duration, timing and severity of the impact on consumer behavior, including any recession resulting from the pandemic, all of which are uncertain and cannot be predicted. An extended period of economic disruption as a result of the COVID-19 pandemic could have a material negative impact on our business, financial position, liquidity, and results of operations, though the full extent and duration is uncertain. The COVID-19 pandemic may also intensify the risks described in the other risk factors disclosed in our Annual Report on Form 10-K for the fiscal year ended December 31, 2019. The COVID-19 pandemic, or any future outbreak of any contagious diseases or other public health emergency, could materially and adversely affect our business, financial condition, liquidity and results of operations.</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repurchases for the three months ended March 31,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Total Number of Shares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2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w:t>
            </w: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05"/>
        </w:trPr>
        <w:tc>
          <w:tcPr>
            <w:tcW w:w="3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7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Purchased</w:t>
            </w:r>
          </w:p>
        </w:tc>
        <w:tc>
          <w:tcPr>
            <w:tcW w:w="4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to January 31, 2020</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138,034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137,136</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632,577</w:t>
            </w:r>
          </w:p>
        </w:tc>
        <w:tc>
          <w:tcPr>
            <w:tcW w:w="0" w:type="dxa"/>
            <w:vAlign w:val="bottom"/>
          </w:tcPr>
          <w:p>
            <w:pPr>
              <w:spacing w:after="0"/>
              <w:rPr>
                <w:sz w:val="1"/>
                <w:szCs w:val="1"/>
                <w:color w:val="auto"/>
              </w:rPr>
            </w:pP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February 1 to February 29, 2020</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328,250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422.98</w:t>
            </w:r>
          </w:p>
        </w:tc>
        <w:tc>
          <w:tcPr>
            <w:tcW w:w="100" w:type="dxa"/>
            <w:vAlign w:val="bottom"/>
          </w:tcPr>
          <w:p>
            <w:pPr>
              <w:spacing w:after="0"/>
              <w:rPr>
                <w:sz w:val="21"/>
                <w:szCs w:val="21"/>
                <w:color w:val="auto"/>
              </w:rPr>
            </w:pPr>
          </w:p>
        </w:tc>
        <w:tc>
          <w:tcPr>
            <w:tcW w:w="2240" w:type="dxa"/>
            <w:vAlign w:val="bottom"/>
          </w:tcPr>
          <w:p>
            <w:pPr>
              <w:jc w:val="right"/>
              <w:ind w:right="38"/>
              <w:spacing w:after="0"/>
              <w:rPr>
                <w:sz w:val="20"/>
                <w:szCs w:val="20"/>
                <w:color w:val="auto"/>
              </w:rPr>
            </w:pPr>
            <w:r>
              <w:rPr>
                <w:rFonts w:ascii="Arial" w:cs="Arial" w:eastAsia="Arial" w:hAnsi="Arial"/>
                <w:sz w:val="18"/>
                <w:szCs w:val="18"/>
                <w:color w:val="auto"/>
              </w:rPr>
              <w:t>318,995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313,582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to March 31, 2020</w:t>
            </w: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258,936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(4)</w:t>
            </w: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419.50</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254,026</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3,059,556</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725,220</w:t>
            </w:r>
          </w:p>
        </w:tc>
        <w:tc>
          <w:tcPr>
            <w:tcW w:w="4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423.31</w:t>
            </w:r>
          </w:p>
        </w:tc>
        <w:tc>
          <w:tcPr>
            <w:tcW w:w="100" w:type="dxa"/>
            <w:vAlign w:val="bottom"/>
          </w:tcPr>
          <w:p>
            <w:pPr>
              <w:spacing w:after="0"/>
              <w:rPr>
                <w:sz w:val="21"/>
                <w:szCs w:val="21"/>
                <w:color w:val="auto"/>
              </w:rPr>
            </w:pPr>
          </w:p>
        </w:tc>
        <w:tc>
          <w:tcPr>
            <w:tcW w:w="2240" w:type="dxa"/>
            <w:vAlign w:val="bottom"/>
          </w:tcPr>
          <w:p>
            <w:pPr>
              <w:jc w:val="right"/>
              <w:ind w:right="38"/>
              <w:spacing w:after="0"/>
              <w:rPr>
                <w:sz w:val="20"/>
                <w:szCs w:val="20"/>
                <w:color w:val="auto"/>
              </w:rPr>
            </w:pPr>
            <w:r>
              <w:rPr>
                <w:rFonts w:ascii="Arial" w:cs="Arial" w:eastAsia="Arial" w:hAnsi="Arial"/>
                <w:sz w:val="18"/>
                <w:szCs w:val="18"/>
                <w:color w:val="auto"/>
              </w:rPr>
              <w:t>710,157</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5"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November 7, 2019, our board of directors authorized the repurchase by us from time to time in the open market or in privately negotiated transactions of up to one million shares of our common stock (the "November 2019 Authorization"). The November 2019 Authorization, which was announced on November 13, 2019, does not have a specified expiration date. On March 5, 2020, our board of directors authorized the repurchase by us from time to time in the open market or in privately negotiated transactions of up to three million shares of our common stock (the "March 2020 Authorization") in addition to the November 2019 Authorization. The March 2020 Authorization, which was announced on March 11, 2020, does not have a specified expiration date.</w:t>
      </w:r>
    </w:p>
    <w:p>
      <w:pPr>
        <w:ind w:left="500" w:hanging="330"/>
        <w:spacing w:after="0" w:line="241"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includes 898 shares of common stock released to us by team members as payment of tax withholdings upon the vesting of restricted stock units and the conversion of restricted stock units to common stock.</w:t>
      </w:r>
    </w:p>
    <w:p>
      <w:pPr>
        <w:ind w:left="500" w:hanging="330"/>
        <w:spacing w:after="0" w:line="241"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includes 9,255 shares of common stock released to us by team members as payment of tax withholdings upon the conversion of restricted stock units to common stock and the vesting of restricted stock.</w:t>
      </w:r>
    </w:p>
    <w:p>
      <w:pPr>
        <w:ind w:left="500" w:hanging="330"/>
        <w:spacing w:after="0"/>
        <w:tabs>
          <w:tab w:leader="none" w:pos="5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 includes 4,910 shares of common stock released to us by team members as payment of tax withholdings upon the vesting of restricted stock and restricted stock units.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No.</w:t>
      </w:r>
    </w:p>
    <w:p>
      <w:pPr>
        <w:spacing w:after="0" w:line="157" w:lineRule="exact"/>
        <w:rPr>
          <w:sz w:val="20"/>
          <w:szCs w:val="20"/>
          <w:color w:val="auto"/>
        </w:rPr>
      </w:pPr>
    </w:p>
    <w:p>
      <w:pPr>
        <w:jc w:val="center"/>
        <w:ind w:left="28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4.107</w:t>
        </w:r>
      </w:hyperlink>
    </w:p>
    <w:p>
      <w:pPr>
        <w:spacing w:after="0" w:line="387" w:lineRule="exact"/>
        <w:rPr>
          <w:sz w:val="20"/>
          <w:szCs w:val="20"/>
          <w:color w:val="auto"/>
        </w:rPr>
      </w:pPr>
    </w:p>
    <w:p>
      <w:pPr>
        <w:jc w:val="center"/>
        <w:ind w:left="28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4.108</w:t>
        </w:r>
      </w:hyperlink>
    </w:p>
    <w:p>
      <w:pPr>
        <w:spacing w:after="0" w:line="200" w:lineRule="exact"/>
        <w:rPr>
          <w:sz w:val="20"/>
          <w:szCs w:val="20"/>
          <w:color w:val="auto"/>
        </w:rPr>
      </w:pPr>
    </w:p>
    <w:p>
      <w:pPr>
        <w:spacing w:after="0" w:line="295" w:lineRule="exact"/>
        <w:rPr>
          <w:sz w:val="20"/>
          <w:szCs w:val="20"/>
          <w:color w:val="auto"/>
        </w:rPr>
      </w:pPr>
    </w:p>
    <w:p>
      <w:pPr>
        <w:jc w:val="center"/>
        <w:ind w:left="28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4.109</w:t>
        </w:r>
      </w:hyperlink>
    </w:p>
    <w:p>
      <w:pPr>
        <w:spacing w:after="0" w:line="200" w:lineRule="exact"/>
        <w:rPr>
          <w:sz w:val="20"/>
          <w:szCs w:val="20"/>
          <w:color w:val="auto"/>
        </w:rPr>
      </w:pPr>
    </w:p>
    <w:p>
      <w:pPr>
        <w:spacing w:after="0" w:line="295" w:lineRule="exact"/>
        <w:rPr>
          <w:sz w:val="20"/>
          <w:szCs w:val="20"/>
          <w:color w:val="auto"/>
        </w:rPr>
      </w:pPr>
    </w:p>
    <w:p>
      <w:pPr>
        <w:jc w:val="center"/>
        <w:ind w:left="28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4.110</w:t>
        </w:r>
      </w:hyperlink>
    </w:p>
    <w:p>
      <w:pPr>
        <w:spacing w:after="0" w:line="387" w:lineRule="exact"/>
        <w:rPr>
          <w:sz w:val="20"/>
          <w:szCs w:val="20"/>
          <w:color w:val="auto"/>
        </w:rPr>
      </w:pPr>
    </w:p>
    <w:p>
      <w:pPr>
        <w:jc w:val="center"/>
        <w:ind w:left="30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4.111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28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4.112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31.1</w:t>
        </w:r>
      </w:hyperlink>
    </w:p>
    <w:p>
      <w:pPr>
        <w:spacing w:after="0" w:line="63" w:lineRule="exact"/>
        <w:rPr>
          <w:sz w:val="20"/>
          <w:szCs w:val="20"/>
          <w:color w:val="auto"/>
        </w:rPr>
      </w:pPr>
    </w:p>
    <w:p>
      <w:pPr>
        <w:ind w:left="4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31.2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3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34290</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7" w:lineRule="exact"/>
        <w:rPr>
          <w:sz w:val="20"/>
          <w:szCs w:val="20"/>
          <w:color w:val="auto"/>
        </w:rPr>
      </w:pPr>
    </w:p>
    <w:p>
      <w:pPr>
        <w:jc w:val="both"/>
        <w:ind w:left="160" w:right="40"/>
        <w:spacing w:after="0" w:line="298" w:lineRule="auto"/>
        <w:rPr>
          <w:sz w:val="20"/>
          <w:szCs w:val="20"/>
          <w:color w:val="auto"/>
        </w:rPr>
      </w:pPr>
      <w:r>
        <w:rPr>
          <w:rFonts w:ascii="Arial" w:cs="Arial" w:eastAsia="Arial" w:hAnsi="Arial"/>
          <w:sz w:val="17"/>
          <w:szCs w:val="17"/>
          <w:color w:val="auto"/>
        </w:rPr>
        <w:t>Indenture dated as of February 20, 2020, between Credit Acceptance Auto Loan Trust 2020-1 and Wells Fargo Bank, National Association (incorporated by reference to Exhibit 4.107 to the Company’s Current Report on Form 8-K filed February 24, 2020).</w:t>
      </w:r>
    </w:p>
    <w:p>
      <w:pPr>
        <w:spacing w:after="0" w:line="1" w:lineRule="exact"/>
        <w:rPr>
          <w:sz w:val="20"/>
          <w:szCs w:val="20"/>
          <w:color w:val="auto"/>
        </w:rPr>
      </w:pPr>
    </w:p>
    <w:p>
      <w:pPr>
        <w:jc w:val="both"/>
        <w:ind w:left="160" w:right="40"/>
        <w:spacing w:after="0" w:line="263" w:lineRule="auto"/>
        <w:rPr>
          <w:sz w:val="20"/>
          <w:szCs w:val="20"/>
          <w:color w:val="auto"/>
        </w:rPr>
      </w:pPr>
      <w:r>
        <w:rPr>
          <w:rFonts w:ascii="Arial" w:cs="Arial" w:eastAsia="Arial" w:hAnsi="Arial"/>
          <w:sz w:val="18"/>
          <w:szCs w:val="18"/>
          <w:color w:val="auto"/>
        </w:rPr>
        <w:t>Sale and Servicing Agreement, dated as of February 20, 2020, among the Company, Credit Acceptance Auto Loan Trust 2020-1, Credit Acceptance Funding LLC 2020-1 and Wells Fargo Bank, National Association (incorporated by reference to Exhibit 4.108 to the Company’s Current Report on Form 8-K filed 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 w:lineRule="exact"/>
        <w:rPr>
          <w:sz w:val="20"/>
          <w:szCs w:val="20"/>
          <w:color w:val="auto"/>
        </w:rPr>
      </w:pPr>
    </w:p>
    <w:p>
      <w:pPr>
        <w:jc w:val="both"/>
        <w:ind w:left="160" w:right="20"/>
        <w:spacing w:after="0" w:line="263" w:lineRule="auto"/>
        <w:rPr>
          <w:sz w:val="20"/>
          <w:szCs w:val="20"/>
          <w:color w:val="auto"/>
        </w:rPr>
      </w:pPr>
      <w:r>
        <w:rPr>
          <w:rFonts w:ascii="Arial" w:cs="Arial" w:eastAsia="Arial" w:hAnsi="Arial"/>
          <w:sz w:val="18"/>
          <w:szCs w:val="18"/>
          <w:color w:val="auto"/>
        </w:rPr>
        <w:t>Backup Servicing Agreement, dated as of February 20, 2020, among the Company, Credit Acceptance Funding LLC 2020-1, Credit Acceptance Auto Loan Trust 2020-1 and Wells Fargo Bank, National Association (incorporated by reference to Exhibit 4.109 to the Company’s Current Report on Form 8-K filed February 24, 2020).</w:t>
      </w:r>
    </w:p>
    <w:p>
      <w:pPr>
        <w:spacing w:after="0" w:line="22" w:lineRule="exact"/>
        <w:rPr>
          <w:sz w:val="20"/>
          <w:szCs w:val="20"/>
          <w:color w:val="auto"/>
        </w:rPr>
      </w:pPr>
    </w:p>
    <w:p>
      <w:pPr>
        <w:jc w:val="both"/>
        <w:ind w:left="160" w:right="40"/>
        <w:spacing w:after="0" w:line="263" w:lineRule="auto"/>
        <w:rPr>
          <w:sz w:val="20"/>
          <w:szCs w:val="20"/>
          <w:color w:val="auto"/>
        </w:rPr>
      </w:pPr>
      <w:r>
        <w:rPr>
          <w:rFonts w:ascii="Arial" w:cs="Arial" w:eastAsia="Arial" w:hAnsi="Arial"/>
          <w:sz w:val="18"/>
          <w:szCs w:val="18"/>
          <w:color w:val="auto"/>
        </w:rPr>
        <w:t>Amended and Restated Trust Agreement, dated as of February 20, 2020, among Credit Acceptance Funding LLC 2020-1 and U.S. Bank Trust National Association (incorporated by reference to Exhibit 4.110 to the Company’s Current Report on Form 8-K filed 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 w:lineRule="exact"/>
        <w:rPr>
          <w:sz w:val="20"/>
          <w:szCs w:val="20"/>
          <w:color w:val="auto"/>
        </w:rPr>
      </w:pPr>
    </w:p>
    <w:p>
      <w:pPr>
        <w:jc w:val="both"/>
        <w:ind w:left="160" w:right="40"/>
        <w:spacing w:after="0" w:line="298" w:lineRule="auto"/>
        <w:rPr>
          <w:sz w:val="20"/>
          <w:szCs w:val="20"/>
          <w:color w:val="auto"/>
        </w:rPr>
      </w:pPr>
      <w:r>
        <w:rPr>
          <w:rFonts w:ascii="Arial" w:cs="Arial" w:eastAsia="Arial" w:hAnsi="Arial"/>
          <w:sz w:val="17"/>
          <w:szCs w:val="17"/>
          <w:color w:val="auto"/>
        </w:rPr>
        <w:t>Sale and Contribution Agreement, dated as of February 20, 2020, between the Company and Credit Acceptance Funding LLC 2020-1 (incorporated by reference to Exhibit 4.111 to the Company’s Current Report on Form 8-K filed February 24, 2020).</w:t>
      </w:r>
    </w:p>
    <w:p>
      <w:pPr>
        <w:spacing w:after="0" w:line="1" w:lineRule="exact"/>
        <w:rPr>
          <w:sz w:val="20"/>
          <w:szCs w:val="20"/>
          <w:color w:val="auto"/>
        </w:rPr>
      </w:pPr>
    </w:p>
    <w:p>
      <w:pPr>
        <w:jc w:val="both"/>
        <w:ind w:left="160" w:right="20"/>
        <w:spacing w:after="0" w:line="287" w:lineRule="auto"/>
        <w:rPr>
          <w:sz w:val="20"/>
          <w:szCs w:val="20"/>
          <w:color w:val="auto"/>
        </w:rPr>
      </w:pPr>
      <w:r>
        <w:rPr>
          <w:rFonts w:ascii="Arial" w:cs="Arial" w:eastAsia="Arial" w:hAnsi="Arial"/>
          <w:sz w:val="16"/>
          <w:szCs w:val="16"/>
          <w:color w:val="auto"/>
        </w:rPr>
        <w:t>Amended and Restated Intercreditor Agreement, dated February 20, 2020, among the Company, CAC Warehouse Funding Corporation II, CAC Warehouse Funding LLC IV, CAC Warehouse Funding LLC V, CAC Warehouse Funding LLC VI, CAC Warehouse Funding LLC VII, CAC Warehouse Funding LLC VIII, Credit Acceptance Funding LLC 2020-1, Credit Acceptance Funding LLC 2019-3, Credit Acceptance Funding LLC 2019-2, Credit Acceptance Funding LLC 2019-1, Credit Acceptance Funding LLC 2018-3, Credit Acceptance Funding LLC 2018-2, Credit Acceptance Funding LLC 2018-1, Credit Acceptance Funding LLC 2017-3, Credit Acceptance Funding LLC 2017-2, Credit Acceptance Funding LLC 2017-1, Credit Acceptance Auto Loan Trust 2020-1, Credit Acceptance Auto Loan Trust 2019-3, Credit Acceptance Auto Loan Trust 2019-1, Credit Acceptance Auto Loan Trust 2018-3, Credit Acceptance Auto Loan Trust 2018-2, Credit Acceptance Auto Loan Trust 2018-1, Credit Acceptance Auto Loan Trust 2017-3, Credit Acceptance Auto Loan Trust 2017-2, Credit Acceptance Auto Loan Trust 2017-1, Wells Fargo Bank, National Association, as agent, Fifth Third Bank, as agent, Bank of Montreal, as agent, Flagstar Bank, FSB, as agent, Citizens Bank, N.A., as agent and Comerica Bank, as agent (incorporated by reference to Exhibit 4.112 to the Company’s Current Report on Form 8-K filed 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pacing w:after="0" w:line="50" w:lineRule="exact"/>
        <w:rPr>
          <w:sz w:val="20"/>
          <w:szCs w:val="20"/>
          <w:color w:val="auto"/>
        </w:rPr>
      </w:pPr>
    </w:p>
    <w:p>
      <w:pPr>
        <w:sectPr>
          <w:pgSz w:w="11900" w:h="16838" w:orient="portrait"/>
          <w:cols w:equalWidth="0" w:num="2">
            <w:col w:w="860" w:space="260"/>
            <w:col w:w="10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20" w:type="dxa"/>
            <w:vAlign w:val="bottom"/>
            <w:vMerge w:val="restart"/>
            <w:shd w:val="clear" w:color="auto" w:fill="CCEEFF"/>
          </w:tcPr>
          <w:p>
            <w:pPr>
              <w:jc w:val="center"/>
              <w:spacing w:after="0"/>
              <w:rPr>
                <w:rFonts w:ascii="Arial" w:cs="Arial" w:eastAsia="Arial" w:hAnsi="Arial"/>
                <w:sz w:val="18"/>
                <w:szCs w:val="18"/>
                <w:u w:val="single" w:color="auto"/>
                <w:color w:val="0000FF"/>
                <w:w w:val="91"/>
              </w:rPr>
            </w:pPr>
            <w:hyperlink w:anchor="page65">
              <w:r>
                <w:rPr>
                  <w:rFonts w:ascii="Arial" w:cs="Arial" w:eastAsia="Arial" w:hAnsi="Arial"/>
                  <w:sz w:val="18"/>
                  <w:szCs w:val="18"/>
                  <w:u w:val="single" w:color="auto"/>
                  <w:color w:val="0000FF"/>
                  <w:w w:val="91"/>
                </w:rPr>
                <w:t>32.1</w:t>
              </w:r>
            </w:hyperlink>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22"/>
        </w:trPr>
        <w:tc>
          <w:tcPr>
            <w:tcW w:w="1120" w:type="dxa"/>
            <w:vAlign w:val="bottom"/>
            <w:vMerge w:val="continue"/>
            <w:shd w:val="clear" w:color="auto" w:fill="CCEEFF"/>
          </w:tcPr>
          <w:p>
            <w:pPr>
              <w:spacing w:after="0"/>
              <w:rPr>
                <w:sz w:val="10"/>
                <w:szCs w:val="10"/>
                <w:color w:val="auto"/>
              </w:rPr>
            </w:pPr>
          </w:p>
        </w:tc>
        <w:tc>
          <w:tcPr>
            <w:tcW w:w="101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15"/>
        </w:trPr>
        <w:tc>
          <w:tcPr>
            <w:tcW w:w="1120" w:type="dxa"/>
            <w:vAlign w:val="bottom"/>
            <w:tcBorders>
              <w:bottom w:val="single" w:sz="8" w:color="CCEEFF"/>
            </w:tcBorders>
            <w:shd w:val="clear" w:color="auto" w:fill="CCEEFF"/>
          </w:tcPr>
          <w:p>
            <w:pPr>
              <w:spacing w:after="0"/>
              <w:rPr>
                <w:sz w:val="10"/>
                <w:szCs w:val="10"/>
                <w:color w:val="auto"/>
              </w:rPr>
            </w:pPr>
          </w:p>
        </w:tc>
        <w:tc>
          <w:tcPr>
            <w:tcW w:w="101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120" w:type="dxa"/>
            <w:vAlign w:val="bottom"/>
            <w:vMerge w:val="restart"/>
          </w:tcPr>
          <w:p>
            <w:pPr>
              <w:jc w:val="center"/>
              <w:spacing w:after="0"/>
              <w:rPr>
                <w:rFonts w:ascii="Arial" w:cs="Arial" w:eastAsia="Arial" w:hAnsi="Arial"/>
                <w:sz w:val="18"/>
                <w:szCs w:val="18"/>
                <w:u w:val="single" w:color="auto"/>
                <w:color w:val="0000FF"/>
                <w:w w:val="91"/>
              </w:rPr>
            </w:pPr>
            <w:hyperlink w:anchor="page66">
              <w:r>
                <w:rPr>
                  <w:rFonts w:ascii="Arial" w:cs="Arial" w:eastAsia="Arial" w:hAnsi="Arial"/>
                  <w:sz w:val="18"/>
                  <w:szCs w:val="18"/>
                  <w:u w:val="single" w:color="auto"/>
                  <w:color w:val="0000FF"/>
                  <w:w w:val="91"/>
                </w:rPr>
                <w:t>32.2</w:t>
              </w:r>
            </w:hyperlink>
          </w:p>
        </w:tc>
        <w:tc>
          <w:tcPr>
            <w:tcW w:w="10120" w:type="dxa"/>
            <w:vAlign w:val="bottom"/>
          </w:tcPr>
          <w:p>
            <w:pPr>
              <w:ind w:left="16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10120" w:type="dxa"/>
            <w:vAlign w:val="bottom"/>
            <w:vMerge w:val="restart"/>
          </w:tcPr>
          <w:p>
            <w:pPr>
              <w:ind w:left="1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0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101(SCH)</w:t>
            </w:r>
          </w:p>
        </w:tc>
        <w:tc>
          <w:tcPr>
            <w:tcW w:w="10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96"/>
              </w:rPr>
              <w:t>101(CAL)</w:t>
            </w:r>
          </w:p>
        </w:tc>
        <w:tc>
          <w:tcPr>
            <w:tcW w:w="1012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101(LAB)</w:t>
            </w:r>
          </w:p>
        </w:tc>
        <w:tc>
          <w:tcPr>
            <w:tcW w:w="1012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101(PRE)</w:t>
            </w:r>
          </w:p>
        </w:tc>
        <w:tc>
          <w:tcPr>
            <w:tcW w:w="10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
        </w:trPr>
        <w:tc>
          <w:tcPr>
            <w:tcW w:w="1120" w:type="dxa"/>
            <w:vAlign w:val="bottom"/>
            <w:shd w:val="clear" w:color="auto" w:fill="CCEEFF"/>
          </w:tcPr>
          <w:p>
            <w:pPr>
              <w:spacing w:after="0"/>
              <w:rPr>
                <w:sz w:val="2"/>
                <w:szCs w:val="2"/>
                <w:color w:val="auto"/>
              </w:rPr>
            </w:pPr>
          </w:p>
        </w:tc>
        <w:tc>
          <w:tcPr>
            <w:tcW w:w="10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540" w:right="5520" w:hanging="5100"/>
        <w:spacing w:after="0" w:line="564" w:lineRule="auto"/>
        <w:tabs>
          <w:tab w:leader="none" w:pos="1283"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Cover Page Interactive Data File (included in Exhibit 101). 58</w:t>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CREDIT ACCEPTANCE CORPORATION</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40"/>
              <w:spacing w:after="0"/>
              <w:rPr>
                <w:sz w:val="20"/>
                <w:szCs w:val="20"/>
                <w:color w:val="auto"/>
              </w:rPr>
            </w:pPr>
            <w:r>
              <w:rPr>
                <w:rFonts w:ascii="Arial" w:cs="Arial" w:eastAsia="Arial" w:hAnsi="Arial"/>
                <w:sz w:val="18"/>
                <w:szCs w:val="18"/>
                <w:color w:val="auto"/>
              </w:rPr>
              <w:t>/s/ Kenneth S. Booth</w:t>
            </w:r>
          </w:p>
        </w:tc>
      </w:tr>
      <w:tr>
        <w:trPr>
          <w:trHeight w:val="34"/>
        </w:trPr>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43"/>
        </w:trPr>
        <w:tc>
          <w:tcPr>
            <w:tcW w:w="166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Kenneth S. Booth</w:t>
            </w:r>
          </w:p>
        </w:tc>
      </w:tr>
      <w:tr>
        <w:trPr>
          <w:trHeight w:val="270"/>
        </w:trPr>
        <w:tc>
          <w:tcPr>
            <w:tcW w:w="1660" w:type="dxa"/>
            <w:vAlign w:val="bottom"/>
          </w:tcPr>
          <w:p>
            <w:pPr>
              <w:spacing w:after="0"/>
              <w:rPr>
                <w:sz w:val="23"/>
                <w:szCs w:val="23"/>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1660" w:type="dxa"/>
            <w:vAlign w:val="bottom"/>
          </w:tcPr>
          <w:p>
            <w:pPr>
              <w:spacing w:after="0"/>
              <w:rPr>
                <w:sz w:val="23"/>
                <w:szCs w:val="23"/>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40"/>
              <w:spacing w:after="0"/>
              <w:rPr>
                <w:sz w:val="20"/>
                <w:szCs w:val="20"/>
                <w:color w:val="auto"/>
              </w:rPr>
            </w:pPr>
            <w:r>
              <w:rPr>
                <w:rFonts w:ascii="Arial" w:cs="Arial" w:eastAsia="Arial" w:hAnsi="Arial"/>
                <w:sz w:val="18"/>
                <w:szCs w:val="18"/>
                <w:color w:val="auto"/>
              </w:rPr>
              <w:t>May 27, 2020</w:t>
            </w:r>
          </w:p>
        </w:tc>
      </w:tr>
      <w:tr>
        <w:trPr>
          <w:trHeight w:val="675"/>
        </w:trPr>
        <w:tc>
          <w:tcPr>
            <w:tcW w:w="1660" w:type="dxa"/>
            <w:vAlign w:val="bottom"/>
          </w:tcPr>
          <w:p>
            <w:pPr>
              <w:spacing w:after="0"/>
              <w:rPr>
                <w:sz w:val="24"/>
                <w:szCs w:val="24"/>
                <w:color w:val="auto"/>
              </w:rPr>
            </w:pPr>
          </w:p>
        </w:tc>
        <w:tc>
          <w:tcPr>
            <w:tcW w:w="5040" w:type="dxa"/>
            <w:vAlign w:val="bottom"/>
          </w:tcPr>
          <w:p>
            <w:pPr>
              <w:ind w:left="138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225" w:lineRule="exact"/>
        <w:rPr>
          <w:sz w:val="20"/>
          <w:szCs w:val="20"/>
          <w:color w:val="auto"/>
        </w:rPr>
      </w:pPr>
    </w:p>
    <w:p>
      <w:pPr>
        <w:ind w:left="840" w:hanging="184"/>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6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36"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80"/>
        <w:spacing w:after="0" w:line="308" w:lineRule="auto"/>
        <w:tabs>
          <w:tab w:leader="none" w:pos="1234"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80"/>
        <w:spacing w:after="0" w:line="263" w:lineRule="auto"/>
        <w:tabs>
          <w:tab w:leader="none" w:pos="1242"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80"/>
        <w:spacing w:after="0" w:line="277" w:lineRule="auto"/>
        <w:tabs>
          <w:tab w:leader="none" w:pos="124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80"/>
        <w:spacing w:after="0" w:line="277" w:lineRule="auto"/>
        <w:tabs>
          <w:tab w:leader="none" w:pos="123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 w:leader="none" w:pos="5760" w:val="left"/>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23488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7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25" w:lineRule="exact"/>
        <w:rPr>
          <w:sz w:val="20"/>
          <w:szCs w:val="20"/>
          <w:color w:val="auto"/>
        </w:rPr>
      </w:pPr>
    </w:p>
    <w:p>
      <w:pPr>
        <w:ind w:left="840" w:hanging="184"/>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Credit Acceptance Corporation;</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6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80"/>
        <w:spacing w:after="0" w:line="308" w:lineRule="auto"/>
        <w:tabs>
          <w:tab w:leader="none" w:pos="1234"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80"/>
        <w:spacing w:after="0" w:line="263" w:lineRule="auto"/>
        <w:tabs>
          <w:tab w:leader="none" w:pos="1242"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3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80"/>
        <w:spacing w:after="0" w:line="277" w:lineRule="auto"/>
        <w:tabs>
          <w:tab w:leader="none" w:pos="124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80"/>
        <w:spacing w:after="0" w:line="277" w:lineRule="auto"/>
        <w:tabs>
          <w:tab w:leader="none" w:pos="123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 w:leader="none" w:pos="5760" w:val="left"/>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23488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7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Credit Acceptance Corporation (the "Company") for the quarterly period ending March 31, 2020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1000" w:hanging="290"/>
        <w:spacing w:after="0"/>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920" w:val="left"/>
          <w:tab w:leader="none" w:pos="5760" w:val="left"/>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23488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7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Credit Acceptance Corporation (the "Company") for the quarterly period ending March 31, 2020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187" w:lineRule="exact"/>
        <w:rPr>
          <w:sz w:val="20"/>
          <w:szCs w:val="20"/>
          <w:color w:val="auto"/>
        </w:rPr>
      </w:pPr>
    </w:p>
    <w:p>
      <w:pPr>
        <w:ind w:left="920" w:hanging="264"/>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920" w:val="left"/>
          <w:tab w:leader="none" w:pos="5760" w:val="left"/>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234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7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3"/>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4"/>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5"/>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lvl w:ilvl="1">
      <w:lvlJc w:val="left"/>
      <w:lvlText w:val="(%2)"/>
      <w:numFmt w:val="decimal"/>
      <w:start w:val="1"/>
    </w:lvl>
  </w:abstractNum>
  <w:abstractNum w:abstractNumId="32">
    <w:nsid w:val="75C6C33A"/>
    <w:multiLevelType w:val="hybridMultilevel"/>
    <w:lvl w:ilvl="0">
      <w:lvlJc w:val="left"/>
      <w:lvlText w:val="%1."/>
      <w:numFmt w:val="decimal"/>
      <w:start w:val="8"/>
    </w:lvl>
    <w:lvl w:ilvl="1">
      <w:lvlJc w:val="left"/>
      <w:lvlText w:val="%2"/>
      <w:numFmt w:val="decimal"/>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0"/>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1"/>
    </w:lvl>
  </w:abstractNum>
  <w:abstractNum w:abstractNumId="39">
    <w:nsid w:val="649BB77C"/>
    <w:multiLevelType w:val="hybridMultilevel"/>
    <w:lvl w:ilvl="0">
      <w:lvlJc w:val="left"/>
      <w:lvlText w:val="%1."/>
      <w:numFmt w:val="decimal"/>
      <w:start w:val="12"/>
    </w:lvl>
  </w:abstractNum>
  <w:abstractNum w:abstractNumId="40">
    <w:nsid w:val="275AC794"/>
    <w:multiLevelType w:val="hybridMultilevel"/>
    <w:lvl w:ilvl="0">
      <w:lvlJc w:val="left"/>
      <w:lvlText w:val="%1."/>
      <w:numFmt w:val="decimal"/>
      <w:start w:val="13"/>
    </w:lvl>
  </w:abstractNum>
  <w:abstractNum w:abstractNumId="41">
    <w:nsid w:val="39386575"/>
    <w:multiLevelType w:val="hybridMultilevel"/>
    <w:lvl w:ilvl="0">
      <w:lvlJc w:val="left"/>
      <w:lvlText w:val="%1"/>
      <w:numFmt w:val="decimal"/>
      <w:start w:val="1"/>
    </w:lvl>
    <w:lvl w:ilvl="1">
      <w:lvlJc w:val="left"/>
      <w:lvlText w:val="(%2)"/>
      <w:numFmt w:val="decimal"/>
      <w:start w:val="1"/>
    </w:lvl>
  </w:abstractNum>
  <w:abstractNum w:abstractNumId="42">
    <w:nsid w:val="1CF10FD8"/>
    <w:multiLevelType w:val="hybridMultilevel"/>
    <w:lvl w:ilvl="0">
      <w:lvlJc w:val="left"/>
      <w:lvlText w:val="%1."/>
      <w:numFmt w:val="decimal"/>
      <w:start w:val="14"/>
    </w:lvl>
    <w:lvl w:ilvl="1">
      <w:lvlJc w:val="left"/>
      <w:lvlText w:val="%2"/>
      <w:numFmt w:val="decimal"/>
      <w:start w:val="1"/>
    </w:lvl>
  </w:abstractNum>
  <w:abstractNum w:abstractNumId="43">
    <w:nsid w:val="180115BE"/>
    <w:multiLevelType w:val="hybridMultilevel"/>
    <w:lvl w:ilvl="0">
      <w:lvlJc w:val="left"/>
      <w:lvlText w:val="%1."/>
      <w:numFmt w:val="decimal"/>
      <w:start w:val="15"/>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2"/>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104"/>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2"/>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22" Type="http://schemas.openxmlformats.org/officeDocument/2006/relationships/hyperlink" Target="http://www.sec.gov/Archives/edgar/data/885550/000088555020000029/cacc8k20200220ia.htm" TargetMode="External"/><Relationship Id="rId23" Type="http://schemas.openxmlformats.org/officeDocument/2006/relationships/hyperlink" Target="http://www.sec.gov/Archives/edgar/data/885550/000088555020000029/cacc8k20200220ssa.htm" TargetMode="External"/><Relationship Id="rId24" Type="http://schemas.openxmlformats.org/officeDocument/2006/relationships/hyperlink" Target="http://www.sec.gov/Archives/edgar/data/885550/000088555020000029/cacc8k20200220bsa.htm" TargetMode="External"/><Relationship Id="rId25" Type="http://schemas.openxmlformats.org/officeDocument/2006/relationships/hyperlink" Target="http://www.sec.gov/Archives/edgar/data/885550/000088555020000029/cacc8k20200220arta.htm" TargetMode="External"/><Relationship Id="rId26" Type="http://schemas.openxmlformats.org/officeDocument/2006/relationships/hyperlink" Target="http://www.sec.gov/Archives/edgar/data/885550/000088555020000029/cacc8k20200220sca.htm" TargetMode="External"/><Relationship Id="rId27" Type="http://schemas.openxmlformats.org/officeDocument/2006/relationships/hyperlink" Target="http://www.sec.gov/Archives/edgar/data/885550/000088555020000029/cacc8k20200220ar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2020-05-27T15:10:28Z</dcterms:created>
  <dcterms:modified xsi:type="dcterms:W3CDTF">2020-05-27T15:10:28Z</dcterms:modified>
</cp:coreProperties>
</file>