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 2011</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40" w:type="dxa"/>
            <w:vAlign w:val="bottom"/>
            <w:gridSpan w:val="5"/>
          </w:tcPr>
          <w:p>
            <w:pPr>
              <w:jc w:val="right"/>
              <w:ind w:right="3768"/>
              <w:spacing w:after="0"/>
              <w:rPr>
                <w:sz w:val="20"/>
                <w:szCs w:val="20"/>
                <w:color w:val="auto"/>
              </w:rPr>
            </w:pPr>
            <w:r>
              <w:rPr>
                <w:rFonts w:ascii="Arial" w:cs="Arial" w:eastAsia="Arial" w:hAnsi="Arial"/>
                <w:sz w:val="18"/>
                <w:szCs w:val="18"/>
                <w:color w:val="auto"/>
                <w:w w:val="94"/>
              </w:rPr>
              <w:t>(Exact name of registrant as specified in its charter)</w:t>
            </w:r>
          </w:p>
        </w:tc>
      </w:tr>
      <w:tr>
        <w:trPr>
          <w:trHeight w:val="936"/>
        </w:trPr>
        <w:tc>
          <w:tcPr>
            <w:tcW w:w="3180" w:type="dxa"/>
            <w:vAlign w:val="bottom"/>
          </w:tcPr>
          <w:p>
            <w:pPr>
              <w:jc w:val="center"/>
              <w:ind w:left="417"/>
              <w:spacing w:after="0"/>
              <w:rPr>
                <w:sz w:val="20"/>
                <w:szCs w:val="20"/>
                <w:color w:val="auto"/>
              </w:rPr>
            </w:pPr>
            <w:r>
              <w:rPr>
                <w:rFonts w:ascii="Arial" w:cs="Arial" w:eastAsia="Arial" w:hAnsi="Arial"/>
                <w:sz w:val="18"/>
                <w:szCs w:val="18"/>
                <w:color w:val="auto"/>
                <w:w w:val="94"/>
              </w:rPr>
              <w:t>Michigan</w:t>
            </w:r>
          </w:p>
        </w:tc>
        <w:tc>
          <w:tcPr>
            <w:tcW w:w="3380" w:type="dxa"/>
            <w:vAlign w:val="bottom"/>
            <w:gridSpan w:val="3"/>
          </w:tcPr>
          <w:p>
            <w:pPr>
              <w:jc w:val="right"/>
              <w:ind w:right="648"/>
              <w:spacing w:after="0"/>
              <w:rPr>
                <w:sz w:val="20"/>
                <w:szCs w:val="20"/>
                <w:color w:val="auto"/>
              </w:rPr>
            </w:pPr>
            <w:r>
              <w:rPr>
                <w:rFonts w:ascii="Arial" w:cs="Arial" w:eastAsia="Arial" w:hAnsi="Arial"/>
                <w:sz w:val="18"/>
                <w:szCs w:val="18"/>
                <w:color w:val="auto"/>
              </w:rPr>
              <w:t>000-20202</w:t>
            </w: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182"/>
        </w:trPr>
        <w:tc>
          <w:tcPr>
            <w:tcW w:w="3180" w:type="dxa"/>
            <w:vAlign w:val="bottom"/>
            <w:tcBorders>
              <w:top w:val="single" w:sz="8" w:color="auto"/>
            </w:tcBorders>
          </w:tcPr>
          <w:p>
            <w:pPr>
              <w:jc w:val="center"/>
              <w:ind w:left="417"/>
              <w:spacing w:after="0"/>
              <w:rPr>
                <w:sz w:val="20"/>
                <w:szCs w:val="20"/>
                <w:color w:val="auto"/>
              </w:rPr>
            </w:pPr>
            <w:r>
              <w:rPr>
                <w:rFonts w:ascii="Arial" w:cs="Arial" w:eastAsia="Arial" w:hAnsi="Arial"/>
                <w:sz w:val="14"/>
                <w:szCs w:val="14"/>
                <w:color w:val="auto"/>
                <w:w w:val="95"/>
              </w:rPr>
              <w:t>(State or other jurisdiction of incorporation)</w:t>
            </w:r>
          </w:p>
        </w:tc>
        <w:tc>
          <w:tcPr>
            <w:tcW w:w="50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17"/>
        </w:trPr>
        <w:tc>
          <w:tcPr>
            <w:tcW w:w="3180" w:type="dxa"/>
            <w:vAlign w:val="bottom"/>
          </w:tcPr>
          <w:p>
            <w:pPr>
              <w:jc w:val="center"/>
              <w:ind w:left="517"/>
              <w:spacing w:after="0"/>
              <w:rPr>
                <w:sz w:val="20"/>
                <w:szCs w:val="20"/>
                <w:color w:val="auto"/>
              </w:rPr>
            </w:pPr>
            <w:r>
              <w:rPr>
                <w:rFonts w:ascii="Arial" w:cs="Arial" w:eastAsia="Arial" w:hAnsi="Arial"/>
                <w:sz w:val="18"/>
                <w:szCs w:val="18"/>
                <w:color w:val="auto"/>
                <w:w w:val="90"/>
              </w:rPr>
              <w:t>25505 West Twelve Mile Road</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37"/>
        </w:trPr>
        <w:tc>
          <w:tcPr>
            <w:tcW w:w="318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3"/>
              </w:rPr>
              <w:t>Southfield, Michigan</w:t>
            </w:r>
          </w:p>
        </w:tc>
        <w:tc>
          <w:tcPr>
            <w:tcW w:w="50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182"/>
        </w:trPr>
        <w:tc>
          <w:tcPr>
            <w:tcW w:w="3180" w:type="dxa"/>
            <w:vAlign w:val="bottom"/>
          </w:tcPr>
          <w:p>
            <w:pPr>
              <w:jc w:val="center"/>
              <w:ind w:left="497"/>
              <w:spacing w:after="0"/>
              <w:rPr>
                <w:sz w:val="20"/>
                <w:szCs w:val="20"/>
                <w:color w:val="auto"/>
              </w:rPr>
            </w:pPr>
            <w:r>
              <w:rPr>
                <w:rFonts w:ascii="Arial" w:cs="Arial" w:eastAsia="Arial" w:hAnsi="Arial"/>
                <w:sz w:val="14"/>
                <w:szCs w:val="14"/>
                <w:color w:val="auto"/>
                <w:w w:val="95"/>
              </w:rPr>
              <w:t>(Address of principal executive offices)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669"/>
        </w:trPr>
        <w:tc>
          <w:tcPr>
            <w:tcW w:w="3180" w:type="dxa"/>
            <w:vAlign w:val="bottom"/>
          </w:tcPr>
          <w:p>
            <w:pPr>
              <w:spacing w:after="0"/>
              <w:rPr>
                <w:sz w:val="24"/>
                <w:szCs w:val="24"/>
                <w:color w:val="auto"/>
              </w:rPr>
            </w:pPr>
          </w:p>
        </w:tc>
        <w:tc>
          <w:tcPr>
            <w:tcW w:w="3900" w:type="dxa"/>
            <w:vAlign w:val="bottom"/>
            <w:gridSpan w:val="4"/>
          </w:tcPr>
          <w:p>
            <w:pPr>
              <w:ind w:left="8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3876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2011, Credit Acceptance Corporation (the “Company”) issued a press release announcing its financial results for the three months and year ended December 31, 2010 and details for the related February 2, 2011 webcast. The press release is attached as Exhibit 99.1 to this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1136015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ACCEPTANCE CORPORATION</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 2011</w:t>
      </w:r>
      <w:r>
        <w:rPr>
          <w:sz w:val="20"/>
          <w:szCs w:val="20"/>
          <w:color w:val="auto"/>
        </w:rPr>
        <w:tab/>
      </w:r>
      <w:r>
        <w:rPr>
          <w:rFonts w:ascii="Arial" w:cs="Arial" w:eastAsia="Arial" w:hAnsi="Arial"/>
          <w:sz w:val="16"/>
          <w:szCs w:val="16"/>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1264285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February 2, 2011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2010 EARNINGS</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Southfield, Michigan – February 2, 2011 – Credit Acceptance Corporation (NASDAQ: CACC) </w:t>
      </w:r>
      <w:r>
        <w:rPr>
          <w:rFonts w:ascii="Arial" w:cs="Arial" w:eastAsia="Arial" w:hAnsi="Arial"/>
          <w:sz w:val="16"/>
          <w:szCs w:val="16"/>
          <w:color w:val="auto"/>
        </w:rPr>
        <w:t>(referred to as the “Company”, “we”, “our”, or “us”)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consolidated net income of $47.0 million, or $1.69 per diluted share, for the three months ended December 31, 2010 compared to consolidated net income of $40.3 million, or $1.27 per diluted share, for the same period in 2009. For the year ended December 31, 2010, consolidated net income was $170.1 million, or $5.67 per diluted share, compared to consolidated net income of $146.3 million, or $4.62 per diluted share, for the same period in 2009.</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net income, a non-GAAP financial measure, for the three months ended December 31, 2010 was $43.6 million, or $1.57 per diluted share, compared to $35.5 million, or $1.11 per diluted share, for the same period in 2009. For the year ended December 31, 2010, adjusted net income was $160.5 million, or $5.35 per diluted share, compared to adjusted net income of $125.0 million, or $3.95 per diluted share, for the same period in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Details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will host a webcast on February 2, 2011 at 5:00 p.m. Eastern Time to discuss fourth quarter and full year 2010 results. The webcast can be accessed live by visiting the “Investor Relations” section of our website at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 xml:space="preserve"> or by dialing 877-303-2904. Additionally, a replay and transcript of the webcast will be archived in the “Investor Relations” section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time the consumer loan is submitted to us for assignment, we forecast future expected cash flows from the consumer loan. Based on these forecasts, an advance or one-time payment is made to the related dealer-partner at a price designed to achieve an acceptable return on capital. If consumer loan performance equals or exceeds our original expectation, it is likely our target return on capital will be achieved.</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2010, with the forecasts as of September 30, 2010, as of December 31, 2009, and at the time of assignment, segmented by year of assignment: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Consumer Loan</w:t>
            </w:r>
          </w:p>
        </w:tc>
        <w:tc>
          <w:tcPr>
            <w:tcW w:w="1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Forecasted Collection Percentage as of</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Variance in Forecasted Collection Percentage from</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December 31, 2010</w:t>
            </w:r>
          </w:p>
        </w:tc>
        <w:tc>
          <w:tcPr>
            <w:tcW w:w="240" w:type="dxa"/>
            <w:vAlign w:val="bottom"/>
          </w:tcPr>
          <w:p>
            <w:pPr>
              <w:spacing w:after="0"/>
              <w:rPr>
                <w:sz w:val="10"/>
                <w:szCs w:val="10"/>
                <w:color w:val="auto"/>
              </w:rPr>
            </w:pPr>
          </w:p>
        </w:tc>
        <w:tc>
          <w:tcPr>
            <w:tcW w:w="116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Initial Forecast</w:t>
            </w:r>
          </w:p>
        </w:tc>
        <w:tc>
          <w:tcPr>
            <w:tcW w:w="240" w:type="dxa"/>
            <w:vAlign w:val="bottom"/>
          </w:tcPr>
          <w:p>
            <w:pPr>
              <w:spacing w:after="0"/>
              <w:rPr>
                <w:sz w:val="10"/>
                <w:szCs w:val="10"/>
                <w:color w:val="auto"/>
              </w:rPr>
            </w:pPr>
          </w:p>
        </w:tc>
        <w:tc>
          <w:tcPr>
            <w:tcW w:w="118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0"/>
                <w:szCs w:val="10"/>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Initial Forecast</w:t>
            </w:r>
          </w:p>
        </w:tc>
        <w:tc>
          <w:tcPr>
            <w:tcW w:w="0" w:type="dxa"/>
            <w:vAlign w:val="bottom"/>
          </w:tcPr>
          <w:p>
            <w:pPr>
              <w:spacing w:after="0"/>
              <w:rPr>
                <w:sz w:val="1"/>
                <w:szCs w:val="1"/>
                <w:color w:val="auto"/>
              </w:rPr>
            </w:pPr>
          </w:p>
        </w:tc>
      </w:tr>
      <w:tr>
        <w:trPr>
          <w:trHeight w:val="178"/>
        </w:trPr>
        <w:tc>
          <w:tcPr>
            <w:tcW w:w="16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Assignment Year</w:t>
            </w:r>
          </w:p>
        </w:tc>
        <w:tc>
          <w:tcPr>
            <w:tcW w:w="1280" w:type="dxa"/>
            <w:vAlign w:val="bottom"/>
            <w:vMerge w:val="continue"/>
          </w:tcPr>
          <w:p>
            <w:pPr>
              <w:spacing w:after="0"/>
              <w:rPr>
                <w:sz w:val="15"/>
                <w:szCs w:val="15"/>
                <w:color w:val="auto"/>
              </w:rPr>
            </w:pPr>
          </w:p>
        </w:tc>
        <w:tc>
          <w:tcPr>
            <w:tcW w:w="14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2010</w:t>
            </w:r>
          </w:p>
        </w:tc>
        <w:tc>
          <w:tcPr>
            <w:tcW w:w="140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9"/>
              </w:rPr>
              <w:t>2010</w:t>
            </w:r>
          </w:p>
        </w:tc>
        <w:tc>
          <w:tcPr>
            <w:tcW w:w="14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2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70.4%</w:t>
            </w:r>
          </w:p>
        </w:tc>
        <w:tc>
          <w:tcPr>
            <w:tcW w:w="2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70.5%</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70.5%</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70.4%</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67.9%</w:t>
            </w:r>
          </w:p>
        </w:tc>
        <w:tc>
          <w:tcPr>
            <w:tcW w:w="142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0.1%</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73.7%</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73.7%</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73.7%</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72.0%</w:t>
            </w:r>
          </w:p>
        </w:tc>
        <w:tc>
          <w:tcPr>
            <w:tcW w:w="14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0.0%</w:t>
            </w:r>
          </w:p>
        </w:tc>
        <w:tc>
          <w:tcPr>
            <w:tcW w:w="14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73.0%</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73.0%</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73.1%</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73.0%</w:t>
            </w:r>
          </w:p>
        </w:tc>
        <w:tc>
          <w:tcPr>
            <w:tcW w:w="142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tcPr>
          <w:p>
            <w:pPr>
              <w:jc w:val="center"/>
              <w:ind w:left="152"/>
              <w:spacing w:after="0"/>
              <w:rPr>
                <w:sz w:val="20"/>
                <w:szCs w:val="20"/>
                <w:color w:val="auto"/>
              </w:rPr>
            </w:pPr>
            <w:r>
              <w:rPr>
                <w:rFonts w:ascii="Arial" w:cs="Arial" w:eastAsia="Arial" w:hAnsi="Arial"/>
                <w:sz w:val="18"/>
                <w:szCs w:val="18"/>
                <w:color w:val="auto"/>
                <w:w w:val="93"/>
              </w:rPr>
              <w:t>-0.1%</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73.7%</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73.7%</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73.7%</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74.0%</w:t>
            </w:r>
          </w:p>
        </w:tc>
        <w:tc>
          <w:tcPr>
            <w:tcW w:w="14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0.0%</w:t>
            </w:r>
          </w:p>
        </w:tc>
        <w:tc>
          <w:tcPr>
            <w:tcW w:w="14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70.2%</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70.2%</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70.3%</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71.4%</w:t>
            </w:r>
          </w:p>
        </w:tc>
        <w:tc>
          <w:tcPr>
            <w:tcW w:w="142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tcPr>
          <w:p>
            <w:pPr>
              <w:jc w:val="center"/>
              <w:ind w:left="152"/>
              <w:spacing w:after="0"/>
              <w:rPr>
                <w:sz w:val="20"/>
                <w:szCs w:val="20"/>
                <w:color w:val="auto"/>
              </w:rPr>
            </w:pPr>
            <w:r>
              <w:rPr>
                <w:rFonts w:ascii="Arial" w:cs="Arial" w:eastAsia="Arial" w:hAnsi="Arial"/>
                <w:sz w:val="18"/>
                <w:szCs w:val="18"/>
                <w:color w:val="auto"/>
                <w:w w:val="93"/>
              </w:rPr>
              <w:t>-0.1%</w:t>
            </w:r>
          </w:p>
        </w:tc>
        <w:tc>
          <w:tcPr>
            <w:tcW w:w="144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67.9%</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67.9%</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68.3%</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70.7%</w:t>
            </w:r>
          </w:p>
        </w:tc>
        <w:tc>
          <w:tcPr>
            <w:tcW w:w="14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3"/>
              </w:rPr>
              <w:t>-0.4%</w:t>
            </w:r>
          </w:p>
        </w:tc>
        <w:tc>
          <w:tcPr>
            <w:tcW w:w="14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69.9%</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69.9%</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70.0%</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69.7%</w:t>
            </w:r>
          </w:p>
        </w:tc>
        <w:tc>
          <w:tcPr>
            <w:tcW w:w="142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0.0%</w:t>
            </w:r>
          </w:p>
        </w:tc>
        <w:tc>
          <w:tcPr>
            <w:tcW w:w="1400" w:type="dxa"/>
            <w:vAlign w:val="bottom"/>
            <w:gridSpan w:val="2"/>
          </w:tcPr>
          <w:p>
            <w:pPr>
              <w:jc w:val="center"/>
              <w:ind w:left="152"/>
              <w:spacing w:after="0"/>
              <w:rPr>
                <w:sz w:val="20"/>
                <w:szCs w:val="20"/>
                <w:color w:val="auto"/>
              </w:rPr>
            </w:pPr>
            <w:r>
              <w:rPr>
                <w:rFonts w:ascii="Arial" w:cs="Arial" w:eastAsia="Arial" w:hAnsi="Arial"/>
                <w:sz w:val="18"/>
                <w:szCs w:val="18"/>
                <w:color w:val="auto"/>
                <w:w w:val="93"/>
              </w:rPr>
              <w:t>-0.1%</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78.5%</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78.0%</w:t>
            </w:r>
          </w:p>
        </w:tc>
        <w:tc>
          <w:tcPr>
            <w:tcW w:w="14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75.6%</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71.9%</w:t>
            </w:r>
          </w:p>
        </w:tc>
        <w:tc>
          <w:tcPr>
            <w:tcW w:w="14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2"/>
              </w:rPr>
              <w:t>0.5%</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2.9%</w:t>
            </w:r>
          </w:p>
        </w:tc>
        <w:tc>
          <w:tcPr>
            <w:tcW w:w="14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2"/>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2010 (1)</w:t>
            </w:r>
          </w:p>
        </w:tc>
        <w:tc>
          <w:tcPr>
            <w:tcW w:w="2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75.8%</w:t>
            </w:r>
          </w:p>
        </w:tc>
        <w:tc>
          <w:tcPr>
            <w:tcW w:w="140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75.6%</w:t>
            </w:r>
          </w:p>
        </w:tc>
        <w:tc>
          <w:tcPr>
            <w:tcW w:w="140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73.6%</w:t>
            </w:r>
          </w:p>
        </w:tc>
        <w:tc>
          <w:tcPr>
            <w:tcW w:w="142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0.2%</w:t>
            </w:r>
          </w:p>
        </w:tc>
        <w:tc>
          <w:tcPr>
            <w:tcW w:w="14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hanging="243"/>
        <w:spacing w:after="0" w:line="25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forecasted collection rate for 2010 consumer loans as of December 31, 2010 includes both consumer loans that were in our portfolio as of September 30, 2010 and consumer loans assigned during the most recent quarter. The following table provides forecasted collection rates for each of these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2010 Consumer Loan Assignment Period</w:t>
            </w:r>
          </w:p>
        </w:tc>
        <w:tc>
          <w:tcPr>
            <w:tcW w:w="500" w:type="dxa"/>
            <w:vAlign w:val="bottom"/>
            <w:vMerge w:val="restart"/>
          </w:tcPr>
          <w:p>
            <w:pPr>
              <w:spacing w:after="0"/>
              <w:rPr>
                <w:sz w:val="15"/>
                <w:szCs w:val="15"/>
                <w:color w:val="auto"/>
              </w:rPr>
            </w:pPr>
          </w:p>
        </w:tc>
        <w:tc>
          <w:tcPr>
            <w:tcW w:w="43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Forecasted Collection Percentage as of</w:t>
            </w:r>
          </w:p>
        </w:tc>
        <w:tc>
          <w:tcPr>
            <w:tcW w:w="500" w:type="dxa"/>
            <w:vAlign w:val="bottom"/>
          </w:tcPr>
          <w:p>
            <w:pPr>
              <w:spacing w:after="0"/>
              <w:rPr>
                <w:sz w:val="15"/>
                <w:szCs w:val="15"/>
                <w:color w:val="auto"/>
              </w:rPr>
            </w:pPr>
          </w:p>
        </w:tc>
        <w:tc>
          <w:tcPr>
            <w:tcW w:w="19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Borders>
              <w:bottom w:val="single" w:sz="8" w:color="auto"/>
            </w:tcBorders>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2010</w:t>
            </w:r>
          </w:p>
        </w:tc>
        <w:tc>
          <w:tcPr>
            <w:tcW w:w="500" w:type="dxa"/>
            <w:vAlign w:val="bottom"/>
          </w:tcPr>
          <w:p>
            <w:pPr>
              <w:spacing w:after="0"/>
              <w:rPr>
                <w:sz w:val="13"/>
                <w:szCs w:val="13"/>
                <w:color w:val="auto"/>
              </w:rPr>
            </w:pPr>
          </w:p>
        </w:tc>
        <w:tc>
          <w:tcPr>
            <w:tcW w:w="190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September 30, 2010</w:t>
            </w:r>
          </w:p>
        </w:tc>
        <w:tc>
          <w:tcPr>
            <w:tcW w:w="500" w:type="dxa"/>
            <w:vAlign w:val="bottom"/>
          </w:tcPr>
          <w:p>
            <w:pPr>
              <w:spacing w:after="0"/>
              <w:rPr>
                <w:sz w:val="13"/>
                <w:szCs w:val="13"/>
                <w:color w:val="auto"/>
              </w:rPr>
            </w:pPr>
          </w:p>
        </w:tc>
        <w:tc>
          <w:tcPr>
            <w:tcW w:w="1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2010 through September 30, 2010</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76.5%</w:t>
            </w:r>
          </w:p>
        </w:tc>
        <w:tc>
          <w:tcPr>
            <w:tcW w:w="24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75.6%</w:t>
            </w:r>
          </w:p>
        </w:tc>
        <w:tc>
          <w:tcPr>
            <w:tcW w:w="24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October 1, 2010 through December 31, 2010</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73.6%</w:t>
            </w:r>
          </w:p>
        </w:tc>
        <w:tc>
          <w:tcPr>
            <w:tcW w:w="240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Consumer loans assigned in 2002, 2003, 2008, 2009 and 2010 have performed better than our initial expectations while consumer loans assigned in 2001, 2005, 2006 and 2007 have performed worse. During the fourth quarter of 2010, forecasted collection rates increased for consumer loans assigned in 2009 and 2010, and were consistent with expectations at the start of the period for the other assignment years. During the year ended December 31, 2010, forecasted collection rates increased for consumer loans assigned in 2009 and 2010, decreased for 2007 consumer loan assignments, and were generally consistent with expectations at the start of the period for the other assignment years.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Forecasting collection rates precisely at loan inception is difficult. With this in mind, we establish advance rates that are intended to allow us to achieve acceptable levels of profitability, even if collection rates are less than we currently forecast.</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December 31, 2010. Payments of dealer holdback and accelerated dealer holdback are not included in the advance percentage paid to the dealer-partner. All amounts, unless otherwise noted, are presented as a percentage of the initial balance of the consumer loan (principal + interest). The table includes both dealer loans and purchased loans.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8"/>
        </w:trPr>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Consumer Loan Assignment Year</w:t>
            </w:r>
          </w:p>
        </w:tc>
        <w:tc>
          <w:tcPr>
            <w:tcW w:w="360" w:type="dxa"/>
            <w:vAlign w:val="bottom"/>
            <w:vMerge w:val="restart"/>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As of December 31, 2010</w:t>
            </w: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60" w:type="dxa"/>
            <w:vAlign w:val="bottom"/>
            <w:tcBorders>
              <w:bottom w:val="single" w:sz="8" w:color="auto"/>
            </w:tcBorders>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21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Forecasted Collection %</w:t>
            </w:r>
          </w:p>
        </w:tc>
        <w:tc>
          <w:tcPr>
            <w:tcW w:w="360" w:type="dxa"/>
            <w:vAlign w:val="bottom"/>
          </w:tcPr>
          <w:p>
            <w:pPr>
              <w:spacing w:after="0"/>
              <w:rPr>
                <w:sz w:val="13"/>
                <w:szCs w:val="13"/>
                <w:color w:val="auto"/>
              </w:rPr>
            </w:pPr>
          </w:p>
        </w:tc>
        <w:tc>
          <w:tcPr>
            <w:tcW w:w="15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Advance %</w:t>
            </w:r>
          </w:p>
        </w:tc>
        <w:tc>
          <w:tcPr>
            <w:tcW w:w="360" w:type="dxa"/>
            <w:vAlign w:val="bottom"/>
          </w:tcPr>
          <w:p>
            <w:pPr>
              <w:spacing w:after="0"/>
              <w:rPr>
                <w:sz w:val="13"/>
                <w:szCs w:val="13"/>
                <w:color w:val="auto"/>
              </w:rPr>
            </w:pPr>
          </w:p>
        </w:tc>
        <w:tc>
          <w:tcPr>
            <w:tcW w:w="15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Spread %</w:t>
            </w:r>
          </w:p>
        </w:tc>
        <w:tc>
          <w:tcPr>
            <w:tcW w:w="380" w:type="dxa"/>
            <w:vAlign w:val="bottom"/>
          </w:tcPr>
          <w:p>
            <w:pPr>
              <w:spacing w:after="0"/>
              <w:rPr>
                <w:sz w:val="13"/>
                <w:szCs w:val="13"/>
                <w:color w:val="auto"/>
              </w:rPr>
            </w:pPr>
          </w:p>
        </w:tc>
        <w:tc>
          <w:tcPr>
            <w:tcW w:w="20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 of Forecast Realized (1)</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0"/>
              </w:rPr>
              <w:t>46.0%</w:t>
            </w:r>
          </w:p>
        </w:tc>
        <w:tc>
          <w:tcPr>
            <w:tcW w:w="1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21.5%</w:t>
            </w:r>
          </w:p>
        </w:tc>
        <w:tc>
          <w:tcPr>
            <w:tcW w:w="24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99.5%</w:t>
            </w: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70.5%</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42.2%</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28.3%</w:t>
            </w:r>
          </w:p>
        </w:tc>
        <w:tc>
          <w:tcPr>
            <w:tcW w:w="2420" w:type="dxa"/>
            <w:vAlign w:val="bottom"/>
            <w:gridSpan w:val="2"/>
          </w:tcPr>
          <w:p>
            <w:pPr>
              <w:jc w:val="center"/>
              <w:ind w:left="290"/>
              <w:spacing w:after="0"/>
              <w:rPr>
                <w:sz w:val="20"/>
                <w:szCs w:val="20"/>
                <w:color w:val="auto"/>
              </w:rPr>
            </w:pPr>
            <w:r>
              <w:rPr>
                <w:rFonts w:ascii="Arial" w:cs="Arial" w:eastAsia="Arial" w:hAnsi="Arial"/>
                <w:sz w:val="18"/>
                <w:szCs w:val="18"/>
                <w:color w:val="auto"/>
                <w:w w:val="93"/>
              </w:rPr>
              <w:t>99.3%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73.7%</w:t>
            </w:r>
          </w:p>
        </w:tc>
        <w:tc>
          <w:tcPr>
            <w:tcW w:w="1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0"/>
              </w:rPr>
              <w:t>43.4%</w:t>
            </w:r>
          </w:p>
        </w:tc>
        <w:tc>
          <w:tcPr>
            <w:tcW w:w="1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30.3%</w:t>
            </w:r>
          </w:p>
        </w:tc>
        <w:tc>
          <w:tcPr>
            <w:tcW w:w="24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99.2%</w:t>
            </w: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3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73.0%</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44.0%</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29.0%</w:t>
            </w:r>
          </w:p>
        </w:tc>
        <w:tc>
          <w:tcPr>
            <w:tcW w:w="2420" w:type="dxa"/>
            <w:vAlign w:val="bottom"/>
            <w:gridSpan w:val="2"/>
          </w:tcPr>
          <w:p>
            <w:pPr>
              <w:jc w:val="center"/>
              <w:ind w:left="290"/>
              <w:spacing w:after="0"/>
              <w:rPr>
                <w:sz w:val="20"/>
                <w:szCs w:val="20"/>
                <w:color w:val="auto"/>
              </w:rPr>
            </w:pPr>
            <w:r>
              <w:rPr>
                <w:rFonts w:ascii="Arial" w:cs="Arial" w:eastAsia="Arial" w:hAnsi="Arial"/>
                <w:sz w:val="18"/>
                <w:szCs w:val="18"/>
                <w:color w:val="auto"/>
                <w:w w:val="93"/>
              </w:rPr>
              <w:t>98.9%</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73.7%</w:t>
            </w:r>
          </w:p>
        </w:tc>
        <w:tc>
          <w:tcPr>
            <w:tcW w:w="1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0"/>
              </w:rPr>
              <w:t>46.9%</w:t>
            </w:r>
          </w:p>
        </w:tc>
        <w:tc>
          <w:tcPr>
            <w:tcW w:w="1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26.8%</w:t>
            </w:r>
          </w:p>
        </w:tc>
        <w:tc>
          <w:tcPr>
            <w:tcW w:w="24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98.6%</w:t>
            </w: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70.2%</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46.6%</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23.6%</w:t>
            </w:r>
          </w:p>
        </w:tc>
        <w:tc>
          <w:tcPr>
            <w:tcW w:w="2420" w:type="dxa"/>
            <w:vAlign w:val="bottom"/>
            <w:gridSpan w:val="2"/>
          </w:tcPr>
          <w:p>
            <w:pPr>
              <w:jc w:val="center"/>
              <w:ind w:left="290"/>
              <w:spacing w:after="0"/>
              <w:rPr>
                <w:sz w:val="20"/>
                <w:szCs w:val="20"/>
                <w:color w:val="auto"/>
              </w:rPr>
            </w:pPr>
            <w:r>
              <w:rPr>
                <w:rFonts w:ascii="Arial" w:cs="Arial" w:eastAsia="Arial" w:hAnsi="Arial"/>
                <w:sz w:val="18"/>
                <w:szCs w:val="18"/>
                <w:color w:val="auto"/>
                <w:w w:val="93"/>
              </w:rPr>
              <w:t>97.1%</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67.9%</w:t>
            </w:r>
          </w:p>
        </w:tc>
        <w:tc>
          <w:tcPr>
            <w:tcW w:w="1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0"/>
              </w:rPr>
              <w:t>46.5%</w:t>
            </w:r>
          </w:p>
        </w:tc>
        <w:tc>
          <w:tcPr>
            <w:tcW w:w="1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21.4%</w:t>
            </w:r>
          </w:p>
        </w:tc>
        <w:tc>
          <w:tcPr>
            <w:tcW w:w="24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91.4%</w:t>
            </w: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69.9%</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44.6%</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25.3%</w:t>
            </w:r>
          </w:p>
        </w:tc>
        <w:tc>
          <w:tcPr>
            <w:tcW w:w="2420" w:type="dxa"/>
            <w:vAlign w:val="bottom"/>
            <w:gridSpan w:val="2"/>
          </w:tcPr>
          <w:p>
            <w:pPr>
              <w:jc w:val="center"/>
              <w:ind w:left="290"/>
              <w:spacing w:after="0"/>
              <w:rPr>
                <w:sz w:val="20"/>
                <w:szCs w:val="20"/>
                <w:color w:val="auto"/>
              </w:rPr>
            </w:pPr>
            <w:r>
              <w:rPr>
                <w:rFonts w:ascii="Arial" w:cs="Arial" w:eastAsia="Arial" w:hAnsi="Arial"/>
                <w:sz w:val="18"/>
                <w:szCs w:val="18"/>
                <w:color w:val="auto"/>
                <w:w w:val="93"/>
              </w:rPr>
              <w:t>77.6%</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78.5%</w:t>
            </w:r>
          </w:p>
        </w:tc>
        <w:tc>
          <w:tcPr>
            <w:tcW w:w="186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0"/>
              </w:rPr>
              <w:t>43.9%</w:t>
            </w:r>
          </w:p>
        </w:tc>
        <w:tc>
          <w:tcPr>
            <w:tcW w:w="1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34.6%</w:t>
            </w:r>
          </w:p>
        </w:tc>
        <w:tc>
          <w:tcPr>
            <w:tcW w:w="24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3"/>
              </w:rPr>
              <w:t>57.0%</w:t>
            </w:r>
          </w:p>
        </w:tc>
        <w:tc>
          <w:tcPr>
            <w:tcW w:w="0" w:type="dxa"/>
            <w:vAlign w:val="bottom"/>
          </w:tcPr>
          <w:p>
            <w:pPr>
              <w:spacing w:after="0"/>
              <w:rPr>
                <w:sz w:val="1"/>
                <w:szCs w:val="1"/>
                <w:color w:val="auto"/>
              </w:rPr>
            </w:pPr>
          </w:p>
        </w:tc>
      </w:tr>
      <w:tr>
        <w:trPr>
          <w:trHeight w:val="230"/>
        </w:trPr>
        <w:tc>
          <w:tcPr>
            <w:tcW w:w="27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6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75.8%</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44.7%</w:t>
            </w:r>
          </w:p>
        </w:tc>
        <w:tc>
          <w:tcPr>
            <w:tcW w:w="1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31.1%</w:t>
            </w:r>
          </w:p>
        </w:tc>
        <w:tc>
          <w:tcPr>
            <w:tcW w:w="2420" w:type="dxa"/>
            <w:vAlign w:val="bottom"/>
            <w:gridSpan w:val="2"/>
          </w:tcPr>
          <w:p>
            <w:pPr>
              <w:jc w:val="center"/>
              <w:ind w:left="290"/>
              <w:spacing w:after="0"/>
              <w:rPr>
                <w:sz w:val="20"/>
                <w:szCs w:val="20"/>
                <w:color w:val="auto"/>
              </w:rPr>
            </w:pPr>
            <w:r>
              <w:rPr>
                <w:rFonts w:ascii="Arial" w:cs="Arial" w:eastAsia="Arial" w:hAnsi="Arial"/>
                <w:sz w:val="18"/>
                <w:szCs w:val="18"/>
                <w:color w:val="auto"/>
                <w:w w:val="93"/>
              </w:rPr>
              <w:t>18.6%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Presented as a percentage of total forecasted collections.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2007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spread between the forecasted collection rate and the advance rate declined during the 2004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We increased advance rates during the last four months of 2009, the first quarter of 2010, and the fourth quarter of 2010. The decline in the spread for 2010 reflects these increases.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forecasted consumer loan collection rates, advance rates (includes amounts paid to acquire purchased loans), and the spread (the forecasted collection rate less the advance rate) as of December 31, 2010 for dealer loans and purchased loans separately. Payments of dealer holdback and accelerated dealer holdback are not included in the advance percentage paid to the dealer-partner. All amounts are presented as a percentage of the initial balance of the consumer loan (principal + interest).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Consumer Loan Assignment Year</w:t>
            </w:r>
          </w:p>
        </w:tc>
        <w:tc>
          <w:tcPr>
            <w:tcW w:w="64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Forecasted Collection %</w:t>
            </w:r>
          </w:p>
        </w:tc>
        <w:tc>
          <w:tcPr>
            <w:tcW w:w="6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Advance % (1)</w:t>
            </w:r>
          </w:p>
        </w:tc>
        <w:tc>
          <w:tcPr>
            <w:tcW w:w="6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Spread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67.9%</w:t>
            </w:r>
          </w:p>
        </w:tc>
        <w:tc>
          <w:tcPr>
            <w:tcW w:w="19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3"/>
              </w:rPr>
              <w:t>45.8%</w:t>
            </w:r>
          </w:p>
        </w:tc>
        <w:tc>
          <w:tcPr>
            <w:tcW w:w="190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9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70.5%</w:t>
            </w:r>
          </w:p>
        </w:tc>
        <w:tc>
          <w:tcPr>
            <w:tcW w:w="1900" w:type="dxa"/>
            <w:vAlign w:val="bottom"/>
            <w:gridSpan w:val="2"/>
          </w:tcPr>
          <w:p>
            <w:pPr>
              <w:jc w:val="center"/>
              <w:ind w:left="530"/>
              <w:spacing w:after="0"/>
              <w:rPr>
                <w:sz w:val="20"/>
                <w:szCs w:val="20"/>
                <w:color w:val="auto"/>
              </w:rPr>
            </w:pPr>
            <w:r>
              <w:rPr>
                <w:rFonts w:ascii="Arial" w:cs="Arial" w:eastAsia="Arial" w:hAnsi="Arial"/>
                <w:sz w:val="18"/>
                <w:szCs w:val="18"/>
                <w:color w:val="auto"/>
                <w:w w:val="93"/>
              </w:rPr>
              <w:t>43.3%</w:t>
            </w:r>
          </w:p>
        </w:tc>
        <w:tc>
          <w:tcPr>
            <w:tcW w:w="190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78.5%</w:t>
            </w:r>
          </w:p>
        </w:tc>
        <w:tc>
          <w:tcPr>
            <w:tcW w:w="19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3"/>
              </w:rPr>
              <w:t>43.5%</w:t>
            </w:r>
          </w:p>
        </w:tc>
        <w:tc>
          <w:tcPr>
            <w:tcW w:w="190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9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75.7%</w:t>
            </w:r>
          </w:p>
        </w:tc>
        <w:tc>
          <w:tcPr>
            <w:tcW w:w="1900" w:type="dxa"/>
            <w:vAlign w:val="bottom"/>
            <w:gridSpan w:val="2"/>
          </w:tcPr>
          <w:p>
            <w:pPr>
              <w:jc w:val="center"/>
              <w:ind w:left="530"/>
              <w:spacing w:after="0"/>
              <w:rPr>
                <w:sz w:val="20"/>
                <w:szCs w:val="20"/>
                <w:color w:val="auto"/>
              </w:rPr>
            </w:pPr>
            <w:r>
              <w:rPr>
                <w:rFonts w:ascii="Arial" w:cs="Arial" w:eastAsia="Arial" w:hAnsi="Arial"/>
                <w:sz w:val="18"/>
                <w:szCs w:val="18"/>
                <w:color w:val="auto"/>
                <w:w w:val="93"/>
              </w:rPr>
              <w:t>44.4%</w:t>
            </w:r>
          </w:p>
        </w:tc>
        <w:tc>
          <w:tcPr>
            <w:tcW w:w="190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31.3%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Purchased loans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9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68.0%</w:t>
            </w:r>
          </w:p>
        </w:tc>
        <w:tc>
          <w:tcPr>
            <w:tcW w:w="1900" w:type="dxa"/>
            <w:vAlign w:val="bottom"/>
            <w:gridSpan w:val="2"/>
          </w:tcPr>
          <w:p>
            <w:pPr>
              <w:jc w:val="center"/>
              <w:ind w:left="530"/>
              <w:spacing w:after="0"/>
              <w:rPr>
                <w:sz w:val="20"/>
                <w:szCs w:val="20"/>
                <w:color w:val="auto"/>
              </w:rPr>
            </w:pPr>
            <w:r>
              <w:rPr>
                <w:rFonts w:ascii="Arial" w:cs="Arial" w:eastAsia="Arial" w:hAnsi="Arial"/>
                <w:sz w:val="18"/>
                <w:szCs w:val="18"/>
                <w:color w:val="auto"/>
                <w:w w:val="93"/>
              </w:rPr>
              <w:t>49.1%</w:t>
            </w:r>
          </w:p>
        </w:tc>
        <w:tc>
          <w:tcPr>
            <w:tcW w:w="190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69.0%</w:t>
            </w:r>
          </w:p>
        </w:tc>
        <w:tc>
          <w:tcPr>
            <w:tcW w:w="19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3"/>
              </w:rPr>
              <w:t>46.7%</w:t>
            </w:r>
          </w:p>
        </w:tc>
        <w:tc>
          <w:tcPr>
            <w:tcW w:w="190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9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78.4%</w:t>
            </w:r>
          </w:p>
        </w:tc>
        <w:tc>
          <w:tcPr>
            <w:tcW w:w="1900" w:type="dxa"/>
            <w:vAlign w:val="bottom"/>
            <w:gridSpan w:val="2"/>
          </w:tcPr>
          <w:p>
            <w:pPr>
              <w:jc w:val="center"/>
              <w:ind w:left="530"/>
              <w:spacing w:after="0"/>
              <w:rPr>
                <w:sz w:val="20"/>
                <w:szCs w:val="20"/>
                <w:color w:val="auto"/>
              </w:rPr>
            </w:pPr>
            <w:r>
              <w:rPr>
                <w:rFonts w:ascii="Arial" w:cs="Arial" w:eastAsia="Arial" w:hAnsi="Arial"/>
                <w:sz w:val="18"/>
                <w:szCs w:val="18"/>
                <w:color w:val="auto"/>
                <w:w w:val="93"/>
              </w:rPr>
              <w:t>45.5%</w:t>
            </w:r>
          </w:p>
        </w:tc>
        <w:tc>
          <w:tcPr>
            <w:tcW w:w="190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29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76.1%</w:t>
            </w:r>
          </w:p>
        </w:tc>
        <w:tc>
          <w:tcPr>
            <w:tcW w:w="19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3"/>
              </w:rPr>
              <w:t>47.1%</w:t>
            </w:r>
          </w:p>
        </w:tc>
        <w:tc>
          <w:tcPr>
            <w:tcW w:w="190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29.0%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660" w:hanging="243"/>
        <w:spacing w:after="0" w:line="238"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advance rates presented for each consumer loan assignment year change over time due to the impact of transfers between dealer and purchased loans. Under our portfolio program, certain events may result in dealer-partners forfeiting their rights to dealer holdback. We transfer the dealer-partner’s consumer loans from the dealer loan portfolio to the purchased loan portfolio in the period this forfeiture occurs.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eight quarters as compared to the same period in the previous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vMerge w:val="restart"/>
          </w:tcPr>
          <w:p>
            <w:pPr>
              <w:spacing w:after="0"/>
              <w:rPr>
                <w:sz w:val="15"/>
                <w:szCs w:val="15"/>
                <w:color w:val="auto"/>
              </w:rPr>
            </w:pPr>
          </w:p>
        </w:tc>
        <w:tc>
          <w:tcPr>
            <w:tcW w:w="4320" w:type="dxa"/>
            <w:vAlign w:val="bottom"/>
            <w:tcBorders>
              <w:bottom w:val="single" w:sz="8" w:color="auto"/>
            </w:tcBorders>
            <w:gridSpan w:val="3"/>
          </w:tcPr>
          <w:p>
            <w:pPr>
              <w:ind w:left="2300"/>
              <w:spacing w:after="0"/>
              <w:rPr>
                <w:sz w:val="20"/>
                <w:szCs w:val="20"/>
                <w:color w:val="auto"/>
              </w:rPr>
            </w:pPr>
            <w:r>
              <w:rPr>
                <w:rFonts w:ascii="Arial" w:cs="Arial" w:eastAsia="Arial" w:hAnsi="Arial"/>
                <w:sz w:val="14"/>
                <w:szCs w:val="14"/>
                <w:b w:val="1"/>
                <w:bCs w:val="1"/>
                <w:color w:val="auto"/>
                <w:w w:val="95"/>
              </w:rPr>
              <w:t>Year over Year Percent Change</w:t>
            </w:r>
          </w:p>
        </w:tc>
        <w:tc>
          <w:tcPr>
            <w:tcW w:w="22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auto"/>
            </w:tcBorders>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2900" w:type="dxa"/>
            <w:vAlign w:val="bottom"/>
            <w:tcBorders>
              <w:bottom w:val="single" w:sz="8" w:color="auto"/>
            </w:tcBorders>
          </w:tcPr>
          <w:p>
            <w:pPr>
              <w:jc w:val="right"/>
              <w:ind w:right="974"/>
              <w:spacing w:after="0" w:line="149" w:lineRule="exact"/>
              <w:rPr>
                <w:sz w:val="20"/>
                <w:szCs w:val="20"/>
                <w:color w:val="auto"/>
              </w:rPr>
            </w:pPr>
            <w:r>
              <w:rPr>
                <w:rFonts w:ascii="Arial" w:cs="Arial" w:eastAsia="Arial" w:hAnsi="Arial"/>
                <w:sz w:val="14"/>
                <w:szCs w:val="14"/>
                <w:b w:val="1"/>
                <w:bCs w:val="1"/>
                <w:color w:val="auto"/>
              </w:rPr>
              <w:t>Unit Volume</w:t>
            </w:r>
          </w:p>
        </w:tc>
        <w:tc>
          <w:tcPr>
            <w:tcW w:w="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932"/>
              <w:spacing w:after="0" w:line="149" w:lineRule="exact"/>
              <w:rPr>
                <w:sz w:val="20"/>
                <w:szCs w:val="20"/>
                <w:color w:val="auto"/>
              </w:rPr>
            </w:pPr>
            <w:r>
              <w:rPr>
                <w:rFonts w:ascii="Arial" w:cs="Arial" w:eastAsia="Arial" w:hAnsi="Arial"/>
                <w:sz w:val="14"/>
                <w:szCs w:val="14"/>
                <w:b w:val="1"/>
                <w:bCs w:val="1"/>
                <w:color w:val="auto"/>
              </w:rPr>
              <w:t>Dollar Volume (1)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2900" w:type="dxa"/>
            <w:vAlign w:val="bottom"/>
          </w:tcPr>
          <w:p>
            <w:pPr>
              <w:jc w:val="right"/>
              <w:spacing w:after="0"/>
              <w:rPr>
                <w:sz w:val="20"/>
                <w:szCs w:val="20"/>
                <w:color w:val="auto"/>
              </w:rPr>
            </w:pPr>
            <w:r>
              <w:rPr>
                <w:rFonts w:ascii="Arial" w:cs="Arial" w:eastAsia="Arial" w:hAnsi="Arial"/>
                <w:sz w:val="18"/>
                <w:szCs w:val="18"/>
                <w:color w:val="auto"/>
              </w:rPr>
              <w:t>-16.2%</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0" w:type="dxa"/>
            <w:vAlign w:val="bottom"/>
            <w:gridSpan w:val="2"/>
          </w:tcPr>
          <w:p>
            <w:pPr>
              <w:jc w:val="right"/>
              <w:ind w:right="3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3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3380" w:type="dxa"/>
            <w:vAlign w:val="bottom"/>
            <w:gridSpan w:val="2"/>
          </w:tcPr>
          <w:p>
            <w:pPr>
              <w:jc w:val="right"/>
              <w:ind w:right="480"/>
              <w:spacing w:after="0"/>
              <w:rPr>
                <w:sz w:val="20"/>
                <w:szCs w:val="20"/>
                <w:color w:val="auto"/>
              </w:rPr>
            </w:pPr>
            <w:r>
              <w:rPr>
                <w:rFonts w:ascii="Arial" w:cs="Arial" w:eastAsia="Arial" w:hAnsi="Arial"/>
                <w:sz w:val="18"/>
                <w:szCs w:val="18"/>
                <w:color w:val="auto"/>
              </w:rPr>
              <w:t>7.6%</w:t>
            </w:r>
          </w:p>
        </w:tc>
        <w:tc>
          <w:tcPr>
            <w:tcW w:w="940" w:type="dxa"/>
            <w:vAlign w:val="bottom"/>
          </w:tcPr>
          <w:p>
            <w:pPr>
              <w:spacing w:after="0"/>
              <w:rPr>
                <w:sz w:val="18"/>
                <w:szCs w:val="18"/>
                <w:color w:val="auto"/>
              </w:rPr>
            </w:pPr>
          </w:p>
        </w:tc>
        <w:tc>
          <w:tcPr>
            <w:tcW w:w="260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3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9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2900" w:type="dxa"/>
            <w:vAlign w:val="bottom"/>
          </w:tcPr>
          <w:p>
            <w:pPr>
              <w:jc w:val="right"/>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42.2%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December 31, 2010</w:t>
            </w:r>
          </w:p>
        </w:tc>
        <w:tc>
          <w:tcPr>
            <w:tcW w:w="2900" w:type="dxa"/>
            <w:vAlign w:val="bottom"/>
          </w:tcPr>
          <w:p>
            <w:pPr>
              <w:jc w:val="right"/>
              <w:spacing w:after="0"/>
              <w:rPr>
                <w:sz w:val="20"/>
                <w:szCs w:val="20"/>
                <w:color w:val="auto"/>
              </w:rPr>
            </w:pPr>
            <w:r>
              <w:rPr>
                <w:rFonts w:ascii="Arial" w:cs="Arial" w:eastAsia="Arial" w:hAnsi="Arial"/>
                <w:sz w:val="18"/>
                <w:szCs w:val="18"/>
                <w:color w:val="auto"/>
              </w:rPr>
              <w:t>37.7%</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66.9%</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80" w:right="20" w:hanging="239"/>
        <w:spacing w:after="0" w:line="253" w:lineRule="auto"/>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payments made to dealer-partners for advances on dealer loans and the acquisition of purchased loans. Payments of dealer holdback and accelerated dealer holdback are not included.</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Consumer loan assignment volumes depend on a number of factors including (1) the overall demand for our product (2) the amount of capital available to fund new loans and (3) our assessment of the volume that our infrastructure can support. Our pricing strategy is intended to maximize the amount of economic profit we generate, within the confines of capital and infrastructure constraints. Our success in renewing our debt facilities and securing additional financing during 2009 and 2010 positioned us to grow year over year unit volumes. During the last four months of 2009, the first quarter of 2010, and the fourth quarter of 2010, we increased advance rates, which had a positive impact on unit volumes. While the advance increases also reduced the return on capital we expect to earn on new assignments, we believe it is very likely the advance increases had a positive imp act on economic profit. Unit volume for the one month ended January 31, 2011 increased by 35.8% as compared to the same period in 2010.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dealer-partners: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 December 31,</w:t>
            </w: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40" w:type="dxa"/>
            <w:vAlign w:val="bottom"/>
            <w:gridSpan w:val="2"/>
          </w:tcPr>
          <w:p>
            <w:pPr>
              <w:spacing w:after="0"/>
              <w:rPr>
                <w:sz w:val="13"/>
                <w:szCs w:val="13"/>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2010</w:t>
            </w:r>
          </w:p>
        </w:tc>
        <w:tc>
          <w:tcPr>
            <w:tcW w:w="1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32,299</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23,450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Active dealer-partners (1)</w:t>
            </w:r>
          </w:p>
        </w:tc>
        <w:tc>
          <w:tcPr>
            <w:tcW w:w="8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2,546</w:t>
            </w:r>
          </w:p>
        </w:tc>
        <w:tc>
          <w:tcPr>
            <w:tcW w:w="8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2,170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24,232</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19,927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Dealer-partners active both periods</w:t>
            </w:r>
          </w:p>
        </w:tc>
        <w:tc>
          <w:tcPr>
            <w:tcW w:w="8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1,598</w:t>
            </w:r>
          </w:p>
        </w:tc>
        <w:tc>
          <w:tcPr>
            <w:tcW w:w="8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1,598</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1,397</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New active dealer-partners (2)</w:t>
            </w:r>
          </w:p>
        </w:tc>
        <w:tc>
          <w:tcPr>
            <w:tcW w:w="8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274</w:t>
            </w:r>
          </w:p>
        </w:tc>
        <w:tc>
          <w:tcPr>
            <w:tcW w:w="8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Attrition (3)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-15.0%</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-25.4%</w:t>
            </w: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820" w:hanging="241"/>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Active dealer-partners are dealer-partners who have received funding for at least one dealer loan or purchased loan during the period.</w:t>
      </w:r>
    </w:p>
    <w:p>
      <w:pPr>
        <w:spacing w:after="0" w:line="230" w:lineRule="exact"/>
        <w:rPr>
          <w:rFonts w:ascii="Arial" w:cs="Arial" w:eastAsia="Arial" w:hAnsi="Arial"/>
          <w:sz w:val="14"/>
          <w:szCs w:val="14"/>
          <w:color w:val="auto"/>
        </w:rPr>
      </w:pPr>
    </w:p>
    <w:p>
      <w:pPr>
        <w:ind w:left="820" w:hanging="241"/>
        <w:spacing w:after="0"/>
        <w:tabs>
          <w:tab w:leader="none" w:pos="82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New active dealer-partners are dealer-partners who enrolled in our program and have received funding for their first dealer loan or purchased loan from us during the period.</w:t>
      </w:r>
    </w:p>
    <w:p>
      <w:pPr>
        <w:spacing w:after="0" w:line="242" w:lineRule="exact"/>
        <w:rPr>
          <w:rFonts w:ascii="Arial" w:cs="Arial" w:eastAsia="Arial" w:hAnsi="Arial"/>
          <w:sz w:val="13"/>
          <w:szCs w:val="13"/>
          <w:color w:val="auto"/>
        </w:rPr>
      </w:pPr>
    </w:p>
    <w:p>
      <w:pPr>
        <w:jc w:val="both"/>
        <w:ind w:left="820" w:hanging="241"/>
        <w:spacing w:after="0" w:line="238" w:lineRule="auto"/>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right="360"/>
        <w:spacing w:after="0" w:line="277" w:lineRule="auto"/>
        <w:rPr>
          <w:sz w:val="20"/>
          <w:szCs w:val="20"/>
          <w:color w:val="auto"/>
        </w:rPr>
      </w:pPr>
      <w:r>
        <w:rPr>
          <w:rFonts w:ascii="Arial" w:cs="Arial" w:eastAsia="Arial" w:hAnsi="Arial"/>
          <w:sz w:val="18"/>
          <w:szCs w:val="18"/>
          <w:color w:val="auto"/>
        </w:rPr>
        <w:t>Consumer loans are assigned to us as either dealer loans through our portfolio program or purchased loans through our purchase program. The following table summarizes the portion of our consumer loan volume that was assigned to us as dealer loans: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New dealer loan unit volume as a percentage of total unit volume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91.8%</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90.8%</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90.9%</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New dealer loan dollar volume as a percentage of total dollar volume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90.3%</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88.7%</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89.1%</w:t>
            </w:r>
          </w:p>
        </w:tc>
        <w:tc>
          <w:tcPr>
            <w:tcW w:w="10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83.8%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months and year ended December 31, 2010, new dealer loan unit and dollar volume as a percentage of total unit and dollar volume, respectively, increased as compared to 2009 due to pricing and program enrollment changes we implemented in order to increase the profitability of the purchase program.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2010 and 2009, the net dealer loans receivable balance was 79.5% and 72.5%, respectively, of the total net loans receivable balance.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Adjusted Financial Results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Material adjustments are explained in the table footnotes and the subsequent “Floating Yield Adjustment” and “Program Fee Yield Adjustment” sections. Measures such as adjusted average capital, adjusted net income, adjusted net income per diluted share, adjusted net income plus interest expense after-tax, adjusted return on capital, adjusted revenue, operating expenses, and economic p rofit are all non-GAAP financial measures. These non-GAAP financial measures should be viewed in addition to, and not as an alternative for, our reported results prepared in accordance with GAAP.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months and year ended December 31, 2010, compared to the same periods in 2009, include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Years Ended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80" w:type="dxa"/>
            <w:vAlign w:val="bottom"/>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3"/>
                <w:szCs w:val="13"/>
                <w:color w:val="auto"/>
              </w:rPr>
            </w:pPr>
          </w:p>
        </w:tc>
        <w:tc>
          <w:tcPr>
            <w:tcW w:w="112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
              <w:spacing w:after="0" w:line="149"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3"/>
                <w:szCs w:val="13"/>
                <w:color w:val="auto"/>
              </w:rPr>
            </w:pPr>
          </w:p>
        </w:tc>
        <w:tc>
          <w:tcPr>
            <w:tcW w:w="112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1,129,721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989,804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998,719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Adjusted 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43,639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35,508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160,488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125,044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2"/>
              </w:rPr>
              <w:t>Adjusted net income plus interest expense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after-tax</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51,037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41,275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190,572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145,977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capital</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Economic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112,685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79,099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9"/>
              </w:rPr>
              <w:t>GAAP diluted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27,865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31,868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29,985</w:t>
            </w:r>
          </w:p>
        </w:tc>
        <w:tc>
          <w:tcPr>
            <w:tcW w:w="1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31,669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Economic profit increased 36.9% and 42.5% for the three months and year ended December 31, 2010, respectively, as compared to the same periods in 2009. Economic profit is a function of the return on capital in excess of the cost of capital and the amount of capital invested in the business. The following table summarizes the impact each of these components had on the increases in economic profit for the three months and year ended December 31, 2010, as compared to the same periods in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Year over Year Change in Economic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Profit</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21"/>
              <w:spacing w:after="0" w:line="126" w:lineRule="exact"/>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8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 in adjusted return on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Decrease (increase) in cost of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adjusted average capital</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Increase in economic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8,560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economic profit for the three months ended December 31, 2010, as compared to the same period in 2009, was primarily the result of an increase in our adjusted returns on capital and an increase in adjusted average capital. The increase in adjusted average capital was due to growth in the loan portfolio. The adjusted return on capital increased 140 basis points due to the following:</w:t>
      </w:r>
    </w:p>
    <w:p>
      <w:pPr>
        <w:spacing w:after="0" w:line="208" w:lineRule="exact"/>
        <w:rPr>
          <w:sz w:val="20"/>
          <w:szCs w:val="20"/>
          <w:color w:val="auto"/>
        </w:rPr>
      </w:pPr>
    </w:p>
    <w:p>
      <w:pPr>
        <w:jc w:val="both"/>
        <w:ind w:left="660" w:hanging="139"/>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declined as a percentage of adjusted average capital as a result of lower loan servicing expenses, stock compensation expenses, sales tax expenses, and tax consulting expenses, partially offset by higher origination expenses. This decline positively impacted the adjusted return on capital by 110 basis points.</w:t>
      </w:r>
    </w:p>
    <w:p>
      <w:pPr>
        <w:ind w:left="660" w:right="2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Loan yields positively impacted the adjusted return on capital by 110 basis points primarily due to forecasted collection rate improvements on loans assigned in 2009 and 2010.</w:t>
      </w:r>
    </w:p>
    <w:p>
      <w:pPr>
        <w:ind w:left="660" w:hanging="139"/>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decline in net premiums earned negatively impacted our adjusted return on capital by 50 basis points, primarily due to a decline in the size of our reinsurance portfolio, which resulted from the termination of our arrangement with one of our third party insurers during the fourth quarter of 2009.</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The increase in economic profit for the year ended December 31, 2010, as compared to the same period in 2009, was primarily the result of an increase in our adjusted return on capital which increased 310 basis points due to the following:</w:t>
      </w:r>
    </w:p>
    <w:p>
      <w:pPr>
        <w:spacing w:after="0" w:line="197" w:lineRule="exact"/>
        <w:rPr>
          <w:sz w:val="20"/>
          <w:szCs w:val="20"/>
          <w:color w:val="auto"/>
        </w:rPr>
      </w:pPr>
    </w:p>
    <w:p>
      <w:pPr>
        <w:ind w:left="660" w:hanging="139"/>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Loan yields positively impacted the adjusted return on capital by 260 basis points primarily due to forecasted collection rate improvements on loans assigned in 2009 and 2010 as well as higher yields on loans assigned during the last three quarters of 2009 and the first quarter of 2010.</w:t>
      </w:r>
    </w:p>
    <w:p>
      <w:pPr>
        <w:jc w:val="both"/>
        <w:ind w:left="660" w:hanging="139"/>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expenses declined as a percentage of adjusted average capital as a result of lower loan servicing expenses, stock compensation expenses, information technology support expenses, and legal expenses, partially offset by higher origination expenses. This decline positively impacted adjusted return on capital by 80 basis points.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adjusted revenue and operating expenses as a percentage of adjusted average capital and the percentage change in adjusted average capital for each of the last eight quarters, compared to the same periods in the prior year:</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right="160" w:hanging="161"/>
        <w:spacing w:after="0" w:line="308" w:lineRule="auto"/>
        <w:rPr>
          <w:sz w:val="20"/>
          <w:szCs w:val="20"/>
          <w:color w:val="auto"/>
        </w:rPr>
      </w:pPr>
      <w:r>
        <w:rPr>
          <w:rFonts w:ascii="Arial" w:cs="Arial" w:eastAsia="Arial" w:hAnsi="Arial"/>
          <w:sz w:val="17"/>
          <w:szCs w:val="17"/>
          <w:color w:val="auto"/>
        </w:rPr>
        <w:t>Adjusted revenue as a percentage of adjusted average capital</w:t>
      </w:r>
    </w:p>
    <w:p>
      <w:pPr>
        <w:spacing w:after="0" w:line="79" w:lineRule="exact"/>
        <w:rPr>
          <w:sz w:val="20"/>
          <w:szCs w:val="20"/>
          <w:color w:val="auto"/>
        </w:rPr>
      </w:pPr>
    </w:p>
    <w:p>
      <w:pPr>
        <w:ind w:left="180" w:right="20" w:hanging="161"/>
        <w:spacing w:after="0" w:line="342" w:lineRule="auto"/>
        <w:rPr>
          <w:sz w:val="20"/>
          <w:szCs w:val="20"/>
          <w:color w:val="auto"/>
        </w:rPr>
      </w:pPr>
      <w:r>
        <w:rPr>
          <w:rFonts w:ascii="Arial" w:cs="Arial" w:eastAsia="Arial" w:hAnsi="Arial"/>
          <w:sz w:val="16"/>
          <w:szCs w:val="16"/>
          <w:color w:val="auto"/>
        </w:rPr>
        <w:t>Operating expenses as a percentage of adjusted average capital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Adjusted return on capital</w:t>
      </w:r>
    </w:p>
    <w:p>
      <w:pPr>
        <w:spacing w:after="0" w:line="158" w:lineRule="exact"/>
        <w:rPr>
          <w:sz w:val="20"/>
          <w:szCs w:val="20"/>
          <w:color w:val="auto"/>
        </w:rPr>
      </w:pPr>
    </w:p>
    <w:p>
      <w:pPr>
        <w:jc w:val="both"/>
        <w:ind w:left="180" w:hanging="161"/>
        <w:spacing w:after="0" w:line="264" w:lineRule="auto"/>
        <w:rPr>
          <w:sz w:val="20"/>
          <w:szCs w:val="20"/>
          <w:color w:val="auto"/>
        </w:rPr>
      </w:pPr>
      <w:r>
        <w:rPr>
          <w:rFonts w:ascii="Arial" w:cs="Arial" w:eastAsia="Arial" w:hAnsi="Arial"/>
          <w:sz w:val="18"/>
          <w:szCs w:val="18"/>
          <w:color w:val="auto"/>
        </w:rPr>
        <w:t>Percentage change in adjusted average capital compared to the same period in the prior year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Dec. 31, 2010</w:t>
            </w:r>
          </w:p>
        </w:tc>
        <w:tc>
          <w:tcPr>
            <w:tcW w:w="260" w:type="dxa"/>
            <w:vAlign w:val="bottom"/>
            <w:tcBorders>
              <w:top w:val="single" w:sz="8" w:color="auto"/>
            </w:tcBorders>
            <w:vMerge w:val="restart"/>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Sept. 30, 2010</w:t>
            </w:r>
          </w:p>
        </w:tc>
        <w:tc>
          <w:tcPr>
            <w:tcW w:w="240" w:type="dxa"/>
            <w:vAlign w:val="bottom"/>
            <w:tcBorders>
              <w:top w:val="single" w:sz="8" w:color="auto"/>
            </w:tcBorders>
            <w:vMerge w:val="restart"/>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Jun. 30, 2010</w:t>
            </w:r>
          </w:p>
        </w:tc>
        <w:tc>
          <w:tcPr>
            <w:tcW w:w="240" w:type="dxa"/>
            <w:vAlign w:val="bottom"/>
            <w:tcBorders>
              <w:top w:val="single" w:sz="8" w:color="auto"/>
            </w:tcBorders>
            <w:vMerge w:val="restart"/>
          </w:tcPr>
          <w:p>
            <w:pPr>
              <w:spacing w:after="0"/>
              <w:rPr>
                <w:sz w:val="11"/>
                <w:szCs w:val="11"/>
                <w:color w:val="auto"/>
              </w:rPr>
            </w:pPr>
          </w:p>
        </w:tc>
        <w:tc>
          <w:tcPr>
            <w:tcW w:w="1160" w:type="dxa"/>
            <w:vAlign w:val="bottom"/>
            <w:tcBorders>
              <w:top w:val="single" w:sz="8" w:color="auto"/>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Mar. 31,</w:t>
            </w:r>
          </w:p>
        </w:tc>
        <w:tc>
          <w:tcPr>
            <w:tcW w:w="102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Dec. 31,</w:t>
            </w:r>
          </w:p>
        </w:tc>
        <w:tc>
          <w:tcPr>
            <w:tcW w:w="102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Sept. 30,</w:t>
            </w:r>
          </w:p>
        </w:tc>
        <w:tc>
          <w:tcPr>
            <w:tcW w:w="106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Jun. 30,</w:t>
            </w:r>
          </w:p>
        </w:tc>
        <w:tc>
          <w:tcPr>
            <w:tcW w:w="80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90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-1414145</wp:posOffset>
            </wp:positionV>
            <wp:extent cx="72466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-1045845</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-676910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-410845</wp:posOffset>
            </wp:positionV>
            <wp:extent cx="72466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780" w:space="100"/>
            <w:col w:w="8540"/>
          </w:cols>
          <w:pgMar w:left="240" w:top="517" w:right="239" w:bottom="1440" w:gutter="0" w:footer="0" w:header="0"/>
          <w:type w:val="continuous"/>
        </w:sectPr>
      </w:pP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adjusted return on capital for the three months ended December 31, 2010, as compared to the three months ended September 30, 2010, increased 70 basis points primarily due to the following:</w:t>
      </w:r>
    </w:p>
    <w:p>
      <w:pPr>
        <w:spacing w:after="0" w:line="197" w:lineRule="exact"/>
        <w:rPr>
          <w:sz w:val="20"/>
          <w:szCs w:val="20"/>
          <w:color w:val="auto"/>
        </w:rPr>
      </w:pPr>
    </w:p>
    <w:p>
      <w:pPr>
        <w:jc w:val="both"/>
        <w:ind w:left="660" w:hanging="13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expenses decreased as a percentage of adjusted average capital primarily due to higher software development costs during the third quarter of 2010, including the write-off of $0.9 million (after-tax) previously capitalized software development expenditures. This decline positively impacted adjusted return on capital by 60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The following tables show how non-GAAP measures reconcile to GAAP measures. All after-tax adjustments are calculated using a 37% tax rate as we estimate that to be our long term average effective tax rate. Certain amounts do not recalculate due to rounding.</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0"/>
                <w:szCs w:val="10"/>
                <w:color w:val="auto"/>
              </w:rPr>
            </w:pPr>
          </w:p>
        </w:tc>
        <w:tc>
          <w:tcPr>
            <w:tcW w:w="100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w w:val="97"/>
              </w:rPr>
              <w:t>Sept.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Mar. 31,</w:t>
            </w:r>
          </w:p>
        </w:tc>
        <w:tc>
          <w:tcPr>
            <w:tcW w:w="140" w:type="dxa"/>
            <w:vAlign w:val="bottom"/>
          </w:tcPr>
          <w:p>
            <w:pPr>
              <w:spacing w:after="0"/>
              <w:rPr>
                <w:sz w:val="10"/>
                <w:szCs w:val="10"/>
                <w:color w:val="auto"/>
              </w:rPr>
            </w:pPr>
          </w:p>
        </w:tc>
        <w:tc>
          <w:tcPr>
            <w:tcW w:w="98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w w:val="98"/>
              </w:rPr>
              <w:t>Dec. 31,</w:t>
            </w:r>
          </w:p>
        </w:tc>
        <w:tc>
          <w:tcPr>
            <w:tcW w:w="140" w:type="dxa"/>
            <w:vAlign w:val="bottom"/>
          </w:tcPr>
          <w:p>
            <w:pPr>
              <w:spacing w:after="0"/>
              <w:rPr>
                <w:sz w:val="10"/>
                <w:szCs w:val="10"/>
                <w:color w:val="auto"/>
              </w:rPr>
            </w:pPr>
          </w:p>
        </w:tc>
        <w:tc>
          <w:tcPr>
            <w:tcW w:w="100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0"/>
              </w:rPr>
              <w:t>Sept. 30,</w:t>
            </w:r>
          </w:p>
        </w:tc>
        <w:tc>
          <w:tcPr>
            <w:tcW w:w="140" w:type="dxa"/>
            <w:vAlign w:val="bottom"/>
          </w:tcPr>
          <w:p>
            <w:pPr>
              <w:spacing w:after="0"/>
              <w:rPr>
                <w:sz w:val="10"/>
                <w:szCs w:val="10"/>
                <w:color w:val="auto"/>
              </w:rPr>
            </w:pPr>
          </w:p>
        </w:tc>
        <w:tc>
          <w:tcPr>
            <w:tcW w:w="100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5"/>
              </w:rPr>
              <w:t>Jun. 30,</w:t>
            </w:r>
          </w:p>
        </w:tc>
        <w:tc>
          <w:tcPr>
            <w:tcW w:w="120" w:type="dxa"/>
            <w:vAlign w:val="bottom"/>
          </w:tcPr>
          <w:p>
            <w:pPr>
              <w:spacing w:after="0"/>
              <w:rPr>
                <w:sz w:val="10"/>
                <w:szCs w:val="10"/>
                <w:color w:val="auto"/>
              </w:rPr>
            </w:pPr>
          </w:p>
        </w:tc>
        <w:tc>
          <w:tcPr>
            <w:tcW w:w="7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gridSpan w:val="2"/>
          </w:tcPr>
          <w:p>
            <w:pPr>
              <w:spacing w:after="0"/>
              <w:rPr>
                <w:sz w:val="20"/>
                <w:szCs w:val="20"/>
                <w:color w:val="auto"/>
              </w:rPr>
            </w:pPr>
            <w:r>
              <w:rPr>
                <w:rFonts w:ascii="Arial" w:cs="Arial" w:eastAsia="Arial" w:hAnsi="Arial"/>
                <w:sz w:val="14"/>
                <w:szCs w:val="14"/>
                <w:color w:val="auto"/>
                <w:w w:val="97"/>
              </w:rPr>
              <w:t>(In thousands, except per share data)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Adjusted net income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GAAP net income</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46,980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42,047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49,040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32,010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40,335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40,734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36,185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Floating yield adjustment (after-tax)</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(1,526)</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(330)</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2,349</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(4,679)</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(4,617)</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(5,882)</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Program fee yield adjustment (after-</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9"/>
              </w:rPr>
              <w:t>Loss (gain) from discontinued United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Kingdom segment (after-tax)</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Interest expense related to interest rate</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swap agreement (after-tax)</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w w:val="96"/>
              </w:rPr>
              <w:t>Adjustment to record taxes at 37% (1)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(3,380)</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(974)</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(7,085)</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1,033</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(1,562)</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Adjusted net income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43,639</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41,729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35,512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35,508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34,691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30,131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Adjusted net income per diluted share</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Diluted weighted average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27,865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28,452</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31,601</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31,584</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31,868</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31,539</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31,423</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31,180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Adjusted revenue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total revenue</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111,661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111,779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103,262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100,135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100,268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92,373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Floating yield adjustment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(2,423)</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3,729</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(7,426)</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(7,329)</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(9,336)</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242</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(1,978)</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(1,782)</w:t>
            </w: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(6,433)</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4,942</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3,433</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3,766</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claims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(5,823)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(6,112)</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(6,282)</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(5,212)</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(4,513)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(5,148)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Adjusted revenue</w:t>
            </w:r>
          </w:p>
        </w:tc>
        <w:tc>
          <w:tcPr>
            <w:tcW w:w="1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107,693</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103,247</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103,316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95,528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93,329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91,466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82,296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76,521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Adjusted average 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average debt</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676,978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645,383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509,867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492,069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510,123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562,663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604,863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624,279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GAAP average shareholders' equity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448,825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437,288</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553,297</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514,364</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474,984</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428,377</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388,242</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Floating yield adjustment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5,230</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5,485</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5,619</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5,394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10,134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15,243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Program fee yield adjustment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(362)</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(486)</w:t>
            </w: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(583)</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(697)</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(834)</w:t>
            </w: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(1,012)</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Adjusted average capital</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1,129,721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1,087,484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1,068,163</w:t>
            </w: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1,011,469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989,804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1,000,340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1,007,336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997,396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Adjusted revenue as a percentage of</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adjusted average capital</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38.1%</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w:t>
            </w:r>
          </w:p>
        </w:tc>
        <w:tc>
          <w:tcPr>
            <w:tcW w:w="14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38.7%</w:t>
            </w:r>
          </w:p>
        </w:tc>
        <w:tc>
          <w:tcPr>
            <w:tcW w:w="14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37.7%</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36.6%</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Adjusted interest expense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GAAP interest expense</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12,038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12,267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11,705</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9,047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8,144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7,285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2"/>
              </w:rPr>
              <w:t>Interest expense related to interest rate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swap agreement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record taxes at 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(4,344)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(4,454)</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(4,539)</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(4,331)</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(3,068)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(2,782)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w w:val="94"/>
              </w:rPr>
              <w:t>Adjusted interest expense (after-tax)</w:t>
            </w:r>
          </w:p>
        </w:tc>
        <w:tc>
          <w:tcPr>
            <w:tcW w:w="1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7,398</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7,584</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7,728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7,374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5,225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4,736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0"/>
                <w:szCs w:val="10"/>
                <w:color w:val="auto"/>
              </w:rPr>
            </w:pPr>
          </w:p>
        </w:tc>
        <w:tc>
          <w:tcPr>
            <w:tcW w:w="1000" w:type="dxa"/>
            <w:vAlign w:val="bottom"/>
            <w:gridSpan w:val="2"/>
          </w:tcPr>
          <w:p>
            <w:pPr>
              <w:jc w:val="right"/>
              <w:ind w:right="420"/>
              <w:spacing w:after="0" w:line="126" w:lineRule="exact"/>
              <w:rPr>
                <w:sz w:val="20"/>
                <w:szCs w:val="20"/>
                <w:color w:val="auto"/>
              </w:rPr>
            </w:pPr>
            <w:r>
              <w:rPr>
                <w:rFonts w:ascii="Arial" w:cs="Arial" w:eastAsia="Arial" w:hAnsi="Arial"/>
                <w:sz w:val="14"/>
                <w:szCs w:val="14"/>
                <w:b w:val="1"/>
                <w:bCs w:val="1"/>
                <w:color w:val="auto"/>
                <w:w w:val="97"/>
              </w:rPr>
              <w:t>Sept. 30,</w:t>
            </w:r>
          </w:p>
        </w:tc>
        <w:tc>
          <w:tcPr>
            <w:tcW w:w="140" w:type="dxa"/>
            <w:vAlign w:val="bottom"/>
          </w:tcPr>
          <w:p>
            <w:pPr>
              <w:spacing w:after="0"/>
              <w:rPr>
                <w:sz w:val="10"/>
                <w:szCs w:val="10"/>
                <w:color w:val="auto"/>
              </w:rPr>
            </w:pPr>
          </w:p>
        </w:tc>
        <w:tc>
          <w:tcPr>
            <w:tcW w:w="100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0"/>
                <w:szCs w:val="10"/>
                <w:color w:val="auto"/>
              </w:rPr>
            </w:pPr>
          </w:p>
        </w:tc>
        <w:tc>
          <w:tcPr>
            <w:tcW w:w="100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5"/>
              </w:rPr>
              <w:t>Mar. 31,</w:t>
            </w:r>
          </w:p>
        </w:tc>
        <w:tc>
          <w:tcPr>
            <w:tcW w:w="140" w:type="dxa"/>
            <w:vAlign w:val="bottom"/>
          </w:tcPr>
          <w:p>
            <w:pPr>
              <w:spacing w:after="0"/>
              <w:rPr>
                <w:sz w:val="10"/>
                <w:szCs w:val="10"/>
                <w:color w:val="auto"/>
              </w:rPr>
            </w:pPr>
          </w:p>
        </w:tc>
        <w:tc>
          <w:tcPr>
            <w:tcW w:w="980" w:type="dxa"/>
            <w:vAlign w:val="bottom"/>
            <w:gridSpan w:val="2"/>
          </w:tcPr>
          <w:p>
            <w:pPr>
              <w:jc w:val="right"/>
              <w:ind w:right="440"/>
              <w:spacing w:after="0" w:line="126" w:lineRule="exact"/>
              <w:rPr>
                <w:sz w:val="20"/>
                <w:szCs w:val="20"/>
                <w:color w:val="auto"/>
              </w:rPr>
            </w:pPr>
            <w:r>
              <w:rPr>
                <w:rFonts w:ascii="Arial" w:cs="Arial" w:eastAsia="Arial" w:hAnsi="Arial"/>
                <w:sz w:val="14"/>
                <w:szCs w:val="14"/>
                <w:b w:val="1"/>
                <w:bCs w:val="1"/>
                <w:color w:val="auto"/>
                <w:w w:val="98"/>
              </w:rPr>
              <w:t>Dec. 31,</w:t>
            </w:r>
          </w:p>
        </w:tc>
        <w:tc>
          <w:tcPr>
            <w:tcW w:w="140" w:type="dxa"/>
            <w:vAlign w:val="bottom"/>
          </w:tcPr>
          <w:p>
            <w:pPr>
              <w:spacing w:after="0"/>
              <w:rPr>
                <w:sz w:val="10"/>
                <w:szCs w:val="10"/>
                <w:color w:val="auto"/>
              </w:rPr>
            </w:pPr>
          </w:p>
        </w:tc>
        <w:tc>
          <w:tcPr>
            <w:tcW w:w="100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0"/>
              </w:rPr>
              <w:t>Sept. 30,</w:t>
            </w:r>
          </w:p>
        </w:tc>
        <w:tc>
          <w:tcPr>
            <w:tcW w:w="140" w:type="dxa"/>
            <w:vAlign w:val="bottom"/>
          </w:tcPr>
          <w:p>
            <w:pPr>
              <w:spacing w:after="0"/>
              <w:rPr>
                <w:sz w:val="10"/>
                <w:szCs w:val="10"/>
                <w:color w:val="auto"/>
              </w:rPr>
            </w:pPr>
          </w:p>
        </w:tc>
        <w:tc>
          <w:tcPr>
            <w:tcW w:w="100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5"/>
              </w:rPr>
              <w:t>Jun. 30,</w:t>
            </w:r>
          </w:p>
        </w:tc>
        <w:tc>
          <w:tcPr>
            <w:tcW w:w="120" w:type="dxa"/>
            <w:vAlign w:val="bottom"/>
          </w:tcPr>
          <w:p>
            <w:pPr>
              <w:spacing w:after="0"/>
              <w:rPr>
                <w:sz w:val="10"/>
                <w:szCs w:val="10"/>
                <w:color w:val="auto"/>
              </w:rPr>
            </w:pPr>
          </w:p>
        </w:tc>
        <w:tc>
          <w:tcPr>
            <w:tcW w:w="7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300" w:type="dxa"/>
            <w:vAlign w:val="bottom"/>
            <w:gridSpan w:val="2"/>
          </w:tcPr>
          <w:p>
            <w:pPr>
              <w:spacing w:after="0"/>
              <w:rPr>
                <w:sz w:val="20"/>
                <w:szCs w:val="20"/>
                <w:color w:val="auto"/>
              </w:rPr>
            </w:pPr>
            <w:r>
              <w:rPr>
                <w:rFonts w:ascii="Arial" w:cs="Arial" w:eastAsia="Arial" w:hAnsi="Arial"/>
                <w:sz w:val="14"/>
                <w:szCs w:val="14"/>
                <w:color w:val="auto"/>
                <w:w w:val="97"/>
              </w:rPr>
              <w:t>(In thousands, except per share data)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Adjusted return on capital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net income</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43,639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39,608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41,729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35,512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35,508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34,691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30,131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24,714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Adjusted interest expense (after-tax)</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7,398</w:t>
            </w:r>
          </w:p>
        </w:tc>
        <w:tc>
          <w:tcPr>
            <w:tcW w:w="14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7,584</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7,728</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7,374</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5,767</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5,225</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4,736</w:t>
            </w:r>
          </w:p>
        </w:tc>
        <w:tc>
          <w:tcPr>
            <w:tcW w:w="120" w:type="dxa"/>
            <w:vAlign w:val="bottom"/>
          </w:tcPr>
          <w:p>
            <w:pPr>
              <w:spacing w:after="0"/>
              <w:rPr>
                <w:sz w:val="13"/>
                <w:szCs w:val="13"/>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Adjusted net income plus interest</w:t>
            </w: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expense (after-tax)</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51,037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47,192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49,457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42,886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41,275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39,916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34,867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return on capital (2)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Economic profit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return on capital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Cost of capital (3)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3"/>
                <w:szCs w:val="13"/>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3"/>
                <w:szCs w:val="13"/>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20" w:type="dxa"/>
            <w:vAlign w:val="bottom"/>
          </w:tcPr>
          <w:p>
            <w:pPr>
              <w:spacing w:after="0"/>
              <w:rPr>
                <w:sz w:val="13"/>
                <w:szCs w:val="13"/>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Adjusted return on capital in excess of</w:t>
            </w: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capital</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Adjusted average capital</w:t>
            </w:r>
          </w:p>
        </w:tc>
        <w:tc>
          <w:tcPr>
            <w:tcW w:w="1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1,129,721</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1,087,484</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1,068,163</w:t>
            </w:r>
          </w:p>
        </w:tc>
        <w:tc>
          <w:tcPr>
            <w:tcW w:w="2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1,011,469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989,804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1,000,340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1,007,336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997,396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Economic profit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31,765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28,799</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23,036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23,205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22,515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18,493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GAAP salaries and wages</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15,034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16,133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16,110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16,395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16,862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16,515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GAAP general and administrative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6,762</w:t>
            </w: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7,208</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5,920</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6,542</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7,633</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7,869</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6,894</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GAAP sales and marketing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4,834</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4,810</w:t>
            </w:r>
          </w:p>
        </w:tc>
        <w:tc>
          <w:tcPr>
            <w:tcW w:w="14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3,788</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3,533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3,566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40"/>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26,841</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28,313</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24,804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27,462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27,816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28,264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26,975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2"/>
              </w:rPr>
              <w:t>Operating expenses as a percentage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adjusted average 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w w:val="91"/>
              </w:rPr>
              <w:t>Percentage change in adjusted average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w w:val="92"/>
              </w:rPr>
              <w:t>capital compared to the same period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60"/>
              <w:spacing w:after="0"/>
              <w:rPr>
                <w:sz w:val="20"/>
                <w:szCs w:val="20"/>
                <w:color w:val="auto"/>
              </w:rPr>
            </w:pPr>
            <w:r>
              <w:rPr>
                <w:rFonts w:ascii="Arial" w:cs="Arial" w:eastAsia="Arial" w:hAnsi="Arial"/>
                <w:sz w:val="14"/>
                <w:szCs w:val="14"/>
                <w:color w:val="auto"/>
              </w:rPr>
              <w:t>in the prior year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8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170,077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Floating yield adjustment (after-tax)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Program fee yield adjustment (after-tax)</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Loss (gain) from discontinued United Kingdom segment (after-tax)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interest rate swap agreement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 to record taxes at 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jc w:val="center"/>
              <w:ind w:right="6470"/>
              <w:spacing w:after="0"/>
              <w:rPr>
                <w:sz w:val="20"/>
                <w:szCs w:val="20"/>
                <w:color w:val="auto"/>
              </w:rPr>
            </w:pPr>
            <w:r>
              <w:rPr>
                <w:rFonts w:ascii="Arial" w:cs="Arial" w:eastAsia="Arial" w:hAnsi="Arial"/>
                <w:sz w:val="18"/>
                <w:szCs w:val="18"/>
                <w:color w:val="auto"/>
                <w:w w:val="90"/>
              </w:rPr>
              <w:t>Adjusted net income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160,488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per diluted share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31,669</w:t>
            </w:r>
          </w:p>
        </w:tc>
        <w:tc>
          <w:tcPr>
            <w:tcW w:w="0" w:type="dxa"/>
            <w:vAlign w:val="bottom"/>
          </w:tcPr>
          <w:p>
            <w:pPr>
              <w:spacing w:after="0"/>
              <w:rPr>
                <w:sz w:val="1"/>
                <w:szCs w:val="1"/>
                <w:color w:val="auto"/>
              </w:rPr>
            </w:pPr>
          </w:p>
        </w:tc>
      </w:tr>
      <w:tr>
        <w:trPr>
          <w:trHeight w:val="37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Adjusted average capital</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average debt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581,074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GAAP average shareholders'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488,444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Floating yield adjustment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Program fee yield adjustment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jc w:val="center"/>
              <w:ind w:right="6490"/>
              <w:spacing w:after="0"/>
              <w:rPr>
                <w:sz w:val="20"/>
                <w:szCs w:val="20"/>
                <w:color w:val="auto"/>
              </w:rPr>
            </w:pPr>
            <w:r>
              <w:rPr>
                <w:rFonts w:ascii="Arial" w:cs="Arial" w:eastAsia="Arial" w:hAnsi="Arial"/>
                <w:sz w:val="18"/>
                <w:szCs w:val="18"/>
                <w:color w:val="auto"/>
                <w:w w:val="90"/>
              </w:rPr>
              <w:t>Adjusted average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1,074,210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8"/>
        </w:trPr>
        <w:tc>
          <w:tcPr>
            <w:tcW w:w="87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Pr>
          <w:p>
            <w:pPr>
              <w:spacing w:after="0"/>
              <w:rPr>
                <w:sz w:val="15"/>
                <w:szCs w:val="15"/>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8720" w:type="dxa"/>
            <w:vAlign w:val="bottom"/>
            <w:gridSpan w:val="3"/>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Adjusted interest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Interest expense related to interest rate swap agreement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record taxes at 37%</w:t>
            </w:r>
          </w:p>
        </w:tc>
        <w:tc>
          <w:tcPr>
            <w:tcW w:w="26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(17,668)</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Adjusted interest expense (after-tax)</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30,084</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20,933</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return on capital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160,488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Adjusted interest expense (after-tax)</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Adjusted net income plus interest expense (after-tax)</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190,572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Adjusted return on capital (2)</w:t>
            </w:r>
          </w:p>
        </w:tc>
        <w:tc>
          <w:tcPr>
            <w:tcW w:w="2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Economic profit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Cost of capital (3)</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return on capital in excess of cost of capital</w:t>
            </w: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Adjusted average capital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1,074,210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Economic profit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112,685</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79,099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820" w:hanging="241"/>
        <w:spacing w:after="0" w:line="253" w:lineRule="auto"/>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adjustment for the three months ended June 30, 2010 is primarily related to the reversal of reserves for uncertain tax positions and associated interest as a result of the completion of the IRS audit during the period, which reduced our effective tax rate under GAAP.</w:t>
      </w:r>
    </w:p>
    <w:p>
      <w:pPr>
        <w:spacing w:after="0" w:line="200" w:lineRule="exact"/>
        <w:rPr>
          <w:rFonts w:ascii="Arial" w:cs="Arial" w:eastAsia="Arial" w:hAnsi="Arial"/>
          <w:sz w:val="14"/>
          <w:szCs w:val="14"/>
          <w:color w:val="auto"/>
        </w:rPr>
      </w:pPr>
    </w:p>
    <w:p>
      <w:pPr>
        <w:ind w:left="820" w:hanging="241"/>
        <w:spacing w:after="0"/>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return on capital is defined as annualized adjusted net income plus adjusted interest expense after-tax divided by adjusted average capital.</w:t>
      </w:r>
    </w:p>
    <w:p>
      <w:pPr>
        <w:spacing w:after="0" w:line="230" w:lineRule="exact"/>
        <w:rPr>
          <w:rFonts w:ascii="Arial" w:cs="Arial" w:eastAsia="Arial" w:hAnsi="Arial"/>
          <w:sz w:val="14"/>
          <w:szCs w:val="14"/>
          <w:color w:val="auto"/>
        </w:rPr>
      </w:pPr>
    </w:p>
    <w:p>
      <w:pPr>
        <w:jc w:val="both"/>
        <w:ind w:left="820" w:hanging="241"/>
        <w:spacing w:after="0" w:line="234" w:lineRule="auto"/>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 year treasury rate + 5%) + [(1 – tax rate) x (the average 30 year treasury rate + 5% – pre-tax average cost of debt rate) x average debt/(average equity + average debt x tax rate)]. For the periods presented, the average 30 year treasury rate and the adjusted pre-tax average cost of debt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60" w:type="dxa"/>
            <w:vAlign w:val="bottom"/>
          </w:tcPr>
          <w:p>
            <w:pPr>
              <w:ind w:left="200"/>
              <w:spacing w:after="0" w:line="126" w:lineRule="exact"/>
              <w:rPr>
                <w:sz w:val="20"/>
                <w:szCs w:val="20"/>
                <w:color w:val="auto"/>
              </w:rPr>
            </w:pPr>
            <w:r>
              <w:rPr>
                <w:rFonts w:ascii="Arial" w:cs="Arial" w:eastAsia="Arial" w:hAnsi="Arial"/>
                <w:sz w:val="14"/>
                <w:szCs w:val="14"/>
                <w:b w:val="1"/>
                <w:bCs w:val="1"/>
                <w:color w:val="auto"/>
              </w:rPr>
              <w:t>Dec. 31,</w:t>
            </w:r>
          </w:p>
        </w:tc>
        <w:tc>
          <w:tcPr>
            <w:tcW w:w="240" w:type="dxa"/>
            <w:vAlign w:val="bottom"/>
          </w:tcPr>
          <w:p>
            <w:pPr>
              <w:spacing w:after="0"/>
              <w:rPr>
                <w:sz w:val="10"/>
                <w:szCs w:val="10"/>
                <w:color w:val="auto"/>
              </w:rPr>
            </w:pPr>
          </w:p>
        </w:tc>
        <w:tc>
          <w:tcPr>
            <w:tcW w:w="86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Sept. 30,</w:t>
            </w:r>
          </w:p>
        </w:tc>
        <w:tc>
          <w:tcPr>
            <w:tcW w:w="240" w:type="dxa"/>
            <w:vAlign w:val="bottom"/>
          </w:tcPr>
          <w:p>
            <w:pPr>
              <w:spacing w:after="0"/>
              <w:rPr>
                <w:sz w:val="10"/>
                <w:szCs w:val="10"/>
                <w:color w:val="auto"/>
              </w:rPr>
            </w:pPr>
          </w:p>
        </w:tc>
        <w:tc>
          <w:tcPr>
            <w:tcW w:w="86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Jun. 30,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ind w:left="140"/>
              <w:spacing w:after="0" w:line="126" w:lineRule="exact"/>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0"/>
                <w:szCs w:val="10"/>
                <w:color w:val="auto"/>
              </w:rPr>
            </w:pPr>
          </w:p>
        </w:tc>
        <w:tc>
          <w:tcPr>
            <w:tcW w:w="700" w:type="dxa"/>
            <w:vAlign w:val="bottom"/>
          </w:tcPr>
          <w:p>
            <w:pPr>
              <w:ind w:left="200"/>
              <w:spacing w:after="0" w:line="126" w:lineRule="exact"/>
              <w:rPr>
                <w:sz w:val="20"/>
                <w:szCs w:val="20"/>
                <w:color w:val="auto"/>
              </w:rPr>
            </w:pPr>
            <w:r>
              <w:rPr>
                <w:rFonts w:ascii="Arial" w:cs="Arial" w:eastAsia="Arial" w:hAnsi="Arial"/>
                <w:sz w:val="14"/>
                <w:szCs w:val="14"/>
                <w:b w:val="1"/>
                <w:bCs w:val="1"/>
                <w:color w:val="auto"/>
                <w:w w:val="90"/>
              </w:rPr>
              <w:t>Dec. 31,</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tcPr>
          <w:p>
            <w:pPr>
              <w:ind w:left="160"/>
              <w:spacing w:after="0" w:line="126" w:lineRule="exact"/>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10"/>
                <w:szCs w:val="10"/>
                <w:color w:val="auto"/>
              </w:rPr>
            </w:pPr>
          </w:p>
        </w:tc>
        <w:tc>
          <w:tcPr>
            <w:tcW w:w="1120" w:type="dxa"/>
            <w:vAlign w:val="bottom"/>
            <w:gridSpan w:val="2"/>
          </w:tcPr>
          <w:p>
            <w:pPr>
              <w:ind w:left="200"/>
              <w:spacing w:after="0" w:line="126" w:lineRule="exact"/>
              <w:rPr>
                <w:sz w:val="20"/>
                <w:szCs w:val="20"/>
                <w:color w:val="auto"/>
              </w:rPr>
            </w:pPr>
            <w:r>
              <w:rPr>
                <w:rFonts w:ascii="Arial" w:cs="Arial" w:eastAsia="Arial" w:hAnsi="Arial"/>
                <w:sz w:val="14"/>
                <w:szCs w:val="14"/>
                <w:b w:val="1"/>
                <w:bCs w:val="1"/>
                <w:color w:val="auto"/>
              </w:rPr>
              <w:t>Jun. 30,</w:t>
            </w:r>
          </w:p>
        </w:tc>
        <w:tc>
          <w:tcPr>
            <w:tcW w:w="900" w:type="dxa"/>
            <w:vAlign w:val="bottom"/>
          </w:tcPr>
          <w:p>
            <w:pPr>
              <w:ind w:left="200"/>
              <w:spacing w:after="0" w:line="126" w:lineRule="exact"/>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Average 30 year treasury rate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3.8%</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4.4%</w:t>
            </w:r>
          </w:p>
        </w:tc>
        <w:tc>
          <w:tcPr>
            <w:tcW w:w="11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7"/>
              </w:rPr>
              <w:t>4.6%</w:t>
            </w:r>
          </w:p>
        </w:tc>
        <w:tc>
          <w:tcPr>
            <w:tcW w:w="92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2"/>
              </w:rPr>
              <w:t>4.3%</w:t>
            </w:r>
          </w:p>
        </w:tc>
        <w:tc>
          <w:tcPr>
            <w:tcW w:w="1060" w:type="dxa"/>
            <w:vAlign w:val="bottom"/>
            <w:gridSpan w:val="4"/>
            <w:shd w:val="clear" w:color="auto" w:fill="CCEEFF"/>
          </w:tcPr>
          <w:p>
            <w:pPr>
              <w:jc w:val="center"/>
              <w:ind w:left="516"/>
              <w:spacing w:after="0"/>
              <w:rPr>
                <w:sz w:val="20"/>
                <w:szCs w:val="20"/>
                <w:color w:val="auto"/>
              </w:rPr>
            </w:pPr>
            <w:r>
              <w:rPr>
                <w:rFonts w:ascii="Arial" w:cs="Arial" w:eastAsia="Arial" w:hAnsi="Arial"/>
                <w:sz w:val="18"/>
                <w:szCs w:val="18"/>
                <w:color w:val="auto"/>
                <w:w w:val="92"/>
              </w:rPr>
              <w:t>4.2%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2"/>
              </w:rPr>
              <w:t>4.1%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Adjusted pre-tax average cost of debt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6.9%</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7.5%</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9.6%</w:t>
            </w:r>
          </w:p>
        </w:tc>
        <w:tc>
          <w:tcPr>
            <w:tcW w:w="110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87"/>
              </w:rPr>
              <w:t>9.5%</w:t>
            </w:r>
          </w:p>
        </w:tc>
        <w:tc>
          <w:tcPr>
            <w:tcW w:w="92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2"/>
              </w:rPr>
              <w:t>7.2%</w:t>
            </w:r>
          </w:p>
        </w:tc>
        <w:tc>
          <w:tcPr>
            <w:tcW w:w="1060" w:type="dxa"/>
            <w:vAlign w:val="bottom"/>
            <w:gridSpan w:val="4"/>
            <w:shd w:val="clear" w:color="auto" w:fill="CCEEFF"/>
          </w:tcPr>
          <w:p>
            <w:pPr>
              <w:jc w:val="center"/>
              <w:ind w:left="516"/>
              <w:spacing w:after="0"/>
              <w:rPr>
                <w:sz w:val="20"/>
                <w:szCs w:val="20"/>
                <w:color w:val="auto"/>
              </w:rPr>
            </w:pPr>
            <w:r>
              <w:rPr>
                <w:rFonts w:ascii="Arial" w:cs="Arial" w:eastAsia="Arial" w:hAnsi="Arial"/>
                <w:sz w:val="18"/>
                <w:szCs w:val="18"/>
                <w:color w:val="auto"/>
                <w:w w:val="92"/>
              </w:rPr>
              <w:t>5.9%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2"/>
              </w:rPr>
              <w:t>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5.3%</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ind w:left="614"/>
              <w:spacing w:after="0" w:line="149" w:lineRule="exact"/>
              <w:rPr>
                <w:sz w:val="20"/>
                <w:szCs w:val="20"/>
                <w:color w:val="auto"/>
              </w:rPr>
            </w:pPr>
            <w:r>
              <w:rPr>
                <w:rFonts w:ascii="Arial" w:cs="Arial" w:eastAsia="Arial" w:hAnsi="Arial"/>
                <w:sz w:val="14"/>
                <w:szCs w:val="14"/>
                <w:b w:val="1"/>
                <w:bCs w:val="1"/>
                <w:color w:val="auto"/>
                <w:w w:val="89"/>
              </w:rPr>
              <w:t>2009</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Average 30 year treasury rate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8"/>
              <w:spacing w:after="0"/>
              <w:rPr>
                <w:sz w:val="20"/>
                <w:szCs w:val="20"/>
                <w:color w:val="auto"/>
              </w:rPr>
            </w:pPr>
            <w:r>
              <w:rPr>
                <w:rFonts w:ascii="Arial" w:cs="Arial" w:eastAsia="Arial" w:hAnsi="Arial"/>
                <w:sz w:val="18"/>
                <w:szCs w:val="18"/>
                <w:color w:val="auto"/>
                <w:w w:val="87"/>
              </w:rPr>
              <w:t>4.2%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614"/>
              <w:spacing w:after="0"/>
              <w:rPr>
                <w:sz w:val="20"/>
                <w:szCs w:val="20"/>
                <w:color w:val="auto"/>
              </w:rPr>
            </w:pPr>
            <w:r>
              <w:rPr>
                <w:rFonts w:ascii="Arial" w:cs="Arial" w:eastAsia="Arial" w:hAnsi="Arial"/>
                <w:sz w:val="18"/>
                <w:szCs w:val="18"/>
                <w:color w:val="auto"/>
                <w:w w:val="87"/>
              </w:rPr>
              <w:t>4.0%</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Adjusted pre-tax average cost of debt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8"/>
              <w:spacing w:after="0"/>
              <w:rPr>
                <w:sz w:val="20"/>
                <w:szCs w:val="20"/>
                <w:color w:val="auto"/>
              </w:rPr>
            </w:pPr>
            <w:r>
              <w:rPr>
                <w:rFonts w:ascii="Arial" w:cs="Arial" w:eastAsia="Arial" w:hAnsi="Arial"/>
                <w:sz w:val="18"/>
                <w:szCs w:val="18"/>
                <w:color w:val="auto"/>
                <w:w w:val="87"/>
              </w:rPr>
              <w:t>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614"/>
              <w:spacing w:after="0"/>
              <w:rPr>
                <w:sz w:val="20"/>
                <w:szCs w:val="20"/>
                <w:color w:val="auto"/>
              </w:rPr>
            </w:pPr>
            <w:r>
              <w:rPr>
                <w:rFonts w:ascii="Arial" w:cs="Arial" w:eastAsia="Arial" w:hAnsi="Arial"/>
                <w:sz w:val="18"/>
                <w:szCs w:val="18"/>
                <w:color w:val="auto"/>
                <w:w w:val="87"/>
              </w:rPr>
              <w:t>5.8%</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finance charge revenue we will recognize over the life of the loan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&amp;# 8220;floating yield” method, all changes in expected cash flows (both positive and negative) are treated as yield adjustments and therefore impact earnings over time. The GAAP treatment always results in a lower carrying value of the loan receivable asset, but may result in either higher or lower earnings for any given period depending on the timing and amount of expected cash flow changes.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adjusted earnings, which include the floating yield adjustment, are a more accurate reflection of the performance of our business, since both favorable and unfavorable changes in estimated cash flows are treated consistently.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 Fee Yield Adjustment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this adjustment is to make revenue from program fees comparable across time periods. In 2001, we began charging dealer-partners a monthly program fee. Effective January 1, 2007, we implemented a change in the way these fees are charged designed to positively impact dealer-partner attrition. We continue to charge a monthly program fee, but instead of collecting the fee in the current period, we collect it from future dealer holdback payments.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this change, effective January 1, 2007, we began recording program fees on a GAAP basis as a yield adjustment, recognizing these fees as finance charge revenue over the term of the dealer loan because collection is dependent on the future cash flows of the loan. Previously, we had recorded the fee as program fee revenue in the month the fee was charged. The current GAAP treatment is more consistent with the cash economics of the business.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allow for proper comparisons between periods, we make an adjustment to our financial results as though program fees had always been recorded as a yield adjustment. The program fee yield adjustment is immaterial for 2010 and future periods.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2009, filed with the Securities and Exchange Commission on March 3, 2010, other risk factors discussed herein or listed from time to time in our reports filed with the Securities and Exchange Commission and the following:</w:t>
      </w:r>
    </w:p>
    <w:p>
      <w:pPr>
        <w:spacing w:after="0" w:line="206" w:lineRule="exact"/>
        <w:rPr>
          <w:sz w:val="20"/>
          <w:szCs w:val="20"/>
          <w:color w:val="auto"/>
        </w:rPr>
      </w:pPr>
    </w:p>
    <w:p>
      <w:pPr>
        <w:ind w:left="660" w:hanging="13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660" w:hanging="13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are dependent on technology.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5" w:gutter="0" w:footer="0" w:header="0"/>
        </w:sectPr>
      </w:pPr>
    </w:p>
    <w:bookmarkStart w:id="16" w:name="page17"/>
    <w:bookmarkEnd w:id="16"/>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concentration of our dealer-partners in several states could adversely affect us.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660" w:hanging="139"/>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founder controls a majority of our common stock, has the ability to control matters requiring shareholder approval and has interests which may conflict with the interests of our other security holders.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Since 1972, Credit Acceptance has provided auto loans to consumers, regardless of their credit history. Our product is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product, consumers are often unable to purchase a vehicle or they purchase an unreliable one. Further, as we report to the three national credit reporting agencies, an important ancillary benefit of our program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412"/>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4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00" w:type="dxa"/>
            <w:vAlign w:val="bottom"/>
            <w:gridSpan w:val="4"/>
            <w:shd w:val="clear" w:color="auto" w:fill="CCEEFF"/>
          </w:tcPr>
          <w:p>
            <w:pPr>
              <w:jc w:val="center"/>
              <w:ind w:left="412"/>
              <w:spacing w:after="0" w:line="149" w:lineRule="exact"/>
              <w:rPr>
                <w:sz w:val="20"/>
                <w:szCs w:val="20"/>
                <w:color w:val="auto"/>
              </w:rPr>
            </w:pPr>
            <w:r>
              <w:rPr>
                <w:rFonts w:ascii="Arial" w:cs="Arial" w:eastAsia="Arial" w:hAnsi="Arial"/>
                <w:sz w:val="14"/>
                <w:szCs w:val="14"/>
                <w:b w:val="1"/>
                <w:bCs w:val="1"/>
                <w:color w:val="auto"/>
                <w:w w:val="97"/>
              </w:rPr>
              <w:t>(Unaudited)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charges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103,583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388,050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Premiums earned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8,348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32,659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442,135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Salaries and wages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16,395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61,327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3,788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19,661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credit losses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9,047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47,752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claims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188,638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83,390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from discontinued United Kingdom operations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Credit for income taxes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discontinued operations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46,980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40,335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170,077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146,255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per share: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from continuing operations per share: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Gain (loss) from discontinued operations per share: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30,798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27,865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31,868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29,985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40" w:type="dxa"/>
            <w:vAlign w:val="bottom"/>
          </w:tcPr>
          <w:p>
            <w:pPr>
              <w:spacing w:after="0"/>
              <w:rPr>
                <w:sz w:val="15"/>
                <w:szCs w:val="15"/>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(Unaudited)</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96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66,536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securities available for sale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receivable (including $9,031 and $12,674 from affiliates as of</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December 31, 2010 and December 31, 2009, respectively)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1,344,881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1,167,558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Loans receivable, net</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1,218,013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1,050,013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26,056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1,343,515</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1,176,236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75,297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Secured financing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Mortgage note and capital lease obligations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869,041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8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 $.01 par value, 1,000 shares authorized, none issued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Common stock, $.01 par value, 80,000 shares authorized, 27,304 and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31,038 shares issued and outstanding as of December 31, 2010 and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December 31, 2009, respectively</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 net of tax of $64 and $526 at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December 31, 2010 and December 31, 2009, respectively</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1,343,515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1,176,236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0"/>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170,077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Adjustments to reconcile cash provided by operating activities: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credit losses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11,080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retirement of property and equipment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Loss on impairment of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deferred income taxes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operating assets and liabilities: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Decrease in accounts payable and accrued liabilities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income taxes receivable / decrease in income taxes payable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(Increase) decrease in other assets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restricted cash and cash equivalents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Purchases of restricted securities available for sale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restricted securities available for sale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Maturities of restricted securities available for sale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collected on loans receivable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785,947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Advances to dealer-partners and accelerated payments of dealer holdback</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(819,538)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consumer loans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Payments of dealer holdback</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(44,220)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(increase) in other loans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Borrowings under line of credit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1,097,900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Repayments under line of credit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(1,058,500)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secured financing</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Repayments of secured financing</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(432,197)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(566,578)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under mortgage note and capital lease obligations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Proceeds from sale of senior notes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243,738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of debt issuance costs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Repurchase of common stock</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(202,247)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stock options exercised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Tax benefits from stock-based compensation plans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Effect of exchange rate changes on cash</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increase in cash and cash equivalents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Cash and cash equivalents, beginning of period</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 end of period</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Cash paid during the period for interest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42,548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during the period for income taxes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81,750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Receivable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Loans receivable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center"/>
              <w:ind w:left="513"/>
              <w:spacing w:after="0"/>
              <w:rPr>
                <w:sz w:val="20"/>
                <w:szCs w:val="20"/>
                <w:color w:val="auto"/>
              </w:rPr>
            </w:pPr>
            <w:r>
              <w:rPr>
                <w:rFonts w:ascii="Arial" w:cs="Arial" w:eastAsia="Arial" w:hAnsi="Arial"/>
                <w:sz w:val="14"/>
                <w:szCs w:val="14"/>
                <w:b w:val="1"/>
                <w:bCs w:val="1"/>
                <w:color w:val="auto"/>
                <w:w w:val="93"/>
              </w:rPr>
              <w:t>For the Year Ended December 31, 2010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w w:val="95"/>
              </w:rPr>
              <w:t>Dealer Loans</w:t>
            </w:r>
          </w:p>
        </w:tc>
        <w:tc>
          <w:tcPr>
            <w:tcW w:w="200" w:type="dxa"/>
            <w:vAlign w:val="bottom"/>
          </w:tcPr>
          <w:p>
            <w:pPr>
              <w:spacing w:after="0"/>
              <w:rPr>
                <w:sz w:val="13"/>
                <w:szCs w:val="13"/>
                <w:color w:val="auto"/>
              </w:rPr>
            </w:pPr>
          </w:p>
        </w:tc>
        <w:tc>
          <w:tcPr>
            <w:tcW w:w="11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 Loans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869,603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297,955</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100,430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(632,616)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(153,331)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44,220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Transfers (2)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1,082,039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262,842</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1,344,881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left="513"/>
              <w:spacing w:after="0"/>
              <w:rPr>
                <w:sz w:val="20"/>
                <w:szCs w:val="20"/>
                <w:color w:val="auto"/>
              </w:rPr>
            </w:pPr>
            <w:r>
              <w:rPr>
                <w:rFonts w:ascii="Arial" w:cs="Arial" w:eastAsia="Arial" w:hAnsi="Arial"/>
                <w:sz w:val="14"/>
                <w:szCs w:val="14"/>
                <w:b w:val="1"/>
                <w:bCs w:val="1"/>
                <w:color w:val="auto"/>
                <w:w w:val="93"/>
              </w:rPr>
              <w:t>For the Year Ended December 31, 2009</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w w:val="95"/>
              </w:rPr>
              <w:t>Dealer Loans</w:t>
            </w:r>
          </w:p>
        </w:tc>
        <w:tc>
          <w:tcPr>
            <w:tcW w:w="200" w:type="dxa"/>
            <w:vAlign w:val="bottom"/>
          </w:tcPr>
          <w:p>
            <w:pPr>
              <w:spacing w:after="0"/>
              <w:rPr>
                <w:sz w:val="13"/>
                <w:szCs w:val="13"/>
                <w:color w:val="auto"/>
              </w:rPr>
            </w:pPr>
          </w:p>
        </w:tc>
        <w:tc>
          <w:tcPr>
            <w:tcW w:w="11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 Loans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823,567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325,185</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533,465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103,283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Principal collected on loans receivable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(515,847)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44,269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Transfers (2)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(4,234)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other loans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869,603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297,955</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1,167,558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248"/>
        <w:spacing w:after="0" w:line="25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dealer loans amount represents advances and accelerated dealer holdback payments made to dealer-partners for consumer loans assigned under our portfolio program. The purchased loans amount represents payments made to dealer-partners to purchase consumer loans assigned under our purchase program.</w:t>
      </w:r>
    </w:p>
    <w:p>
      <w:pPr>
        <w:spacing w:after="0" w:line="200" w:lineRule="exact"/>
        <w:rPr>
          <w:rFonts w:ascii="Arial" w:cs="Arial" w:eastAsia="Arial" w:hAnsi="Arial"/>
          <w:sz w:val="14"/>
          <w:szCs w:val="14"/>
          <w:color w:val="auto"/>
        </w:rPr>
      </w:pPr>
    </w:p>
    <w:p>
      <w:pPr>
        <w:ind w:left="340" w:hanging="248"/>
        <w:spacing w:after="0" w:line="25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Under our portfolio program, certain events may result in dealer-partners forfeiting their rights to dealer holdback. We transfer the dealer-partner’s outstanding dealer loan balance to purchased loans in the period this forfeiture occurs.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Allowance for credit losses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center"/>
              <w:ind w:left="514"/>
              <w:spacing w:after="0"/>
              <w:rPr>
                <w:sz w:val="20"/>
                <w:szCs w:val="20"/>
                <w:color w:val="auto"/>
              </w:rPr>
            </w:pPr>
            <w:r>
              <w:rPr>
                <w:rFonts w:ascii="Arial" w:cs="Arial" w:eastAsia="Arial" w:hAnsi="Arial"/>
                <w:sz w:val="14"/>
                <w:szCs w:val="14"/>
                <w:b w:val="1"/>
                <w:bCs w:val="1"/>
                <w:color w:val="auto"/>
                <w:w w:val="93"/>
              </w:rPr>
              <w:t>For the Year Ended December 31, 2010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w w:val="95"/>
              </w:rPr>
              <w:t>Dealer Loans</w:t>
            </w:r>
          </w:p>
        </w:tc>
        <w:tc>
          <w:tcPr>
            <w:tcW w:w="200" w:type="dxa"/>
            <w:vAlign w:val="bottom"/>
          </w:tcPr>
          <w:p>
            <w:pPr>
              <w:spacing w:after="0"/>
              <w:rPr>
                <w:sz w:val="13"/>
                <w:szCs w:val="13"/>
                <w:color w:val="auto"/>
              </w:rPr>
            </w:pPr>
          </w:p>
        </w:tc>
        <w:tc>
          <w:tcPr>
            <w:tcW w:w="11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 Loans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8,753</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Recoveries</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113,227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13,641</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126,868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left="514"/>
              <w:spacing w:after="0"/>
              <w:rPr>
                <w:sz w:val="20"/>
                <w:szCs w:val="20"/>
                <w:color w:val="auto"/>
              </w:rPr>
            </w:pPr>
            <w:r>
              <w:rPr>
                <w:rFonts w:ascii="Arial" w:cs="Arial" w:eastAsia="Arial" w:hAnsi="Arial"/>
                <w:sz w:val="14"/>
                <w:szCs w:val="14"/>
                <w:b w:val="1"/>
                <w:bCs w:val="1"/>
                <w:color w:val="auto"/>
                <w:w w:val="93"/>
              </w:rPr>
              <w:t>For the Year Ended December 31, 2009</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w w:val="95"/>
              </w:rPr>
              <w:t>Dealer Loans</w:t>
            </w:r>
          </w:p>
        </w:tc>
        <w:tc>
          <w:tcPr>
            <w:tcW w:w="200" w:type="dxa"/>
            <w:vAlign w:val="bottom"/>
          </w:tcPr>
          <w:p>
            <w:pPr>
              <w:spacing w:after="0"/>
              <w:rPr>
                <w:sz w:val="13"/>
                <w:szCs w:val="13"/>
                <w:color w:val="auto"/>
              </w:rPr>
            </w:pPr>
          </w:p>
        </w:tc>
        <w:tc>
          <w:tcPr>
            <w:tcW w:w="114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 Loans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17,004</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(3,962)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Recoveries</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108,792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8,753</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117,545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580" w:type="dxa"/>
            <w:vAlign w:val="bottom"/>
            <w:vMerge w:val="restart"/>
          </w:tcPr>
          <w:p>
            <w:pPr>
              <w:jc w:val="right"/>
              <w:ind w:right="155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2019-12-10T11:23:15Z</dcterms:created>
  <dcterms:modified xsi:type="dcterms:W3CDTF">2019-12-10T11:23:15Z</dcterms:modified>
</cp:coreProperties>
</file>