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100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0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Commission file number 000-20202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CREDIT ACCEPTANCE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361" w:type="dxa"/>
        <w:jc w:val="left"/>
        <w:tblInd w:w="0" w:type="dxa"/>
        <w:tblLayout w:type="fixed"/>
        <w:tblCellMar>
          <w:top w:w="28" w:type="dxa"/>
          <w:left w:w="28" w:type="dxa"/>
          <w:bottom w:w="28" w:type="dxa"/>
          <w:right w:w="28" w:type="dxa"/>
        </w:tblCellMar>
      </w:tblPr>
      <w:tblGrid>
        <w:gridCol w:w="794"/>
        <w:gridCol w:w="701"/>
        <w:gridCol w:w="701"/>
        <w:gridCol w:w="701"/>
        <w:gridCol w:w="701"/>
        <w:gridCol w:w="721"/>
        <w:gridCol w:w="109"/>
        <w:gridCol w:w="109"/>
        <w:gridCol w:w="109"/>
        <w:gridCol w:w="791"/>
        <w:gridCol w:w="791"/>
        <w:gridCol w:w="1133"/>
      </w:tblGrid>
      <w:tr>
        <w:trPr/>
        <w:tc>
          <w:tcPr>
            <w:tcW w:w="7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38-1999511</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25505 W. Twelve Mile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Southfield,</w:t>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48034-8339</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(248) 353-2700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6643" w:type="dxa"/>
        <w:jc w:val="center"/>
        <w:tblInd w:w="0" w:type="dxa"/>
        <w:tblLayout w:type="fixed"/>
        <w:tblCellMar>
          <w:top w:w="28" w:type="dxa"/>
          <w:left w:w="28" w:type="dxa"/>
          <w:bottom w:w="28" w:type="dxa"/>
          <w:right w:w="28" w:type="dxa"/>
        </w:tblCellMar>
      </w:tblPr>
      <w:tblGrid>
        <w:gridCol w:w="399"/>
        <w:gridCol w:w="351"/>
        <w:gridCol w:w="351"/>
        <w:gridCol w:w="1446"/>
        <w:gridCol w:w="1446"/>
        <w:gridCol w:w="1452"/>
        <w:gridCol w:w="351"/>
        <w:gridCol w:w="351"/>
        <w:gridCol w:w="496"/>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3" w:type="dxa"/>
            <w:gridSpan w:val="9"/>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87" w:type="dxa"/>
        <w:jc w:val="center"/>
        <w:tblInd w:w="0" w:type="dxa"/>
        <w:tblLayout w:type="fixed"/>
        <w:tblCellMar>
          <w:top w:w="28" w:type="dxa"/>
          <w:left w:w="28" w:type="dxa"/>
          <w:bottom w:w="28" w:type="dxa"/>
          <w:right w:w="28" w:type="dxa"/>
        </w:tblCellMar>
      </w:tblPr>
      <w:tblGrid>
        <w:gridCol w:w="485"/>
        <w:gridCol w:w="428"/>
        <w:gridCol w:w="428"/>
        <w:gridCol w:w="428"/>
        <w:gridCol w:w="428"/>
        <w:gridCol w:w="428"/>
        <w:gridCol w:w="109"/>
        <w:gridCol w:w="109"/>
        <w:gridCol w:w="109"/>
        <w:gridCol w:w="509"/>
        <w:gridCol w:w="509"/>
        <w:gridCol w:w="511"/>
        <w:gridCol w:w="109"/>
        <w:gridCol w:w="109"/>
        <w:gridCol w:w="109"/>
        <w:gridCol w:w="1019"/>
        <w:gridCol w:w="1019"/>
        <w:gridCol w:w="1441"/>
      </w:tblGrid>
      <w:tr>
        <w:trPr/>
        <w:tc>
          <w:tcPr>
            <w:tcW w:w="48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62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2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of Common Stock, $.01 par value, outstanding on July 23, 2026 was 10,380,580.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565"/>
        <w:gridCol w:w="3126"/>
        <w:gridCol w:w="3140"/>
        <w:gridCol w:w="109"/>
        <w:gridCol w:w="109"/>
        <w:gridCol w:w="156"/>
      </w:tblGrid>
      <w:tr>
        <w:trPr/>
        <w:tc>
          <w:tcPr>
            <w:tcW w:w="3565"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FINANCIAL STATEMENTS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Balance Sheets - As of June 30, 2026 and December 31, 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16">
              <w:r>
                <w:rPr>
                  <w:rStyle w:val="InternetLink"/>
                  <w:rFonts w:ascii="Times New Roman;serif" w:hAnsi="Times New Roman;serif"/>
                  <w:b w:val="false"/>
                  <w:color w:val="0000FF"/>
                  <w:sz w:val="20"/>
                  <w:u w:val="single"/>
                </w:rPr>
                <w:t>1</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Income - Three and six months ended June 30, 2026 and 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19">
              <w:r>
                <w:rPr>
                  <w:rStyle w:val="InternetLink"/>
                  <w:rFonts w:ascii="Times New Roman;serif" w:hAnsi="Times New Roman;serif"/>
                  <w:b w:val="false"/>
                  <w:color w:val="0000FF"/>
                  <w:sz w:val="20"/>
                  <w:u w:val="single"/>
                </w:rPr>
                <w:t>2</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Comprehensive Income - Three and six months ended June 30, 2026 and 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22">
              <w:r>
                <w:rPr>
                  <w:rStyle w:val="InternetLink"/>
                  <w:rFonts w:ascii="Times New Roman;serif" w:hAnsi="Times New Roman;serif"/>
                  <w:b w:val="false"/>
                  <w:color w:val="0000FF"/>
                  <w:sz w:val="20"/>
                  <w:u w:val="single"/>
                </w:rPr>
                <w:t>3</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Shareholders’ Equity - Three and six months ended June 30, 2026 and 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25">
              <w:r>
                <w:rPr>
                  <w:rStyle w:val="InternetLink"/>
                  <w:rFonts w:ascii="Times New Roman;serif" w:hAnsi="Times New Roman;serif"/>
                  <w:b w:val="false"/>
                  <w:color w:val="0000FF"/>
                  <w:sz w:val="20"/>
                  <w:u w:val="single"/>
                </w:rPr>
                <w:t>4</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Cash Flows - Six months ended June 30, 2026 and 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28">
              <w:r>
                <w:rPr>
                  <w:rStyle w:val="InternetLink"/>
                  <w:rFonts w:ascii="Times New Roman;serif" w:hAnsi="Times New Roman;serif"/>
                  <w:b w:val="false"/>
                  <w:color w:val="0000FF"/>
                  <w:sz w:val="20"/>
                  <w:u w:val="single"/>
                </w:rPr>
                <w:t>5</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 to Consolidated Financial Statements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31">
              <w:r>
                <w:rPr>
                  <w:rStyle w:val="InternetLink"/>
                  <w:rFonts w:ascii="Times New Roman;serif" w:hAnsi="Times New Roman;serif"/>
                  <w:b w:val="false"/>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2. MANAGEMENT’S DISCUSSION AND ANALYSIS OF FINANCIAL CONDITION AND RESULTS OF OPERATIONS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82">
              <w:r>
                <w:rPr>
                  <w:rStyle w:val="InternetLink"/>
                  <w:rFonts w:ascii="Times New Roman;serif" w:hAnsi="Times New Roman;serif"/>
                  <w:b w:val="false"/>
                  <w:color w:val="0000FF"/>
                  <w:sz w:val="20"/>
                  <w:u w:val="single"/>
                </w:rPr>
                <w:t>44</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3. QUANTITATIVE AND QUALITATIVE DISCLOSURES ABOUT MARKET RISK</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103">
              <w:r>
                <w:rPr>
                  <w:rStyle w:val="InternetLink"/>
                  <w:rFonts w:ascii="Times New Roman;serif" w:hAnsi="Times New Roman;serif"/>
                  <w:b w:val="false"/>
                  <w:color w:val="0000FF"/>
                  <w:sz w:val="20"/>
                  <w:u w:val="single"/>
                </w:rPr>
                <w:t>63</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4. CONTROLS AND PROCEDURES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106">
              <w:r>
                <w:rPr>
                  <w:rStyle w:val="InternetLink"/>
                  <w:rFonts w:ascii="Times New Roman;serif" w:hAnsi="Times New Roman;serif"/>
                  <w:b w:val="false"/>
                  <w:color w:val="0000FF"/>
                  <w:sz w:val="20"/>
                  <w:u w:val="single"/>
                </w:rPr>
                <w:t>63</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1. LEGAL PROCEEDINGS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112">
              <w:r>
                <w:rPr>
                  <w:rStyle w:val="InternetLink"/>
                  <w:rFonts w:ascii="Times New Roman;serif" w:hAnsi="Times New Roman;serif"/>
                  <w:b w:val="false"/>
                  <w:color w:val="0000FF"/>
                  <w:sz w:val="20"/>
                  <w:u w:val="single"/>
                </w:rPr>
                <w:t>64</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2. UNREGISTERED SALES OF EQUITY SECURITIES AND USE OF PROCEEDS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118">
              <w:r>
                <w:rPr>
                  <w:rStyle w:val="InternetLink"/>
                  <w:rFonts w:ascii="Times New Roman;serif" w:hAnsi="Times New Roman;serif"/>
                  <w:b w:val="false"/>
                  <w:color w:val="0000FF"/>
                  <w:sz w:val="20"/>
                  <w:u w:val="single"/>
                </w:rPr>
                <w:t>65</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5. OTHER INFORMATION</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121">
              <w:r>
                <w:rPr>
                  <w:rStyle w:val="InternetLink"/>
                  <w:rFonts w:ascii="Times New Roman;serif" w:hAnsi="Times New Roman;serif"/>
                  <w:b w:val="false"/>
                  <w:color w:val="0000FF"/>
                  <w:sz w:val="20"/>
                  <w:u w:val="single"/>
                </w:rPr>
                <w:t>66</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6. EXHIBITS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124">
              <w:r>
                <w:rPr>
                  <w:rStyle w:val="InternetLink"/>
                  <w:rFonts w:ascii="Times New Roman;serif" w:hAnsi="Times New Roman;serif"/>
                  <w:b w:val="false"/>
                  <w:color w:val="0000FF"/>
                  <w:sz w:val="20"/>
                  <w:u w:val="single"/>
                </w:rPr>
                <w:t>67</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4c4219363a4799835bfb4671297d14_127">
              <w:r>
                <w:rPr>
                  <w:rStyle w:val="InternetLink"/>
                  <w:rFonts w:ascii="Times New Roman;serif" w:hAnsi="Times New Roman;serif"/>
                  <w:b w:val="false"/>
                  <w:color w:val="0000FF"/>
                  <w:sz w:val="20"/>
                  <w:u w:val="singl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CREDIT ACCEPTANCE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04"/>
        <w:gridCol w:w="2198"/>
        <w:gridCol w:w="2114"/>
        <w:gridCol w:w="213"/>
        <w:gridCol w:w="777"/>
        <w:gridCol w:w="110"/>
        <w:gridCol w:w="109"/>
        <w:gridCol w:w="109"/>
        <w:gridCol w:w="109"/>
        <w:gridCol w:w="211"/>
        <w:gridCol w:w="766"/>
        <w:gridCol w:w="585"/>
      </w:tblGrid>
      <w:tr>
        <w:trPr/>
        <w:tc>
          <w:tcPr>
            <w:tcW w:w="2904"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7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 except per share data)</w:t>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00"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securities available for sale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11,511.5 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(3,602.3)</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99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7,909.2 </w:t>
            </w:r>
          </w:p>
        </w:tc>
        <w:tc>
          <w:tcPr>
            <w:tcW w:w="58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8,622.6 </w:t>
            </w:r>
          </w:p>
        </w:tc>
        <w:tc>
          <w:tcPr>
            <w:tcW w:w="110"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8,631.7 </w:t>
            </w:r>
          </w:p>
        </w:tc>
        <w:tc>
          <w:tcPr>
            <w:tcW w:w="585"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secured lines of credit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financing</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5,158.8 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liabilities</w:t>
            </w:r>
          </w:p>
        </w:tc>
        <w:tc>
          <w:tcPr>
            <w:tcW w:w="990"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7,033.7 </w:t>
            </w:r>
          </w:p>
        </w:tc>
        <w:tc>
          <w:tcPr>
            <w:tcW w:w="110"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7,108.1 </w:t>
            </w:r>
          </w:p>
        </w:tc>
        <w:tc>
          <w:tcPr>
            <w:tcW w:w="585"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Commitments and Contingencies - See </w:t>
            </w:r>
            <w:hyperlink w:anchor="i9f4c4219363a4799835bfb4671297d14_76">
              <w:r>
                <w:rPr>
                  <w:rStyle w:val="InternetLink"/>
                  <w:rFonts w:ascii="Times New Roman;serif" w:hAnsi="Times New Roman;serif"/>
                  <w:b/>
                  <w:color w:val="0000FF"/>
                  <w:sz w:val="20"/>
                  <w:u w:val="single"/>
                </w:rPr>
                <w:t>Note 15</w:t>
              </w:r>
            </w:hyperlink>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1,000,000 shares authorized, none issued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 par value, 80,000,000 shares authorized, 10,376,049 and 10,680,143 shares issued and outstanding as of June 30, 2026 and December 31, 2025, respectively</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585"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other comprehensive income (loss)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9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1,588.9 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58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3"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8,622.6 </w:t>
            </w:r>
          </w:p>
        </w:tc>
        <w:tc>
          <w:tcPr>
            <w:tcW w:w="110"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8,631.7 </w:t>
            </w:r>
          </w:p>
        </w:tc>
        <w:tc>
          <w:tcPr>
            <w:tcW w:w="58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CREDIT ACCEPTANCE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87"/>
        <w:gridCol w:w="1357"/>
        <w:gridCol w:w="1369"/>
        <w:gridCol w:w="275"/>
        <w:gridCol w:w="806"/>
        <w:gridCol w:w="109"/>
        <w:gridCol w:w="109"/>
        <w:gridCol w:w="109"/>
        <w:gridCol w:w="109"/>
        <w:gridCol w:w="275"/>
        <w:gridCol w:w="806"/>
        <w:gridCol w:w="109"/>
        <w:gridCol w:w="109"/>
        <w:gridCol w:w="109"/>
        <w:gridCol w:w="109"/>
        <w:gridCol w:w="233"/>
        <w:gridCol w:w="848"/>
        <w:gridCol w:w="109"/>
        <w:gridCol w:w="109"/>
        <w:gridCol w:w="109"/>
        <w:gridCol w:w="109"/>
        <w:gridCol w:w="233"/>
        <w:gridCol w:w="848"/>
        <w:gridCol w:w="160"/>
      </w:tblGrid>
      <w:tr>
        <w:trPr/>
        <w:tc>
          <w:tcPr>
            <w:tcW w:w="168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 except per share data)</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r>
      <w:tr>
        <w:trPr/>
        <w:tc>
          <w:tcPr>
            <w:tcW w:w="4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16"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charges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1,154.9 </w:t>
            </w:r>
          </w:p>
        </w:tc>
        <w:tc>
          <w:tcPr>
            <w:tcW w:w="160"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9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wages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expenses</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forecast changes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new Consumer Loan assignments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provision for credit losses</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claims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895.4 </w:t>
            </w:r>
          </w:p>
        </w:tc>
        <w:tc>
          <w:tcPr>
            <w:tcW w:w="160"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9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11,831,094 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12,023,903 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CREDIT ACCEPTANCE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687" w:type="dxa"/>
        <w:jc w:val="left"/>
        <w:tblInd w:w="0" w:type="dxa"/>
        <w:tblLayout w:type="fixed"/>
        <w:tblCellMar>
          <w:top w:w="28" w:type="dxa"/>
          <w:left w:w="28" w:type="dxa"/>
          <w:bottom w:w="28" w:type="dxa"/>
          <w:right w:w="28" w:type="dxa"/>
        </w:tblCellMar>
      </w:tblPr>
      <w:tblGrid>
        <w:gridCol w:w="1561"/>
        <w:gridCol w:w="1156"/>
        <w:gridCol w:w="1167"/>
        <w:gridCol w:w="225"/>
        <w:gridCol w:w="657"/>
        <w:gridCol w:w="116"/>
        <w:gridCol w:w="116"/>
        <w:gridCol w:w="116"/>
        <w:gridCol w:w="116"/>
        <w:gridCol w:w="225"/>
        <w:gridCol w:w="545"/>
        <w:gridCol w:w="116"/>
        <w:gridCol w:w="109"/>
        <w:gridCol w:w="109"/>
        <w:gridCol w:w="109"/>
        <w:gridCol w:w="211"/>
        <w:gridCol w:w="616"/>
        <w:gridCol w:w="109"/>
        <w:gridCol w:w="109"/>
        <w:gridCol w:w="109"/>
        <w:gridCol w:w="109"/>
        <w:gridCol w:w="211"/>
        <w:gridCol w:w="61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securities, net of tax</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comprehensive income (loss)</w:t>
            </w:r>
          </w:p>
        </w:tc>
        <w:tc>
          <w:tcPr>
            <w:tcW w:w="882"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2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CREDIT ACCEPTANCE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60"/>
        <w:gridCol w:w="347"/>
        <w:gridCol w:w="333"/>
        <w:gridCol w:w="540"/>
        <w:gridCol w:w="541"/>
        <w:gridCol w:w="258"/>
        <w:gridCol w:w="109"/>
        <w:gridCol w:w="109"/>
        <w:gridCol w:w="109"/>
        <w:gridCol w:w="211"/>
        <w:gridCol w:w="406"/>
        <w:gridCol w:w="109"/>
        <w:gridCol w:w="109"/>
        <w:gridCol w:w="109"/>
        <w:gridCol w:w="109"/>
        <w:gridCol w:w="218"/>
        <w:gridCol w:w="638"/>
        <w:gridCol w:w="112"/>
        <w:gridCol w:w="109"/>
        <w:gridCol w:w="109"/>
        <w:gridCol w:w="109"/>
        <w:gridCol w:w="218"/>
        <w:gridCol w:w="794"/>
        <w:gridCol w:w="112"/>
        <w:gridCol w:w="109"/>
        <w:gridCol w:w="109"/>
        <w:gridCol w:w="109"/>
        <w:gridCol w:w="427"/>
        <w:gridCol w:w="852"/>
        <w:gridCol w:w="222"/>
        <w:gridCol w:w="109"/>
        <w:gridCol w:w="109"/>
        <w:gridCol w:w="109"/>
        <w:gridCol w:w="235"/>
        <w:gridCol w:w="855"/>
        <w:gridCol w:w="182"/>
      </w:tblGrid>
      <w:tr>
        <w:trPr/>
        <w:tc>
          <w:tcPr>
            <w:tcW w:w="9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856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10,423,120 </w:t>
            </w:r>
          </w:p>
        </w:tc>
        <w:tc>
          <w:tcPr>
            <w:tcW w:w="25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1,514.1 </w:t>
            </w:r>
          </w:p>
        </w:tc>
        <w:tc>
          <w:tcPr>
            <w:tcW w:w="18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(262,963)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settled in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211,598 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10,376,049 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1,588.9 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856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11,747,851 </w:t>
            </w:r>
          </w:p>
        </w:tc>
        <w:tc>
          <w:tcPr>
            <w:tcW w:w="25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1,710.9 </w:t>
            </w:r>
          </w:p>
        </w:tc>
        <w:tc>
          <w:tcPr>
            <w:tcW w:w="18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(529,605)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settled in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81" w:type="dxa"/>
            <w:gridSpan w:val="2"/>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11,237,396 </w:t>
            </w:r>
          </w:p>
        </w:tc>
        <w:tc>
          <w:tcPr>
            <w:tcW w:w="25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369.3 </w:t>
            </w:r>
          </w:p>
        </w:tc>
        <w:tc>
          <w:tcPr>
            <w:tcW w:w="11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1,184.3 </w:t>
            </w:r>
          </w:p>
        </w:tc>
        <w:tc>
          <w:tcPr>
            <w:tcW w:w="11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1,554.7 </w:t>
            </w:r>
          </w:p>
        </w:tc>
        <w:tc>
          <w:tcPr>
            <w:tcW w:w="18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60"/>
        <w:gridCol w:w="347"/>
        <w:gridCol w:w="333"/>
        <w:gridCol w:w="540"/>
        <w:gridCol w:w="541"/>
        <w:gridCol w:w="258"/>
        <w:gridCol w:w="109"/>
        <w:gridCol w:w="109"/>
        <w:gridCol w:w="109"/>
        <w:gridCol w:w="211"/>
        <w:gridCol w:w="406"/>
        <w:gridCol w:w="109"/>
        <w:gridCol w:w="109"/>
        <w:gridCol w:w="109"/>
        <w:gridCol w:w="109"/>
        <w:gridCol w:w="218"/>
        <w:gridCol w:w="638"/>
        <w:gridCol w:w="112"/>
        <w:gridCol w:w="109"/>
        <w:gridCol w:w="109"/>
        <w:gridCol w:w="109"/>
        <w:gridCol w:w="218"/>
        <w:gridCol w:w="794"/>
        <w:gridCol w:w="112"/>
        <w:gridCol w:w="109"/>
        <w:gridCol w:w="109"/>
        <w:gridCol w:w="109"/>
        <w:gridCol w:w="427"/>
        <w:gridCol w:w="852"/>
        <w:gridCol w:w="222"/>
        <w:gridCol w:w="109"/>
        <w:gridCol w:w="109"/>
        <w:gridCol w:w="109"/>
        <w:gridCol w:w="235"/>
        <w:gridCol w:w="855"/>
        <w:gridCol w:w="182"/>
      </w:tblGrid>
      <w:tr>
        <w:trPr/>
        <w:tc>
          <w:tcPr>
            <w:tcW w:w="9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856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10,680,143 </w:t>
            </w:r>
          </w:p>
        </w:tc>
        <w:tc>
          <w:tcPr>
            <w:tcW w:w="25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8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(628,221)</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settled in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280,860 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10,376,049 </w:t>
            </w:r>
          </w:p>
        </w:tc>
        <w:tc>
          <w:tcPr>
            <w:tcW w:w="258"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1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1,081.1 </w:t>
            </w:r>
          </w:p>
        </w:tc>
        <w:tc>
          <w:tcPr>
            <w:tcW w:w="11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1,588.9 </w:t>
            </w:r>
          </w:p>
        </w:tc>
        <w:tc>
          <w:tcPr>
            <w:tcW w:w="182"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856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12,048,151 </w:t>
            </w:r>
          </w:p>
        </w:tc>
        <w:tc>
          <w:tcPr>
            <w:tcW w:w="25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1,414.7 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2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1,749.6 </w:t>
            </w:r>
          </w:p>
        </w:tc>
        <w:tc>
          <w:tcPr>
            <w:tcW w:w="18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(858,669)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settled to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81" w:type="dxa"/>
            <w:gridSpan w:val="2"/>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11,237,396 </w:t>
            </w:r>
          </w:p>
        </w:tc>
        <w:tc>
          <w:tcPr>
            <w:tcW w:w="25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369.3 </w:t>
            </w:r>
          </w:p>
        </w:tc>
        <w:tc>
          <w:tcPr>
            <w:tcW w:w="11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1,184.3 </w:t>
            </w:r>
          </w:p>
        </w:tc>
        <w:tc>
          <w:tcPr>
            <w:tcW w:w="11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1,554.7 </w:t>
            </w:r>
          </w:p>
        </w:tc>
        <w:tc>
          <w:tcPr>
            <w:tcW w:w="18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CREDIT ACCEPTANCE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12" w:type="dxa"/>
        <w:jc w:val="center"/>
        <w:tblInd w:w="0" w:type="dxa"/>
        <w:tblLayout w:type="fixed"/>
        <w:tblCellMar>
          <w:top w:w="28" w:type="dxa"/>
          <w:left w:w="28" w:type="dxa"/>
          <w:bottom w:w="28" w:type="dxa"/>
          <w:right w:w="28" w:type="dxa"/>
        </w:tblCellMar>
      </w:tblPr>
      <w:tblGrid>
        <w:gridCol w:w="2617"/>
        <w:gridCol w:w="2295"/>
        <w:gridCol w:w="2303"/>
        <w:gridCol w:w="253"/>
        <w:gridCol w:w="741"/>
        <w:gridCol w:w="131"/>
        <w:gridCol w:w="131"/>
        <w:gridCol w:w="131"/>
        <w:gridCol w:w="131"/>
        <w:gridCol w:w="253"/>
        <w:gridCol w:w="741"/>
        <w:gridCol w:w="185"/>
      </w:tblGrid>
      <w:tr>
        <w:trPr/>
        <w:tc>
          <w:tcPr>
            <w:tcW w:w="2617"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25"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cash provided by operating activities: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deferred income taxes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accounts payable and accrued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income taxes receivable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income taxes payable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94"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656.3 </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8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2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restricted securities available for sale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restricted securities available for sale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restricted securities available for sale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collected on Loans receivable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Dealers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Consumer Loans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payments of Dealer Holdback</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Dealer Holdback</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4"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w:t>
            </w:r>
          </w:p>
        </w:tc>
        <w:tc>
          <w:tcPr>
            <w:tcW w:w="131"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w:t>
            </w:r>
          </w:p>
        </w:tc>
        <w:tc>
          <w:tcPr>
            <w:tcW w:w="185"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2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secured lines of credit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secured lines of credit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secured financing</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secured financing</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notes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notes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options exercised</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94"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w:t>
            </w:r>
          </w:p>
        </w:tc>
        <w:tc>
          <w:tcPr>
            <w:tcW w:w="131"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185"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 and restricted cash and cash equivalents</w:t>
            </w:r>
          </w:p>
        </w:tc>
        <w:tc>
          <w:tcPr>
            <w:tcW w:w="994"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w:t>
            </w:r>
          </w:p>
        </w:tc>
        <w:tc>
          <w:tcPr>
            <w:tcW w:w="18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and cash equivalents beginning of period</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and cash equivalents end of period</w:t>
            </w:r>
          </w:p>
        </w:tc>
        <w:tc>
          <w:tcPr>
            <w:tcW w:w="2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18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12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income taxes, net of refunds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accounting principles generally accepted in the United States of America (“generally accepted accounting principles” or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The results of operations for interim periods are not necessarily indicative of actual results achieved for full fiscal years. The consolidated balance sheet as of December 31, 2025 has been derived from the audited financial statements at that date but does not include all the information and footnotes required by GAAP for complete financial statements. For further information, refer to the consolidated financial statements and footnotes thereto included in the Annual Report on Form 10-K for the year ended December 31, 2025 for Credit Acceptance Corporation (the “Company”, “Credit Acceptance”, “we”, “our” or “us”).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financial statements and accompanying notes. Actual results could differ from those estimates.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evaluated events and transactions occurring subsequent to the consolidated balance sheet date of June 30, 2026, for items that could potentially be recognized or disclosed in these financial statements. We did not identify any subsequent events that would require disclosure in or adjustment to the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DESCRIPTION OF BUSINESS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We make</w:t>
      </w:r>
      <w:r>
        <w:rPr>
          <w:color w:val="000000"/>
        </w:rPr>
        <w:t xml:space="preserve"> </w:t>
      </w:r>
      <w:r>
        <w:rPr>
          <w:rFonts w:ascii="Times New Roman;serif" w:hAnsi="Times New Roman;serif"/>
          <w:b w:val="false"/>
          <w:color w:val="000000"/>
          <w:sz w:val="20"/>
        </w:rPr>
        <w:t>vehicle ownership possible by providing innovative financing solutions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refer to automobile dealers who participate in our programs and who share our desire to provide an opportunity to consumers to improve their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retail installment contracts (referred to as “Consumer Loans”) from the Dealers to us. We are an indirect lender from a legal perspective, meaning the Consumer Loan is originated by the Dealer and assigned to 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majority of the Consumer Loans assigned to us are made to consumers with impaired or limited credit histories. The following table shows the percentage of Consumer Loans assigned to us with either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below 650 or no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w:t>
      </w:r>
    </w:p>
    <w:tbl>
      <w:tblPr>
        <w:tblW w:w="10205" w:type="dxa"/>
        <w:jc w:val="left"/>
        <w:tblInd w:w="0" w:type="dxa"/>
        <w:tblLayout w:type="fixed"/>
        <w:tblCellMar>
          <w:top w:w="28" w:type="dxa"/>
          <w:left w:w="28" w:type="dxa"/>
          <w:bottom w:w="28" w:type="dxa"/>
          <w:right w:w="28" w:type="dxa"/>
        </w:tblCellMar>
      </w:tblPr>
      <w:tblGrid>
        <w:gridCol w:w="1661"/>
        <w:gridCol w:w="1461"/>
        <w:gridCol w:w="1472"/>
        <w:gridCol w:w="109"/>
        <w:gridCol w:w="109"/>
        <w:gridCol w:w="109"/>
        <w:gridCol w:w="255"/>
        <w:gridCol w:w="256"/>
        <w:gridCol w:w="457"/>
        <w:gridCol w:w="183"/>
        <w:gridCol w:w="183"/>
        <w:gridCol w:w="183"/>
        <w:gridCol w:w="255"/>
        <w:gridCol w:w="256"/>
        <w:gridCol w:w="457"/>
        <w:gridCol w:w="109"/>
        <w:gridCol w:w="109"/>
        <w:gridCol w:w="109"/>
        <w:gridCol w:w="255"/>
        <w:gridCol w:w="256"/>
        <w:gridCol w:w="428"/>
        <w:gridCol w:w="172"/>
        <w:gridCol w:w="172"/>
        <w:gridCol w:w="172"/>
        <w:gridCol w:w="255"/>
        <w:gridCol w:w="256"/>
        <w:gridCol w:w="506"/>
      </w:tblGrid>
      <w:tr>
        <w:trPr/>
        <w:tc>
          <w:tcPr>
            <w:tcW w:w="16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Loan Assignment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Percentage of total unit volume with either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 below 650 or no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45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45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4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5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as Dealer Loans and Purchased Loans for each of the last eight quarters:</w:t>
      </w:r>
    </w:p>
    <w:tbl>
      <w:tblPr>
        <w:tblW w:w="7997" w:type="dxa"/>
        <w:jc w:val="left"/>
        <w:tblInd w:w="0" w:type="dxa"/>
        <w:tblLayout w:type="fixed"/>
        <w:tblCellMar>
          <w:top w:w="28" w:type="dxa"/>
          <w:left w:w="28" w:type="dxa"/>
          <w:bottom w:w="28" w:type="dxa"/>
          <w:right w:w="28" w:type="dxa"/>
        </w:tblCellMar>
      </w:tblPr>
      <w:tblGrid>
        <w:gridCol w:w="630"/>
        <w:gridCol w:w="552"/>
        <w:gridCol w:w="558"/>
        <w:gridCol w:w="109"/>
        <w:gridCol w:w="109"/>
        <w:gridCol w:w="109"/>
        <w:gridCol w:w="255"/>
        <w:gridCol w:w="256"/>
        <w:gridCol w:w="593"/>
        <w:gridCol w:w="109"/>
        <w:gridCol w:w="109"/>
        <w:gridCol w:w="109"/>
        <w:gridCol w:w="296"/>
        <w:gridCol w:w="296"/>
        <w:gridCol w:w="742"/>
        <w:gridCol w:w="109"/>
        <w:gridCol w:w="109"/>
        <w:gridCol w:w="109"/>
        <w:gridCol w:w="255"/>
        <w:gridCol w:w="256"/>
        <w:gridCol w:w="593"/>
        <w:gridCol w:w="118"/>
        <w:gridCol w:w="118"/>
        <w:gridCol w:w="118"/>
        <w:gridCol w:w="280"/>
        <w:gridCol w:w="280"/>
        <w:gridCol w:w="820"/>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Volume (1)</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r>
      <w:tr>
        <w:trPr/>
        <w:tc>
          <w:tcPr>
            <w:tcW w:w="1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59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7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59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advances paid to Dealers on Consumer Loans assigned under the Portfolio Program and one-time payments made to Dealers to purchase Consumer Loans assigned under the Purchase Program. Payments of Dealer Holdback (as defined below) and accelerated Dealer Holdback are not included.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Portfolio Program</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payment for the vehicle, the Dealer generally receives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down payment from the consumer;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non-recourse cash payment (“advance”) from us;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after the advance balance (cash advance and related Dealer Loan fees and costs) has been recovered by us, the cash from payments made on the Consumer Loan, net of certain collection costs and our servicing fee (“Dealer Holdback”).</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record the amount advanced to the Dealer as a Dealer Loan, which is classified within Loans receivable in our consolidated balance sheets. Cash advanced to the Dealer is automatically assigned to the Dealer’s open pool of advances. Dealers make an election as to how many Consumer Loans (either 50 or 100) will be assigned to an open pool before it is closed, and subsequent advances are assigned to a new pool. Unless we receive a request from the Dealer to keep a pool open, we automatically close each pool based on the Dealer’s election.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Dealer servicing agreement provides that collections received by us during a calendar month on Consumer Loans assigned by a Dealer are applied on a pool-by-pool basis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first, to reimburse us for certain collection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second, to pay us our servicing fee, which generally equals 20% of collections;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third, to reduce the aggregate advance balance and to pay any other amounts due from the Dealer to us;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fourth, to the Dealer as payment of Dealer Holdback.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100 Consumer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Dealers have the opportunity to receive accelerated Dealer Holdback payments when certain criteria are met, including the closing of pools of Consumer Loans. The amount paid to the Dealer is calculated using a formula that considers the number of Consumer Loans assigned to the pool and the related forecasted collections and advance balance.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typically the combination of the advance and the consumer’s down payment provides the Dealer with a cash profit at the time of sale, the Dealer’s risk in the Consumer Loan is limited. We cannot demand repayment of the advance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Purchase Program</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Program differs from the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Program Enrollment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Dealers are granted access to the Portfolio Program upon enrollment. Access to the Purchase Program is typically only granted to Dealers that meet one of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assigned at least 50 Consumer Loans under the Portfolio Program;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franchise dealership;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independent dealership that meets certain criteria upon enrollment.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Our business is seasonal with peak Consumer Loan assignments and collections occurring during the first quarter of the year.  This seasonality has a material impact on our interim results, as we are required to recognize a significant provision for credit losses expense at the time of assignment. For additional information, see </w:t>
      </w:r>
      <w:hyperlink w:anchor="i9f4c4219363a4799835bfb4671297d14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Segment Information</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We currently operate in one reportable segment which represents our core business of offering innovative financing solutions that enable automobile dealers to sell vehicles to consumers regardless of their credit history. For information regarding our one reportable segment and related entity wide disclosures, see </w:t>
      </w:r>
      <w:hyperlink w:anchor="i9f4c4219363a4799835bfb4671297d14_73">
        <w:r>
          <w:rPr>
            <w:rStyle w:val="InternetLink"/>
            <w:rFonts w:ascii="Times New Roman;serif" w:hAnsi="Times New Roman;serif"/>
            <w:b w:val="false"/>
            <w:color w:val="0000FF"/>
            <w:sz w:val="20"/>
            <w:u w:val="single"/>
          </w:rPr>
          <w:t>Note 14</w:t>
        </w:r>
      </w:hyperlink>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and Cash Equivalents and Restricted Cash and Cash Equivalents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equivalents consist of readily marketable securities with original maturities at the date of acquisition of three months or less. As of June 30, 2026 and December 31, 2025, we had $1.0 million and $22.3 million, respectively, in cash and cash equivalents that were not insured by the Federal Deposit Insurance Corporation (“FDIC”).</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cash and cash equivalents consist of cash pledged as collateral for secured financings and cash held in a trust for future vehicle service contract claims. As of June 30, 2026 and December 31, 2025, we had $486.7 million and $473.6 million, respectively, in restricted cash and cash equivalents that were not insured by the FDIC.</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and cash equivalents reported in our consolidated balance sheets to the total shown in our consolidated statements of cash flows:</w:t>
      </w:r>
    </w:p>
    <w:tbl>
      <w:tblPr>
        <w:tblW w:w="10205" w:type="dxa"/>
        <w:jc w:val="left"/>
        <w:tblInd w:w="0" w:type="dxa"/>
        <w:tblLayout w:type="fixed"/>
        <w:tblCellMar>
          <w:top w:w="28" w:type="dxa"/>
          <w:left w:w="28" w:type="dxa"/>
          <w:bottom w:w="28" w:type="dxa"/>
          <w:right w:w="28" w:type="dxa"/>
        </w:tblCellMar>
      </w:tblPr>
      <w:tblGrid>
        <w:gridCol w:w="1597"/>
        <w:gridCol w:w="1403"/>
        <w:gridCol w:w="1410"/>
        <w:gridCol w:w="239"/>
        <w:gridCol w:w="701"/>
        <w:gridCol w:w="123"/>
        <w:gridCol w:w="109"/>
        <w:gridCol w:w="109"/>
        <w:gridCol w:w="109"/>
        <w:gridCol w:w="297"/>
        <w:gridCol w:w="868"/>
        <w:gridCol w:w="153"/>
        <w:gridCol w:w="109"/>
        <w:gridCol w:w="109"/>
        <w:gridCol w:w="109"/>
        <w:gridCol w:w="239"/>
        <w:gridCol w:w="701"/>
        <w:gridCol w:w="123"/>
        <w:gridCol w:w="109"/>
        <w:gridCol w:w="109"/>
        <w:gridCol w:w="109"/>
        <w:gridCol w:w="293"/>
        <w:gridCol w:w="856"/>
        <w:gridCol w:w="221"/>
      </w:tblGrid>
      <w:tr>
        <w:trPr/>
        <w:tc>
          <w:tcPr>
            <w:tcW w:w="159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5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2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22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and cash equivalents</w:t>
            </w:r>
          </w:p>
        </w:tc>
        <w:tc>
          <w:tcPr>
            <w:tcW w:w="23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2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500.7 </w:t>
            </w:r>
          </w:p>
        </w:tc>
        <w:tc>
          <w:tcPr>
            <w:tcW w:w="15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12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845.0 </w:t>
            </w:r>
          </w:p>
        </w:tc>
        <w:tc>
          <w:tcPr>
            <w:tcW w:w="22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Securities Available for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securities available for sale represent amounts held in a trust for future vehicle service contract claims. We determine the classification of our investments in debt securities at the time of purchase and reassess that classification at each balance sheet date. Debt securities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Loans Receivable and Allowance for Credit Losses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Consumer Loan Assignment. </w:t>
      </w:r>
      <w:r>
        <w:rPr>
          <w:rFonts w:ascii="Times New Roman;serif" w:hAnsi="Times New Roman;serif"/>
          <w:b w:val="false"/>
          <w:color w:val="000000"/>
          <w:sz w:val="20"/>
        </w:rPr>
        <w:t>For legal purposes, a Consumer Loan is considered to have been assigned to us after the following has occurred: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consumer and Dealer have signed a Consumer Loan contract;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received the executed Consumer Loan contract and supporting documentation in either physical or electronic form.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accounting and financial reporting purposes, a Consumer Loan is considered to have been assigned to us after the following has occurred: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Consumer Loan has been legally assigned to us;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made a funding decision and generally have provided funding to the Dealer in the form of either an advance under the Portfolio Program or one-time purchase payment under the Purchase Program.</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Portfolio Segments and Classes. </w:t>
      </w:r>
      <w:r>
        <w:rPr>
          <w:rFonts w:ascii="Times New Roman;serif" w:hAnsi="Times New Roman;serif"/>
          <w:b w:val="false"/>
          <w:color w:val="000000"/>
          <w:sz w:val="20"/>
        </w:rPr>
        <w:t>Our Loan portfolio consists of two portfolio segments: Dealer Loans and Purchased Loans. Our determination is based on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have two financing programs: the Portfolio Program and the Purchase Program. We are considered to be a lender to Dealers for Consumer Loans assigned under the Portfolio Program and a purchaser of Consumer Loans assigned under the Purchase Program.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Portfolio Program and the Purchase Program have different levels of risk in relation to credit losses. Under the Portfolio Program, the impact of negative variances in Consumer Loan performance is mitigated by Dealer Holdback and the cross-collateralization of Consumer Loan assignments. Under the Purchase Program, we are impacted by the full amount of negative variances in Consumer Loan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model is narrowly focused on Consumer Loan assignments from one industry with expected cash flows that are significantly lower than the contractual cash flows owed to us due to credit quality. We do not believe that it is meaningful to disaggregate our Loan portfolio beyond the Dealer Loans and Purchased Loans portfolio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portfolio segment consists of one class of Consumer Loan assignments, which is Consumer Loans originated by Dealers to finance purchases of vehicles and related ancillary products predominantly by consumers with impaired or limited credit histories. Our determination is based on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of the Consumer Loans assigned to us have similar risk characteristics in relation to the categorization of borrowers, type of financing receivable, industry sector, and type of collateral.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only accept Consumer Loan assignments from Dealers located within the United States.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pPr>
      <w:r>
        <w:rPr>
          <w:rFonts w:ascii="Times New Roman;serif" w:hAnsi="Times New Roman;serif"/>
          <w:b w:val="false"/>
          <w:i/>
          <w:color w:val="000000"/>
          <w:sz w:val="20"/>
        </w:rPr>
        <w:t>Recognition and Measurement Policy.</w:t>
      </w:r>
      <w:r>
        <w:rPr>
          <w:color w:val="000000"/>
        </w:rPr>
        <w:t xml:space="preserve"> </w:t>
      </w:r>
      <w:r>
        <w:rPr>
          <w:rFonts w:ascii="Times New Roman;serif" w:hAnsi="Times New Roman;serif"/>
          <w:b w:val="false"/>
          <w:color w:val="000000"/>
          <w:sz w:val="20"/>
        </w:rPr>
        <w:t xml:space="preserve">On January 1, 2020, we adopted Accounting Standards Update 2016-13, Measurement of Credit Losses on Financial Instruments, which is known as the current expected credit loss model, or CECL. Loans outstanding prior to the adoption date are no longer material to our consolidated financial statements. Consumer Loans assigned to us on or subsequent to January 1, 2020 are accounted for as originated financial assets (“Originated Method”).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Originated Method, at the time of assignment, we: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calculate the effective interest rate based on contractual future net cash flows;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record a Loan receivable equal to the advance paid to the Dealer under the Portfolio Program or purchase price paid to the Dealer under the Purchase Program;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an allowance for credit losses equal to the difference between the initial Loan receivable balance and the present value of expected future net cash flows discounted at the effective interest rate. The initial allowance for credit losses is recognized as provision for credit losses expense.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and initial allowance for credit losses are significantly higher for Consumer Loans assigned under the Purchase Program than for Consumer Loans assigned under the Portfolio Program, as contractual net cash flows exceed expected net cash flows by a significantly greater margin under the Purchase Program. Under the Purchase Program, we retain all contractual collections that exceed our initial expectations. Under the Portfolio Program, contractual collections that exceed our initial expectations are substantially offset by additional Dealer Holdback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Originated Method, for each reporting period subsequent to assignment, we: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recognize finance charge revenue using the effective interest rate that was calculated at the time of assignment based on contractual future net cash flows;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 the allowance for credit losses so that the net carrying amount of each Loan equals the present value of expected future net cash flows discounted at the effective interest rate. The adjustment to the allowance for credit losses is recognized as either provision for credit losses expense or a reversal of provision for credit losses expense.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Loans Receivable</w:t>
      </w:r>
      <w:r>
        <w:rPr>
          <w:rFonts w:ascii="Times New Roman;serif" w:hAnsi="Times New Roman;serif"/>
          <w:b w:val="false"/>
          <w:color w:val="000000"/>
          <w:sz w:val="20"/>
        </w:rPr>
        <w:t>. Amounts advanced to Dealers for Consumer Loans assigned under the Portfolio Program are recorded as Dealer Loans and are aggregated by Dealer for purposes of recognizing revenue and measuring credit losses. Amounts paid to Dealers for Consumer Loans assigned under the Purchase Program are recorded as Purchased Loans and, for purposes of recognizing revenue and measuring credit losses, are not aggregated.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outstanding balance of each Loan included in Loans receivable is comprised of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cash paid to the Dealer (or to third-party ancillary product providers on the Dealer’s behalf) for the Consumer Loan assignment (advance under the Portfolio Program or one-time purchase payment under the Purchase Program);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finance charges;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Dealer Holdback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accelerated Dealer Holdback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recoveries;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transfers 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less: collections (net of certain collection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less: write-offs;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less: transfers out.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Portfolio Program, certain events may result in Dealers forfeiting their rights to Dealer Holdback. We transfer the Dealer’s outstanding Dealer Loan balance and the related allowance for credit losses balance to Purchased Loans in the period this forfeiture occurs. We aggregate these Purchased Loans by Dealer for purposes of recognizing revenue and measuring credit losses.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Allowance for Credit Losses. </w:t>
      </w:r>
      <w:r>
        <w:rPr>
          <w:rFonts w:ascii="Times New Roman;serif" w:hAnsi="Times New Roman;serif"/>
          <w:b w:val="false"/>
          <w:color w:val="000000"/>
          <w:sz w:val="20"/>
        </w:rPr>
        <w:t xml:space="preserve">The outstanding balance of the allowance for credit losses of each Loan represents the amount required to reduce the net carrying amount of Loans (Loans receivable less allowance for credit losses) to the present value of expected future net cash flows discounted at the effective interest rate. Expected future net cash flows for Dealer Loans are comprised of expected future collections on the assigned Consumer Loans, less any expected future Dealer Holdback payments. Expected future net cash flows for Purchased Loans are comprised of expected future collections on the assigned Consumer Loans.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Expected future collections are forecasted for each individual Consumer Loan based on the historical performance of Consumer Loans with similar characteristics, adjusted for recent trends in payment patterns. Our forecast of expected future collections includes estimates for prepayments, which historically have been lower in periods with less availability of consumer credit, and post-contractual-term cash flows. Unless the consumer is no longer contractually obligated to pay us, we forecast future collections on each Consumer Loan for a 120 month period after the origination date. Expected future Dealer Holdback payments are forecasted for each individual Dealer based on the expected future collections and current advance balance of each Dealer Loan.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fully write off the outstanding balance of a Loan and the related allowance for credit losses once we are no longer forecasting any expected future net cash flows on the Loan. Under our partial write-off policy, we write off the amount of the outstanding balance of a Loan and the related allowance for credit losses, if any, that exceeds 200% of the present value of expected future net cash flows on the Loan, as we deem this amount to be uncollectable.</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Credit Quality. </w:t>
      </w:r>
      <w:r>
        <w:rPr>
          <w:rFonts w:ascii="Times New Roman;serif" w:hAnsi="Times New Roman;serif"/>
          <w:b w:val="false"/>
          <w:color w:val="000000"/>
          <w:sz w:val="20"/>
        </w:rPr>
        <w:t>The majority of the Consumer Loans assigned to us are made to individuals with impaired or limited credit histories. Consumer Loans made to these individuals generally entail a higher risk of delinquency, default, and repossession and higher losses than loans made to consumers with better credit. Since most of our revenue and cash flows are generated from these Consumer Loans, our ability to accurately forecast Consumer Loan performance is critical to our business and financial results. At the time a Consumer Loan is submitted to us for assignment, we forecast future expected cash flows from the Consumer Loan. Based on these forecasts, an advance or one-time purchase payment is made to the related Dealer at a price designed to maximize our economic profit, a non-GAAP financial measure that considers our return on capital, our cost of capital, and the amount of capital invested.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monitor and evaluate the credit quality of Consumer Loans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for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a result of Consumer Loans performing differently from historical Consumer Loans with similar characteristics. We periodically adjust our statistical pricing model for new trends that we identify through our evaluation of these forecasted collection rate variances.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overall forecasted collection rates underperform our initial expectations, the decline in forecasted collections has a more adverse impact on the profitability of the Purchased Loans than on the profitability of the Dealer Loans. For Purchased Loans, the decline in forecasted collections is absorbed entirely by us. For Dealer Loans, the decline in the forecasted collections is largely mitigated by a decline in forecasted payments of Dealer Holdback.</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Methodolo</w:t>
      </w:r>
      <w:r>
        <w:rPr>
          <w:rFonts w:ascii="Times New Roman;serif" w:hAnsi="Times New Roman;serif"/>
          <w:b w:val="false"/>
          <w:color w:val="000000"/>
          <w:sz w:val="20"/>
        </w:rPr>
        <w:t xml:space="preserve">gy </w:t>
      </w:r>
      <w:r>
        <w:rPr>
          <w:rFonts w:ascii="Times New Roman;serif" w:hAnsi="Times New Roman;serif"/>
          <w:b w:val="false"/>
          <w:i/>
          <w:color w:val="000000"/>
          <w:sz w:val="20"/>
        </w:rPr>
        <w:t>Changes</w:t>
      </w:r>
      <w:r>
        <w:rPr>
          <w:rFonts w:ascii="Times New Roman;serif" w:hAnsi="Times New Roman;serif"/>
          <w:b w:val="false"/>
          <w:color w:val="000000"/>
          <w:sz w:val="20"/>
        </w:rPr>
        <w:t xml:space="preserve">. During the second quarter of 2025, we applied an adjustment to our methodology for forecasting the amount of future net cash flows from our Loan portfolio, which reduced the forecasted collection rates for Consumer Loans assigned in 2024. For additional information, see </w:t>
      </w:r>
      <w:hyperlink w:anchor="i9f4c4219363a4799835bfb4671297d14_49">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For the three and six months ended June 30, 2026 and 2025, we did not make any other methodology changes for Loans that had a material impact on our financial statements.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Finance Charges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Sources of Revenue.</w:t>
      </w:r>
      <w:r>
        <w:rPr>
          <w:color w:val="000000"/>
        </w:rPr>
        <w:t xml:space="preserve"> </w:t>
      </w:r>
      <w:r>
        <w:rPr>
          <w:rFonts w:ascii="Times New Roman;serif" w:hAnsi="Times New Roman;serif"/>
          <w:b w:val="false"/>
          <w:color w:val="000000"/>
          <w:sz w:val="20"/>
        </w:rPr>
        <w:t xml:space="preserve">Finance charges consists of: (1) interest income earned on Loans; (2) administrative fees earned from ancillary products; (3) program fees charged to Dealers under the Portfolio Program; (4) Consumer Loan assignment fees charged to Dealers; and (5) direct origination costs incurred on Dealer Loans.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Dealers the ability to offer vehicle service contracts to consumers through our relationships with Third-Party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third-party insurers. We bear the risk of loss for claims on certain vehicle service contracts that are reinsured by us. We market the vehicle service contracts directly to Dealers.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third-party insurers.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Program fees represent monthly fees charged to Dealers for access to our Credit Approval Processing System (“CAPS”); administration, servicing, and collection services offered by us; documentation related to or affecting our program; and all tangible and intangible property owned by Credit Acceptance. We charge a monthly fee of $599 to Dealers participating in the Portfolio Program and we collect it from future Dealer Holdback payments.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Recognition Policy.</w:t>
      </w:r>
      <w:r>
        <w:rPr>
          <w:color w:val="000000"/>
        </w:rPr>
        <w:t xml:space="preserve"> </w:t>
      </w:r>
      <w:r>
        <w:rPr>
          <w:rFonts w:ascii="Times New Roman;serif" w:hAnsi="Times New Roman;serif"/>
          <w:b w:val="false"/>
          <w:color w:val="000000"/>
          <w:sz w:val="20"/>
        </w:rPr>
        <w:t xml:space="preserve">We recognize finance charges under the interest method such that revenue is recognized on a level-yield basis over the life of the Loan. We calculate finance charges on a monthly basis by applying the effective interest rate of the Loan to the net carrying amount of the Loan (Loan receivable less the related allowance for credit losses). The effective interest rate is based on contractual future net cash flows.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the change in the present value of credit losses attributable to the passage of time as a reduction to finance charges. Accordingly, we allocate finance charges recognized on each Loan between the Loan receivable and the related allowance for credit losses. The amount of finance charges allocated to the Loan receivable is equal to the effective interest rate applied to the Loans receivable balance. The reduction of finance charges allocated to the allowance for credit losses is equal to the effective interest rate applied to the allowance for credit losses balance.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Reinsurance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wholly owned subsidiary VSC Re Company (“VSC Re”) is engaged in the business of reinsuring coverage under vehicle service contracts sold to consumers by Dealers on vehicles indirectly financed by us. VSC Re currently reinsures vehicle service contracts that are offered through one of our TPPs. Vehicle service contract premiums, which represent the selling price of the vehicle service contract to the consumer, net of fees and certain administrative costs, are contributed to a trust account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Premiums from the reinsurance of vehicle service contracts are recognized over the life of the policy in proportion to expected servicing costs, which are determined using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w: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consolidated the trust within our financial statements based on our determination of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We have a variable interest in the trust.</w:t>
      </w:r>
      <w:r>
        <w:rPr>
          <w:color w:val="000000"/>
        </w:rPr>
        <w:t> </w:t>
      </w:r>
      <w:r>
        <w:rPr>
          <w:rFonts w:ascii="Times New Roman;serif" w:hAnsi="Times New Roman;serif"/>
          <w:b w:val="false"/>
          <w:color w:val="000000"/>
          <w:sz w:val="20"/>
        </w:rPr>
        <w:t>We have a residual interest in the assets of the trust, which is variable in nature, given that it increases or decreases based upon the actual loss experience of the related service contracts. In addition, VSC Re is required to absorb any losses in excess of the trust’s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trust is a variable interest entity.</w:t>
      </w:r>
      <w:r>
        <w:rPr>
          <w:color w:val="000000"/>
        </w:rPr>
        <w:t> </w:t>
      </w:r>
      <w:r>
        <w:rPr>
          <w:rFonts w:ascii="Times New Roman;serif" w:hAnsi="Times New Roman;serif"/>
          <w:b w:val="false"/>
          <w:color w:val="000000"/>
          <w:sz w:val="20"/>
        </w:rPr>
        <w:t>The trust has insufficient equity at risk as no parties to the trust were required to contribute assets that provide them with any ownership interest.</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We are the primary beneficiary of the trust.</w:t>
      </w:r>
      <w:r>
        <w:rPr>
          <w:color w:val="000000"/>
        </w:rPr>
        <w:t> </w:t>
      </w:r>
      <w:r>
        <w:rPr>
          <w:rFonts w:ascii="Times New Roman;serif" w:hAnsi="Times New Roman;serif"/>
          <w:b w:val="false"/>
          <w:color w:val="000000"/>
          <w:sz w:val="20"/>
        </w:rPr>
        <w:t>We control the amount of premiums written and placed in the trust through Consumer Loan assignments under our Programs, which is the activity that most significantly impacts the economic performance of the trust. We have the right to receive benefits from the trust that could potentially be significant. In addition, VSC Re has the obligation to absorb losses of the trust that could potentially be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Accounting Updates Not Yet Adopted</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Disclosure Improvements: Codification Amendments in Response to the SEC’s Disclosure Update and Simplification Initiative. </w:t>
      </w:r>
      <w:r>
        <w:rPr>
          <w:rFonts w:ascii="Times New Roman;serif" w:hAnsi="Times New Roman;serif"/>
          <w:b w:val="false"/>
          <w:color w:val="000000"/>
          <w:sz w:val="20"/>
        </w:rPr>
        <w:t>In October 2023, the Financial Accounting Standards Board (“FASB”) issued Accounting Standards Update (“ASU”) 2023-06, which amends the disclosure or presentation requirements related to various subtopics in the FASB Accounting Standards Codification (the “Codification”). 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Codification and will not become effective for any entity. We are currently evaluating the impact the adoption of ASU 2023-06 will have on our consolidated financial statements and related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Disaggregation of Income Statement Expenses. </w:t>
      </w:r>
      <w:r>
        <w:rPr>
          <w:rFonts w:ascii="Times New Roman;serif" w:hAnsi="Times New Roman;serif"/>
          <w:b w:val="false"/>
          <w:color w:val="000000"/>
          <w:sz w:val="20"/>
        </w:rPr>
        <w:t xml:space="preserve">In November 2024, the FASB issued ASU 2024-03, which requires disaggregated disclosure of income statement expenses. ASU 2024-03 does not change the expense captions an entity presents on the face of the income statement; rather, it requires disaggregation of certain expense captions into specified categories in disclosures within the footnotes to the financial statements. ASU 2024-03 is effective for annual periods beginning after December 15, 2026 and interim periods beginning after December 15, 2027. We are currently evaluating the impact the adoption of ASU 2024-03 will have on our consolidated financial statements and related disclosures.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 xml:space="preserve">In September 2025, the FASB issued ASU 2025-06, which amends certain aspects of the accounting for and disclosure of software costs under ASC 350-40 to better reflect current software development approaches. Under the current guidance, capitalization of software development costs for internal-use software is required once the preliminary project stage is complete. Under the new guidance, capitalization will no longer align with the project stage but may begin once (i) management has authorized and committed to funding the software project and (ii) it is probable that the project will be completed and the software will be used to perform the function intended. ASU 2025-06 is effective for annual periods beginning after December 15, 2027, and interim reporting periods within those annual periods. Early adoption is permitted, but we have not yet adopted ASU 2025-06. The adoption of ASU 2025-06 is expected to change how we account for our internal-use software. However, we do not believe that its adoption will have a material impact on our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to estimate the fair value of each class of financial instruments for which it is practicable to estimate their value.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Cash and Cash Equivalents and Restricted Cash and Cash Equivalents</w:t>
      </w:r>
      <w:r>
        <w:rPr>
          <w:rFonts w:ascii="Times New Roman;serif" w:hAnsi="Times New Roman;serif"/>
          <w:b w:val="false"/>
          <w:color w:val="000000"/>
          <w:sz w:val="20"/>
        </w:rPr>
        <w:t>. The carrying amounts approximate their fair value due to the short maturity of these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Restricted Securities Available for Sale.</w:t>
      </w:r>
      <w:r>
        <w:rPr>
          <w:color w:val="000000"/>
        </w:rPr>
        <w:t> </w:t>
      </w:r>
      <w:r>
        <w:rPr>
          <w:rFonts w:ascii="Times New Roman;serif" w:hAnsi="Times New Roman;serif"/>
          <w:b w:val="false"/>
          <w:color w:val="000000"/>
          <w:sz w:val="20"/>
        </w:rPr>
        <w:t>The fair value of U.S. Government and agency securities, corporate bonds, and municipal bonds is based on quoted market values in active markets. For asset-backed securities, mortgage-backed securities, and commercial paper, we use model-based valuation techniques for which all significant assumptions are observable in the market.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Loans Receivable, net.</w:t>
      </w:r>
      <w:r>
        <w:rPr>
          <w:color w:val="000000"/>
        </w:rPr>
        <w:t> </w:t>
      </w:r>
      <w:r>
        <w:rPr>
          <w:rFonts w:ascii="Times New Roman;serif" w:hAnsi="Times New Roman;serif"/>
          <w:b w:val="false"/>
          <w:color w:val="000000"/>
          <w:sz w:val="20"/>
        </w:rPr>
        <w:t>The fair value is determined by calculating the present value of expected future net cash flows estimated by us by utilizing the discount rate used to calculate the value of our Loans under our non-GAAP floating yield methodology.</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Revolving Secured Lines of Credit.</w:t>
      </w:r>
      <w:r>
        <w:rPr>
          <w:color w:val="000000"/>
        </w:rPr>
        <w:t> </w:t>
      </w:r>
      <w:r>
        <w:rPr>
          <w:rFonts w:ascii="Times New Roman;serif" w:hAnsi="Times New Roman;serif"/>
          <w:b w:val="false"/>
          <w:color w:val="000000"/>
          <w:sz w:val="20"/>
        </w:rPr>
        <w:t>The fair value is determined by calculating the present value of the debt instrument based on current rates for debt with a similar risk profile and maturity.</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Secured Financing.</w:t>
      </w:r>
      <w:r>
        <w:rPr>
          <w:color w:val="000000"/>
        </w:rPr>
        <w:t> </w:t>
      </w:r>
      <w:r>
        <w:rPr>
          <w:rFonts w:ascii="Times New Roman;serif" w:hAnsi="Times New Roman;serif"/>
          <w:b w:val="false"/>
          <w:color w:val="000000"/>
          <w:sz w:val="20"/>
        </w:rPr>
        <w:t>The fair value of certain asset-backed secured financings (“Term ABS” financings) is determined using quoted market prices in an active market. For our warehouse facilities and certain other Term ABS financings, the fair values are determined by calculating the present value of each debt instrument based on current rates for debt with similar risk profiles and maturities.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Senior Notes.</w:t>
      </w:r>
      <w:r>
        <w:rPr>
          <w:color w:val="000000"/>
        </w:rPr>
        <w:t> </w:t>
      </w:r>
      <w:r>
        <w:rPr>
          <w:rFonts w:ascii="Times New Roman;serif" w:hAnsi="Times New Roman;serif"/>
          <w:b w:val="false"/>
          <w:color w:val="000000"/>
          <w:sz w:val="20"/>
        </w:rPr>
        <w:t>The fair value is determined using quoted market prices in an active market.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comparison of the carrying amount and estimated fair value of these financial instruments is as follows:</w:t>
      </w:r>
    </w:p>
    <w:p>
      <w:pPr>
        <w:pStyle w:val="TextBody"/>
        <w:bidi w:val="0"/>
        <w:spacing w:before="0" w:after="0"/>
        <w:ind w:left="0" w:right="0" w:firstLine="360"/>
        <w:jc w:val="both"/>
        <w:rPr/>
      </w:pPr>
      <w:r>
        <w:rPr/>
      </w:r>
    </w:p>
    <w:tbl>
      <w:tblPr>
        <w:tblW w:w="8446" w:type="dxa"/>
        <w:jc w:val="left"/>
        <w:tblInd w:w="0" w:type="dxa"/>
        <w:tblLayout w:type="fixed"/>
        <w:tblCellMar>
          <w:top w:w="28" w:type="dxa"/>
          <w:left w:w="28" w:type="dxa"/>
          <w:bottom w:w="28" w:type="dxa"/>
          <w:right w:w="28" w:type="dxa"/>
        </w:tblCellMar>
      </w:tblPr>
      <w:tblGrid>
        <w:gridCol w:w="1151"/>
        <w:gridCol w:w="1011"/>
        <w:gridCol w:w="1017"/>
        <w:gridCol w:w="211"/>
        <w:gridCol w:w="616"/>
        <w:gridCol w:w="109"/>
        <w:gridCol w:w="109"/>
        <w:gridCol w:w="109"/>
        <w:gridCol w:w="109"/>
        <w:gridCol w:w="267"/>
        <w:gridCol w:w="780"/>
        <w:gridCol w:w="138"/>
        <w:gridCol w:w="109"/>
        <w:gridCol w:w="109"/>
        <w:gridCol w:w="109"/>
        <w:gridCol w:w="211"/>
        <w:gridCol w:w="616"/>
        <w:gridCol w:w="109"/>
        <w:gridCol w:w="109"/>
        <w:gridCol w:w="109"/>
        <w:gridCol w:w="109"/>
        <w:gridCol w:w="264"/>
        <w:gridCol w:w="772"/>
        <w:gridCol w:w="193"/>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2025 </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w:t>
              <w:br/>
              <w:t>Value</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securities available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secured lines of credit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represents an exit price —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liability. We categorize our fair value measurements into three levels, based on the markets in which the assets and liabilities are traded and the reliability of the assumptions used to determine fair value. These levels are:</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234"/>
        <w:gridCol w:w="205"/>
        <w:gridCol w:w="207"/>
        <w:gridCol w:w="2874"/>
        <w:gridCol w:w="2768"/>
        <w:gridCol w:w="391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upon quoted prices for identical instruments traded in active markets.</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upon quoted prices for similar instruments in active markets, quoted prices for identical or similar instruments in markets that are not active, and model-based valuation techniques for which all significant assumptions are observable in the market.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generated from model-based techniques that use at least one significant assumption not observable in the market. These unobservable assumptions reflect estimates or assumptions that market participants would use in pricing the asset or liability.</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level of measurement used to determine the fair value for each of our financial instruments measured or disclosed at fair value:</w:t>
      </w:r>
    </w:p>
    <w:p>
      <w:pPr>
        <w:pStyle w:val="TextBody"/>
        <w:bidi w:val="0"/>
        <w:spacing w:before="0" w:after="0"/>
        <w:ind w:left="0" w:right="0" w:firstLine="360"/>
        <w:jc w:val="both"/>
        <w:rPr/>
      </w:pPr>
      <w:r>
        <w:rPr/>
      </w:r>
    </w:p>
    <w:tbl>
      <w:tblPr>
        <w:tblW w:w="8480" w:type="dxa"/>
        <w:jc w:val="left"/>
        <w:tblInd w:w="0" w:type="dxa"/>
        <w:tblLayout w:type="fixed"/>
        <w:tblCellMar>
          <w:top w:w="28" w:type="dxa"/>
          <w:left w:w="28" w:type="dxa"/>
          <w:bottom w:w="28" w:type="dxa"/>
          <w:right w:w="28" w:type="dxa"/>
        </w:tblCellMar>
      </w:tblPr>
      <w:tblGrid>
        <w:gridCol w:w="1249"/>
        <w:gridCol w:w="1096"/>
        <w:gridCol w:w="1104"/>
        <w:gridCol w:w="261"/>
        <w:gridCol w:w="505"/>
        <w:gridCol w:w="109"/>
        <w:gridCol w:w="109"/>
        <w:gridCol w:w="109"/>
        <w:gridCol w:w="109"/>
        <w:gridCol w:w="211"/>
        <w:gridCol w:w="616"/>
        <w:gridCol w:w="109"/>
        <w:gridCol w:w="109"/>
        <w:gridCol w:w="109"/>
        <w:gridCol w:w="109"/>
        <w:gridCol w:w="261"/>
        <w:gridCol w:w="505"/>
        <w:gridCol w:w="109"/>
        <w:gridCol w:w="109"/>
        <w:gridCol w:w="109"/>
        <w:gridCol w:w="109"/>
        <w:gridCol w:w="293"/>
        <w:gridCol w:w="857"/>
        <w:gridCol w:w="214"/>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50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(1)</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securities available for sale (2)</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secured lines of credit (1)</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financing (1)</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bl>
    <w:tbl>
      <w:tblPr>
        <w:tblW w:w="8480" w:type="dxa"/>
        <w:jc w:val="left"/>
        <w:tblInd w:w="0" w:type="dxa"/>
        <w:tblLayout w:type="fixed"/>
        <w:tblCellMar>
          <w:top w:w="28" w:type="dxa"/>
          <w:left w:w="28" w:type="dxa"/>
          <w:bottom w:w="28" w:type="dxa"/>
          <w:right w:w="28" w:type="dxa"/>
        </w:tblCellMar>
      </w:tblPr>
      <w:tblGrid>
        <w:gridCol w:w="1249"/>
        <w:gridCol w:w="1096"/>
        <w:gridCol w:w="1104"/>
        <w:gridCol w:w="223"/>
        <w:gridCol w:w="543"/>
        <w:gridCol w:w="109"/>
        <w:gridCol w:w="109"/>
        <w:gridCol w:w="109"/>
        <w:gridCol w:w="109"/>
        <w:gridCol w:w="211"/>
        <w:gridCol w:w="616"/>
        <w:gridCol w:w="109"/>
        <w:gridCol w:w="109"/>
        <w:gridCol w:w="109"/>
        <w:gridCol w:w="109"/>
        <w:gridCol w:w="261"/>
        <w:gridCol w:w="505"/>
        <w:gridCol w:w="109"/>
        <w:gridCol w:w="109"/>
        <w:gridCol w:w="109"/>
        <w:gridCol w:w="109"/>
        <w:gridCol w:w="293"/>
        <w:gridCol w:w="857"/>
        <w:gridCol w:w="214"/>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50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2025 </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75"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(1)</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securities available for sale (2)</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secured lines of credit (1)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financing (1)</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(1)Measured at amortized cost with fair value disclosed.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(2)Measured at fair value on a recurring basis.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RESTRICTED SECURITIES AVAILABLE FOR SALE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securities available for sale consist of the following:</w:t>
      </w:r>
    </w:p>
    <w:tbl>
      <w:tblPr>
        <w:tblW w:w="9741" w:type="dxa"/>
        <w:jc w:val="left"/>
        <w:tblInd w:w="0" w:type="dxa"/>
        <w:tblLayout w:type="fixed"/>
        <w:tblCellMar>
          <w:top w:w="28" w:type="dxa"/>
          <w:left w:w="28" w:type="dxa"/>
          <w:bottom w:w="28" w:type="dxa"/>
          <w:right w:w="28" w:type="dxa"/>
        </w:tblCellMar>
      </w:tblPr>
      <w:tblGrid>
        <w:gridCol w:w="1300"/>
        <w:gridCol w:w="1141"/>
        <w:gridCol w:w="1144"/>
        <w:gridCol w:w="280"/>
        <w:gridCol w:w="820"/>
        <w:gridCol w:w="145"/>
        <w:gridCol w:w="109"/>
        <w:gridCol w:w="109"/>
        <w:gridCol w:w="109"/>
        <w:gridCol w:w="391"/>
        <w:gridCol w:w="755"/>
        <w:gridCol w:w="204"/>
        <w:gridCol w:w="109"/>
        <w:gridCol w:w="109"/>
        <w:gridCol w:w="109"/>
        <w:gridCol w:w="384"/>
        <w:gridCol w:w="767"/>
        <w:gridCol w:w="199"/>
        <w:gridCol w:w="109"/>
        <w:gridCol w:w="109"/>
        <w:gridCol w:w="109"/>
        <w:gridCol w:w="264"/>
        <w:gridCol w:w="773"/>
        <w:gridCol w:w="193"/>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61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br/>
              <w:t>Gains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br/>
              <w:t>Losses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w:t>
              <w:br/>
              <w:t>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4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9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securities available for sale</w:t>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4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9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9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61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2025 </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br/>
              <w:t>Gains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br/>
              <w:t>Losses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w:t>
              <w:br/>
              <w:t>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4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0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9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securities available for sale</w:t>
            </w:r>
          </w:p>
        </w:tc>
        <w:tc>
          <w:tcPr>
            <w:tcW w:w="2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4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9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and gross unrealized losses for restricted securities available for sale, aggregated by investment category and length of time that individual securities have been in a continuous unrealized loss position, are as follows:</w:t>
      </w:r>
    </w:p>
    <w:tbl>
      <w:tblPr>
        <w:tblW w:w="10205" w:type="dxa"/>
        <w:jc w:val="left"/>
        <w:tblInd w:w="0" w:type="dxa"/>
        <w:tblLayout w:type="fixed"/>
        <w:tblCellMar>
          <w:top w:w="28" w:type="dxa"/>
          <w:left w:w="28" w:type="dxa"/>
          <w:bottom w:w="28" w:type="dxa"/>
          <w:right w:w="28" w:type="dxa"/>
        </w:tblCellMar>
      </w:tblPr>
      <w:tblGrid>
        <w:gridCol w:w="1243"/>
        <w:gridCol w:w="1004"/>
        <w:gridCol w:w="993"/>
        <w:gridCol w:w="221"/>
        <w:gridCol w:w="538"/>
        <w:gridCol w:w="114"/>
        <w:gridCol w:w="109"/>
        <w:gridCol w:w="109"/>
        <w:gridCol w:w="109"/>
        <w:gridCol w:w="252"/>
        <w:gridCol w:w="503"/>
        <w:gridCol w:w="131"/>
        <w:gridCol w:w="109"/>
        <w:gridCol w:w="109"/>
        <w:gridCol w:w="109"/>
        <w:gridCol w:w="254"/>
        <w:gridCol w:w="488"/>
        <w:gridCol w:w="132"/>
        <w:gridCol w:w="109"/>
        <w:gridCol w:w="109"/>
        <w:gridCol w:w="109"/>
        <w:gridCol w:w="257"/>
        <w:gridCol w:w="495"/>
        <w:gridCol w:w="134"/>
        <w:gridCol w:w="109"/>
        <w:gridCol w:w="109"/>
        <w:gridCol w:w="109"/>
        <w:gridCol w:w="221"/>
        <w:gridCol w:w="538"/>
        <w:gridCol w:w="114"/>
        <w:gridCol w:w="109"/>
        <w:gridCol w:w="109"/>
        <w:gridCol w:w="109"/>
        <w:gridCol w:w="249"/>
        <w:gridCol w:w="498"/>
        <w:gridCol w:w="191"/>
      </w:tblGrid>
      <w:tr>
        <w:trPr/>
        <w:tc>
          <w:tcPr>
            <w:tcW w:w="124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696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Available for Sale with Gross Unrealized Losses as of June 30, 2026</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Gross</w:t>
              <w:br/>
              <w:t>Unrealized</w:t>
              <w:br/>
              <w:t>Losses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2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restricted securities available for sale</w:t>
            </w:r>
          </w:p>
        </w:tc>
        <w:tc>
          <w:tcPr>
            <w:tcW w:w="22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1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9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9"/>
        <w:gridCol w:w="1023"/>
        <w:gridCol w:w="1014"/>
        <w:gridCol w:w="254"/>
        <w:gridCol w:w="489"/>
        <w:gridCol w:w="132"/>
        <w:gridCol w:w="109"/>
        <w:gridCol w:w="109"/>
        <w:gridCol w:w="109"/>
        <w:gridCol w:w="257"/>
        <w:gridCol w:w="495"/>
        <w:gridCol w:w="134"/>
        <w:gridCol w:w="109"/>
        <w:gridCol w:w="109"/>
        <w:gridCol w:w="109"/>
        <w:gridCol w:w="254"/>
        <w:gridCol w:w="489"/>
        <w:gridCol w:w="132"/>
        <w:gridCol w:w="109"/>
        <w:gridCol w:w="109"/>
        <w:gridCol w:w="109"/>
        <w:gridCol w:w="252"/>
        <w:gridCol w:w="503"/>
        <w:gridCol w:w="131"/>
        <w:gridCol w:w="109"/>
        <w:gridCol w:w="109"/>
        <w:gridCol w:w="109"/>
        <w:gridCol w:w="222"/>
        <w:gridCol w:w="539"/>
        <w:gridCol w:w="114"/>
        <w:gridCol w:w="109"/>
        <w:gridCol w:w="109"/>
        <w:gridCol w:w="109"/>
        <w:gridCol w:w="249"/>
        <w:gridCol w:w="498"/>
        <w:gridCol w:w="190"/>
      </w:tblGrid>
      <w:tr>
        <w:trPr/>
        <w:tc>
          <w:tcPr>
            <w:tcW w:w="11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696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Available for Sale with Gross Unrealized Losses as of December 31, 2025</w:t>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Gross</w:t>
              <w:br/>
              <w:t>Unrealized</w:t>
              <w:br/>
              <w:t>Losses</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25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restricted securities available for sale</w:t>
            </w:r>
          </w:p>
        </w:tc>
        <w:tc>
          <w:tcPr>
            <w:tcW w:w="2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0"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tbl>
      <w:tblPr>
        <w:tblW w:w="9796" w:type="dxa"/>
        <w:jc w:val="left"/>
        <w:tblInd w:w="0" w:type="dxa"/>
        <w:tblLayout w:type="fixed"/>
        <w:tblCellMar>
          <w:top w:w="28" w:type="dxa"/>
          <w:left w:w="28" w:type="dxa"/>
          <w:bottom w:w="28" w:type="dxa"/>
          <w:right w:w="28" w:type="dxa"/>
        </w:tblCellMar>
      </w:tblPr>
      <w:tblGrid>
        <w:gridCol w:w="1297"/>
        <w:gridCol w:w="1136"/>
        <w:gridCol w:w="1151"/>
        <w:gridCol w:w="109"/>
        <w:gridCol w:w="109"/>
        <w:gridCol w:w="109"/>
        <w:gridCol w:w="280"/>
        <w:gridCol w:w="820"/>
        <w:gridCol w:w="145"/>
        <w:gridCol w:w="109"/>
        <w:gridCol w:w="109"/>
        <w:gridCol w:w="109"/>
        <w:gridCol w:w="267"/>
        <w:gridCol w:w="780"/>
        <w:gridCol w:w="138"/>
        <w:gridCol w:w="109"/>
        <w:gridCol w:w="109"/>
        <w:gridCol w:w="109"/>
        <w:gridCol w:w="280"/>
        <w:gridCol w:w="820"/>
        <w:gridCol w:w="145"/>
        <w:gridCol w:w="109"/>
        <w:gridCol w:w="109"/>
        <w:gridCol w:w="109"/>
        <w:gridCol w:w="264"/>
        <w:gridCol w:w="772"/>
        <w:gridCol w:w="193"/>
      </w:tblGrid>
      <w:tr>
        <w:trPr/>
        <w:tc>
          <w:tcPr>
            <w:tcW w:w="129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5"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Contractual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w:t>
              <w:br/>
              <w:t>Value</w:t>
            </w:r>
          </w:p>
        </w:tc>
      </w:tr>
      <w:tr>
        <w:trPr/>
        <w:tc>
          <w:tcPr>
            <w:tcW w:w="358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4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9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one year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five years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restricted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4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3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4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9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LOANS RECEIVABLE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Loans receivable and allowance for credit losses consist of the following:</w:t>
      </w:r>
    </w:p>
    <w:tbl>
      <w:tblPr>
        <w:tblW w:w="6606" w:type="dxa"/>
        <w:jc w:val="left"/>
        <w:tblInd w:w="0" w:type="dxa"/>
        <w:tblLayout w:type="fixed"/>
        <w:tblCellMar>
          <w:top w:w="28" w:type="dxa"/>
          <w:left w:w="28" w:type="dxa"/>
          <w:bottom w:w="28" w:type="dxa"/>
          <w:right w:w="28" w:type="dxa"/>
        </w:tblCellMar>
      </w:tblPr>
      <w:tblGrid>
        <w:gridCol w:w="832"/>
        <w:gridCol w:w="730"/>
        <w:gridCol w:w="733"/>
        <w:gridCol w:w="211"/>
        <w:gridCol w:w="766"/>
        <w:gridCol w:w="109"/>
        <w:gridCol w:w="109"/>
        <w:gridCol w:w="109"/>
        <w:gridCol w:w="109"/>
        <w:gridCol w:w="259"/>
        <w:gridCol w:w="942"/>
        <w:gridCol w:w="134"/>
        <w:gridCol w:w="109"/>
        <w:gridCol w:w="109"/>
        <w:gridCol w:w="109"/>
        <w:gridCol w:w="211"/>
        <w:gridCol w:w="871"/>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2,821.2 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11,608.7 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2,309.2 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2025 </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2,720.7 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11,511.5 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5,701.7 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2,207.5 </w:t>
            </w:r>
          </w:p>
        </w:tc>
        <w:tc>
          <w:tcPr>
            <w:tcW w:w="13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7,909.2 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changes in Loans receivable and allowance for credit losses is as follows:</w:t>
      </w:r>
    </w:p>
    <w:tbl>
      <w:tblPr>
        <w:tblW w:w="12436" w:type="dxa"/>
        <w:jc w:val="left"/>
        <w:tblInd w:w="0" w:type="dxa"/>
        <w:tblLayout w:type="fixed"/>
        <w:tblCellMar>
          <w:top w:w="28" w:type="dxa"/>
          <w:left w:w="28" w:type="dxa"/>
          <w:bottom w:w="28" w:type="dxa"/>
          <w:right w:w="28" w:type="dxa"/>
        </w:tblCellMar>
      </w:tblPr>
      <w:tblGrid>
        <w:gridCol w:w="380"/>
        <w:gridCol w:w="215"/>
        <w:gridCol w:w="216"/>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706"/>
        <w:gridCol w:w="109"/>
        <w:gridCol w:w="109"/>
        <w:gridCol w:w="109"/>
        <w:gridCol w:w="109"/>
        <w:gridCol w:w="196"/>
        <w:gridCol w:w="571"/>
        <w:gridCol w:w="109"/>
        <w:gridCol w:w="109"/>
        <w:gridCol w:w="109"/>
        <w:gridCol w:w="109"/>
        <w:gridCol w:w="196"/>
        <w:gridCol w:w="70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5" w:type="dxa"/>
            <w:gridSpan w:val="5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732"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Loans Receivable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Loans Receivable, Net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8,824.2 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11,578.5 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(3,118.8)</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(503.3)</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(3,622.1)</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7,956.4 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Finance charges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New Consumer Loan assignments (1)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Collections (2)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Accelerated Dealer Holdback payments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Dealer Holdback payments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Transfers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Write-offs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Recoveries (4)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Deferral of Loan origination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8,787.5 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2,821.2 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11,608.7 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(512.0)</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(3,649.5)</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5,650.0 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2,309.2 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7,959.2 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436" w:type="dxa"/>
        <w:jc w:val="left"/>
        <w:tblInd w:w="0" w:type="dxa"/>
        <w:tblLayout w:type="fixed"/>
        <w:tblCellMar>
          <w:top w:w="28" w:type="dxa"/>
          <w:left w:w="28" w:type="dxa"/>
          <w:bottom w:w="28" w:type="dxa"/>
          <w:right w:w="28" w:type="dxa"/>
        </w:tblCellMar>
      </w:tblPr>
      <w:tblGrid>
        <w:gridCol w:w="380"/>
        <w:gridCol w:w="215"/>
        <w:gridCol w:w="216"/>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706"/>
        <w:gridCol w:w="109"/>
        <w:gridCol w:w="109"/>
        <w:gridCol w:w="109"/>
        <w:gridCol w:w="109"/>
        <w:gridCol w:w="196"/>
        <w:gridCol w:w="571"/>
        <w:gridCol w:w="109"/>
        <w:gridCol w:w="109"/>
        <w:gridCol w:w="109"/>
        <w:gridCol w:w="109"/>
        <w:gridCol w:w="196"/>
        <w:gridCol w:w="70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5" w:type="dxa"/>
            <w:gridSpan w:val="5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732"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Loans Receivable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Loans Receivable, Net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8,734.1 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2,742.6 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11,476.7 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(2,934.4)</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(3,498.5)</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7,978.2 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Finance charges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New Consumer Loan assignments (1)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Collections (2)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Accelerated Dealer Holdback payments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Dealer Holdback payments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Transfers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Write-offs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Recoveries (4)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Deferral of Loan origination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19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8,791.0 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2,772.0 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11,563.0 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(3,005.9)</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(555.2)</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(3,561.1)</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5,785.1 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2,216.8 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8,001.9 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616" w:type="dxa"/>
        <w:jc w:val="left"/>
        <w:tblInd w:w="0" w:type="dxa"/>
        <w:tblLayout w:type="fixed"/>
        <w:tblCellMar>
          <w:top w:w="28" w:type="dxa"/>
          <w:left w:w="28" w:type="dxa"/>
          <w:bottom w:w="28" w:type="dxa"/>
          <w:right w:w="28" w:type="dxa"/>
        </w:tblCellMar>
      </w:tblPr>
      <w:tblGrid>
        <w:gridCol w:w="560"/>
        <w:gridCol w:w="215"/>
        <w:gridCol w:w="216"/>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706"/>
        <w:gridCol w:w="109"/>
        <w:gridCol w:w="109"/>
        <w:gridCol w:w="109"/>
        <w:gridCol w:w="109"/>
        <w:gridCol w:w="196"/>
        <w:gridCol w:w="571"/>
        <w:gridCol w:w="109"/>
        <w:gridCol w:w="109"/>
        <w:gridCol w:w="109"/>
        <w:gridCol w:w="109"/>
        <w:gridCol w:w="196"/>
        <w:gridCol w:w="70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5" w:type="dxa"/>
            <w:gridSpan w:val="5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732"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Loans Receivable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Loans Receivable, Net</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8,790.8 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11,511.5 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(3,089.1)</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(3,602.3)</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7,909.2 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charges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Consumer Loan assignments (1)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Collections (2)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Dealer Holdback payments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Dealer Holdback payments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Deferral of Loan origination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8,787.5 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2,821.2 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11,608.7 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(3,137.5)</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(512.0)</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(3,649.5)</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5,650.0 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2,309.2 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7,959.2 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616" w:type="dxa"/>
        <w:jc w:val="left"/>
        <w:tblInd w:w="0" w:type="dxa"/>
        <w:tblLayout w:type="fixed"/>
        <w:tblCellMar>
          <w:top w:w="28" w:type="dxa"/>
          <w:left w:w="28" w:type="dxa"/>
          <w:bottom w:w="28" w:type="dxa"/>
          <w:right w:w="28" w:type="dxa"/>
        </w:tblCellMar>
      </w:tblPr>
      <w:tblGrid>
        <w:gridCol w:w="560"/>
        <w:gridCol w:w="215"/>
        <w:gridCol w:w="216"/>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706"/>
        <w:gridCol w:w="109"/>
        <w:gridCol w:w="109"/>
        <w:gridCol w:w="109"/>
        <w:gridCol w:w="109"/>
        <w:gridCol w:w="196"/>
        <w:gridCol w:w="571"/>
        <w:gridCol w:w="109"/>
        <w:gridCol w:w="109"/>
        <w:gridCol w:w="109"/>
        <w:gridCol w:w="109"/>
        <w:gridCol w:w="196"/>
        <w:gridCol w:w="70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5" w:type="dxa"/>
            <w:gridSpan w:val="5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732"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Loans Receivable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Loans Receivable, Net</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8,521.0 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11,289.1 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(2,844.5)</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(3,438.8)</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5,676.5 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7,850.3 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charges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Consumer Loan assignments (1)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Collections (2)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Dealer Holdback payments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Dealer Holdback payments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Deferral of Loan origination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8,791.0 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2,772.0 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11,563.0 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(3,005.9)</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(555.2)</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(3,561.1)</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5,785.1 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2,216.8 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8,001.9 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Dealer Loans amount represents advances paid to Dealers on Consumer Loans assigned under the Portfolio Program. The Purchased Loans amount represents one-time payments made to Dealers to purchase Consumer Loans assigned under the Purchase Program.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repayments that we collected on Consumer Loans assigned under our programs.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(3)Under the Portfolio Program, certain events may result in Dealers forfeiting their rights to Dealer Holdback. We transfer the Dealer’s outstanding Dealer Loan balance and related allowance for credit losses balance to Purchased Loans in the period this forfeiture occurs.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Dealer Loans amount represents net cash flows received (collections less any related Dealer Holdback payments) on Dealer Loans that were previously written off in full. The Purchased Loans amount represents collections received on Purchased Loans that were previously written off in full.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provision for credit losses on new Consumer Loan assignments for contractual net cash flows that were not expected to be realized at the time of assignment. We also recognize provision for credit losses on forecast changes in the amount and timing of expected future net cash flows subsequent to assignment. The following table summarizes the provision for credit losses for each of these components:</w:t>
      </w:r>
    </w:p>
    <w:tbl>
      <w:tblPr>
        <w:tblW w:w="6885" w:type="dxa"/>
        <w:jc w:val="left"/>
        <w:tblInd w:w="0" w:type="dxa"/>
        <w:tblLayout w:type="fixed"/>
        <w:tblCellMar>
          <w:top w:w="28" w:type="dxa"/>
          <w:left w:w="28" w:type="dxa"/>
          <w:bottom w:w="28" w:type="dxa"/>
          <w:right w:w="28" w:type="dxa"/>
        </w:tblCellMar>
      </w:tblPr>
      <w:tblGrid>
        <w:gridCol w:w="1034"/>
        <w:gridCol w:w="907"/>
        <w:gridCol w:w="909"/>
        <w:gridCol w:w="240"/>
        <w:gridCol w:w="701"/>
        <w:gridCol w:w="124"/>
        <w:gridCol w:w="109"/>
        <w:gridCol w:w="109"/>
        <w:gridCol w:w="109"/>
        <w:gridCol w:w="301"/>
        <w:gridCol w:w="879"/>
        <w:gridCol w:w="155"/>
        <w:gridCol w:w="109"/>
        <w:gridCol w:w="109"/>
        <w:gridCol w:w="109"/>
        <w:gridCol w:w="211"/>
        <w:gridCol w:w="616"/>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Provision for Credit Losses</w:t>
            </w:r>
          </w:p>
        </w:tc>
        <w:tc>
          <w:tcPr>
            <w:tcW w:w="10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New Consumer Loan assignments</w:t>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Forecast changes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Provision for Credit Losses</w:t>
            </w:r>
          </w:p>
        </w:tc>
        <w:tc>
          <w:tcPr>
            <w:tcW w:w="106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Consumer Loan assignments</w:t>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Forecast changes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03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Provision for Credit Losses</w:t>
            </w:r>
          </w:p>
        </w:tc>
        <w:tc>
          <w:tcPr>
            <w:tcW w:w="106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New Consumer Loan assignments</w:t>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Forecast changes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03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Provision for Credit Losses</w:t>
            </w:r>
          </w:p>
        </w:tc>
        <w:tc>
          <w:tcPr>
            <w:tcW w:w="106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Consumer Loan assignments</w:t>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Forecast changes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2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Loan income (finance charge revenue less provision for credit losses expense) that we recognize over the life of a Loan equals the cash we collect from the underlying Consumer Loan less the cash we pay to the Dealer. Under CECL, we are required to recognize: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significant provision for credit losses expense at the time of assignment for contractual net cash flows we do not expect to realize;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finance charge revenue in subsequent periods that is significantly in excess of our expected yield.</w:t>
      </w:r>
      <w:r>
        <w:rPr>
          <w:color w:val="00808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information related to new Consumer Loan assignments is as follows: </w:t>
      </w:r>
    </w:p>
    <w:tbl>
      <w:tblPr>
        <w:tblW w:w="9261" w:type="dxa"/>
        <w:jc w:val="left"/>
        <w:tblInd w:w="0" w:type="dxa"/>
        <w:tblLayout w:type="fixed"/>
        <w:tblCellMar>
          <w:top w:w="28" w:type="dxa"/>
          <w:left w:w="28" w:type="dxa"/>
          <w:bottom w:w="28" w:type="dxa"/>
          <w:right w:w="28" w:type="dxa"/>
        </w:tblCellMar>
      </w:tblPr>
      <w:tblGrid>
        <w:gridCol w:w="1830"/>
        <w:gridCol w:w="1603"/>
        <w:gridCol w:w="1622"/>
        <w:gridCol w:w="211"/>
        <w:gridCol w:w="766"/>
        <w:gridCol w:w="109"/>
        <w:gridCol w:w="109"/>
        <w:gridCol w:w="109"/>
        <w:gridCol w:w="109"/>
        <w:gridCol w:w="301"/>
        <w:gridCol w:w="879"/>
        <w:gridCol w:w="155"/>
        <w:gridCol w:w="109"/>
        <w:gridCol w:w="109"/>
        <w:gridCol w:w="109"/>
        <w:gridCol w:w="211"/>
        <w:gridCol w:w="766"/>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2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New Consumer Loan Assignments</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Contractual net cash flows at the time of assignment (1)</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1,735.4 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Expected net cash flows at the time of assignment (2)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Loans receivable at the time of assignment (3)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expense at the time of assignment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Expected future finance charges at the time of assignment (4)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Expected net Loan income at the time of assignment (5)</w:t>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261" w:type="dxa"/>
        <w:jc w:val="left"/>
        <w:tblInd w:w="0" w:type="dxa"/>
        <w:tblLayout w:type="fixed"/>
        <w:tblCellMar>
          <w:top w:w="28" w:type="dxa"/>
          <w:left w:w="28" w:type="dxa"/>
          <w:bottom w:w="28" w:type="dxa"/>
          <w:right w:w="28" w:type="dxa"/>
        </w:tblCellMar>
      </w:tblPr>
      <w:tblGrid>
        <w:gridCol w:w="1830"/>
        <w:gridCol w:w="1603"/>
        <w:gridCol w:w="1622"/>
        <w:gridCol w:w="211"/>
        <w:gridCol w:w="766"/>
        <w:gridCol w:w="109"/>
        <w:gridCol w:w="109"/>
        <w:gridCol w:w="109"/>
        <w:gridCol w:w="109"/>
        <w:gridCol w:w="301"/>
        <w:gridCol w:w="879"/>
        <w:gridCol w:w="155"/>
        <w:gridCol w:w="109"/>
        <w:gridCol w:w="109"/>
        <w:gridCol w:w="109"/>
        <w:gridCol w:w="211"/>
        <w:gridCol w:w="766"/>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2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New Consumer Loan Assignments</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Contractual net cash flows at the time of assignment (1)</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1,701.3 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Expected net cash flows at the time of assignment (2)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Loans receivable at the time of assignment (3)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expense at the time of assignment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Expected future finance charges at the time of assignment (4)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Expected net Loan income at the time of assignment (5)</w:t>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98" w:type="dxa"/>
        <w:jc w:val="left"/>
        <w:tblInd w:w="0" w:type="dxa"/>
        <w:tblLayout w:type="fixed"/>
        <w:tblCellMar>
          <w:top w:w="28" w:type="dxa"/>
          <w:left w:w="28" w:type="dxa"/>
          <w:bottom w:w="28" w:type="dxa"/>
          <w:right w:w="28" w:type="dxa"/>
        </w:tblCellMar>
      </w:tblPr>
      <w:tblGrid>
        <w:gridCol w:w="1830"/>
        <w:gridCol w:w="1603"/>
        <w:gridCol w:w="1622"/>
        <w:gridCol w:w="211"/>
        <w:gridCol w:w="766"/>
        <w:gridCol w:w="109"/>
        <w:gridCol w:w="109"/>
        <w:gridCol w:w="109"/>
        <w:gridCol w:w="109"/>
        <w:gridCol w:w="259"/>
        <w:gridCol w:w="942"/>
        <w:gridCol w:w="134"/>
        <w:gridCol w:w="109"/>
        <w:gridCol w:w="109"/>
        <w:gridCol w:w="109"/>
        <w:gridCol w:w="211"/>
        <w:gridCol w:w="766"/>
        <w:gridCol w:w="491"/>
      </w:tblGrid>
      <w:tr>
        <w:trPr/>
        <w:tc>
          <w:tcPr>
            <w:tcW w:w="1830"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Consumer Loan Assignments</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net cash flows at the time of assignment (1)</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3,604.4 </w:t>
            </w:r>
          </w:p>
        </w:tc>
        <w:tc>
          <w:tcPr>
            <w:tcW w:w="49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net cash flows at the time of assignment (2)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at the time of assignment (3)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expense at the time of assignment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future finance charges at the time of assignment (4)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net Loan income at the time of assignment (5)</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49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Consumer Loan Assignments</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net cash flows at the time of assignment (1)</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1,177.7 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3,604.6 </w:t>
            </w:r>
          </w:p>
        </w:tc>
        <w:tc>
          <w:tcPr>
            <w:tcW w:w="49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net cash flows at the time of assignment (2)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at the time of assignment (3)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expense at the time of assignment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future finance charges at the time of assignment (4)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net Loan income at the time of assignment (5)</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929.3 </w:t>
            </w:r>
          </w:p>
        </w:tc>
        <w:tc>
          <w:tcPr>
            <w:tcW w:w="49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Dealer Loans amount represents repayments that we were contractually owed at the time of assignment on Consumer Loans assigned under the Portfolio Program, less the related Dealer Holdback payments that we would be required to make if we collected all of the contractual repayments. The Purchased Loans amount represents repayments that we were contractually owed at the time of assignment on Consumer Loans assigned under the Purchase Program.</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Dealer Loans amount represents repayments that we expected to collect at the time of assignment on Consumer Loans assigned under the Portfolio Program, less the related Dealer Holdback payments that we expected to make. The Purchased Loans amount represents repayments that we expected to collect at the time of assignment on Consumer Loans assigned under the Purchase Program.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(3)The Dealer Loans amount represents advances paid to Dealers on Consumer Loans assigned under the Portfolio Program. The Purchased Loans amount represents one-time payments made to Dealers to purchase Consumer Loans assigned under the Purchase Program.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(4)Represents revenue that is expected to be recognized on a level-yield basis over the lives of the Loans.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(5)Represents the amount that expected net cash flows at the time of assignment exceed Loans receivable at the time of assignment.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changes in expected future net cash flows is as follows:</w:t>
      </w:r>
    </w:p>
    <w:tbl>
      <w:tblPr>
        <w:tblW w:w="7430" w:type="dxa"/>
        <w:jc w:val="left"/>
        <w:tblInd w:w="0" w:type="dxa"/>
        <w:tblLayout w:type="fixed"/>
        <w:tblCellMar>
          <w:top w:w="28" w:type="dxa"/>
          <w:left w:w="28" w:type="dxa"/>
          <w:bottom w:w="28" w:type="dxa"/>
          <w:right w:w="28" w:type="dxa"/>
        </w:tblCellMar>
      </w:tblPr>
      <w:tblGrid>
        <w:gridCol w:w="1131"/>
        <w:gridCol w:w="992"/>
        <w:gridCol w:w="996"/>
        <w:gridCol w:w="211"/>
        <w:gridCol w:w="766"/>
        <w:gridCol w:w="109"/>
        <w:gridCol w:w="109"/>
        <w:gridCol w:w="109"/>
        <w:gridCol w:w="109"/>
        <w:gridCol w:w="259"/>
        <w:gridCol w:w="942"/>
        <w:gridCol w:w="134"/>
        <w:gridCol w:w="109"/>
        <w:gridCol w:w="109"/>
        <w:gridCol w:w="109"/>
        <w:gridCol w:w="211"/>
        <w:gridCol w:w="871"/>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Expected Future Net Cash Flows</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3,534.6 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11,736.1 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New Consumer Loan assignments (1)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Realized net cash flows (2)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Forecast changes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Transfers (3)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8,122.6 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3,631.1 </w:t>
            </w:r>
          </w:p>
        </w:tc>
        <w:tc>
          <w:tcPr>
            <w:tcW w:w="13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11,753.7 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430" w:type="dxa"/>
        <w:jc w:val="left"/>
        <w:tblInd w:w="0" w:type="dxa"/>
        <w:tblLayout w:type="fixed"/>
        <w:tblCellMar>
          <w:top w:w="28" w:type="dxa"/>
          <w:left w:w="28" w:type="dxa"/>
          <w:bottom w:w="28" w:type="dxa"/>
          <w:right w:w="28" w:type="dxa"/>
        </w:tblCellMar>
      </w:tblPr>
      <w:tblGrid>
        <w:gridCol w:w="1131"/>
        <w:gridCol w:w="992"/>
        <w:gridCol w:w="996"/>
        <w:gridCol w:w="211"/>
        <w:gridCol w:w="766"/>
        <w:gridCol w:w="109"/>
        <w:gridCol w:w="109"/>
        <w:gridCol w:w="109"/>
        <w:gridCol w:w="109"/>
        <w:gridCol w:w="259"/>
        <w:gridCol w:w="942"/>
        <w:gridCol w:w="134"/>
        <w:gridCol w:w="109"/>
        <w:gridCol w:w="109"/>
        <w:gridCol w:w="109"/>
        <w:gridCol w:w="211"/>
        <w:gridCol w:w="871"/>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Expected Future Net Cash Flows</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3,412.8 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11,796.0 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New Consumer Loan assignments (1)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Realized net cash flows (2)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Forecast changes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Transfers (3)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8,355.5 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3,472.2 </w:t>
            </w:r>
          </w:p>
        </w:tc>
        <w:tc>
          <w:tcPr>
            <w:tcW w:w="13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11,827.7 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30" w:type="dxa"/>
        <w:jc w:val="left"/>
        <w:tblInd w:w="0" w:type="dxa"/>
        <w:tblLayout w:type="fixed"/>
        <w:tblCellMar>
          <w:top w:w="28" w:type="dxa"/>
          <w:left w:w="28" w:type="dxa"/>
          <w:bottom w:w="28" w:type="dxa"/>
          <w:right w:w="28" w:type="dxa"/>
        </w:tblCellMar>
      </w:tblPr>
      <w:tblGrid>
        <w:gridCol w:w="1131"/>
        <w:gridCol w:w="992"/>
        <w:gridCol w:w="996"/>
        <w:gridCol w:w="211"/>
        <w:gridCol w:w="766"/>
        <w:gridCol w:w="109"/>
        <w:gridCol w:w="109"/>
        <w:gridCol w:w="109"/>
        <w:gridCol w:w="109"/>
        <w:gridCol w:w="259"/>
        <w:gridCol w:w="942"/>
        <w:gridCol w:w="134"/>
        <w:gridCol w:w="109"/>
        <w:gridCol w:w="109"/>
        <w:gridCol w:w="109"/>
        <w:gridCol w:w="211"/>
        <w:gridCol w:w="871"/>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Future Net Cash Flows</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3,444.7 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11,610.2 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Consumer Loan assignments (1)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net cash flows (2)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Forecast changes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8,122.6 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3,631.1 </w:t>
            </w:r>
          </w:p>
        </w:tc>
        <w:tc>
          <w:tcPr>
            <w:tcW w:w="13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11,753.7 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4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Future Net Cash Flows</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3,383.9 </w:t>
            </w:r>
          </w:p>
        </w:tc>
        <w:tc>
          <w:tcPr>
            <w:tcW w:w="1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Consumer Loan assignments (1)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net cash flows (2)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Forecast changes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8,355.5 </w:t>
            </w:r>
          </w:p>
        </w:tc>
        <w:tc>
          <w:tcPr>
            <w:tcW w:w="10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3,472.2 </w:t>
            </w:r>
          </w:p>
        </w:tc>
        <w:tc>
          <w:tcPr>
            <w:tcW w:w="13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11,827.7 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shd w:fill="FFFFFF" w:val="clear"/>
        </w:rPr>
        <w:t xml:space="preserve">(1)The Dealer Loans amount represents repayments that we expected to collect at the time of assignment on Consumer Loans assigned under the Portfolio </w:t>
      </w:r>
      <w:r>
        <w:rPr>
          <w:rFonts w:ascii="Times New Roman;serif" w:hAnsi="Times New Roman;serif"/>
          <w:b w:val="false"/>
          <w:color w:val="000000"/>
          <w:sz w:val="16"/>
        </w:rPr>
        <w:t>Program, less the related Dealer Holdback payments that we expected to make. The Purchased Loans amount represents repayments that we expected to collect at the time of assignment on Consumer Loans assigned under the Purchase Program.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Dealer Loans amount represents repayments that we collected on Consumer Loans assigned under the Portfolio Program, less the Dealer Holdback and Accelerated Dealer Holdback payments that we made. The Purchased Loans amount represents repayments that we collected on Consumer Loans assigned under the Purchase Program.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(3)Under the Portfolio Program, certain events may result in Dealers forfeiting their rights to Dealer Holdback. We transfer the Dealer’s outstanding Dealer Loan balance, related allowance for credit losses balance, and related expected future net cash flows to Purchased Loans in the period this forfeiture occurs.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Credit Quality</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We monitor and evaluate the credit quality of Consumer Loans assigned under the Portfolio and Purchase Programs on a monthly basis by comparing our current forecasted collection rates to our prior forecasted collection rates and our initial expectations. For additional information regarding credit quality, see </w:t>
      </w:r>
      <w:hyperlink w:anchor="i9f4c4219363a4799835bfb4671297d14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compares our aggregated forecast of Consumer Loan collection rates as of June 30, 2026 with the aggregated forecasts as of March 31, 2026, December 31, 2025 and at the time of assignment, segmented by year of assignment:</w:t>
      </w:r>
    </w:p>
    <w:tbl>
      <w:tblPr>
        <w:tblW w:w="10205" w:type="dxa"/>
        <w:jc w:val="left"/>
        <w:tblInd w:w="0" w:type="dxa"/>
        <w:tblLayout w:type="fixed"/>
        <w:tblCellMar>
          <w:top w:w="28" w:type="dxa"/>
          <w:left w:w="28" w:type="dxa"/>
          <w:bottom w:w="28" w:type="dxa"/>
          <w:right w:w="28" w:type="dxa"/>
        </w:tblCellMar>
      </w:tblPr>
      <w:tblGrid>
        <w:gridCol w:w="382"/>
        <w:gridCol w:w="336"/>
        <w:gridCol w:w="338"/>
        <w:gridCol w:w="109"/>
        <w:gridCol w:w="109"/>
        <w:gridCol w:w="109"/>
        <w:gridCol w:w="255"/>
        <w:gridCol w:w="256"/>
        <w:gridCol w:w="369"/>
        <w:gridCol w:w="111"/>
        <w:gridCol w:w="111"/>
        <w:gridCol w:w="111"/>
        <w:gridCol w:w="279"/>
        <w:gridCol w:w="245"/>
        <w:gridCol w:w="430"/>
        <w:gridCol w:w="111"/>
        <w:gridCol w:w="111"/>
        <w:gridCol w:w="111"/>
        <w:gridCol w:w="328"/>
        <w:gridCol w:w="225"/>
        <w:gridCol w:w="562"/>
        <w:gridCol w:w="111"/>
        <w:gridCol w:w="111"/>
        <w:gridCol w:w="111"/>
        <w:gridCol w:w="255"/>
        <w:gridCol w:w="256"/>
        <w:gridCol w:w="408"/>
        <w:gridCol w:w="109"/>
        <w:gridCol w:w="109"/>
        <w:gridCol w:w="109"/>
        <w:gridCol w:w="279"/>
        <w:gridCol w:w="212"/>
        <w:gridCol w:w="430"/>
        <w:gridCol w:w="113"/>
        <w:gridCol w:w="113"/>
        <w:gridCol w:w="113"/>
        <w:gridCol w:w="296"/>
        <w:gridCol w:w="225"/>
        <w:gridCol w:w="562"/>
        <w:gridCol w:w="113"/>
        <w:gridCol w:w="113"/>
        <w:gridCol w:w="113"/>
        <w:gridCol w:w="233"/>
        <w:gridCol w:w="233"/>
        <w:gridCol w:w="480"/>
      </w:tblGrid>
      <w:tr>
        <w:trP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Loans</w:t>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21"/>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Forecast Variance from</w:t>
            </w:r>
          </w:p>
        </w:tc>
      </w:tr>
      <w:tr>
        <w:trPr/>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Consumer Loan</w:t>
              <w:br/>
              <w:t>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r>
      <w:tr>
        <w:trPr/>
        <w:tc>
          <w:tcPr>
            <w:tcW w:w="105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36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4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5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0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381"/>
        <w:gridCol w:w="335"/>
        <w:gridCol w:w="337"/>
        <w:gridCol w:w="109"/>
        <w:gridCol w:w="109"/>
        <w:gridCol w:w="109"/>
        <w:gridCol w:w="255"/>
        <w:gridCol w:w="256"/>
        <w:gridCol w:w="366"/>
        <w:gridCol w:w="113"/>
        <w:gridCol w:w="113"/>
        <w:gridCol w:w="113"/>
        <w:gridCol w:w="279"/>
        <w:gridCol w:w="244"/>
        <w:gridCol w:w="427"/>
        <w:gridCol w:w="113"/>
        <w:gridCol w:w="113"/>
        <w:gridCol w:w="113"/>
        <w:gridCol w:w="328"/>
        <w:gridCol w:w="224"/>
        <w:gridCol w:w="559"/>
        <w:gridCol w:w="113"/>
        <w:gridCol w:w="113"/>
        <w:gridCol w:w="113"/>
        <w:gridCol w:w="255"/>
        <w:gridCol w:w="256"/>
        <w:gridCol w:w="408"/>
        <w:gridCol w:w="109"/>
        <w:gridCol w:w="109"/>
        <w:gridCol w:w="109"/>
        <w:gridCol w:w="279"/>
        <w:gridCol w:w="211"/>
        <w:gridCol w:w="427"/>
        <w:gridCol w:w="113"/>
        <w:gridCol w:w="113"/>
        <w:gridCol w:w="113"/>
        <w:gridCol w:w="296"/>
        <w:gridCol w:w="224"/>
        <w:gridCol w:w="559"/>
        <w:gridCol w:w="113"/>
        <w:gridCol w:w="113"/>
        <w:gridCol w:w="113"/>
        <w:gridCol w:w="233"/>
        <w:gridCol w:w="233"/>
        <w:gridCol w:w="484"/>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5" w:type="dxa"/>
            <w:gridSpan w:val="3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r>
      <w:tr>
        <w:trPr/>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21"/>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 (1) (2)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Forecast Variance from</w:t>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Consumer Loan</w:t>
              <w:br/>
              <w:t>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r>
      <w:tr>
        <w:trPr/>
        <w:tc>
          <w:tcPr>
            <w:tcW w:w="1053"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3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4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5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40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81"/>
        <w:gridCol w:w="335"/>
        <w:gridCol w:w="337"/>
        <w:gridCol w:w="109"/>
        <w:gridCol w:w="109"/>
        <w:gridCol w:w="109"/>
        <w:gridCol w:w="255"/>
        <w:gridCol w:w="256"/>
        <w:gridCol w:w="366"/>
        <w:gridCol w:w="113"/>
        <w:gridCol w:w="113"/>
        <w:gridCol w:w="113"/>
        <w:gridCol w:w="279"/>
        <w:gridCol w:w="244"/>
        <w:gridCol w:w="427"/>
        <w:gridCol w:w="113"/>
        <w:gridCol w:w="113"/>
        <w:gridCol w:w="113"/>
        <w:gridCol w:w="328"/>
        <w:gridCol w:w="224"/>
        <w:gridCol w:w="559"/>
        <w:gridCol w:w="113"/>
        <w:gridCol w:w="113"/>
        <w:gridCol w:w="113"/>
        <w:gridCol w:w="255"/>
        <w:gridCol w:w="256"/>
        <w:gridCol w:w="408"/>
        <w:gridCol w:w="109"/>
        <w:gridCol w:w="109"/>
        <w:gridCol w:w="109"/>
        <w:gridCol w:w="279"/>
        <w:gridCol w:w="211"/>
        <w:gridCol w:w="427"/>
        <w:gridCol w:w="113"/>
        <w:gridCol w:w="113"/>
        <w:gridCol w:w="113"/>
        <w:gridCol w:w="296"/>
        <w:gridCol w:w="224"/>
        <w:gridCol w:w="559"/>
        <w:gridCol w:w="113"/>
        <w:gridCol w:w="113"/>
        <w:gridCol w:w="113"/>
        <w:gridCol w:w="233"/>
        <w:gridCol w:w="233"/>
        <w:gridCol w:w="484"/>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5" w:type="dxa"/>
            <w:gridSpan w:val="3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Purchased Loans </w:t>
            </w:r>
          </w:p>
        </w:tc>
      </w:tr>
      <w:tr>
        <w:trPr/>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21"/>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 (1) (2)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Forecast Variance from</w:t>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Consumer Loan</w:t>
              <w:br/>
              <w:t>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r>
      <w:tr>
        <w:trPr/>
        <w:tc>
          <w:tcPr>
            <w:tcW w:w="1053"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4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5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40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5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total forecasted collections we expect to collect on the Consumer Loans as a percentage of the repayments that we were contractually owed on the Consumer Loans at the time of assignment, including both principal and interest. Forecasted collection rates are negatively impacted by canceled Consumer Loans because the contractual amount owed is not removed from the denominator used to calculate these rates. Any declines in forecasted collection rates for Consumer Loans assigned in the most recent quarter primarily reflect the impact of cancellations rather than underlying Consumer Loan performance.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(2)The forecasted collection rates presented for Dealer Loans and Purchased Loans reflect the Consumer Loan classification at the time of assignment. </w:t>
      </w:r>
    </w:p>
    <w:tbl>
      <w:tblPr>
        <w:tblW w:w="365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evaluate and adjust the expected collection rate for each Consumer Loan subsequent to assignment primarily through the monitoring of consumer payment behavior. The following table summarizes the past-due status of Consumer Loan assignments as of June 30, 2026 and December 31, 2025, segmented by year of assignment:</w:t>
      </w:r>
    </w:p>
    <w:tbl>
      <w:tblPr>
        <w:tblW w:w="10205" w:type="dxa"/>
        <w:jc w:val="left"/>
        <w:tblInd w:w="0" w:type="dxa"/>
        <w:tblLayout w:type="fixed"/>
        <w:tblCellMar>
          <w:top w:w="28" w:type="dxa"/>
          <w:left w:w="28" w:type="dxa"/>
          <w:bottom w:w="28" w:type="dxa"/>
          <w:right w:w="28" w:type="dxa"/>
        </w:tblCellMar>
      </w:tblPr>
      <w:tblGrid>
        <w:gridCol w:w="829"/>
        <w:gridCol w:w="727"/>
        <w:gridCol w:w="722"/>
        <w:gridCol w:w="211"/>
        <w:gridCol w:w="766"/>
        <w:gridCol w:w="109"/>
        <w:gridCol w:w="109"/>
        <w:gridCol w:w="109"/>
        <w:gridCol w:w="109"/>
        <w:gridCol w:w="211"/>
        <w:gridCol w:w="766"/>
        <w:gridCol w:w="109"/>
        <w:gridCol w:w="109"/>
        <w:gridCol w:w="109"/>
        <w:gridCol w:w="109"/>
        <w:gridCol w:w="214"/>
        <w:gridCol w:w="780"/>
        <w:gridCol w:w="110"/>
        <w:gridCol w:w="109"/>
        <w:gridCol w:w="109"/>
        <w:gridCol w:w="109"/>
        <w:gridCol w:w="473"/>
        <w:gridCol w:w="1384"/>
        <w:gridCol w:w="244"/>
        <w:gridCol w:w="109"/>
        <w:gridCol w:w="109"/>
        <w:gridCol w:w="109"/>
        <w:gridCol w:w="211"/>
        <w:gridCol w:w="871"/>
        <w:gridCol w:w="160"/>
      </w:tblGrid>
      <w:tr>
        <w:trPr/>
        <w:tc>
          <w:tcPr>
            <w:tcW w:w="82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9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Loans as of June 30, 2026 (1) (2)</w:t>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Pre-term Consumer Loans (3)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Post-term Consumer Loans (4)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Consumer Loan Assignment Year</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Current (5)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br/>
              <w:t xml:space="preserve">11-90 Days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r>
          </w:p>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Over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2278"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and prior</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8,111.3 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1,826.3 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1,413.5 </w:t>
            </w:r>
          </w:p>
        </w:tc>
        <w:tc>
          <w:tcPr>
            <w:tcW w:w="11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24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11,608.7 </w:t>
            </w:r>
          </w:p>
        </w:tc>
        <w:tc>
          <w:tcPr>
            <w:tcW w:w="16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49"/>
        <w:gridCol w:w="744"/>
        <w:gridCol w:w="741"/>
        <w:gridCol w:w="211"/>
        <w:gridCol w:w="766"/>
        <w:gridCol w:w="109"/>
        <w:gridCol w:w="109"/>
        <w:gridCol w:w="109"/>
        <w:gridCol w:w="109"/>
        <w:gridCol w:w="211"/>
        <w:gridCol w:w="766"/>
        <w:gridCol w:w="109"/>
        <w:gridCol w:w="109"/>
        <w:gridCol w:w="109"/>
        <w:gridCol w:w="109"/>
        <w:gridCol w:w="214"/>
        <w:gridCol w:w="780"/>
        <w:gridCol w:w="110"/>
        <w:gridCol w:w="109"/>
        <w:gridCol w:w="109"/>
        <w:gridCol w:w="109"/>
        <w:gridCol w:w="484"/>
        <w:gridCol w:w="1416"/>
        <w:gridCol w:w="250"/>
        <w:gridCol w:w="109"/>
        <w:gridCol w:w="109"/>
        <w:gridCol w:w="109"/>
        <w:gridCol w:w="211"/>
        <w:gridCol w:w="766"/>
        <w:gridCol w:w="160"/>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87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 as of June 30, 2026 (1)</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Pre-term Consumer Loans (3)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Post-term Consumer Loans (4)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Consumer Loan Assignment Year</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Current (5)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br/>
              <w:t xml:space="preserve">11-90 Days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br/>
              <w:t>Over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233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and prior</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25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6,103.0 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1,085.1 </w:t>
            </w:r>
          </w:p>
        </w:tc>
        <w:tc>
          <w:tcPr>
            <w:tcW w:w="11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25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8,787.5 </w:t>
            </w:r>
          </w:p>
        </w:tc>
        <w:tc>
          <w:tcPr>
            <w:tcW w:w="16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74"/>
        <w:gridCol w:w="767"/>
        <w:gridCol w:w="765"/>
        <w:gridCol w:w="211"/>
        <w:gridCol w:w="766"/>
        <w:gridCol w:w="109"/>
        <w:gridCol w:w="109"/>
        <w:gridCol w:w="109"/>
        <w:gridCol w:w="109"/>
        <w:gridCol w:w="219"/>
        <w:gridCol w:w="639"/>
        <w:gridCol w:w="112"/>
        <w:gridCol w:w="109"/>
        <w:gridCol w:w="109"/>
        <w:gridCol w:w="109"/>
        <w:gridCol w:w="246"/>
        <w:gridCol w:w="720"/>
        <w:gridCol w:w="127"/>
        <w:gridCol w:w="109"/>
        <w:gridCol w:w="109"/>
        <w:gridCol w:w="109"/>
        <w:gridCol w:w="558"/>
        <w:gridCol w:w="1357"/>
        <w:gridCol w:w="290"/>
        <w:gridCol w:w="109"/>
        <w:gridCol w:w="109"/>
        <w:gridCol w:w="109"/>
        <w:gridCol w:w="211"/>
        <w:gridCol w:w="766"/>
        <w:gridCol w:w="160"/>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7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 as of June 30, 2026 (2)</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Pre-term Consumer Loans (3)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Post-term Consumer Loans (4)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0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Consumer Loan Assignment Year</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Current (5)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br/>
              <w:t xml:space="preserve">11-90 Days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br/>
              <w:t>Over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240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and prior</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2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29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1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2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29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2,821.2 </w:t>
            </w:r>
          </w:p>
        </w:tc>
        <w:tc>
          <w:tcPr>
            <w:tcW w:w="16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9"/>
        <w:gridCol w:w="727"/>
        <w:gridCol w:w="722"/>
        <w:gridCol w:w="211"/>
        <w:gridCol w:w="766"/>
        <w:gridCol w:w="109"/>
        <w:gridCol w:w="109"/>
        <w:gridCol w:w="109"/>
        <w:gridCol w:w="109"/>
        <w:gridCol w:w="211"/>
        <w:gridCol w:w="766"/>
        <w:gridCol w:w="109"/>
        <w:gridCol w:w="109"/>
        <w:gridCol w:w="109"/>
        <w:gridCol w:w="109"/>
        <w:gridCol w:w="214"/>
        <w:gridCol w:w="780"/>
        <w:gridCol w:w="110"/>
        <w:gridCol w:w="109"/>
        <w:gridCol w:w="109"/>
        <w:gridCol w:w="109"/>
        <w:gridCol w:w="473"/>
        <w:gridCol w:w="1384"/>
        <w:gridCol w:w="244"/>
        <w:gridCol w:w="109"/>
        <w:gridCol w:w="109"/>
        <w:gridCol w:w="109"/>
        <w:gridCol w:w="211"/>
        <w:gridCol w:w="871"/>
        <w:gridCol w:w="160"/>
      </w:tblGrid>
      <w:tr>
        <w:trPr/>
        <w:tc>
          <w:tcPr>
            <w:tcW w:w="82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9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Loans as of December 31, 2025 (1) (2)</w:t>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Pre-term Consumer Loans (3)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Post-term Consumer Loans (4)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Consumer Loan Assignment Year</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Current (5)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br/>
              <w:t xml:space="preserve">11-90 Days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r>
          </w:p>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Over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2278"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and prior</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2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7,807.2 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11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24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11,511.5 </w:t>
            </w:r>
          </w:p>
        </w:tc>
        <w:tc>
          <w:tcPr>
            <w:tcW w:w="16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49"/>
        <w:gridCol w:w="744"/>
        <w:gridCol w:w="741"/>
        <w:gridCol w:w="211"/>
        <w:gridCol w:w="766"/>
        <w:gridCol w:w="109"/>
        <w:gridCol w:w="109"/>
        <w:gridCol w:w="109"/>
        <w:gridCol w:w="109"/>
        <w:gridCol w:w="211"/>
        <w:gridCol w:w="766"/>
        <w:gridCol w:w="109"/>
        <w:gridCol w:w="109"/>
        <w:gridCol w:w="109"/>
        <w:gridCol w:w="109"/>
        <w:gridCol w:w="214"/>
        <w:gridCol w:w="780"/>
        <w:gridCol w:w="110"/>
        <w:gridCol w:w="109"/>
        <w:gridCol w:w="109"/>
        <w:gridCol w:w="109"/>
        <w:gridCol w:w="484"/>
        <w:gridCol w:w="1416"/>
        <w:gridCol w:w="250"/>
        <w:gridCol w:w="109"/>
        <w:gridCol w:w="109"/>
        <w:gridCol w:w="109"/>
        <w:gridCol w:w="211"/>
        <w:gridCol w:w="766"/>
        <w:gridCol w:w="160"/>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87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 as of December 31, 2025 (1)</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Pre-term Consumer Loans (3)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Post-term Consumer Loans (4)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Consumer Loan Assignment Year</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Current (5)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br/>
              <w:t xml:space="preserve">11-90 Days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br/>
              <w:t>Over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233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and prior</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25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6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5,967.2 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1,506.8 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1,160.5 </w:t>
            </w:r>
          </w:p>
        </w:tc>
        <w:tc>
          <w:tcPr>
            <w:tcW w:w="11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25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8,790.8 </w:t>
            </w:r>
          </w:p>
        </w:tc>
        <w:tc>
          <w:tcPr>
            <w:tcW w:w="16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73"/>
        <w:gridCol w:w="765"/>
        <w:gridCol w:w="764"/>
        <w:gridCol w:w="211"/>
        <w:gridCol w:w="766"/>
        <w:gridCol w:w="109"/>
        <w:gridCol w:w="109"/>
        <w:gridCol w:w="109"/>
        <w:gridCol w:w="109"/>
        <w:gridCol w:w="219"/>
        <w:gridCol w:w="639"/>
        <w:gridCol w:w="112"/>
        <w:gridCol w:w="109"/>
        <w:gridCol w:w="109"/>
        <w:gridCol w:w="109"/>
        <w:gridCol w:w="246"/>
        <w:gridCol w:w="720"/>
        <w:gridCol w:w="127"/>
        <w:gridCol w:w="109"/>
        <w:gridCol w:w="109"/>
        <w:gridCol w:w="109"/>
        <w:gridCol w:w="498"/>
        <w:gridCol w:w="1455"/>
        <w:gridCol w:w="257"/>
        <w:gridCol w:w="109"/>
        <w:gridCol w:w="109"/>
        <w:gridCol w:w="109"/>
        <w:gridCol w:w="211"/>
        <w:gridCol w:w="766"/>
        <w:gridCol w:w="159"/>
      </w:tblGrid>
      <w:tr>
        <w:trPr/>
        <w:tc>
          <w:tcPr>
            <w:tcW w:w="87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8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 as of December 31, 2025 (2)</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Pre-term Consumer Loans (3)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Post-term Consumer Loans (4)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02"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Consumer Loan Assignment Year</w:t>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Current (5)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br/>
              <w:t xml:space="preserve">11-90 Days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Past Due</w:t>
              <w:br/>
              <w:t>Over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r>
      <w:tr>
        <w:trPr/>
        <w:tc>
          <w:tcPr>
            <w:tcW w:w="2402"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and prior</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25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5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1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2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25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2,720.7 </w:t>
            </w:r>
          </w:p>
        </w:tc>
        <w:tc>
          <w:tcPr>
            <w:tcW w:w="15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(1)As Consumer Loans are aggregated by Dealer for purposes of recognizing revenue and measuring credit losses, the Dealer Loan amount was estimated by allocating the balance of each Dealer Loan to the underlying Consumer Loans based on the forecasted future collections of each Consumer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(2)As certain Consumer Loans are aggregated by Dealer for purposes of recognizing revenue and measuring credit losses, the Purchased Loan amount was estimated by allocating the balance of certain Purchased Loans to the underlying Consumer Loans based on the forecasted future collections of each Consumer Loan.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(3)Represents the Loan balance attributable to Consumer Loans outstanding within their initial loan terms.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(4)Represents the Loan balance attributable to Consumer Loans outstanding beyond their initial loan terms.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(5)We consider a Consumer Loan to be current for purposes of forecasting expected collection rates if contractual repayments are less than 11 days past due.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summarizes the write-offs for Consumer Loan assignments for th</w:t>
      </w:r>
      <w:r>
        <w:rPr>
          <w:rFonts w:ascii="Times New Roman;serif" w:hAnsi="Times New Roman;serif"/>
          <w:b/>
          <w:color w:val="000000"/>
          <w:sz w:val="20"/>
        </w:rPr>
        <w:t xml:space="preserve">e </w:t>
      </w:r>
      <w:r>
        <w:rPr>
          <w:rFonts w:ascii="Times New Roman;serif" w:hAnsi="Times New Roman;serif"/>
          <w:b w:val="false"/>
          <w:color w:val="000000"/>
          <w:sz w:val="18"/>
        </w:rPr>
        <w:t>three and six</w:t>
      </w:r>
      <w:r>
        <w:rPr>
          <w:color w:val="000000"/>
        </w:rPr>
        <w:t xml:space="preserve"> </w:t>
      </w:r>
      <w:r>
        <w:rPr>
          <w:rFonts w:ascii="Times New Roman;serif" w:hAnsi="Times New Roman;serif"/>
          <w:b w:val="false"/>
          <w:color w:val="000000"/>
          <w:sz w:val="20"/>
        </w:rPr>
        <w:t>months ended June 30, 2026 and 2025, segmented by year of assignment:</w:t>
      </w:r>
    </w:p>
    <w:p>
      <w:pPr>
        <w:pStyle w:val="TextBody"/>
        <w:bidi w:val="0"/>
        <w:spacing w:before="0" w:after="0"/>
        <w:ind w:left="0" w:right="0" w:firstLine="360"/>
        <w:jc w:val="both"/>
        <w:rPr/>
      </w:pPr>
      <w:r>
        <w:rPr/>
      </w:r>
    </w:p>
    <w:tbl>
      <w:tblPr>
        <w:tblW w:w="7931" w:type="dxa"/>
        <w:jc w:val="left"/>
        <w:tblInd w:w="0" w:type="dxa"/>
        <w:tblLayout w:type="fixed"/>
        <w:tblCellMar>
          <w:top w:w="28" w:type="dxa"/>
          <w:left w:w="28" w:type="dxa"/>
          <w:bottom w:w="28" w:type="dxa"/>
          <w:right w:w="28" w:type="dxa"/>
        </w:tblCellMar>
      </w:tblPr>
      <w:tblGrid>
        <w:gridCol w:w="1294"/>
        <w:gridCol w:w="1136"/>
        <w:gridCol w:w="1139"/>
        <w:gridCol w:w="109"/>
        <w:gridCol w:w="109"/>
        <w:gridCol w:w="109"/>
        <w:gridCol w:w="240"/>
        <w:gridCol w:w="701"/>
        <w:gridCol w:w="124"/>
        <w:gridCol w:w="109"/>
        <w:gridCol w:w="109"/>
        <w:gridCol w:w="109"/>
        <w:gridCol w:w="301"/>
        <w:gridCol w:w="879"/>
        <w:gridCol w:w="155"/>
        <w:gridCol w:w="109"/>
        <w:gridCol w:w="109"/>
        <w:gridCol w:w="109"/>
        <w:gridCol w:w="211"/>
        <w:gridCol w:w="616"/>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Write-offs by 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6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2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31" w:type="dxa"/>
        <w:jc w:val="left"/>
        <w:tblInd w:w="0" w:type="dxa"/>
        <w:tblLayout w:type="fixed"/>
        <w:tblCellMar>
          <w:top w:w="28" w:type="dxa"/>
          <w:left w:w="28" w:type="dxa"/>
          <w:bottom w:w="28" w:type="dxa"/>
          <w:right w:w="28" w:type="dxa"/>
        </w:tblCellMar>
      </w:tblPr>
      <w:tblGrid>
        <w:gridCol w:w="1294"/>
        <w:gridCol w:w="1136"/>
        <w:gridCol w:w="1139"/>
        <w:gridCol w:w="109"/>
        <w:gridCol w:w="109"/>
        <w:gridCol w:w="109"/>
        <w:gridCol w:w="240"/>
        <w:gridCol w:w="701"/>
        <w:gridCol w:w="124"/>
        <w:gridCol w:w="109"/>
        <w:gridCol w:w="109"/>
        <w:gridCol w:w="109"/>
        <w:gridCol w:w="301"/>
        <w:gridCol w:w="879"/>
        <w:gridCol w:w="155"/>
        <w:gridCol w:w="109"/>
        <w:gridCol w:w="109"/>
        <w:gridCol w:w="109"/>
        <w:gridCol w:w="211"/>
        <w:gridCol w:w="616"/>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Write-offs by 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6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2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31" w:type="dxa"/>
        <w:jc w:val="left"/>
        <w:tblInd w:w="0" w:type="dxa"/>
        <w:tblLayout w:type="fixed"/>
        <w:tblCellMar>
          <w:top w:w="28" w:type="dxa"/>
          <w:left w:w="28" w:type="dxa"/>
          <w:bottom w:w="28" w:type="dxa"/>
          <w:right w:w="28" w:type="dxa"/>
        </w:tblCellMar>
      </w:tblPr>
      <w:tblGrid>
        <w:gridCol w:w="1294"/>
        <w:gridCol w:w="1136"/>
        <w:gridCol w:w="1139"/>
        <w:gridCol w:w="109"/>
        <w:gridCol w:w="109"/>
        <w:gridCol w:w="109"/>
        <w:gridCol w:w="240"/>
        <w:gridCol w:w="701"/>
        <w:gridCol w:w="124"/>
        <w:gridCol w:w="109"/>
        <w:gridCol w:w="109"/>
        <w:gridCol w:w="109"/>
        <w:gridCol w:w="301"/>
        <w:gridCol w:w="879"/>
        <w:gridCol w:w="155"/>
        <w:gridCol w:w="109"/>
        <w:gridCol w:w="109"/>
        <w:gridCol w:w="109"/>
        <w:gridCol w:w="211"/>
        <w:gridCol w:w="616"/>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Write-offs by 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6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2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31" w:type="dxa"/>
        <w:jc w:val="left"/>
        <w:tblInd w:w="0" w:type="dxa"/>
        <w:tblLayout w:type="fixed"/>
        <w:tblCellMar>
          <w:top w:w="28" w:type="dxa"/>
          <w:left w:w="28" w:type="dxa"/>
          <w:bottom w:w="28" w:type="dxa"/>
          <w:right w:w="28" w:type="dxa"/>
        </w:tblCellMar>
      </w:tblPr>
      <w:tblGrid>
        <w:gridCol w:w="1294"/>
        <w:gridCol w:w="1136"/>
        <w:gridCol w:w="1139"/>
        <w:gridCol w:w="109"/>
        <w:gridCol w:w="109"/>
        <w:gridCol w:w="109"/>
        <w:gridCol w:w="240"/>
        <w:gridCol w:w="701"/>
        <w:gridCol w:w="124"/>
        <w:gridCol w:w="109"/>
        <w:gridCol w:w="109"/>
        <w:gridCol w:w="109"/>
        <w:gridCol w:w="301"/>
        <w:gridCol w:w="879"/>
        <w:gridCol w:w="155"/>
        <w:gridCol w:w="109"/>
        <w:gridCol w:w="109"/>
        <w:gridCol w:w="109"/>
        <w:gridCol w:w="211"/>
        <w:gridCol w:w="616"/>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Write-offs by 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6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2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2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we applied an adjustment to our methodology for forecasting the amount of future net cash flows from our Loan portfolio, which reduced the forecasted collection rates for Consumer Loans assigned in 2024. Consumer Loans assigned in 2024 prior to the implementation of our scorecard adjustment during the third quarter of 2024 had underperformed relative to the forecast adjustment we implemented during the second quarter of 2024. Accordingly, in the second quarter of 2025, we applied an adjustment to that segment of the Consumer Loans assigned in 2024 to reduce forecasted collection rates to what we believed the ultimate collection rates would be based on these trends. Changes in the amount and timing of forecasted net cash flows are recognized in the period of change as a provision for credit losses. The implementation of this forecast adjustment during the second quarter of 2025 reduced forecasted net cash flows by $18.6 million, or 0.2%, and increased provision for credit losses by $16.5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REINSURANCE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reinsurance activity is as follows:</w:t>
      </w:r>
    </w:p>
    <w:tbl>
      <w:tblPr>
        <w:tblW w:w="8404" w:type="dxa"/>
        <w:jc w:val="left"/>
        <w:tblInd w:w="0" w:type="dxa"/>
        <w:tblLayout w:type="fixed"/>
        <w:tblCellMar>
          <w:top w:w="28" w:type="dxa"/>
          <w:left w:w="28" w:type="dxa"/>
          <w:bottom w:w="28" w:type="dxa"/>
          <w:right w:w="28" w:type="dxa"/>
        </w:tblCellMar>
      </w:tblPr>
      <w:tblGrid>
        <w:gridCol w:w="1365"/>
        <w:gridCol w:w="1198"/>
        <w:gridCol w:w="1201"/>
        <w:gridCol w:w="237"/>
        <w:gridCol w:w="574"/>
        <w:gridCol w:w="122"/>
        <w:gridCol w:w="122"/>
        <w:gridCol w:w="122"/>
        <w:gridCol w:w="122"/>
        <w:gridCol w:w="237"/>
        <w:gridCol w:w="574"/>
        <w:gridCol w:w="122"/>
        <w:gridCol w:w="109"/>
        <w:gridCol w:w="109"/>
        <w:gridCol w:w="109"/>
        <w:gridCol w:w="216"/>
        <w:gridCol w:w="524"/>
        <w:gridCol w:w="111"/>
        <w:gridCol w:w="111"/>
        <w:gridCol w:w="111"/>
        <w:gridCol w:w="111"/>
        <w:gridCol w:w="216"/>
        <w:gridCol w:w="524"/>
        <w:gridCol w:w="157"/>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assumed written premiums</w:t>
            </w:r>
          </w:p>
        </w:tc>
        <w:tc>
          <w:tcPr>
            <w:tcW w:w="23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2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claims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acquisition costs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trust assets and related reinsurance liabilities are as follows:</w:t>
      </w:r>
    </w:p>
    <w:tbl>
      <w:tblPr>
        <w:tblW w:w="8392" w:type="dxa"/>
        <w:jc w:val="left"/>
        <w:tblInd w:w="0" w:type="dxa"/>
        <w:tblLayout w:type="fixed"/>
        <w:tblCellMar>
          <w:top w:w="28" w:type="dxa"/>
          <w:left w:w="28" w:type="dxa"/>
          <w:bottom w:w="28" w:type="dxa"/>
          <w:right w:w="28" w:type="dxa"/>
        </w:tblCellMar>
      </w:tblPr>
      <w:tblGrid>
        <w:gridCol w:w="604"/>
        <w:gridCol w:w="529"/>
        <w:gridCol w:w="531"/>
        <w:gridCol w:w="1134"/>
        <w:gridCol w:w="1134"/>
        <w:gridCol w:w="1137"/>
        <w:gridCol w:w="109"/>
        <w:gridCol w:w="109"/>
        <w:gridCol w:w="109"/>
        <w:gridCol w:w="327"/>
        <w:gridCol w:w="629"/>
        <w:gridCol w:w="169"/>
        <w:gridCol w:w="109"/>
        <w:gridCol w:w="109"/>
        <w:gridCol w:w="109"/>
        <w:gridCol w:w="422"/>
        <w:gridCol w:w="812"/>
        <w:gridCol w:w="310"/>
      </w:tblGrid>
      <w:tr>
        <w:trPr/>
        <w:tc>
          <w:tcPr>
            <w:tcW w:w="60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assets</w:t>
            </w:r>
          </w:p>
        </w:tc>
        <w:tc>
          <w:tcPr>
            <w:tcW w:w="340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assets</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w:t>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reserve (1)</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The claims reserve represents our liability for incurred-but-not-reported claims and is estimated based on historical claims experience.</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OTHER INCOME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consists of the following:</w:t>
      </w:r>
    </w:p>
    <w:tbl>
      <w:tblPr>
        <w:tblW w:w="8571" w:type="dxa"/>
        <w:jc w:val="left"/>
        <w:tblInd w:w="0" w:type="dxa"/>
        <w:tblLayout w:type="fixed"/>
        <w:tblCellMar>
          <w:top w:w="28" w:type="dxa"/>
          <w:left w:w="28" w:type="dxa"/>
          <w:bottom w:w="28" w:type="dxa"/>
          <w:right w:w="28" w:type="dxa"/>
        </w:tblCellMar>
      </w:tblPr>
      <w:tblGrid>
        <w:gridCol w:w="979"/>
        <w:gridCol w:w="859"/>
        <w:gridCol w:w="862"/>
        <w:gridCol w:w="302"/>
        <w:gridCol w:w="732"/>
        <w:gridCol w:w="156"/>
        <w:gridCol w:w="156"/>
        <w:gridCol w:w="156"/>
        <w:gridCol w:w="156"/>
        <w:gridCol w:w="302"/>
        <w:gridCol w:w="732"/>
        <w:gridCol w:w="156"/>
        <w:gridCol w:w="109"/>
        <w:gridCol w:w="109"/>
        <w:gridCol w:w="109"/>
        <w:gridCol w:w="280"/>
        <w:gridCol w:w="678"/>
        <w:gridCol w:w="144"/>
        <w:gridCol w:w="144"/>
        <w:gridCol w:w="144"/>
        <w:gridCol w:w="144"/>
        <w:gridCol w:w="280"/>
        <w:gridCol w:w="678"/>
        <w:gridCol w:w="204"/>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product profit sharing</w:t>
            </w:r>
          </w:p>
        </w:tc>
        <w:tc>
          <w:tcPr>
            <w:tcW w:w="30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4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0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Remarketing fees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4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0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Ancillary product profit sharing consists of payments received from TPPs based on the performance of vehicle service contracts and GAP contracts. These amounts are recognized as income over the life of the related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is earned on cash and cash equivalents, restricted cash and cash equivalents, and restricted securities available for sale. Interest income is generally recognized over time as it is earned. Interest income on restricted securities available for sale is recognized over the life of the underlying financial instruments using the interest method.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Remarketing fees consist of fees charged to Dealers that are retained from the sale of repossessed vehicles by Vehicle Remarketing Services, Inc. (“VRS”), our wholly owned subsidiary that is responsible for remarketing vehicles for Credit Acceptance. VRS coordinates vehicle repossessions with a nationwide network of repossession contractors, the redemption of the vehicles by the consumers, and the sale of the vehicles through a nationwide network of vehicle auctions. VRS recognizes income from the retained fees at the time of the sale and does not retain a fee if a repossessed vehicle is redeemed by the consumer prior to the sale.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other income by major source of income and timing of the revenue recognition:</w:t>
      </w:r>
    </w:p>
    <w:tbl>
      <w:tblPr>
        <w:tblW w:w="10205" w:type="dxa"/>
        <w:jc w:val="left"/>
        <w:tblInd w:w="0" w:type="dxa"/>
        <w:tblLayout w:type="fixed"/>
        <w:tblCellMar>
          <w:top w:w="28" w:type="dxa"/>
          <w:left w:w="28" w:type="dxa"/>
          <w:bottom w:w="28" w:type="dxa"/>
          <w:right w:w="28" w:type="dxa"/>
        </w:tblCellMar>
      </w:tblPr>
      <w:tblGrid>
        <w:gridCol w:w="751"/>
        <w:gridCol w:w="626"/>
        <w:gridCol w:w="588"/>
        <w:gridCol w:w="564"/>
        <w:gridCol w:w="1089"/>
        <w:gridCol w:w="296"/>
        <w:gridCol w:w="109"/>
        <w:gridCol w:w="109"/>
        <w:gridCol w:w="109"/>
        <w:gridCol w:w="211"/>
        <w:gridCol w:w="406"/>
        <w:gridCol w:w="109"/>
        <w:gridCol w:w="109"/>
        <w:gridCol w:w="109"/>
        <w:gridCol w:w="109"/>
        <w:gridCol w:w="375"/>
        <w:gridCol w:w="723"/>
        <w:gridCol w:w="195"/>
        <w:gridCol w:w="109"/>
        <w:gridCol w:w="109"/>
        <w:gridCol w:w="109"/>
        <w:gridCol w:w="109"/>
        <w:gridCol w:w="109"/>
        <w:gridCol w:w="109"/>
        <w:gridCol w:w="109"/>
        <w:gridCol w:w="211"/>
        <w:gridCol w:w="406"/>
        <w:gridCol w:w="109"/>
        <w:gridCol w:w="109"/>
        <w:gridCol w:w="109"/>
        <w:gridCol w:w="109"/>
        <w:gridCol w:w="333"/>
        <w:gridCol w:w="809"/>
        <w:gridCol w:w="172"/>
        <w:gridCol w:w="109"/>
        <w:gridCol w:w="109"/>
        <w:gridCol w:w="109"/>
        <w:gridCol w:w="161"/>
      </w:tblGrid>
      <w:tr>
        <w:trPr/>
        <w:tc>
          <w:tcPr>
            <w:tcW w:w="75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52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29" w:type="dxa"/>
            <w:gridSpan w:val="10"/>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Ancillary Product Profit Sharing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Remarketing Fees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 of Income</w:t>
            </w:r>
          </w:p>
        </w:tc>
        <w:tc>
          <w:tcPr>
            <w:tcW w:w="19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Providers</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Dealers</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6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a point in time</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6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9"/>
        <w:gridCol w:w="670"/>
        <w:gridCol w:w="645"/>
        <w:gridCol w:w="543"/>
        <w:gridCol w:w="1315"/>
        <w:gridCol w:w="280"/>
        <w:gridCol w:w="109"/>
        <w:gridCol w:w="109"/>
        <w:gridCol w:w="109"/>
        <w:gridCol w:w="211"/>
        <w:gridCol w:w="406"/>
        <w:gridCol w:w="109"/>
        <w:gridCol w:w="109"/>
        <w:gridCol w:w="109"/>
        <w:gridCol w:w="109"/>
        <w:gridCol w:w="386"/>
        <w:gridCol w:w="744"/>
        <w:gridCol w:w="201"/>
        <w:gridCol w:w="109"/>
        <w:gridCol w:w="109"/>
        <w:gridCol w:w="109"/>
        <w:gridCol w:w="109"/>
        <w:gridCol w:w="109"/>
        <w:gridCol w:w="109"/>
        <w:gridCol w:w="109"/>
        <w:gridCol w:w="211"/>
        <w:gridCol w:w="406"/>
        <w:gridCol w:w="109"/>
        <w:gridCol w:w="109"/>
        <w:gridCol w:w="109"/>
        <w:gridCol w:w="109"/>
        <w:gridCol w:w="345"/>
        <w:gridCol w:w="836"/>
        <w:gridCol w:w="255"/>
      </w:tblGrid>
      <w:tr>
        <w:trPr/>
        <w:tc>
          <w:tcPr>
            <w:tcW w:w="78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55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2598" w:type="dxa"/>
            <w:gridSpan w:val="10"/>
            <w:tcBorders/>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Ancillary Product Profit Sharing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Remarketing Fees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Other Income</w:t>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 of Income</w:t>
            </w:r>
          </w:p>
        </w:tc>
        <w:tc>
          <w:tcPr>
            <w:tcW w:w="213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Providers</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Dealers</w:t>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8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5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a point in time</w:t>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8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5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Debt consists of the following:</w:t>
      </w:r>
    </w:p>
    <w:tbl>
      <w:tblPr>
        <w:tblW w:w="10205" w:type="dxa"/>
        <w:jc w:val="center"/>
        <w:tblInd w:w="0" w:type="dxa"/>
        <w:tblLayout w:type="fixed"/>
        <w:tblCellMar>
          <w:top w:w="28" w:type="dxa"/>
          <w:left w:w="28" w:type="dxa"/>
          <w:bottom w:w="28" w:type="dxa"/>
          <w:right w:w="28" w:type="dxa"/>
        </w:tblCellMar>
      </w:tblPr>
      <w:tblGrid>
        <w:gridCol w:w="917"/>
        <w:gridCol w:w="804"/>
        <w:gridCol w:w="809"/>
        <w:gridCol w:w="109"/>
        <w:gridCol w:w="109"/>
        <w:gridCol w:w="109"/>
        <w:gridCol w:w="300"/>
        <w:gridCol w:w="1092"/>
        <w:gridCol w:w="154"/>
        <w:gridCol w:w="109"/>
        <w:gridCol w:w="109"/>
        <w:gridCol w:w="109"/>
        <w:gridCol w:w="532"/>
        <w:gridCol w:w="1328"/>
        <w:gridCol w:w="276"/>
        <w:gridCol w:w="109"/>
        <w:gridCol w:w="109"/>
        <w:gridCol w:w="109"/>
        <w:gridCol w:w="441"/>
        <w:gridCol w:w="880"/>
        <w:gridCol w:w="228"/>
        <w:gridCol w:w="109"/>
        <w:gridCol w:w="109"/>
        <w:gridCol w:w="109"/>
        <w:gridCol w:w="211"/>
        <w:gridCol w:w="766"/>
        <w:gridCol w:w="159"/>
      </w:tblGrid>
      <w:tr>
        <w:trPr/>
        <w:tc>
          <w:tcPr>
            <w:tcW w:w="9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Discount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Carrying </w:t>
              <w:br/>
              <w:t>Amount</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secured lines of credit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5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financing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6,314.8 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27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6,286.2 </w:t>
            </w:r>
          </w:p>
        </w:tc>
        <w:tc>
          <w:tcPr>
            <w:tcW w:w="15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2025 </w:t>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Discount</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Carrying </w:t>
              <w:br/>
              <w:t>Amount</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secured lines of credit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financing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6,387.9 </w:t>
            </w:r>
          </w:p>
        </w:tc>
        <w:tc>
          <w:tcPr>
            <w:tcW w:w="154"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27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8"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6,353.9 </w:t>
            </w:r>
          </w:p>
        </w:tc>
        <w:tc>
          <w:tcPr>
            <w:tcW w:w="15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(1)Excludes deferred debt issuance costs of $5.5 million and $4.5 million as of June 30, 2026 and December 31, 2025, respectively, which are included in other assets.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(2)Warehouse facilities and Term ABS financings.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information for each of our financing transactions in place as of June 30, 2026 is as follows:</w:t>
      </w:r>
    </w:p>
    <w:tbl>
      <w:tblPr>
        <w:tblW w:w="10205" w:type="dxa"/>
        <w:jc w:val="left"/>
        <w:tblInd w:w="0" w:type="dxa"/>
        <w:tblLayout w:type="fixed"/>
        <w:tblCellMar>
          <w:top w:w="28" w:type="dxa"/>
          <w:left w:w="28" w:type="dxa"/>
          <w:bottom w:w="28" w:type="dxa"/>
          <w:right w:w="28" w:type="dxa"/>
        </w:tblCellMar>
      </w:tblPr>
      <w:tblGrid>
        <w:gridCol w:w="694"/>
        <w:gridCol w:w="469"/>
        <w:gridCol w:w="471"/>
        <w:gridCol w:w="109"/>
        <w:gridCol w:w="109"/>
        <w:gridCol w:w="109"/>
        <w:gridCol w:w="557"/>
        <w:gridCol w:w="527"/>
        <w:gridCol w:w="530"/>
        <w:gridCol w:w="109"/>
        <w:gridCol w:w="109"/>
        <w:gridCol w:w="109"/>
        <w:gridCol w:w="228"/>
        <w:gridCol w:w="200"/>
        <w:gridCol w:w="186"/>
        <w:gridCol w:w="148"/>
        <w:gridCol w:w="148"/>
        <w:gridCol w:w="152"/>
        <w:gridCol w:w="109"/>
        <w:gridCol w:w="109"/>
        <w:gridCol w:w="109"/>
        <w:gridCol w:w="196"/>
        <w:gridCol w:w="556"/>
        <w:gridCol w:w="109"/>
        <w:gridCol w:w="109"/>
        <w:gridCol w:w="109"/>
        <w:gridCol w:w="109"/>
        <w:gridCol w:w="1164"/>
        <w:gridCol w:w="1054"/>
        <w:gridCol w:w="1508"/>
      </w:tblGrid>
      <w:tr>
        <w:trPr/>
        <w:tc>
          <w:tcPr>
            <w:tcW w:w="69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Wholly Owned</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Basis as of  </w:t>
              <w:br/>
              <w:t>June 30, 2026</w:t>
            </w:r>
          </w:p>
        </w:tc>
      </w:tr>
      <w:tr>
        <w:trPr/>
        <w:tc>
          <w:tcPr>
            <w:tcW w:w="163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Secured Line of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06/22/2029</w:t>
            </w:r>
          </w:p>
        </w:tc>
        <w:tc>
          <w:tcPr>
            <w:tcW w:w="448"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At our option, either the Secured Overnight Financing Rate (SOFR) plus 175.0 basis points or the prime rate plus 75.0 basis points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RTP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175.0 basis points</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Warehouse Facility II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CAC Warehouse Funding LLC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09/20/2027</w:t>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185.0 basis points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Warehouse Facility IV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CAC Warehouse Funding LLC 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07/30/2028</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SOFR plus 205.0 basis points </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Warehouse Facility V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CAC Warehouse Funding LLC 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12/29/2027</w:t>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SOFR plus 185.0 basis points </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Warehouse Facility VI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CAC Warehouse Funding LLC VI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09/30/2028</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185.0 basis points</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Warehouse Facility VIII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CAC Warehouse Funding LLC VIII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09/19/2028</w:t>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185.0 basis points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2019-2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09/15/2026</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2021-1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01/18/2028</w:t>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140.0 basis points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2022-2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06/15/2027</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246.4 basis points</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2023-1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03/17/2025</w:t>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2023-2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05/15/2025</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2023-3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08/15/2025</w:t>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2023-5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12/15/2025</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2024-A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02/15/2027</w:t>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2024-1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03/16/2026</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2024-2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06/15/2026</w:t>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2024-3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09/15/2026</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2024-B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2024-B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12/15/2027</w:t>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2025-1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03/15/2027</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2025-2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11/15/2027</w:t>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ABS 2026-1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Credit Acceptance Funding LLC 2026-1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04/17/2028</w:t>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12/15/2028</w:t>
            </w:r>
          </w:p>
        </w:tc>
        <w:tc>
          <w:tcPr>
            <w:tcW w:w="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03/15/2030</w:t>
            </w:r>
          </w:p>
        </w:tc>
        <w:tc>
          <w:tcPr>
            <w:tcW w:w="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(1)Borrowings are subject to repayment on demand.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(2)Financing made available only to a specified subsidiary of the Company.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(3)Represents the revolving maturity date. The outstanding balance will amortize after the revolving maturity date based on the cash flows of the pledged assets.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(4)Represents the revolving maturity date. The outstanding balance will amortize after the revolving maturity date and any amounts remaining on December 27, 2029 will be due on that date.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(5)Represents the revolving maturity date. The Company has the option to redeem and retire the indebtedness after the revolving maturity date. If we do not elect this option, the outstanding balance will amortize based on the cash flows of the pledged assets.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(6)Represents the revolving maturity date. The outstanding balance will amortize after the revolving maturity date and any amounts remaining on January 15, 2033 will be due on that date.</w:t>
      </w:r>
    </w:p>
    <w:p>
      <w:pPr>
        <w:pStyle w:val="TextBody"/>
        <w:bidi w:val="0"/>
        <w:spacing w:before="0" w:after="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Additional information related to the amounts outstanding on each facility is as follows:</w:t>
      </w:r>
    </w:p>
    <w:tbl>
      <w:tblPr>
        <w:tblW w:w="8132" w:type="dxa"/>
        <w:jc w:val="left"/>
        <w:tblInd w:w="0" w:type="dxa"/>
        <w:tblLayout w:type="fixed"/>
        <w:tblCellMar>
          <w:top w:w="28" w:type="dxa"/>
          <w:left w:w="28" w:type="dxa"/>
          <w:bottom w:w="28" w:type="dxa"/>
          <w:right w:w="28" w:type="dxa"/>
        </w:tblCellMar>
      </w:tblPr>
      <w:tblGrid>
        <w:gridCol w:w="1244"/>
        <w:gridCol w:w="1092"/>
        <w:gridCol w:w="1098"/>
        <w:gridCol w:w="225"/>
        <w:gridCol w:w="657"/>
        <w:gridCol w:w="116"/>
        <w:gridCol w:w="116"/>
        <w:gridCol w:w="116"/>
        <w:gridCol w:w="116"/>
        <w:gridCol w:w="225"/>
        <w:gridCol w:w="545"/>
        <w:gridCol w:w="116"/>
        <w:gridCol w:w="109"/>
        <w:gridCol w:w="109"/>
        <w:gridCol w:w="109"/>
        <w:gridCol w:w="211"/>
        <w:gridCol w:w="616"/>
        <w:gridCol w:w="109"/>
        <w:gridCol w:w="109"/>
        <w:gridCol w:w="109"/>
        <w:gridCol w:w="109"/>
        <w:gridCol w:w="211"/>
        <w:gridCol w:w="51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Revolving Secured Lines of Credit</w:t>
            </w:r>
          </w:p>
        </w:tc>
        <w:tc>
          <w:tcPr>
            <w:tcW w:w="998"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outstanding principal balance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principal balance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Facility II</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outstanding principal balance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principal balance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Facility IV</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outstanding principal balance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principal balance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Facility V</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outstanding principal balance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principal balance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Facility VI</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outstanding principal balance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principal balance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Facility VIII</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outstanding principal balance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principal balance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810" w:type="dxa"/>
        <w:jc w:val="left"/>
        <w:tblInd w:w="0" w:type="dxa"/>
        <w:tblLayout w:type="fixed"/>
        <w:tblCellMar>
          <w:top w:w="28" w:type="dxa"/>
          <w:left w:w="28" w:type="dxa"/>
          <w:bottom w:w="28" w:type="dxa"/>
          <w:right w:w="28" w:type="dxa"/>
        </w:tblCellMar>
      </w:tblPr>
      <w:tblGrid>
        <w:gridCol w:w="1744"/>
        <w:gridCol w:w="1532"/>
        <w:gridCol w:w="1538"/>
        <w:gridCol w:w="216"/>
        <w:gridCol w:w="631"/>
        <w:gridCol w:w="277"/>
        <w:gridCol w:w="109"/>
        <w:gridCol w:w="109"/>
        <w:gridCol w:w="109"/>
        <w:gridCol w:w="285"/>
        <w:gridCol w:w="833"/>
        <w:gridCol w:w="427"/>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Revolving Secured Lines of Credit</w:t>
            </w:r>
          </w:p>
        </w:tc>
        <w:tc>
          <w:tcPr>
            <w:tcW w:w="1124"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 for borrowing (1)</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Facility II</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 for borrowing (1)</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Facility IV</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 for borrowing (1)</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Facility V</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 for borrowing (1)</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Facility VI</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 for borrowing (1)</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Facility VIII</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 for borrowing (1)</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2019-2</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2021-1</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810" w:type="dxa"/>
        <w:jc w:val="left"/>
        <w:tblInd w:w="0" w:type="dxa"/>
        <w:tblLayout w:type="fixed"/>
        <w:tblCellMar>
          <w:top w:w="28" w:type="dxa"/>
          <w:left w:w="28" w:type="dxa"/>
          <w:bottom w:w="28" w:type="dxa"/>
          <w:right w:w="28" w:type="dxa"/>
        </w:tblCellMar>
      </w:tblPr>
      <w:tblGrid>
        <w:gridCol w:w="1745"/>
        <w:gridCol w:w="1532"/>
        <w:gridCol w:w="1537"/>
        <w:gridCol w:w="216"/>
        <w:gridCol w:w="631"/>
        <w:gridCol w:w="277"/>
        <w:gridCol w:w="109"/>
        <w:gridCol w:w="109"/>
        <w:gridCol w:w="109"/>
        <w:gridCol w:w="285"/>
        <w:gridCol w:w="833"/>
        <w:gridCol w:w="427"/>
      </w:tblGrid>
      <w:tr>
        <w:trPr/>
        <w:tc>
          <w:tcPr>
            <w:tcW w:w="1745"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2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2022-1</w:t>
            </w:r>
          </w:p>
        </w:tc>
        <w:tc>
          <w:tcPr>
            <w:tcW w:w="11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2022-2</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2022-3</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2023-1</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2023-2</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2023-3</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2023-5</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2024-A</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2024-1</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810" w:type="dxa"/>
        <w:jc w:val="left"/>
        <w:tblInd w:w="0" w:type="dxa"/>
        <w:tblLayout w:type="fixed"/>
        <w:tblCellMar>
          <w:top w:w="28" w:type="dxa"/>
          <w:left w:w="28" w:type="dxa"/>
          <w:bottom w:w="28" w:type="dxa"/>
          <w:right w:w="28" w:type="dxa"/>
        </w:tblCellMar>
      </w:tblPr>
      <w:tblGrid>
        <w:gridCol w:w="1745"/>
        <w:gridCol w:w="1532"/>
        <w:gridCol w:w="1537"/>
        <w:gridCol w:w="216"/>
        <w:gridCol w:w="631"/>
        <w:gridCol w:w="277"/>
        <w:gridCol w:w="109"/>
        <w:gridCol w:w="109"/>
        <w:gridCol w:w="109"/>
        <w:gridCol w:w="285"/>
        <w:gridCol w:w="833"/>
        <w:gridCol w:w="427"/>
      </w:tblGrid>
      <w:tr>
        <w:trPr/>
        <w:tc>
          <w:tcPr>
            <w:tcW w:w="1745"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2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2024-2</w:t>
            </w:r>
          </w:p>
        </w:tc>
        <w:tc>
          <w:tcPr>
            <w:tcW w:w="11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2024-3</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2024-B</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2025-1</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2025-2</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ABS 2026-1</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pledged as collateral</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pledged as collateral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2028 Senior Notes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2030 Senior Notes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outstanding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(1)Availability may be limited by the amount of assets pledged as collateral.</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Revolving Secured Lines of Credit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two revolving secured lines of credit: (1) a $390.0 million revolving secured line of credit facility, to which we refer as our revolving secured line of credit facility, with a commercial bank syndicate and (2) an uncommitted $20.0 million revolving secured line of credit facility, to which we refer as the RTP facility, with a lender for use solely in facilitating payments by the Company through the lender’s real-time payments service.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our revolving secured line of credit facility, including any letters of credit issued under the facility, are subject to a borrowing-base limitation. This limitation equals 80% of the Dealer Loans Receivable constituting revolving credit facility collateral and 80% of Purchased Contract Balances constituting revolving credit facility collateral (each as defined in the agreement governing our revolving secured line of credit facility), less a hedging reserve (not exceeding $1.0 million), and less the amount of other outstanding debt secured by the collateral that secures our revolving secured line of credit facility. Borrowings under our revolving secured line of credit facility are secured by a lien on most of our assets that do not secure obligations under our Warehouse facilities or Term ABS financings.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under the RTP facility are secured by a lien on the same collateral that secures obligations under our revolving secured line of credit facility. The RTP facility terminates automatically if the lender ceases to be part of the commercial bank syndicate under our revolving secured line of credit facility or if its lending commitments under our revolving secured line of credit facility are terminated.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Warehouse Facilities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five Warehouse facilities with total borrowing capacity of $1,325.0 million. Each of the facilities is with a different lender or group of lenders. Under each Warehouse facility, we can convey Loans to the applicable wholly owned subsidiary in return for cash and/or an increase in the value of our equity in such subsidiary. In turn, each such subsidiary pledges the Loans as collateral to secure financing that will fund the cash portion of the purchase price of the Loans. The financing provided to each such subsidiary under the applicable facility is generally limited to the lesser of 80% of the outstanding balance of the conveyed Loans, as determined in accordance with the applicable agreement, plus certain restricted cash and cash equivalents pledged as collateral, or the facility limit.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financings create indebtedness for which the subsidiaries are liable and which is secured by all the assets of each subsidiary. Such indebtedness is non-recourse to us (other than customary, limited recourse to us in the form of repurchase obligations or indemnification obligations for any violations by us of our representations or obligations as seller, servicer, or custodian), even though we are consolidated for financial reporting purposes with the subsidiaries. Because the subsidiaries are organized as bankruptcy-remote legal entities separate from us, their assets (including the conveyed Loans) are not available to any creditors other than the creditors of the applicable subsidiary.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subsidiaries pay us a monthly servicing fee equal to 4% of the collections received with respect to the conveyed Loans. The servicing fee is paid out of the collections. Except for the servicing fee and holdback payments due to Dealers, if a facility is amortizing, we do not have any rights in any portion of such collections until all outstanding principal, accrued and unpaid interest, fees, and other related costs have been paid in full. If a facility is in its revolving period, the applicable subsidiary is entitled to the portion of such collections available after the payment of interest and transaction expenses under the facility, provided that the borrowing base requirements of the facility are satisfied.</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 ABS Financings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wholly owned subsidiaries (the “Funding LLCs”) that have completed secured financing transactions with qualified institutional investors or lenders. In connection with each of these transactions, we conveyed Loans on an arms-length basis to a Funding LLC for cash and the sole membership interest in that Funding LLC. In turn, each Funding LLC, other than the Funding LLCs for the Term ABS 2019-2, 2021-1, 2022-2, and 2024-B financings, conveyed the Loans to the respective trusts that issued notes to qualified institutional investors. The Funding LLCs for the Term ABS 2019-2, 2021-1, 2022-2, and 2024-B financings pledged the Loans for the benefit of their respective lenders. The Term ABS 2023-1, 2023-2, 2023-3, 2023-5, 2024-A, 2024-1, 2024-2, 2024-3, 2025-1, 2025-2, and 2026-1 financings each consist of three classes of notes (or, in the case of the Term ABS 2024-B, three classes of loans).</w:t>
      </w:r>
    </w:p>
    <w:p>
      <w:pPr>
        <w:pStyle w:val="TextBody"/>
        <w:bidi w:val="0"/>
        <w:spacing w:before="0" w:after="0"/>
        <w:jc w:val="left"/>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Term ABS financing at the time of issuance has a specified revolving period during which we are likely to convey additional Loans to the applicable Funding LLC. Each Funding LLC (other than the Funding LLCs of the Term ABS 2019-2, 2021-1, 2022-2, and 2024-B financings) will then convey the Loans to its respective trust. At the end of the applicable revolving period, the debt outstanding under each financing will begin to amortize.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ABS financings create indebtedness for which the applicable trust or Funding LLC is liable and which is secured by all the assets of the applicable trust or Funding LLC. Such indebtedness is non-recourse to us (other than customary, limited recourse to us in the form of repurchase obligations or indemnification obligations for any violations by us of our representations or obligations as seller, servicer, or custodian), even though we are consolidated for financial reporting purposes with the trusts and the Funding LLCs. Because the trusts and the Funding LLCs are organized as bankruptcy-remote legal entities separate from us, their assets (including the conveyed Loans) are not available to any creditors other than the creditors of the applicable subsidiary. We receive a monthly servicing fee on each financing equal to 4% of the collections received with respect to the conveyed Loans. The fee is paid out of the collections. Except for the servicing fee and Dealer Holdback payments due to Dealers, if a Term ABS financing is amortizing, we do not have any rights in any portion of such collections until all outstanding principal, accrued and unpaid interest, fees, and other related costs have been paid in full.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 Term ABS financing is in its revolving period, the applicable trust or Funding LLC is entitled to the portion of such collections available after application of any amounts necessary to acquire additional Loans from us and to pay accrued interest on the debt and any other transaction expenses, provided that any necessary principal payments are made to compensate for certain reductions in the balance of eligible loans and, except in the case of Term ABS 2021-1, certain reductions in forecasted collections. In addition, in our capacity as servicer of the Loans, we have a limited right to exercise a “clean-up call” option to purchase Loans from the Funding LLCs and/or the trusts under certain specified circumstances. For those Funding LLCs with a trust, when the trust’s indebtedness is paid in full, either through collections or through a prepayment of the indebtedness, the trust is to pay any remaining collections over to its Funding LLC as the sole beneficiary of the trust. For all Funding LLCs, after the indebtedness is paid in full, any remaining collections will ultimately be available to be distributed to us as the sole member of the respective Funding LLC.</w:t>
      </w:r>
    </w:p>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28, 2025, we issued $500.0 million aggregate principal amount of 6.625% senior notes due 2030 (the “2030 senior notes”). The 2030 senior notes were issued pursuant to an indenture, dated as of February 28, 2025, among the Company, as issuer, the Company’s subsidiaries Buyers Vehicle Protection Plan, Inc. and Vehicle Remarketing Services, Inc., as guarantors (collectively, the “Guarantors”), and the trustee under the indenture.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2030 senior notes mature on March 15, 2030 and bear interest at a rate of 6.625% per annum, computed on the basis of a 360-day year composed of twelve 30-day months and payable semi-annually on March 15 and September 15 of each year, beginning on September 15, 2025. We used a portion of the net proceeds from the 2030 senior notes to redeem all of the $400.0 million outstanding principal amount of our 6.625% senior notes due 2026 (the “2026 senior notes”). We used the remaining net proceeds from the 2030 senior notes for general corporate purposes. During the first quarter of 2025, we recognized a pre-tax loss on extinguishment of debt of $1.2 million related to the redemption of the 2026 senior notes.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19, 2023, we issued $600.0 million aggregate principal amount of 9.250% senior notes due 2028 (the “2028 senior notes”). The 2028 senior notes were issued pursuant to an indenture, dated as of December 19, 2023, among the Company, as issuer, the Guarantors, and the trustee under the indenture.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2028 senior notes mature on December 15, 2028 and bear interest at a rate of 9.250% per annum, computed on the basis of a 360-day year composed of twelve 30-day months and payable semi-annually on June 15 and December 15 of each year, beginning on June 15, 2024. We used a portion of the net proceeds from the 2028 senior notes to repurchase or redeem all of the $400.0 million outstanding principal amount of our 5.125% senior notes due 2024 (the “2024 senior notes”), of which $322.3 million was repurchased on December 19, 2023 and the remaining $77.7 million was redeemed on December 31, 2023. We used the remaining net proceeds from the 2028 senior notes for general corporate purposes. During the fourth quarter of 2023, we recognized a pre-tax loss on extinguishment of debt of $1.8 million related to the repurchase and redemption of the 2024 senior notes.</w:t>
      </w:r>
    </w:p>
    <w:p>
      <w:pPr>
        <w:pStyle w:val="TextBody"/>
        <w:bidi w:val="0"/>
        <w:spacing w:before="0" w:after="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senior notes and 2028 senior notes (the “senior notes”) are guaranteed on a senior basis by the Guarantors, which are also guarantors of obligations under our revolving secured line of credit facility. Other existing and future subsidiaries of ours may become guarantors of the senior notes in the future. The indentures for the senior notes provide for a guarantor of the senior notes to be released from its obligations under its guarantee of the senior notes under specified circumstances.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Debt Covenants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As of June 30, 2026, we </w:t>
      </w:r>
      <w:r>
        <w:rPr>
          <w:rFonts w:ascii="Times New Roman;serif" w:hAnsi="Times New Roman;serif"/>
          <w:b w:val="false"/>
          <w:color w:val="000000"/>
          <w:sz w:val="20"/>
          <w:shd w:fill="FFFFFF" w:val="clear"/>
        </w:rPr>
        <w:t xml:space="preserve">were </w:t>
      </w:r>
      <w:r>
        <w:rPr>
          <w:rFonts w:ascii="Times New Roman;serif" w:hAnsi="Times New Roman;serif"/>
          <w:b w:val="false"/>
          <w:color w:val="000000"/>
          <w:sz w:val="20"/>
        </w:rPr>
        <w:t>in compliance</w:t>
      </w:r>
      <w:r>
        <w:rPr>
          <w:color w:val="000000"/>
          <w:shd w:fill="FFFFFF" w:val="clear"/>
        </w:rPr>
        <w:t xml:space="preserve"> </w:t>
      </w:r>
      <w:r>
        <w:rPr>
          <w:rFonts w:ascii="Times New Roman;serif" w:hAnsi="Times New Roman;serif"/>
          <w:b w:val="false"/>
          <w:color w:val="000000"/>
          <w:sz w:val="20"/>
          <w:shd w:fill="FFFFFF" w:val="clear"/>
        </w:rPr>
        <w:t xml:space="preserve">with the covenants under our revolving secured line of credit facility, our Warehouse facilities, our Term ABS financings, the senior notes indentures, and the RTP Facility.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revolving secured line of credit facility and our Warehouse facilities include covenants that require the maintenance of certain financial ratios and other financial conditions. These covenants require a minimum ratio of (1) our net earnings, adjusted for specified items, before income taxes, depreciation, amortization, and fixed charges to (2) our fixed charges, as defined in the agreements. These covenants also limit the maximum ratio of our funded debt less unrestricted cash and cash equivalents to tangible net worth. Some of these covenants may indirectly limit the repurchase of common stock or payment of dividends on common stock, and the senior notes indentures include covenants limiting such repurchases and dividend payments. Our Warehouse facilities and Term ABS financings contain covenants that measure the performance of the conveyed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U.S. federal statutory income tax rate to our effective income tax rate is as follows:</w:t>
      </w:r>
    </w:p>
    <w:tbl>
      <w:tblPr>
        <w:tblW w:w="11146" w:type="dxa"/>
        <w:jc w:val="left"/>
        <w:tblInd w:w="0" w:type="dxa"/>
        <w:tblLayout w:type="fixed"/>
        <w:tblCellMar>
          <w:top w:w="28" w:type="dxa"/>
          <w:left w:w="28" w:type="dxa"/>
          <w:bottom w:w="28" w:type="dxa"/>
          <w:right w:w="28" w:type="dxa"/>
        </w:tblCellMar>
      </w:tblPr>
      <w:tblGrid>
        <w:gridCol w:w="859"/>
        <w:gridCol w:w="268"/>
        <w:gridCol w:w="269"/>
        <w:gridCol w:w="211"/>
        <w:gridCol w:w="511"/>
        <w:gridCol w:w="109"/>
        <w:gridCol w:w="109"/>
        <w:gridCol w:w="109"/>
        <w:gridCol w:w="109"/>
        <w:gridCol w:w="255"/>
        <w:gridCol w:w="256"/>
        <w:gridCol w:w="508"/>
        <w:gridCol w:w="109"/>
        <w:gridCol w:w="109"/>
        <w:gridCol w:w="109"/>
        <w:gridCol w:w="211"/>
        <w:gridCol w:w="511"/>
        <w:gridCol w:w="109"/>
        <w:gridCol w:w="109"/>
        <w:gridCol w:w="109"/>
        <w:gridCol w:w="109"/>
        <w:gridCol w:w="255"/>
        <w:gridCol w:w="256"/>
        <w:gridCol w:w="508"/>
        <w:gridCol w:w="109"/>
        <w:gridCol w:w="109"/>
        <w:gridCol w:w="109"/>
        <w:gridCol w:w="211"/>
        <w:gridCol w:w="511"/>
        <w:gridCol w:w="109"/>
        <w:gridCol w:w="109"/>
        <w:gridCol w:w="109"/>
        <w:gridCol w:w="109"/>
        <w:gridCol w:w="255"/>
        <w:gridCol w:w="256"/>
        <w:gridCol w:w="508"/>
        <w:gridCol w:w="109"/>
        <w:gridCol w:w="109"/>
        <w:gridCol w:w="109"/>
        <w:gridCol w:w="211"/>
        <w:gridCol w:w="511"/>
        <w:gridCol w:w="109"/>
        <w:gridCol w:w="109"/>
        <w:gridCol w:w="109"/>
        <w:gridCol w:w="109"/>
        <w:gridCol w:w="255"/>
        <w:gridCol w:w="256"/>
        <w:gridCol w:w="569"/>
      </w:tblGrid>
      <w:tr>
        <w:trPr/>
        <w:tc>
          <w:tcPr>
            <w:tcW w:w="8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1"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0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0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0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6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executive compensation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deficiency (excess tax benefit) from stock-based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0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0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50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56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State and local 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impact of state and local income taxes on our effective income tax rate decreased from the same period in 2025, primarily due to changes in state tax laws enacted during the second quarter of 2025 that increased our effective income tax rate for that period. In contrast, the second quarter of 2026 had relatively few state tax law changes enacted, resulting in minimal impact to our effective income tax rate for that period. For the six months ended June 30, 2026, the impact of state and local income taxes on our effective income tax rate decreased from the same period in 2025, primarily due to a decrease in the proportion of our consolidated net income reserved for uncertain tax positions.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Non-deductible executive compensation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impact of non-deductible executive compensation expense decreased from the same periods in 2025, primarily as a result of the reversal of previously recognized non-deductible executive compensation expense due to the retirement of certain executive officers during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Tax deficiency or excess tax benefit from stock-based compensation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a tax deficiency or excess tax benefit when the tax deduction for the stock-based compensation expense of a stock award differs from the cumulative stock-based compensation expense recognized in the financial statements. The tax deficiency or excess tax benefit is recognized in provision for income taxes in the period in which the amount of the tax deduction is determined, which is when restricted stock units are settled in common stock or stock options are exercised. Tax deficiencies increase our effective income tax rate, while excess tax benefits reduce our effective income tax rate. We recognized a tax benefit for the three and six months ended June 30, 2026. We recognized a tax deficiency for the three and six months ended June 30,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 tax credits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effective income tax rate was reduced by the recognition of research and development tax credits related to qualified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NET INCOME PER SHARE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has been computed by dividing net income by the basic number of weighted average shares outstanding. Diluted net income per share has been computed by dividing net income by the diluted number of weighted average shares outstanding using the treasury stock method. The share effect is as follows: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281"/>
        <w:gridCol w:w="1127"/>
        <w:gridCol w:w="1130"/>
        <w:gridCol w:w="750"/>
        <w:gridCol w:w="331"/>
        <w:gridCol w:w="202"/>
        <w:gridCol w:w="202"/>
        <w:gridCol w:w="202"/>
        <w:gridCol w:w="202"/>
        <w:gridCol w:w="750"/>
        <w:gridCol w:w="331"/>
        <w:gridCol w:w="202"/>
        <w:gridCol w:w="109"/>
        <w:gridCol w:w="109"/>
        <w:gridCol w:w="109"/>
        <w:gridCol w:w="669"/>
        <w:gridCol w:w="412"/>
        <w:gridCol w:w="184"/>
        <w:gridCol w:w="184"/>
        <w:gridCol w:w="184"/>
        <w:gridCol w:w="184"/>
        <w:gridCol w:w="669"/>
        <w:gridCol w:w="412"/>
        <w:gridCol w:w="270"/>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r>
      <w:tr>
        <w:trPr/>
        <w:tc>
          <w:tcPr>
            <w:tcW w:w="3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83"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10,369,746 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11,464,624 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10,507,543 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11,721,700 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number of weighted average shares outstanding</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10,481,009 </w:t>
            </w:r>
          </w:p>
        </w:tc>
        <w:tc>
          <w:tcPr>
            <w:tcW w:w="20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11,574,018 </w:t>
            </w:r>
          </w:p>
        </w:tc>
        <w:tc>
          <w:tcPr>
            <w:tcW w:w="20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10,608,030 </w:t>
            </w:r>
          </w:p>
        </w:tc>
        <w:tc>
          <w:tcPr>
            <w:tcW w:w="18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11,831,094 </w:t>
            </w:r>
          </w:p>
        </w:tc>
        <w:tc>
          <w:tcPr>
            <w:tcW w:w="27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units and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197,507 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192,809 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number of weighted average shares outstanding</w:t>
            </w:r>
          </w:p>
        </w:tc>
        <w:tc>
          <w:tcPr>
            <w:tcW w:w="1081"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10,734,652 </w:t>
            </w:r>
          </w:p>
        </w:tc>
        <w:tc>
          <w:tcPr>
            <w:tcW w:w="20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11,771,525 </w:t>
            </w:r>
          </w:p>
        </w:tc>
        <w:tc>
          <w:tcPr>
            <w:tcW w:w="20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10,851,014 </w:t>
            </w:r>
          </w:p>
        </w:tc>
        <w:tc>
          <w:tcPr>
            <w:tcW w:w="18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12,023,903 </w:t>
            </w:r>
          </w:p>
        </w:tc>
        <w:tc>
          <w:tcPr>
            <w:tcW w:w="27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outstanding stock awards were excluded from the computation of diluted net income per share because their inclusion would have been anti-dilutive</w:t>
      </w:r>
      <w:r>
        <w:rPr>
          <w:rFonts w:ascii="Times New Roman;serif" w:hAnsi="Times New Roman;serif"/>
          <w:b w:val="false"/>
          <w:color w:val="008080"/>
          <w:sz w:val="24"/>
        </w:rPr>
        <w:t>:</w:t>
      </w:r>
    </w:p>
    <w:tbl>
      <w:tblPr>
        <w:tblW w:w="7622" w:type="dxa"/>
        <w:jc w:val="left"/>
        <w:tblInd w:w="0" w:type="dxa"/>
        <w:tblLayout w:type="fixed"/>
        <w:tblCellMar>
          <w:top w:w="28" w:type="dxa"/>
          <w:left w:w="28" w:type="dxa"/>
          <w:bottom w:w="28" w:type="dxa"/>
          <w:right w:w="28" w:type="dxa"/>
        </w:tblCellMar>
      </w:tblPr>
      <w:tblGrid>
        <w:gridCol w:w="694"/>
        <w:gridCol w:w="611"/>
        <w:gridCol w:w="615"/>
        <w:gridCol w:w="500"/>
        <w:gridCol w:w="248"/>
        <w:gridCol w:w="248"/>
        <w:gridCol w:w="248"/>
        <w:gridCol w:w="248"/>
        <w:gridCol w:w="248"/>
        <w:gridCol w:w="500"/>
        <w:gridCol w:w="248"/>
        <w:gridCol w:w="248"/>
        <w:gridCol w:w="109"/>
        <w:gridCol w:w="109"/>
        <w:gridCol w:w="109"/>
        <w:gridCol w:w="446"/>
        <w:gridCol w:w="275"/>
        <w:gridCol w:w="221"/>
        <w:gridCol w:w="221"/>
        <w:gridCol w:w="221"/>
        <w:gridCol w:w="221"/>
        <w:gridCol w:w="446"/>
        <w:gridCol w:w="275"/>
        <w:gridCol w:w="313"/>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4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17,538 </w:t>
            </w:r>
          </w:p>
        </w:tc>
        <w:tc>
          <w:tcPr>
            <w:tcW w:w="24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24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39,017 </w:t>
            </w:r>
          </w:p>
        </w:tc>
        <w:tc>
          <w:tcPr>
            <w:tcW w:w="22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31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units </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48"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27,479 </w:t>
            </w:r>
          </w:p>
        </w:tc>
        <w:tc>
          <w:tcPr>
            <w:tcW w:w="24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62,134 </w:t>
            </w:r>
          </w:p>
        </w:tc>
        <w:tc>
          <w:tcPr>
            <w:tcW w:w="24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47,673 </w:t>
            </w:r>
          </w:p>
        </w:tc>
        <w:tc>
          <w:tcPr>
            <w:tcW w:w="22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59,733 </w:t>
            </w:r>
          </w:p>
        </w:tc>
        <w:tc>
          <w:tcPr>
            <w:tcW w:w="31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STOCK REPURCHASES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following table summarizes our stock repurchases for the </w:t>
      </w:r>
      <w:r>
        <w:rPr>
          <w:rFonts w:ascii="Times New Roman;serif" w:hAnsi="Times New Roman;serif"/>
          <w:b w:val="false"/>
          <w:color w:val="000000"/>
          <w:sz w:val="18"/>
        </w:rPr>
        <w:t>three and six</w:t>
      </w:r>
      <w:r>
        <w:rPr>
          <w:color w:val="000000"/>
        </w:rPr>
        <w:t xml:space="preserve"> </w:t>
      </w:r>
      <w:r>
        <w:rPr>
          <w:rFonts w:ascii="Times New Roman;serif" w:hAnsi="Times New Roman;serif"/>
          <w:b w:val="false"/>
          <w:color w:val="000000"/>
          <w:sz w:val="20"/>
        </w:rPr>
        <w:t>months ended June 30, 2026 and 2025:</w:t>
      </w:r>
    </w:p>
    <w:tbl>
      <w:tblPr>
        <w:tblW w:w="9718"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794"/>
        <w:gridCol w:w="794"/>
        <w:gridCol w:w="796"/>
        <w:gridCol w:w="109"/>
        <w:gridCol w:w="109"/>
        <w:gridCol w:w="109"/>
        <w:gridCol w:w="211"/>
        <w:gridCol w:w="616"/>
        <w:gridCol w:w="109"/>
        <w:gridCol w:w="109"/>
        <w:gridCol w:w="109"/>
        <w:gridCol w:w="109"/>
        <w:gridCol w:w="794"/>
        <w:gridCol w:w="794"/>
        <w:gridCol w:w="796"/>
        <w:gridCol w:w="109"/>
        <w:gridCol w:w="109"/>
        <w:gridCol w:w="109"/>
        <w:gridCol w:w="211"/>
        <w:gridCol w:w="616"/>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Repurchased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Repurchased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r>
      <w:tr>
        <w:trPr/>
        <w:tc>
          <w:tcPr>
            <w:tcW w:w="172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Market (1)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257,457 </w:t>
            </w:r>
          </w:p>
        </w:tc>
        <w:tc>
          <w:tcPr>
            <w:tcW w:w="7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528,462 </w:t>
            </w:r>
          </w:p>
        </w:tc>
        <w:tc>
          <w:tcPr>
            <w:tcW w:w="7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262,963 </w:t>
            </w:r>
          </w:p>
        </w:tc>
        <w:tc>
          <w:tcPr>
            <w:tcW w:w="7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529,605 </w:t>
            </w:r>
          </w:p>
        </w:tc>
        <w:tc>
          <w:tcPr>
            <w:tcW w:w="7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Repurchased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Repurchased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r>
      <w:tr>
        <w:trPr/>
        <w:tc>
          <w:tcPr>
            <w:tcW w:w="172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Market (1)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607,148 </w:t>
            </w:r>
          </w:p>
        </w:tc>
        <w:tc>
          <w:tcPr>
            <w:tcW w:w="7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853,960 </w:t>
            </w:r>
          </w:p>
        </w:tc>
        <w:tc>
          <w:tcPr>
            <w:tcW w:w="7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21,073 </w:t>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4,709 </w:t>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628,221 </w:t>
            </w:r>
          </w:p>
        </w:tc>
        <w:tc>
          <w:tcPr>
            <w:tcW w:w="79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858,669 </w:t>
            </w:r>
          </w:p>
        </w:tc>
        <w:tc>
          <w:tcPr>
            <w:tcW w:w="79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Total cost of repurchases includes excise tax.</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Represents repurchases under authorizations by our board of directors for the repurchase of shares by us from time to time in the open market, through privately negotiated transactions, through block trades, pursuant to trading plans adopted in accordance with Rule 10b5-1 under the Securities Exchange Act of 1934, or otherwise. On September 29, 2025, our board of directors authorized the repurchase of up to two million shares of our common stock in addition to the board’s prior authorizations. As of June 30, 2026, we had authorization to repurchase 1,153,618 shares of our common stock.</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Represents shares of common stock released to us by team members as payment of tax withholdings upon the vesting of restricted stock units and the settlement of restricted stock units in common stock, and as payment of the exercise price and related tax withholdings upon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STOCK-BASED COMPENSATION PLANS</w:t>
      </w:r>
    </w:p>
    <w:tbl>
      <w:tblPr>
        <w:tblW w:w="10205" w:type="dxa"/>
        <w:jc w:val="left"/>
        <w:tblInd w:w="0" w:type="dxa"/>
        <w:tblLayout w:type="fixed"/>
        <w:tblCellMar>
          <w:top w:w="28" w:type="dxa"/>
          <w:left w:w="28" w:type="dxa"/>
          <w:bottom w:w="28" w:type="dxa"/>
          <w:right w:w="28" w:type="dxa"/>
        </w:tblCellMar>
      </w:tblPr>
      <w:tblGrid>
        <w:gridCol w:w="1135"/>
        <w:gridCol w:w="989"/>
        <w:gridCol w:w="995"/>
        <w:gridCol w:w="109"/>
        <w:gridCol w:w="109"/>
        <w:gridCol w:w="109"/>
        <w:gridCol w:w="837"/>
        <w:gridCol w:w="831"/>
        <w:gridCol w:w="834"/>
        <w:gridCol w:w="109"/>
        <w:gridCol w:w="109"/>
        <w:gridCol w:w="109"/>
        <w:gridCol w:w="762"/>
        <w:gridCol w:w="2606"/>
        <w:gridCol w:w="562"/>
      </w:tblGrid>
      <w:tr>
        <w:trPr/>
        <w:tc>
          <w:tcPr>
            <w:tcW w:w="113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Restricted Stock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 Per Share</w:t>
            </w:r>
          </w:p>
        </w:tc>
      </w:tr>
      <w:tr>
        <w:trPr/>
        <w:tc>
          <w:tcPr>
            <w:tcW w:w="3119"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697,623 </w:t>
            </w:r>
          </w:p>
        </w:tc>
        <w:tc>
          <w:tcPr>
            <w:tcW w:w="83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443.27 </w:t>
            </w:r>
          </w:p>
        </w:tc>
        <w:tc>
          <w:tcPr>
            <w:tcW w:w="56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60,801 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506.98</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(43,267)</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487.41</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(144,543)</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570,614 </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438.42 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forfeitures of unvested restricted stock units were primarily due to the retirements of executive officers during the first six months of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consists of the following: </w:t>
      </w:r>
    </w:p>
    <w:tbl>
      <w:tblPr>
        <w:tblW w:w="6841" w:type="dxa"/>
        <w:jc w:val="left"/>
        <w:tblInd w:w="0" w:type="dxa"/>
        <w:tblLayout w:type="fixed"/>
        <w:tblCellMar>
          <w:top w:w="28" w:type="dxa"/>
          <w:left w:w="28" w:type="dxa"/>
          <w:bottom w:w="28" w:type="dxa"/>
          <w:right w:w="28" w:type="dxa"/>
        </w:tblCellMar>
      </w:tblPr>
      <w:tblGrid>
        <w:gridCol w:w="680"/>
        <w:gridCol w:w="596"/>
        <w:gridCol w:w="598"/>
        <w:gridCol w:w="109"/>
        <w:gridCol w:w="109"/>
        <w:gridCol w:w="109"/>
        <w:gridCol w:w="250"/>
        <w:gridCol w:w="481"/>
        <w:gridCol w:w="129"/>
        <w:gridCol w:w="129"/>
        <w:gridCol w:w="129"/>
        <w:gridCol w:w="129"/>
        <w:gridCol w:w="250"/>
        <w:gridCol w:w="606"/>
        <w:gridCol w:w="129"/>
        <w:gridCol w:w="109"/>
        <w:gridCol w:w="109"/>
        <w:gridCol w:w="109"/>
        <w:gridCol w:w="216"/>
        <w:gridCol w:w="524"/>
        <w:gridCol w:w="111"/>
        <w:gridCol w:w="111"/>
        <w:gridCol w:w="111"/>
        <w:gridCol w:w="111"/>
        <w:gridCol w:w="216"/>
        <w:gridCol w:w="524"/>
        <w:gridCol w:w="157"/>
      </w:tblGrid>
      <w:tr>
        <w:trPr/>
        <w:tc>
          <w:tcPr>
            <w:tcW w:w="6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Amended and Restated Incentive Compensation Plan, we may grant stock-based awards — including restricted stock, restricted stock units, and stock options — to team members, officers, directors, and contractors. Rather than providing annual rolling equity awards to our executive officers and senior leaders, we use a multi-year compensation program that grants a one-time equity award at the beginning of the compensation program period that is intended to incentivize recipients over the multi-year compensation period. Our current compensation program for executive officers and senior leaders consists primarily of one-time equity awards with a 10-year vesting period. Based on the stock-based awards that are currently outstanding, we expect to recognize future stock-based compensation expense as follows: </w:t>
      </w:r>
    </w:p>
    <w:p>
      <w:pPr>
        <w:pStyle w:val="TextBody"/>
        <w:bidi w:val="0"/>
        <w:spacing w:before="0" w:after="0"/>
        <w:ind w:left="0" w:right="0" w:firstLine="360"/>
        <w:jc w:val="both"/>
        <w:rPr/>
      </w:pPr>
      <w:r>
        <w:rPr/>
      </w:r>
    </w:p>
    <w:tbl>
      <w:tblPr>
        <w:tblW w:w="5188" w:type="dxa"/>
        <w:jc w:val="center"/>
        <w:tblInd w:w="0" w:type="dxa"/>
        <w:tblLayout w:type="fixed"/>
        <w:tblCellMar>
          <w:top w:w="28" w:type="dxa"/>
          <w:left w:w="28" w:type="dxa"/>
          <w:bottom w:w="28" w:type="dxa"/>
          <w:right w:w="28" w:type="dxa"/>
        </w:tblCellMar>
      </w:tblPr>
      <w:tblGrid>
        <w:gridCol w:w="608"/>
        <w:gridCol w:w="533"/>
        <w:gridCol w:w="539"/>
        <w:gridCol w:w="109"/>
        <w:gridCol w:w="109"/>
        <w:gridCol w:w="109"/>
        <w:gridCol w:w="608"/>
        <w:gridCol w:w="1775"/>
        <w:gridCol w:w="317"/>
        <w:gridCol w:w="109"/>
        <w:gridCol w:w="10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Projected </w:t>
              <w:b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1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5"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17"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BUSINESS SEGMENT AND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Overview</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identify operating segments as components of our business for which separate financial information is regularly evaluated by our Chief Executive Officer, who acts as the chief operating decision-maker (“CODM”), in assessing performance and making decisions regarding resource allocation. We periodically review and redefine our segment reporting as internal management reporting practices evolve and the components of our business change. Currently, the CODM reviews consolidated financial statements and metrics to assess performance and allocate resources. Thus, we have determined that we operate in one reportable operating segment that represents our core business of offering Dealers innovative financing solutions and related products and services that enable them to sell vehicles to consumers, regardless of their credit history.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consolidated financial statements reflect the financial results of our one reportable operating segment. The accounting policies of this segment are the same as those described in the summary of significant accounting policies in </w:t>
      </w:r>
      <w:hyperlink w:anchor="i9f4c4219363a4799835bfb4671297d14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The CODM assesses performance for our one reportable operating segment and decides how to allocate resources based on net income, as reported on our consolidated statements of income, and total assets, as reported on our consolidated balance sheets.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Geographic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all of our revenues were derived from the United States. As of June 30, 2026 and 2025, all of our long-lived assets were located in the United States.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Products and Services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product consists of innovative financing solutions that enable Dealers to sell vehicles to consumers, regardless of their credit history. We also provide Dealers the ability to offer ancillary products on vehicles indirectly financed by us.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Major Customer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did not have any Dealers that provided 10% or more of our revenue during the three and six months ended June 30, 2026 and 2025. Additionally, no single Dealer’s Loans receivable balance accounted for more than 10% of total Loans receivable as of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Litigation and Other Legal Matters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under the Telephone Consumer Protection Act (“TCPA”),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the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or they may file individual arbitration demands for which arbitration providers may request separate filing fees.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matters include current actions to which we are a party and updates to matters that were disclosed in our Annual Report on Form 10-K for the year ended December 31, 2025. In many proceedings, including the specific actions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these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 The total recorded accrual balance as of June 30, 2026 for these matters was $82.6 million. An adverse ultimate disposition in any action to which we are a party or otherwise subject could have a material adverse impact on our financial position, liquidity,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7, 2025, a putative class action was filed against the Company in the United States District Court for the Eastern District of Michigan alleging that the Company violated the TCPA by allegedly calling the cellular phones of members of the putative class without prior express consent and with the use of an artificial or prerecorded voice. The plaintiff seeks to represent a nationwide class and requests damages, injunctive relief, and attorneys’ fees. On May 14, 2025, the Company filed a motion to dismiss the complaint. Rather than responding to the motion to dismiss, the plaintiff filed a first amended complaint on May 29, 2025. On June 12, 2025, the Company filed a motion to dismiss the first amended complaint. On February 4, 2026, the court issued an opinion and order granting in part and denying in part the Company’s motion to dismiss. The Company intends to vigorously defend itself in this matter.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7, 2019, we received a subpoena from the Consumer Frauds and Protection Bureau of the Office of the New York State Attorney General, relating to the Company’s origination and collection policies and procedures in the state of New York. After May 7, 2019 through April 30, 2021, we received additional subpoenas from the Office of the New York State Attorney General relating to the Company’s origination, collection, and securitization practices. On November 19, 2020 and August 23, 2022, we received letters from the Office of the New York State Attorney General indicating that it may commence litigation against the Company asserting violations of New York Executive Law § 63(12) and New York General Business Law §§ 349 and 352 et seq. and applicable federal laws, including but not limited to claims that the Company engaged in unfair and deceptive trade practices in auto lending, debt collection, and asset-backed securitizations in the State of New York in violation of the Dodd-Frank Wall Street Reform and Consumer Protection Act, New York Executive Law § 63(12), the New York Martin Act, and New York General Business Law § 349. See the description below of the lawsuit commenced by the Office of the New York State Attorney General on January 4,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(CONCLUDED)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22, 2019, we received a civil investigative demand from the Consumer Financial Protection Bureau (“Bureau”) seeking, among other things, certain information relating to the Company’s origination and collection of Consumer Loans, TPPs, and credit reporting. After April 22, 2019 through March 7, 2022, we received additional subpoenas from the Bureau. On December 6, 2021, we received a Notice and Opportunity to Respond and Advise letter from the Staff of the Office of Enforcement (“Staff”) of the Bureau, stating that the Staff was considering whether to recommend that the Bureau take legal action against the Company for alleged violations of the Consumer Financial Protection Act of 2010 (the “CFPA”) in connection with the Company’s consumer loan origination practices. See the description below of the lawsuit commenced by the Bureau on January 4, 2023.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4, 2023, the Office of the New York State Attorney General and the Bureau jointly filed a complaint in the United States District Court for the Southern District of New York alleging that the Company engaged in deceptive practices, fraud, illegality, and securities fraud in violation of New York Executive Law § 63(12) and New York General Business Law §§ 349 and 352, and that the Company engaged in deceptive and abusive acts and provided substantial assistance to a covered person or service provider in violation of the CFPA, 12 U.S.C. § 5531 and 12 U.S.C. § 5536(a)(1)(B). The complaint seeks injunctive relief, an accounting of all consumers for whom the Company provided financing, restitution, damages, disgorgement, civil penalties, and payment of costs. On March 14, 2023, the Company filed a motion to dismiss the complaint. On August 7, 2023, the court stayed the action pending the U.S. Supreme Court’s decision in Consumer Financial Protection Bureau v. Community Financial Services Association of America, Ltd., No. 22-448 (“CFSA”). On July 1, 2024, the court lifted the stay in view of the decision in CFSA and requested revised briefing on the Company’s motion to dismiss that would address the intervening legal developments and sharpen the issues for resolution. As of October 29, 2024, the Company's motion to dismiss has been fully briefed. On April 24, 2025, the Bureau filed an unopposed motion to withdraw as plaintiff, and on April 29, 2025, the court granted that motion and ordered that the Bureau is no longer a plaintiff in the litigation. In September 2025, we made an offer to jointly settle this matter and the multi-state matter discussed below on terms that included, among other things, a proposed cash payment of $45.0 million. In January 2026, we reached preliminary alignment with representatives of the agencies involved in this matter and the multi-state matter discussed below on certain material terms of a potential settlement of those legal matters, including a potential cash payment by us of $75.5 million. On June 5, 2026, the parties advised the court that they had agreed on the material terms of a settlement and were finalizing a definitive settlement agreement. On June 6, 2026, the court issued an order dismissing and discontinuing the action without costs and without prejudice to the right to reopen the action within 60 days of the date of the order if the settlement is not consummated. On July 23, 2026, the Office of the New York State Attorney General submitted a letter to the court noting that the parties had agreed on all terms of settlement, including final, to-be-executed settlement documentation, and requesting to extend the deadline to move to re-open the litigation for an additional 45 days to allow for the resolution of the litigation to coincide with the resolution of the multi-state matter discussed below. The court granted the request on July 23, 2026. Until this matter is fully and finally resolved, the Company intends to vigorously defend itself.</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18, 2016, we received a subpoena from the Attorney General of the State of Maryland, relating to the Company’s repossession and sale policies and procedures in the state of Maryland. On April 3, 2020, we received a subpoena from the Attorney General of the State of Maryland relating to the Company’s origination and collection policies and procedures in the state of Maryland. On August 11, 2020, we received a subpoena from the Attorney General of the State of Maryland restating most of the requests contained in the March 18, 2016 and April 3, 2020 subpoenas, making additional requests, and expanding the inquiry to include 41 other states (Alabama, Alaska, Arizona, Arkansas, California, Colorado, Connecticut, Delaware, Florida, Georgia, Hawaii, Illinois, Indiana, Iowa, Kansas, Kentucky, Louisiana, Maine, Michigan, Minnesota, Nebraska, Nevada, New Hampshire, New Jersey, New Mexico, North Carolina, North Dakota, Ohio, Oklahoma, Oregon, Pennsylvania, Rhode Island, South Carolina, South Dakota, Tennessee, Texas, Utah, Vermont, Virginia, Washington, and Wisconsin) and the District of Columbia. Also on August 11, 2020, we received from the Attorney General of the State of New Jersey a subpoena that is essentially identical to the August 11, 2020 Maryland subpoena, both as to substance and as to the jurisdictions identified. The Company has been informed that the State of Kansas, the State of Texas, and the State of Iowa have withdrawn from the multi-state investigation. We are cooperating with these investigations and cannot predict their eventual scope, duration, or outcome at this time. In September 2025, we made an offer to jointly settle this matter and the New York Attorney General matter discussed above on terms that included, among other things, a proposed cash payment of $45.0 million. In January 2026, we reached preliminary alignment with representatives of the agencies involved in this matter and the New York Attorney General matter discussed above on certain material terms of a potential settlement of those legal matters, including a potential cash payment by us of $75.5 million. The Company has agreed with representatives of the agencies involved in this matter and the New York Attorney General matter discussed above on the material terms of a settlement, and the parties are finalizing definitive settlement documentation. Until this matter is fully and finally resolved, the Company intends to vigorously defend itself.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consolidated financial statements and related notes included in Item 8 - Financial Statements and Supplementary Data, of our Annual Report on Form 10-K for the year ended December 31, 2025, as well as Part I - Item 1 - Financial Statements, of this Quarterly Report on Form 10-Q, which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make vehicle ownership possible by providing innovative financing solutions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the three months ended June 30, 2026, consolidated net income was $135.9 million, or $12.66 per diluted share, compared to consolidated net income of $87.4 million, or $7.42 per diluted share, for </w:t>
      </w:r>
      <w:r>
        <w:rPr>
          <w:rFonts w:ascii="Times New Roman;serif" w:hAnsi="Times New Roman;serif"/>
          <w:b w:val="false"/>
          <w:color w:val="000000"/>
          <w:sz w:val="20"/>
          <w:shd w:fill="FFFFFF" w:val="clear"/>
        </w:rPr>
        <w:t>the same period in 2025.</w:t>
      </w:r>
      <w:r>
        <w:rPr>
          <w:color w:val="000000"/>
        </w:rPr>
        <w:t xml:space="preserve"> </w:t>
      </w:r>
      <w:r>
        <w:rPr>
          <w:rFonts w:ascii="Times New Roman;serif" w:hAnsi="Times New Roman;serif"/>
          <w:b w:val="false"/>
          <w:color w:val="000000"/>
          <w:sz w:val="20"/>
        </w:rPr>
        <w:t xml:space="preserve">The increase was primarily due to decreases in operating expenses and provision for credit losses.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financial results for the three months ended June 30, 2026 included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$8.0 billion average balance of our Loan portfolio, consistent with the second</w:t>
      </w:r>
      <w:r>
        <w:rPr>
          <w:color w:val="000000"/>
        </w:rPr>
        <w:t xml:space="preserve"> </w:t>
      </w:r>
      <w:r>
        <w:rPr>
          <w:rFonts w:ascii="Times New Roman;serif" w:hAnsi="Times New Roman;serif"/>
          <w:b w:val="false"/>
          <w:color w:val="000000"/>
          <w:sz w:val="20"/>
        </w:rPr>
        <w:t>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Loan assignment unit volume declined 1.0% to 84,615 while dollar volume grew 0.1% to $1.0 billion, compared to the second quarter of 2025. Monthly unit volume returned to year-over-year growth in June, which continued into July.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Forecasted net cash flows from our Loan portfolio declined by $39.1 million, or 0.3%, compared to a decline of $55.8 million, or 0.5%, in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262,963 shares, or 2.5% of the shares outstanding at the beginning of the quarter, were repurchased at a cost of $141.4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$43.5 million in Dealer Holdback and accelerated Dealer Holdback payments to Dealers.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$1.4 billion in liquidity (amounts available for borrowing under revolving lines of credit and unrestricted cash and cash equivalents) as of June 30, 2026.</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consolidated net income was $271.7 million, or $25.04 per diluted share, compared to consolidated net income of $193.7 million, or $16.11 per diluted share, for the same period in 2025. The increase was primarily due to decreases in provision for credit losses, interest expense, and operating expenses.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results for the six months ended June 30, 2026 included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$7.9 billion average balance of our Loan portfolio, consistent with the first six months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Loan assignment unit volume of 180,607 and dollar volume of $2.1 billion, down 2.8% and 2.0%, respectively, compared to the first six months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Forecasted net cash flows from our Loan portfolio declined by $48.2 million, or 0.4%, compared to a decline of $76.7 million, or 0.7%, in the first six months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628,221 shares, or 5.9% of the shares outstanding at the beginning of the year, were repurchased at a cost of $320.3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$90.6 million in Dealer Holdback and accelerated Dealer Holdback payments to Dealers.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Company highlights for the three months ended June 30, 2026 included the following: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Enrolled 1,456 new Dealers in our programs with a record 11,004 active dealers during the quarter, reflecting continued engagement across our Dealer network.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Made continued progress executing our product roadmap, including the following initiatives: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Deal optimization: </w:t>
      </w:r>
      <w:r>
        <w:rPr>
          <w:rFonts w:ascii="Times New Roman;serif" w:hAnsi="Times New Roman;serif"/>
          <w:b w:val="false"/>
          <w:color w:val="000000"/>
          <w:sz w:val="20"/>
        </w:rPr>
        <w:t>Enhanced our deal structuring experience, which helps Dealers find an optimal deal. 90% of active Dealers used the new capability during the quarter.</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AI-enabled call-center agent: </w:t>
      </w:r>
      <w:r>
        <w:rPr>
          <w:rFonts w:ascii="Times New Roman;serif" w:hAnsi="Times New Roman;serif"/>
          <w:b w:val="false"/>
          <w:color w:val="000000"/>
          <w:sz w:val="20"/>
        </w:rPr>
        <w:t>67% of inbound customer service and account solutions calls were routed to the AI agent in June, up from 27% in March, driving improved efficiency, enabling faster 24/7 customer self-service, and reducing cost-to-serve at scale. This performance reflects continued expansion of a production-deployed AI capability that is now integrated into core servicing workflows. We expect further gains in call handling and unit economics as we scale this platform throughout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Named one of the 100 Best Companies to Work For</w:t>
      </w:r>
      <w:r>
        <w:rPr>
          <w:rFonts w:ascii="Times New Roman;serif" w:hAnsi="Times New Roman;serif"/>
          <w:b w:val="false"/>
          <w:color w:val="000000"/>
          <w:sz w:val="13"/>
        </w:rPr>
        <w:t xml:space="preserve">® </w:t>
      </w:r>
      <w:r>
        <w:rPr>
          <w:rFonts w:ascii="Times New Roman;serif" w:hAnsi="Times New Roman;serif"/>
          <w:b w:val="false"/>
          <w:color w:val="000000"/>
          <w:sz w:val="20"/>
        </w:rPr>
        <w:t>by Great Place to Work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Fortune</w:t>
      </w:r>
      <w:r>
        <w:rPr>
          <w:color w:val="000000"/>
        </w:rPr>
        <w:t xml:space="preserve"> </w:t>
      </w:r>
      <w:r>
        <w:rPr>
          <w:rFonts w:ascii="Times New Roman;serif" w:hAnsi="Times New Roman;serif"/>
          <w:b w:val="false"/>
          <w:color w:val="000000"/>
          <w:sz w:val="20"/>
        </w:rPr>
        <w:t xml:space="preserve">magazine for the twelfth time, with a #18 ranking, our highest ranking ever.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Critical Success Factors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Critical success factors include our ability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accurately forecast Consumer Loan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access capital on acceptable terms;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 or grow Consumer Loan volume at the level and on the terms that we anticipate.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factors support our long-term objective of maximizing economic profit, a non-GAAP financial measure we use to evaluate our financial results, determine profit-sharing for team members, and assess business decisions and strategies. Economic profit measures how efficiently we utilize our total capital, both debt and equity, and is a function of the return on capital in excess of the cost of capital and the amount of capital invested in the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Consumer Loan Metrics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 statistical model to estimate the expected collection rate for each Consumer Loan at the time of assignment. We continue to evaluate the expected collection rate for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aggregated forecast of Consumer Loan collection rates as of June 30, 2026, with the aggregated forecasts as of March 31, 2026, December 31, 2025 and at the time of assignment, segmented by year of assignment:</w:t>
      </w:r>
    </w:p>
    <w:tbl>
      <w:tblPr>
        <w:tblW w:w="10205" w:type="dxa"/>
        <w:jc w:val="left"/>
        <w:tblInd w:w="0" w:type="dxa"/>
        <w:tblLayout w:type="fixed"/>
        <w:tblCellMar>
          <w:top w:w="28" w:type="dxa"/>
          <w:left w:w="28" w:type="dxa"/>
          <w:bottom w:w="28" w:type="dxa"/>
          <w:right w:w="28" w:type="dxa"/>
        </w:tblCellMar>
      </w:tblPr>
      <w:tblGrid>
        <w:gridCol w:w="416"/>
        <w:gridCol w:w="366"/>
        <w:gridCol w:w="368"/>
        <w:gridCol w:w="109"/>
        <w:gridCol w:w="109"/>
        <w:gridCol w:w="109"/>
        <w:gridCol w:w="255"/>
        <w:gridCol w:w="256"/>
        <w:gridCol w:w="315"/>
        <w:gridCol w:w="110"/>
        <w:gridCol w:w="110"/>
        <w:gridCol w:w="110"/>
        <w:gridCol w:w="279"/>
        <w:gridCol w:w="238"/>
        <w:gridCol w:w="373"/>
        <w:gridCol w:w="110"/>
        <w:gridCol w:w="110"/>
        <w:gridCol w:w="110"/>
        <w:gridCol w:w="327"/>
        <w:gridCol w:w="203"/>
        <w:gridCol w:w="505"/>
        <w:gridCol w:w="110"/>
        <w:gridCol w:w="110"/>
        <w:gridCol w:w="110"/>
        <w:gridCol w:w="270"/>
        <w:gridCol w:w="244"/>
        <w:gridCol w:w="441"/>
        <w:gridCol w:w="109"/>
        <w:gridCol w:w="109"/>
        <w:gridCol w:w="109"/>
        <w:gridCol w:w="279"/>
        <w:gridCol w:w="198"/>
        <w:gridCol w:w="373"/>
        <w:gridCol w:w="111"/>
        <w:gridCol w:w="111"/>
        <w:gridCol w:w="111"/>
        <w:gridCol w:w="288"/>
        <w:gridCol w:w="203"/>
        <w:gridCol w:w="505"/>
        <w:gridCol w:w="111"/>
        <w:gridCol w:w="111"/>
        <w:gridCol w:w="111"/>
        <w:gridCol w:w="270"/>
        <w:gridCol w:w="205"/>
        <w:gridCol w:w="441"/>
        <w:gridCol w:w="109"/>
        <w:gridCol w:w="168"/>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Forecast Variance from</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31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3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50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0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4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2026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total forecasted collections we expect to collect on the Consumer Loans as a percentage of the repayments that we were contractually owed on the Consumer Loans at the time of assignment, including both principal and interest. Forecasted collection rates are negatively impacted by canceled Consumer Loans because the contractual amount owed is not removed from the denominator used to calculate these rates. Any declines in forecasted collection rates for Consumer Loans assigned in the most recent quarter primarily reflect the impact of cancellations rather than underlying Consumer Loan performance.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forecasted collection rate for 2026 Consumer Loans as of June 30, 2026 includes both Consumer Loans that were in our portfolio as of March 31, 2026 and Consumer Loans assigned during the most recent quarter. The following table provides forecasted collection rates for each of these segments:</w:t>
      </w:r>
    </w:p>
    <w:tbl>
      <w:tblPr>
        <w:tblW w:w="10205" w:type="dxa"/>
        <w:jc w:val="left"/>
        <w:tblInd w:w="0" w:type="dxa"/>
        <w:tblLayout w:type="fixed"/>
        <w:tblCellMar>
          <w:top w:w="28" w:type="dxa"/>
          <w:left w:w="28" w:type="dxa"/>
          <w:bottom w:w="28" w:type="dxa"/>
          <w:right w:w="28" w:type="dxa"/>
        </w:tblCellMar>
      </w:tblPr>
      <w:tblGrid>
        <w:gridCol w:w="975"/>
        <w:gridCol w:w="857"/>
        <w:gridCol w:w="863"/>
        <w:gridCol w:w="109"/>
        <w:gridCol w:w="109"/>
        <w:gridCol w:w="109"/>
        <w:gridCol w:w="255"/>
        <w:gridCol w:w="256"/>
        <w:gridCol w:w="519"/>
        <w:gridCol w:w="137"/>
        <w:gridCol w:w="137"/>
        <w:gridCol w:w="137"/>
        <w:gridCol w:w="281"/>
        <w:gridCol w:w="265"/>
        <w:gridCol w:w="575"/>
        <w:gridCol w:w="137"/>
        <w:gridCol w:w="137"/>
        <w:gridCol w:w="137"/>
        <w:gridCol w:w="270"/>
        <w:gridCol w:w="261"/>
        <w:gridCol w:w="595"/>
        <w:gridCol w:w="109"/>
        <w:gridCol w:w="109"/>
        <w:gridCol w:w="109"/>
        <w:gridCol w:w="280"/>
        <w:gridCol w:w="234"/>
        <w:gridCol w:w="572"/>
        <w:gridCol w:w="175"/>
        <w:gridCol w:w="175"/>
        <w:gridCol w:w="175"/>
        <w:gridCol w:w="257"/>
        <w:gridCol w:w="242"/>
        <w:gridCol w:w="647"/>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Forecast Variance from</w:t>
            </w:r>
          </w:p>
        </w:tc>
      </w:tr>
      <w:tr>
        <w:trPr/>
        <w:tc>
          <w:tcPr>
            <w:tcW w:w="2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Consumer Loan Assignment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5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r>
      <w:tr>
        <w:trPr/>
        <w:tc>
          <w:tcPr>
            <w:tcW w:w="269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51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57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5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7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4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forecasted collection rates declined for Consumer Loans assigned in 2023 through 2025 and were generally consistent with expectations at the start of the period for all other assignment years presented. For Consumer Loans assigned in 2026, the increase in forecasted collection rate from March 31, 2026 was primarily due to a higher initial forecast on Consumer Loans assigned during the second quarter. For the six months ended June 30, 2026, forecasted collection rates improved for Consumer Loans assigned in 2021, declined for Consumer Loans assigned in 2023 through 2025, and were generally consistent with expectations at the start of the period for all other assignment years presented.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changes to our forecast of future net cash flows from our Loan portfolio (forecasted collections less forecasted Dealer Holdback payments) for each of the last eight quarters are shown in the following table:</w:t>
      </w:r>
    </w:p>
    <w:p>
      <w:pPr>
        <w:pStyle w:val="TextBody"/>
        <w:bidi w:val="0"/>
        <w:spacing w:before="0" w:after="0"/>
        <w:ind w:left="0" w:right="0" w:firstLine="360"/>
        <w:jc w:val="both"/>
        <w:rPr/>
      </w:pPr>
      <w:r>
        <w:rPr/>
      </w:r>
    </w:p>
    <w:tbl>
      <w:tblPr>
        <w:tblW w:w="7823" w:type="dxa"/>
        <w:jc w:val="left"/>
        <w:tblInd w:w="0" w:type="dxa"/>
        <w:tblLayout w:type="fixed"/>
        <w:tblCellMar>
          <w:top w:w="28" w:type="dxa"/>
          <w:left w:w="28" w:type="dxa"/>
          <w:bottom w:w="28" w:type="dxa"/>
          <w:right w:w="28" w:type="dxa"/>
        </w:tblCellMar>
      </w:tblPr>
      <w:tblGrid>
        <w:gridCol w:w="631"/>
        <w:gridCol w:w="553"/>
        <w:gridCol w:w="555"/>
        <w:gridCol w:w="109"/>
        <w:gridCol w:w="109"/>
        <w:gridCol w:w="109"/>
        <w:gridCol w:w="356"/>
        <w:gridCol w:w="990"/>
        <w:gridCol w:w="184"/>
        <w:gridCol w:w="184"/>
        <w:gridCol w:w="184"/>
        <w:gridCol w:w="184"/>
        <w:gridCol w:w="746"/>
        <w:gridCol w:w="746"/>
        <w:gridCol w:w="2183"/>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 in Forecasted Net Cash Flows</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Loans</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 from Forecast at Beginning of Period</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decreases in forecasted net cash flows for the quarterly periods presented above were composed of ordinary decreases in forecasted net cash flows and the following adjustment applied to our forecasting methodology: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we applied an adjustment to our methodology for forecasting the amount of future net cash flows from our Loan portfolio, which reduced the forecasted collection rates for Consumer Loans assigned in 2024. Consumer Loans assigned in 2024 prior to the implementation of our scorecard adjustment during the third quarter of 2024 had underperformed relative to the forecast adjustment we implemented during the second quarter of 2024. Accordingly, in the second quarter of 2025, we applied an adjustment to that segment of the Consumer Loans assigned in 2024 to reduce forecasted collection rates to what we believed the ultimate collection rates would be based on these trends. Changes in the amount and timing of forecasted net cash flows are recognized in the period of change as a provision for credit losses. The implementation of this forecast adjustment during the second quarter of 2025 reduced forecasted net cash flows by $18.6 million, or 0.2%, and increased provision for credit losses by $16.5 million.</w:t>
      </w:r>
    </w:p>
    <w:p>
      <w:pPr>
        <w:pStyle w:val="TextBody"/>
        <w:bidi w:val="0"/>
        <w:spacing w:before="0" w:after="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on Consumer Loan assignments for each of the last 10 years:</w:t>
      </w:r>
    </w:p>
    <w:tbl>
      <w:tblPr>
        <w:tblW w:w="10205" w:type="dxa"/>
        <w:jc w:val="center"/>
        <w:tblInd w:w="0" w:type="dxa"/>
        <w:tblLayout w:type="fixed"/>
        <w:tblCellMar>
          <w:top w:w="28" w:type="dxa"/>
          <w:left w:w="28" w:type="dxa"/>
          <w:bottom w:w="28" w:type="dxa"/>
          <w:right w:w="28" w:type="dxa"/>
        </w:tblCellMar>
      </w:tblPr>
      <w:tblGrid>
        <w:gridCol w:w="816"/>
        <w:gridCol w:w="636"/>
        <w:gridCol w:w="641"/>
        <w:gridCol w:w="109"/>
        <w:gridCol w:w="109"/>
        <w:gridCol w:w="109"/>
        <w:gridCol w:w="271"/>
        <w:gridCol w:w="929"/>
        <w:gridCol w:w="140"/>
        <w:gridCol w:w="109"/>
        <w:gridCol w:w="109"/>
        <w:gridCol w:w="109"/>
        <w:gridCol w:w="218"/>
        <w:gridCol w:w="638"/>
        <w:gridCol w:w="112"/>
        <w:gridCol w:w="109"/>
        <w:gridCol w:w="109"/>
        <w:gridCol w:w="109"/>
        <w:gridCol w:w="555"/>
        <w:gridCol w:w="555"/>
        <w:gridCol w:w="557"/>
        <w:gridCol w:w="109"/>
        <w:gridCol w:w="109"/>
        <w:gridCol w:w="109"/>
        <w:gridCol w:w="413"/>
        <w:gridCol w:w="413"/>
        <w:gridCol w:w="297"/>
        <w:gridCol w:w="117"/>
        <w:gridCol w:w="117"/>
        <w:gridCol w:w="117"/>
        <w:gridCol w:w="251"/>
        <w:gridCol w:w="912"/>
        <w:gridCol w:w="192"/>
      </w:tblGrid>
      <w:tr>
        <w:trPr/>
        <w:tc>
          <w:tcPr>
            <w:tcW w:w="81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Assignment Volume</w:t>
            </w:r>
          </w:p>
        </w:tc>
      </w:tr>
      <w:tr>
        <w:trPr/>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Loan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 (2)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Loan Term (in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Volume</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Volume (2)</w:t>
              <w:br/>
              <w:t>(in millions)</w:t>
            </w:r>
          </w:p>
        </w:tc>
      </w:tr>
      <w:tr>
        <w:trPr/>
        <w:tc>
          <w:tcPr>
            <w:tcW w:w="2093"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20,230 </w:t>
            </w:r>
          </w:p>
        </w:tc>
        <w:tc>
          <w:tcPr>
            <w:tcW w:w="14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5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328,507 </w:t>
            </w:r>
          </w:p>
        </w:tc>
        <w:tc>
          <w:tcPr>
            <w:tcW w:w="29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2,873.1 </w:t>
            </w:r>
          </w:p>
        </w:tc>
        <w:tc>
          <w:tcPr>
            <w:tcW w:w="19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373,329 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369,805 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341,967 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268,730 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280,467 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332,499 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386,126 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337,411 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2026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180,607 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repayments that we were contractually owed on Consumer Loans at the time of assignment, which include both principal and interest.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advances paid to Dealers on Consumer Loans assigned under the Portfolio Program and one-time payments made to Dealers to purchase Consumer Loans assigned under the Purchase Program.  Payments of Dealer Holdback and accelerated Dealer Holdback are not included.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(3)Represents activity for the six months ended June 30, 2026. Information in this table for each of the years prior to 2026 represents activity for all 12 months of that year.</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averages for 2026 Consumer Loans include both Consumer Loans that were in our portfolio as of March 31, 2026 and Consumer Loans assigned</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during the most recent quarter. The following table provides averages for each of these segments:</w:t>
      </w:r>
    </w:p>
    <w:tbl>
      <w:tblPr>
        <w:tblW w:w="9025" w:type="dxa"/>
        <w:jc w:val="left"/>
        <w:tblInd w:w="0" w:type="dxa"/>
        <w:tblLayout w:type="fixed"/>
        <w:tblCellMar>
          <w:top w:w="28" w:type="dxa"/>
          <w:left w:w="28" w:type="dxa"/>
          <w:bottom w:w="28" w:type="dxa"/>
          <w:right w:w="28" w:type="dxa"/>
        </w:tblCellMar>
      </w:tblPr>
      <w:tblGrid>
        <w:gridCol w:w="1242"/>
        <w:gridCol w:w="1092"/>
        <w:gridCol w:w="1100"/>
        <w:gridCol w:w="109"/>
        <w:gridCol w:w="109"/>
        <w:gridCol w:w="109"/>
        <w:gridCol w:w="255"/>
        <w:gridCol w:w="873"/>
        <w:gridCol w:w="132"/>
        <w:gridCol w:w="109"/>
        <w:gridCol w:w="109"/>
        <w:gridCol w:w="109"/>
        <w:gridCol w:w="211"/>
        <w:gridCol w:w="721"/>
        <w:gridCol w:w="109"/>
        <w:gridCol w:w="109"/>
        <w:gridCol w:w="109"/>
        <w:gridCol w:w="109"/>
        <w:gridCol w:w="676"/>
        <w:gridCol w:w="676"/>
        <w:gridCol w:w="957"/>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Consumer Loan Assignment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Loan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Loan Term (in months)</w:t>
            </w:r>
          </w:p>
        </w:tc>
      </w:tr>
      <w:tr>
        <w:trPr/>
        <w:tc>
          <w:tcPr>
            <w:tcW w:w="343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25,050 </w:t>
            </w:r>
          </w:p>
        </w:tc>
        <w:tc>
          <w:tcPr>
            <w:tcW w:w="13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95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profitability of our loans is primarily driven by the amount and timing of the net cash flows we receive from the spread between the forecasted collection rate and the advance rate, less operating expenses and the cost of capital. Forecasting collection rates accurately at Loan inception is difficult. With this in mind, we establish advance rates that are intended to allow us to achieve acceptable levels of profitability across our portfolio, even if collection rates are less than we initially forecast.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aggregate forecasted Consumer Loan collection rates, advance rates, spreads (the forecasted collection rate less the advance rate), and forecasted future net cash flows as of June 30, 2026, as well as forecasted collection rates and spreads at the time of assignment. All amounts, unless otherwise noted, are presented as a percentage of the initial balance of the Consumer Loan (principal + interest). The table includes both Dealer Loans and Purchased Loans.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19"/>
        <w:gridCol w:w="335"/>
        <w:gridCol w:w="337"/>
        <w:gridCol w:w="109"/>
        <w:gridCol w:w="109"/>
        <w:gridCol w:w="109"/>
        <w:gridCol w:w="255"/>
        <w:gridCol w:w="256"/>
        <w:gridCol w:w="295"/>
        <w:gridCol w:w="112"/>
        <w:gridCol w:w="112"/>
        <w:gridCol w:w="112"/>
        <w:gridCol w:w="270"/>
        <w:gridCol w:w="242"/>
        <w:gridCol w:w="426"/>
        <w:gridCol w:w="109"/>
        <w:gridCol w:w="109"/>
        <w:gridCol w:w="109"/>
        <w:gridCol w:w="267"/>
        <w:gridCol w:w="245"/>
        <w:gridCol w:w="425"/>
        <w:gridCol w:w="109"/>
        <w:gridCol w:w="109"/>
        <w:gridCol w:w="109"/>
        <w:gridCol w:w="255"/>
        <w:gridCol w:w="256"/>
        <w:gridCol w:w="295"/>
        <w:gridCol w:w="109"/>
        <w:gridCol w:w="109"/>
        <w:gridCol w:w="109"/>
        <w:gridCol w:w="270"/>
        <w:gridCol w:w="242"/>
        <w:gridCol w:w="426"/>
        <w:gridCol w:w="109"/>
        <w:gridCol w:w="109"/>
        <w:gridCol w:w="109"/>
        <w:gridCol w:w="216"/>
        <w:gridCol w:w="895"/>
        <w:gridCol w:w="112"/>
        <w:gridCol w:w="112"/>
        <w:gridCol w:w="112"/>
        <w:gridCol w:w="112"/>
        <w:gridCol w:w="317"/>
        <w:gridCol w:w="299"/>
        <w:gridCol w:w="343"/>
      </w:tblGrid>
      <w:tr>
        <w:trPr/>
        <w:tc>
          <w:tcPr>
            <w:tcW w:w="61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Spread % as of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Future Net Cash Flows (3)</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br/>
              <w:t>(in millions)</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29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42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2026 (4)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0"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advances paid to Dealers on Consumer Loans assigned under the Portfolio Program and one-time payments made to Dealers to purchase Consumer Loans assigned under the Purchase Program as a percentage of the initial balance of the Consumer Loans. Payments of Dealer Holdback and accelerated Dealer Holdback are not included.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the forecasted collection rate less the advance rate.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(3)Represents the forecasted future collections we expect to collect on Consumer Loans less the forecasted future Dealer Holdback and accelerated Dealer Holdback payments we expect to make to Dealers.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(4)Represents activity for the six months ended June 30, 2026. Information in this table for each of the years prior to 2026 represents activity for all 12 months of that year.</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forecasted collection rate, advance rate and spread for 2026 Consumer Loans as of June 30, 2026 include both Consumer Loans that were in our portfolio as of March 31, 2026 and Consumer Loans assigned during the most recent quarter. The following table provides forecasted collection rates, advance rates, and spreads for each of these segments:</w:t>
      </w:r>
    </w:p>
    <w:tbl>
      <w:tblPr>
        <w:tblW w:w="10205" w:type="dxa"/>
        <w:jc w:val="left"/>
        <w:tblInd w:w="0" w:type="dxa"/>
        <w:tblLayout w:type="fixed"/>
        <w:tblCellMar>
          <w:top w:w="28" w:type="dxa"/>
          <w:left w:w="28" w:type="dxa"/>
          <w:bottom w:w="28" w:type="dxa"/>
          <w:right w:w="28" w:type="dxa"/>
        </w:tblCellMar>
      </w:tblPr>
      <w:tblGrid>
        <w:gridCol w:w="1051"/>
        <w:gridCol w:w="924"/>
        <w:gridCol w:w="931"/>
        <w:gridCol w:w="109"/>
        <w:gridCol w:w="109"/>
        <w:gridCol w:w="109"/>
        <w:gridCol w:w="255"/>
        <w:gridCol w:w="256"/>
        <w:gridCol w:w="549"/>
        <w:gridCol w:w="172"/>
        <w:gridCol w:w="172"/>
        <w:gridCol w:w="172"/>
        <w:gridCol w:w="270"/>
        <w:gridCol w:w="263"/>
        <w:gridCol w:w="606"/>
        <w:gridCol w:w="109"/>
        <w:gridCol w:w="109"/>
        <w:gridCol w:w="109"/>
        <w:gridCol w:w="255"/>
        <w:gridCol w:w="256"/>
        <w:gridCol w:w="499"/>
        <w:gridCol w:w="109"/>
        <w:gridCol w:w="109"/>
        <w:gridCol w:w="109"/>
        <w:gridCol w:w="255"/>
        <w:gridCol w:w="256"/>
        <w:gridCol w:w="549"/>
        <w:gridCol w:w="109"/>
        <w:gridCol w:w="109"/>
        <w:gridCol w:w="109"/>
        <w:gridCol w:w="256"/>
        <w:gridCol w:w="255"/>
        <w:gridCol w:w="695"/>
      </w:tblGrid>
      <w:tr>
        <w:trPr/>
        <w:tc>
          <w:tcPr>
            <w:tcW w:w="10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Spread % as of</w:t>
            </w:r>
          </w:p>
        </w:tc>
      </w:tr>
      <w:tr>
        <w:trPr/>
        <w:tc>
          <w:tcPr>
            <w:tcW w:w="2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Consumer Loan Assignment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5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Forecast</w:t>
            </w:r>
          </w:p>
        </w:tc>
      </w:tr>
      <w:tr>
        <w:trPr/>
        <w:tc>
          <w:tcPr>
            <w:tcW w:w="290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54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6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49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4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6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risk of a material change in our forecasted collection rate declines as the Consumer Loans age. Because Consumer Loans assigned in 2022 and prior years represent only approximately 10% of total forecasted future net cash flows from Consumer Loans, changes in the forecasted collection rate for those Loans would generally be expected to have a relatively modest impact on total forecasted future net cash flows. In contrast, Consumer Loans assigned since 2022 represent a larger portion of expected future net cash flows, and a significant portion of their total forecasted collections has not yet been realized. Accordingly, changes in the forecasted collection rate for those more recent loans would generally be expected to have a more significant impact on total forecasted future net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spread between the forecasted collection rate as of June 30, 2026 and the advance rate ranges from 11.9% to 24.2%, on an annual basis, for Consumer Loans assigned over the last 10 years. The spreads with respect to 2019 and 2020 Consumer Loans have been positively impacted by Consumer Loan performance, which has exceeded our initial estimates by a greater margin than the other years presented. The spreads with respect to 2021 through 2024 Consumer Loans have been negatively impacted by Consumer Loan performance, which has been lower than our initial estimates by a greater margin than the other years presented. The spread as of June 30, 2026 on 2026 Consumer Loans was 21.9%, consistent with 2025 Consumer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compares our forecast of aggregate Consumer Loan collection rates as of June 30, 2026 with the forecasts at the time of assignment, for Dealer Loans and Purchased Loans separately: </w:t>
      </w:r>
    </w:p>
    <w:tbl>
      <w:tblPr>
        <w:tblW w:w="10205" w:type="dxa"/>
        <w:jc w:val="center"/>
        <w:tblInd w:w="0" w:type="dxa"/>
        <w:tblLayout w:type="fixed"/>
        <w:tblCellMar>
          <w:top w:w="28" w:type="dxa"/>
          <w:left w:w="28" w:type="dxa"/>
          <w:bottom w:w="28" w:type="dxa"/>
          <w:right w:w="28" w:type="dxa"/>
        </w:tblCellMar>
      </w:tblPr>
      <w:tblGrid>
        <w:gridCol w:w="672"/>
        <w:gridCol w:w="592"/>
        <w:gridCol w:w="596"/>
        <w:gridCol w:w="109"/>
        <w:gridCol w:w="109"/>
        <w:gridCol w:w="109"/>
        <w:gridCol w:w="265"/>
        <w:gridCol w:w="256"/>
        <w:gridCol w:w="485"/>
        <w:gridCol w:w="194"/>
        <w:gridCol w:w="194"/>
        <w:gridCol w:w="194"/>
        <w:gridCol w:w="265"/>
        <w:gridCol w:w="256"/>
        <w:gridCol w:w="485"/>
        <w:gridCol w:w="109"/>
        <w:gridCol w:w="109"/>
        <w:gridCol w:w="109"/>
        <w:gridCol w:w="233"/>
        <w:gridCol w:w="233"/>
        <w:gridCol w:w="426"/>
        <w:gridCol w:w="109"/>
        <w:gridCol w:w="109"/>
        <w:gridCol w:w="109"/>
        <w:gridCol w:w="265"/>
        <w:gridCol w:w="256"/>
        <w:gridCol w:w="485"/>
        <w:gridCol w:w="194"/>
        <w:gridCol w:w="194"/>
        <w:gridCol w:w="194"/>
        <w:gridCol w:w="265"/>
        <w:gridCol w:w="256"/>
        <w:gridCol w:w="485"/>
        <w:gridCol w:w="109"/>
        <w:gridCol w:w="109"/>
        <w:gridCol w:w="109"/>
        <w:gridCol w:w="233"/>
        <w:gridCol w:w="233"/>
        <w:gridCol w:w="491"/>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Percentage as of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5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5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w:t>
              <w:br/>
              <w:t>Forecast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86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48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48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48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48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forecasted collection rates presented for Dealer Loans and Purchased Loans reflect the Consumer Loan classification at the time of assignment. The forecasted collection rates represent the total forecasted collections we expect to collect on the Consumer Loans as a percentage of the repayments that we were contractually owed on the Consumer Loans at the time of assignment, including both principal and interest. Forecasted collection rates are negatively impacted by canceled Consumer Loans because the contractual amount owed is not removed from the denominator used to calculate these rates. Any declines in forecasted collection rates for Consumer Loans assigned in the most recent quarter primarily reflect the impact of cancellations rather than underlying Consumer Loan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aggregate forecasted Consumer Loan collection rates, advance rates, and spreads (the forecasted collection rate less the advance rate) as of June 30, 2026 for Dealer Loans and Purchased Loans separately. All amounts are presented as a percentage of the initial balance of the Consumer Loan (principal + interest).</w:t>
      </w:r>
    </w:p>
    <w:tbl>
      <w:tblPr>
        <w:tblW w:w="10205" w:type="dxa"/>
        <w:jc w:val="center"/>
        <w:tblInd w:w="0" w:type="dxa"/>
        <w:tblLayout w:type="fixed"/>
        <w:tblCellMar>
          <w:top w:w="28" w:type="dxa"/>
          <w:left w:w="28" w:type="dxa"/>
          <w:bottom w:w="28" w:type="dxa"/>
          <w:right w:w="28" w:type="dxa"/>
        </w:tblCellMar>
      </w:tblPr>
      <w:tblGrid>
        <w:gridCol w:w="537"/>
        <w:gridCol w:w="473"/>
        <w:gridCol w:w="476"/>
        <w:gridCol w:w="109"/>
        <w:gridCol w:w="109"/>
        <w:gridCol w:w="109"/>
        <w:gridCol w:w="364"/>
        <w:gridCol w:w="289"/>
        <w:gridCol w:w="726"/>
        <w:gridCol w:w="109"/>
        <w:gridCol w:w="109"/>
        <w:gridCol w:w="109"/>
        <w:gridCol w:w="314"/>
        <w:gridCol w:w="235"/>
        <w:gridCol w:w="529"/>
        <w:gridCol w:w="109"/>
        <w:gridCol w:w="109"/>
        <w:gridCol w:w="109"/>
        <w:gridCol w:w="255"/>
        <w:gridCol w:w="256"/>
        <w:gridCol w:w="379"/>
        <w:gridCol w:w="109"/>
        <w:gridCol w:w="109"/>
        <w:gridCol w:w="109"/>
        <w:gridCol w:w="364"/>
        <w:gridCol w:w="289"/>
        <w:gridCol w:w="726"/>
        <w:gridCol w:w="109"/>
        <w:gridCol w:w="109"/>
        <w:gridCol w:w="109"/>
        <w:gridCol w:w="314"/>
        <w:gridCol w:w="235"/>
        <w:gridCol w:w="529"/>
        <w:gridCol w:w="109"/>
        <w:gridCol w:w="109"/>
        <w:gridCol w:w="109"/>
        <w:gridCol w:w="255"/>
        <w:gridCol w:w="256"/>
        <w:gridCol w:w="442"/>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Consumer Loan Assignment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 % (1)(2)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Spread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 Collection %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Advance % (1)(2)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Spread %</w:t>
            </w:r>
          </w:p>
        </w:tc>
      </w:tr>
      <w:tr>
        <w:trPr/>
        <w:tc>
          <w:tcPr>
            <w:tcW w:w="148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7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52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7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7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52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forecasted collection rates and advance rates presented for Dealer Loans and Purchased Loans reflect the Consumer Loan classification at the time of assignment.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advances paid to Dealers on Consumer Loans assigned under the Portfolio Program and one-time payments made to Dealers to purchase Consumer Loans assigned under the Purchase Program as a percentage of the initial balance of the Consumer Loans. Payments of Dealer Holdback and accelerated Dealer Holdback are not included.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advance rate on Purchased Loans is higher as compared to the advance rate on Dealer Loans, Purchased Loans do not require us to pay Dealer Holdback.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spread as of June 30, 2026 on 2026 Dealer Loans was 22.4%, as compared to a spread of 22.1% on 2025 Dealer Loans. The increase was a result of a higher initial spread on 2026 Dealer Loans, due to the initial forecast increasing by a greater margin than the advance rate in our Dealer Loan portfolio.</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spread as of June 30, 2026 on 2026 Purchased Loans was 20.3%, as compared to a spread of 21.1% on 2025 Purchased Loans. The decrease was primarily a result of a lower initial spread on 2026 Purchased Loans, due to the initial forecast decreasing by a greater margin than the advance rate in our Purchased Loan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Consumer Loan Volume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Consumer Loan assignment volume in each of the last eight quarters as compared to the same period in the previous year:</w:t>
      </w:r>
    </w:p>
    <w:tbl>
      <w:tblPr>
        <w:tblW w:w="5276" w:type="dxa"/>
        <w:jc w:val="left"/>
        <w:tblInd w:w="0" w:type="dxa"/>
        <w:tblLayout w:type="fixed"/>
        <w:tblCellMar>
          <w:top w:w="28" w:type="dxa"/>
          <w:left w:w="28" w:type="dxa"/>
          <w:bottom w:w="28" w:type="dxa"/>
          <w:right w:w="28" w:type="dxa"/>
        </w:tblCellMar>
      </w:tblPr>
      <w:tblGrid>
        <w:gridCol w:w="630"/>
        <w:gridCol w:w="552"/>
        <w:gridCol w:w="558"/>
        <w:gridCol w:w="109"/>
        <w:gridCol w:w="109"/>
        <w:gridCol w:w="109"/>
        <w:gridCol w:w="293"/>
        <w:gridCol w:w="278"/>
        <w:gridCol w:w="565"/>
        <w:gridCol w:w="201"/>
        <w:gridCol w:w="201"/>
        <w:gridCol w:w="201"/>
        <w:gridCol w:w="300"/>
        <w:gridCol w:w="300"/>
        <w:gridCol w:w="870"/>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over Year Percent Change</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Volume</w:t>
            </w:r>
          </w:p>
        </w:tc>
        <w:tc>
          <w:tcPr>
            <w:tcW w:w="6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Volume (1)</w:t>
            </w:r>
          </w:p>
        </w:tc>
      </w:tr>
      <w:tr>
        <w:trPr/>
        <w:tc>
          <w:tcPr>
            <w:tcW w:w="1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advances paid to Dealers on Consumer Loans assigned under the Portfolio Program and one-time payments made to Dealers to purchase Consumer Loans assigned under the Purchase Program. Payments of Dealer Holdback and accelerated Dealer Holdback are not included.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Consumer Loan assignment volumes depend on a number of factors including (1) the overall demand for our financing programs and (2) the amount of capital available to fund new Loans. Our pricing strategy is intended to maximize the amount of economic profit we generate, within the confines of capital constraints.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Unit volume declined 1.0% while dollar volume increased 0.1% during the second quarter of 2026 as the number of active Dealers increased 3.3% and the average unit volume per active Dealer declined 3.8%. Monthly unit volume returned to year-over-year growth in June, which continued into July. Unit volume for July 2026 increased 28.0% compared to the same period in 2025.</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Consumer Loan unit volume and active Dealers:</w:t>
      </w:r>
    </w:p>
    <w:tbl>
      <w:tblPr>
        <w:tblW w:w="10205" w:type="dxa"/>
        <w:jc w:val="left"/>
        <w:tblInd w:w="0" w:type="dxa"/>
        <w:tblLayout w:type="fixed"/>
        <w:tblCellMar>
          <w:top w:w="28" w:type="dxa"/>
          <w:left w:w="28" w:type="dxa"/>
          <w:bottom w:w="28" w:type="dxa"/>
          <w:right w:w="28" w:type="dxa"/>
        </w:tblCellMar>
      </w:tblPr>
      <w:tblGrid>
        <w:gridCol w:w="869"/>
        <w:gridCol w:w="764"/>
        <w:gridCol w:w="769"/>
        <w:gridCol w:w="500"/>
        <w:gridCol w:w="251"/>
        <w:gridCol w:w="176"/>
        <w:gridCol w:w="176"/>
        <w:gridCol w:w="176"/>
        <w:gridCol w:w="176"/>
        <w:gridCol w:w="500"/>
        <w:gridCol w:w="251"/>
        <w:gridCol w:w="176"/>
        <w:gridCol w:w="109"/>
        <w:gridCol w:w="109"/>
        <w:gridCol w:w="109"/>
        <w:gridCol w:w="255"/>
        <w:gridCol w:w="256"/>
        <w:gridCol w:w="483"/>
        <w:gridCol w:w="109"/>
        <w:gridCol w:w="109"/>
        <w:gridCol w:w="109"/>
        <w:gridCol w:w="522"/>
        <w:gridCol w:w="304"/>
        <w:gridCol w:w="146"/>
        <w:gridCol w:w="146"/>
        <w:gridCol w:w="146"/>
        <w:gridCol w:w="146"/>
        <w:gridCol w:w="522"/>
        <w:gridCol w:w="304"/>
        <w:gridCol w:w="146"/>
        <w:gridCol w:w="109"/>
        <w:gridCol w:w="109"/>
        <w:gridCol w:w="109"/>
        <w:gridCol w:w="255"/>
        <w:gridCol w:w="256"/>
        <w:gridCol w:w="553"/>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Loan unit volume</w:t>
            </w:r>
          </w:p>
        </w:tc>
        <w:tc>
          <w:tcPr>
            <w:tcW w:w="75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84,615 </w:t>
            </w:r>
          </w:p>
        </w:tc>
        <w:tc>
          <w:tcPr>
            <w:tcW w:w="1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85,486 </w:t>
            </w:r>
          </w:p>
        </w:tc>
        <w:tc>
          <w:tcPr>
            <w:tcW w:w="1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180,607 </w:t>
            </w:r>
          </w:p>
        </w:tc>
        <w:tc>
          <w:tcPr>
            <w:tcW w:w="14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185,764 </w:t>
            </w:r>
          </w:p>
        </w:tc>
        <w:tc>
          <w:tcPr>
            <w:tcW w:w="14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Dealers (1)</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volume per active Dealer</w:t>
            </w:r>
          </w:p>
        </w:tc>
        <w:tc>
          <w:tcPr>
            <w:tcW w:w="75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4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Consumer Loan unit volume from Dealers active both periods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Dealers active both periods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Average volume per Dealer active both periods</w:t>
            </w:r>
          </w:p>
        </w:tc>
        <w:tc>
          <w:tcPr>
            <w:tcW w:w="75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Consumer Loan unit volume from Dealers </w:t>
            </w:r>
            <w:r>
              <w:rPr>
                <w:rFonts w:ascii="Times New Roman;serif" w:hAnsi="Times New Roman;serif"/>
                <w:b w:val="false"/>
                <w:color w:val="000000"/>
                <w:sz w:val="20"/>
                <w:u w:val="single"/>
              </w:rPr>
              <w:t>not</w:t>
            </w:r>
            <w:r>
              <w:rPr>
                <w:color w:val="000000"/>
              </w:rPr>
              <w:t xml:space="preserve"> </w:t>
            </w:r>
            <w:r>
              <w:rPr>
                <w:rFonts w:ascii="Times New Roman;serif" w:hAnsi="Times New Roman;serif"/>
                <w:b w:val="false"/>
                <w:color w:val="000000"/>
                <w:sz w:val="20"/>
              </w:rPr>
              <w:t>active both periods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Dealers </w:t>
            </w:r>
            <w:r>
              <w:rPr>
                <w:rFonts w:ascii="Times New Roman;serif" w:hAnsi="Times New Roman;serif"/>
                <w:b w:val="false"/>
                <w:color w:val="000000"/>
                <w:sz w:val="20"/>
                <w:u w:val="single"/>
              </w:rPr>
              <w:t>not</w:t>
            </w:r>
            <w:r>
              <w:rPr>
                <w:color w:val="000000"/>
              </w:rPr>
              <w:t xml:space="preserve"> </w:t>
            </w:r>
            <w:r>
              <w:rPr>
                <w:rFonts w:ascii="Times New Roman;serif" w:hAnsi="Times New Roman;serif"/>
                <w:b w:val="false"/>
                <w:color w:val="000000"/>
                <w:sz w:val="20"/>
              </w:rPr>
              <w:t>active both periods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Average volume per Dealer </w:t>
            </w:r>
            <w:r>
              <w:rPr>
                <w:rFonts w:ascii="Times New Roman;serif" w:hAnsi="Times New Roman;serif"/>
                <w:b w:val="false"/>
                <w:color w:val="000000"/>
                <w:sz w:val="20"/>
                <w:u w:val="single"/>
              </w:rPr>
              <w:t>not</w:t>
            </w:r>
            <w:r>
              <w:rPr>
                <w:color w:val="000000"/>
              </w:rPr>
              <w:t xml:space="preserve"> </w:t>
            </w:r>
            <w:r>
              <w:rPr>
                <w:rFonts w:ascii="Times New Roman;serif" w:hAnsi="Times New Roman;serif"/>
                <w:b w:val="false"/>
                <w:color w:val="000000"/>
                <w:sz w:val="20"/>
              </w:rPr>
              <w:t>active both periods</w:t>
            </w:r>
          </w:p>
        </w:tc>
        <w:tc>
          <w:tcPr>
            <w:tcW w:w="75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(1)Active Dealers are Dealers who have received funding for at least one Consumer Loan during the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on the changes in Consumer Loan unit volume and active Dealers:</w:t>
      </w:r>
    </w:p>
    <w:tbl>
      <w:tblPr>
        <w:tblW w:w="10205" w:type="dxa"/>
        <w:jc w:val="left"/>
        <w:tblInd w:w="0" w:type="dxa"/>
        <w:tblLayout w:type="fixed"/>
        <w:tblCellMar>
          <w:top w:w="28" w:type="dxa"/>
          <w:left w:w="28" w:type="dxa"/>
          <w:bottom w:w="28" w:type="dxa"/>
          <w:right w:w="28" w:type="dxa"/>
        </w:tblCellMar>
      </w:tblPr>
      <w:tblGrid>
        <w:gridCol w:w="808"/>
        <w:gridCol w:w="634"/>
        <w:gridCol w:w="641"/>
        <w:gridCol w:w="308"/>
        <w:gridCol w:w="308"/>
        <w:gridCol w:w="389"/>
        <w:gridCol w:w="156"/>
        <w:gridCol w:w="156"/>
        <w:gridCol w:w="156"/>
        <w:gridCol w:w="308"/>
        <w:gridCol w:w="308"/>
        <w:gridCol w:w="389"/>
        <w:gridCol w:w="109"/>
        <w:gridCol w:w="109"/>
        <w:gridCol w:w="109"/>
        <w:gridCol w:w="284"/>
        <w:gridCol w:w="287"/>
        <w:gridCol w:w="483"/>
        <w:gridCol w:w="109"/>
        <w:gridCol w:w="109"/>
        <w:gridCol w:w="109"/>
        <w:gridCol w:w="360"/>
        <w:gridCol w:w="361"/>
        <w:gridCol w:w="326"/>
        <w:gridCol w:w="131"/>
        <w:gridCol w:w="131"/>
        <w:gridCol w:w="131"/>
        <w:gridCol w:w="360"/>
        <w:gridCol w:w="361"/>
        <w:gridCol w:w="326"/>
        <w:gridCol w:w="109"/>
        <w:gridCol w:w="109"/>
        <w:gridCol w:w="109"/>
        <w:gridCol w:w="285"/>
        <w:gridCol w:w="286"/>
        <w:gridCol w:w="551"/>
      </w:tblGrid>
      <w:tr>
        <w:trPr/>
        <w:tc>
          <w:tcPr>
            <w:tcW w:w="80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Consumer Loan unit volume from new active Dealers</w:t>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38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38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32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11,986 </w:t>
            </w:r>
          </w:p>
        </w:tc>
        <w:tc>
          <w:tcPr>
            <w:tcW w:w="32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5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active Dealers (1)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Average volume per new active Dealer</w:t>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8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2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2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Attrition (2)</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(1)New active Dealers are Dealers who enrolled in our program and have received funding for their first Loan from us during the period.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(2)Attrition is measured according to the following formula: decrease in Consumer Loan unit volume from Dealers who have received funding for at least one Loan during the comparable period of the prior year but did not receive funding for any Loans during the current period divided by prior year comparable period Consumer Loan unit volume.</w:t>
      </w:r>
    </w:p>
    <w:p>
      <w:pPr>
        <w:pStyle w:val="TextBody"/>
        <w:bidi w:val="0"/>
        <w:spacing w:before="0" w:after="0"/>
        <w:jc w:val="center"/>
        <w:rPr/>
      </w:pPr>
      <w:r>
        <w:rPr/>
      </w:r>
    </w:p>
    <w:p>
      <w:pPr>
        <w:pStyle w:val="TextBody"/>
        <w:bidi w:val="0"/>
        <w:spacing w:before="0" w:after="0"/>
        <w:ind w:left="0" w:right="0" w:firstLine="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percentage of Consumer Loans assigned to us as Dealer Loans and Purchased Loans for each of the last eight quarters:</w:t>
      </w:r>
    </w:p>
    <w:tbl>
      <w:tblPr>
        <w:tblW w:w="7997" w:type="dxa"/>
        <w:jc w:val="left"/>
        <w:tblInd w:w="0" w:type="dxa"/>
        <w:tblLayout w:type="fixed"/>
        <w:tblCellMar>
          <w:top w:w="28" w:type="dxa"/>
          <w:left w:w="28" w:type="dxa"/>
          <w:bottom w:w="28" w:type="dxa"/>
          <w:right w:w="28" w:type="dxa"/>
        </w:tblCellMar>
      </w:tblPr>
      <w:tblGrid>
        <w:gridCol w:w="630"/>
        <w:gridCol w:w="552"/>
        <w:gridCol w:w="558"/>
        <w:gridCol w:w="109"/>
        <w:gridCol w:w="109"/>
        <w:gridCol w:w="109"/>
        <w:gridCol w:w="255"/>
        <w:gridCol w:w="256"/>
        <w:gridCol w:w="593"/>
        <w:gridCol w:w="109"/>
        <w:gridCol w:w="109"/>
        <w:gridCol w:w="109"/>
        <w:gridCol w:w="296"/>
        <w:gridCol w:w="296"/>
        <w:gridCol w:w="742"/>
        <w:gridCol w:w="109"/>
        <w:gridCol w:w="109"/>
        <w:gridCol w:w="109"/>
        <w:gridCol w:w="255"/>
        <w:gridCol w:w="256"/>
        <w:gridCol w:w="593"/>
        <w:gridCol w:w="118"/>
        <w:gridCol w:w="118"/>
        <w:gridCol w:w="118"/>
        <w:gridCol w:w="280"/>
        <w:gridCol w:w="280"/>
        <w:gridCol w:w="820"/>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Volume (1)</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Dealer Loans</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Loans</w:t>
            </w:r>
          </w:p>
        </w:tc>
      </w:tr>
      <w:tr>
        <w:trPr/>
        <w:tc>
          <w:tcPr>
            <w:tcW w:w="1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59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7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59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8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advances paid to Dealers on Consumer Loans assigned under the Portfolio Program and one-time payments made to Dealers to purchase Consumer Loans assigned under the Purchase Program.  Payments of Dealer Holdback and accelerated Dealer Holdback are not included.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net Dealer Loans receivable balance was 71.0% and 72.1%, respectively, of the total net Loans receivable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net Loan income (finance charge revenue less provision for credit losses expense) that we recognize over the life of a Loan equals the cash we collect from the underlying Consumer Loan less the cash we pay to the Dealer. We believe the economics of our business are best exhibited by recognizing net Loan income on a level-yield basis over the life of the Loan based on expected future net cash flows. Under the GAAP methodology we employ, which is known as the current expected credit loss model, or CECL, we are required to recognize: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significant provision for credit losses expense at the time of the Loan’s assignment to us for contractual net cash flows we do not expect to realize;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finance charge revenue in subsequent periods that is significantly in excess of our expected yield.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Due to the GAAP treatment of contractual net cash flows we do not expect to realize at the time of loan assignment (i.e. significant expense at the time of loan assignment, which is offset by higher revenue in subsequent periods), we do not believe the GAAP methodology we employ provides sufficient transparency into the economics of our business, including our results of operations, financial condition, and financial leverage. For additional information, see </w:t>
      </w:r>
      <w:hyperlink w:anchor="i9f4c4219363a4799835bfb4671297d14_40">
        <w:r>
          <w:rPr>
            <w:rStyle w:val="InternetLink"/>
            <w:rFonts w:ascii="Times New Roman;serif" w:hAnsi="Times New Roman;serif"/>
            <w:b w:val="false"/>
            <w:color w:val="0000FF"/>
            <w:sz w:val="20"/>
            <w:u w:val="single"/>
          </w:rPr>
          <w:t>Note 3</w:t>
        </w:r>
      </w:hyperlink>
      <w:r>
        <w:rPr>
          <w:color w:val="000000"/>
        </w:rPr>
        <w:t xml:space="preserve"> </w:t>
      </w:r>
      <w:r>
        <w:rPr>
          <w:rFonts w:ascii="Times New Roman;serif" w:hAnsi="Times New Roman;serif"/>
          <w:b w:val="false"/>
          <w:color w:val="000000"/>
          <w:sz w:val="20"/>
        </w:rPr>
        <w:t xml:space="preserve">and </w:t>
      </w:r>
      <w:hyperlink w:anchor="i9f4c4219363a4799835bfb4671297d14_49">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to the consolidated financial statements contained in Part I - Item 1 of this Quarterly Report on Form 10-Q, which is incorporated herein by reference.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18"/>
          <w:u w:val="single"/>
        </w:rPr>
        <w:t>Three Months Ended June 30, 2026</w:t>
      </w:r>
      <w:r>
        <w:rPr>
          <w:color w:val="000000"/>
          <w:u w:val="single"/>
        </w:rPr>
        <w:t xml:space="preserve"> </w:t>
      </w:r>
      <w:r>
        <w:rPr>
          <w:rFonts w:ascii="Times New Roman;serif" w:hAnsi="Times New Roman;serif"/>
          <w:b w:val="false"/>
          <w:color w:val="000000"/>
          <w:sz w:val="20"/>
          <w:u w:val="single"/>
        </w:rPr>
        <w:t xml:space="preserve">Compared to </w:t>
      </w:r>
      <w:r>
        <w:rPr>
          <w:rFonts w:ascii="Times New Roman;serif" w:hAnsi="Times New Roman;serif"/>
          <w:b w:val="false"/>
          <w:color w:val="000000"/>
          <w:sz w:val="18"/>
          <w:u w:val="single"/>
        </w:rPr>
        <w:t>Three Months Ended June 30, 2025</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our results of operations and income statement data on a consolidated basis.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14"/>
        <w:gridCol w:w="1422"/>
        <w:gridCol w:w="1433"/>
        <w:gridCol w:w="275"/>
        <w:gridCol w:w="806"/>
        <w:gridCol w:w="109"/>
        <w:gridCol w:w="109"/>
        <w:gridCol w:w="109"/>
        <w:gridCol w:w="109"/>
        <w:gridCol w:w="275"/>
        <w:gridCol w:w="806"/>
        <w:gridCol w:w="109"/>
        <w:gridCol w:w="109"/>
        <w:gridCol w:w="109"/>
        <w:gridCol w:w="109"/>
        <w:gridCol w:w="303"/>
        <w:gridCol w:w="737"/>
        <w:gridCol w:w="113"/>
        <w:gridCol w:w="109"/>
        <w:gridCol w:w="109"/>
        <w:gridCol w:w="109"/>
        <w:gridCol w:w="285"/>
        <w:gridCol w:w="286"/>
        <w:gridCol w:w="551"/>
      </w:tblGrid>
      <w:tr>
        <w:trPr/>
        <w:tc>
          <w:tcPr>
            <w:tcW w:w="171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 except per share data)</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charges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3"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5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Salaries and wages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1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5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credit losses on forecast changes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new Consumer Loan assignments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5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claims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1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5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3"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55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5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(1,093,009)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6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Finance Charges.</w:t>
      </w:r>
      <w:r>
        <w:rPr>
          <w:color w:val="000000"/>
        </w:rPr>
        <w:t> </w:t>
      </w:r>
      <w:r>
        <w:rPr>
          <w:rFonts w:ascii="Times New Roman;serif" w:hAnsi="Times New Roman;serif"/>
          <w:b w:val="false"/>
          <w:color w:val="000000"/>
          <w:sz w:val="20"/>
        </w:rPr>
        <w:t>The increase of $5.5 million, or 1.0%, was the result of an increase in the average yield on our Loan portfolio, partially offset by a decrease in the average net Loans receivable balance, as follows:</w:t>
      </w:r>
    </w:p>
    <w:tbl>
      <w:tblPr>
        <w:tblW w:w="7483" w:type="dxa"/>
        <w:jc w:val="left"/>
        <w:tblInd w:w="0" w:type="dxa"/>
        <w:tblLayout w:type="fixed"/>
        <w:tblCellMar>
          <w:top w:w="28" w:type="dxa"/>
          <w:left w:w="28" w:type="dxa"/>
          <w:bottom w:w="28" w:type="dxa"/>
          <w:right w:w="28" w:type="dxa"/>
        </w:tblCellMar>
      </w:tblPr>
      <w:tblGrid>
        <w:gridCol w:w="1158"/>
        <w:gridCol w:w="1016"/>
        <w:gridCol w:w="1021"/>
        <w:gridCol w:w="213"/>
        <w:gridCol w:w="773"/>
        <w:gridCol w:w="273"/>
        <w:gridCol w:w="110"/>
        <w:gridCol w:w="110"/>
        <w:gridCol w:w="110"/>
        <w:gridCol w:w="213"/>
        <w:gridCol w:w="773"/>
        <w:gridCol w:w="273"/>
        <w:gridCol w:w="109"/>
        <w:gridCol w:w="109"/>
        <w:gridCol w:w="109"/>
        <w:gridCol w:w="211"/>
        <w:gridCol w:w="586"/>
        <w:gridCol w:w="316"/>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net Loans receivable balance</w:t>
            </w:r>
          </w:p>
        </w:tc>
        <w:tc>
          <w:tcPr>
            <w:tcW w:w="21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7,953.2 </w:t>
            </w:r>
          </w:p>
        </w:tc>
        <w:tc>
          <w:tcPr>
            <w:tcW w:w="27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8,011.6 </w:t>
            </w:r>
          </w:p>
        </w:tc>
        <w:tc>
          <w:tcPr>
            <w:tcW w:w="27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3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yield on our Loan portfolio</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impact each component had on the overall increase in finance charges for the three months ended June 30, 2026:</w:t>
      </w:r>
    </w:p>
    <w:tbl>
      <w:tblPr>
        <w:tblW w:w="8414" w:type="dxa"/>
        <w:jc w:val="left"/>
        <w:tblInd w:w="0" w:type="dxa"/>
        <w:tblLayout w:type="fixed"/>
        <w:tblCellMar>
          <w:top w:w="28" w:type="dxa"/>
          <w:left w:w="28" w:type="dxa"/>
          <w:bottom w:w="28" w:type="dxa"/>
          <w:right w:w="28" w:type="dxa"/>
        </w:tblCellMar>
      </w:tblPr>
      <w:tblGrid>
        <w:gridCol w:w="1856"/>
        <w:gridCol w:w="1627"/>
        <w:gridCol w:w="1631"/>
        <w:gridCol w:w="629"/>
        <w:gridCol w:w="1209"/>
        <w:gridCol w:w="1462"/>
      </w:tblGrid>
      <w:tr>
        <w:trPr/>
        <w:tc>
          <w:tcPr>
            <w:tcW w:w="185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over Year Change</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finance charges:</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an increase in the average yield</w:t>
            </w:r>
          </w:p>
        </w:tc>
        <w:tc>
          <w:tcPr>
            <w:tcW w:w="62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6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 decrease in the average net Loans receivable balance</w:t>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6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increase in finance charges</w:t>
            </w:r>
          </w:p>
        </w:tc>
        <w:tc>
          <w:tcPr>
            <w:tcW w:w="62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6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the average yield on our Loan portfolio was primarily due to higher contractual yields on more recent Consumer Loan assignments. The decrease in the average net Loans receivable balance was primarily due to the principal collected on Loans receivable exceeding the dollar volume of new Consumer Loan assignments.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Operating Expenses. </w:t>
      </w:r>
      <w:r>
        <w:rPr>
          <w:rFonts w:ascii="Times New Roman;serif" w:hAnsi="Times New Roman;serif"/>
          <w:b w:val="false"/>
          <w:color w:val="000000"/>
          <w:sz w:val="20"/>
        </w:rPr>
        <w:t>The decrease of $21.4 million, or 13.8%, was primarily due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general and administrative expense of $19.1 million, or 42.3%, primarily due to the recognition of a $23.4 million contingent loss during the three months ended June 30, 2025 related to previously disclosed legal matters. The decrease was partially offset by higher professional services costs related to strategic market analysis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salaries and wages expense of $5.6 million, or 6.7%, primarily due to a reduction in headcount. The impact of team member separation costs on operating expenses in the second quarter of 2026 was not material, as higher severance expense was offset by lower stock-based compensation expense.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Provision for Credit Losses</w:t>
      </w:r>
      <w:r>
        <w:rPr>
          <w:rFonts w:ascii="Times New Roman;serif" w:hAnsi="Times New Roman;serif"/>
          <w:b w:val="false"/>
          <w:color w:val="000000"/>
          <w:sz w:val="20"/>
        </w:rPr>
        <w:t>. The decrease of $13.4 million, or 7.8%, was due to a decrease in provision for credit losses on forecast changes, partially offset by an increase in provision for credit losses on new Consumer Loan assignments.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provision for credit losses on new Consumer Loan assignments for contractual net cash flows that are not expected to be realized at the time of assignment. We also recognize provision for credit losses on forecast changes in the amount and timing of expected future net cash flows subsequent to assignment. The following table summarizes the provision for credit losses for each of these components:</w:t>
      </w:r>
    </w:p>
    <w:p>
      <w:pPr>
        <w:pStyle w:val="TextBody"/>
        <w:bidi w:val="0"/>
        <w:spacing w:before="0" w:after="0"/>
        <w:ind w:left="0" w:right="0" w:firstLine="360"/>
        <w:jc w:val="both"/>
        <w:rPr/>
      </w:pPr>
      <w:r>
        <w:rPr/>
      </w:r>
    </w:p>
    <w:tbl>
      <w:tblPr>
        <w:tblW w:w="6975" w:type="dxa"/>
        <w:jc w:val="left"/>
        <w:tblInd w:w="0" w:type="dxa"/>
        <w:tblLayout w:type="fixed"/>
        <w:tblCellMar>
          <w:top w:w="28" w:type="dxa"/>
          <w:left w:w="28" w:type="dxa"/>
          <w:bottom w:w="28" w:type="dxa"/>
          <w:right w:w="28" w:type="dxa"/>
        </w:tblCellMar>
      </w:tblPr>
      <w:tblGrid>
        <w:gridCol w:w="1033"/>
        <w:gridCol w:w="907"/>
        <w:gridCol w:w="910"/>
        <w:gridCol w:w="273"/>
        <w:gridCol w:w="798"/>
        <w:gridCol w:w="141"/>
        <w:gridCol w:w="141"/>
        <w:gridCol w:w="141"/>
        <w:gridCol w:w="141"/>
        <w:gridCol w:w="273"/>
        <w:gridCol w:w="798"/>
        <w:gridCol w:w="141"/>
        <w:gridCol w:w="109"/>
        <w:gridCol w:w="109"/>
        <w:gridCol w:w="109"/>
        <w:gridCol w:w="211"/>
        <w:gridCol w:w="58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provision for credit losses</w:t>
            </w:r>
          </w:p>
        </w:tc>
        <w:tc>
          <w:tcPr>
            <w:tcW w:w="121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Forecast changes</w:t>
            </w:r>
          </w:p>
        </w:tc>
        <w:tc>
          <w:tcPr>
            <w:tcW w:w="2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4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4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Consumer Loan assignments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4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4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provision for credit losses related to forecast changes in the second quarter of 2026 compared to the second quarter of 2025 reflected a smaller decline in Consumer Loan performance and changes in forecasted net cash flow timing. During the second quarter of 2026, we decreased our estimate of future net cash flows by $39.1 million, or 0.3%, and slowed our forecasted net cash flow timing to reflect lower-than-expected Consumer Loan prepayments, which remained below historical averages.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we decreased our estimate of future net cash flows by $55.8 million, or 0.5%, to reflect a decline in forecasted collection rates during the period and slowed our forecasted net cash flow timing to reflect lower-than-expected Consumer Loan prepayments, which remained below historical averages. The $55.8 million decrease in forecasted net cash flows for the second quarter of 2025 was composed of an ordinary decrease in forecasted net cash flows of $37.2 million, or 0.3%, and an adjustment applied to our forecasting methodology, which upon implementation, reduced forecasted net cash flows by $18.6 million, or 0.2%, and increased our provision for credit losses by $16.5 million. Consumer Loans assigned in 2024 prior to the implementation of our scorecard adjustment during the third quarter of 2024 had underperformed relative to the forecast adjustment we implemented during the second quarter of 2024. Accordingly, in the second quarter of 2025, we applied an adjustment to that segment of the Consumer Loans assigned in 2024 to reduce forecasted collection rates to what we believed the ultimate collection rates would be based on these trends.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8.8% increase in provision for credit losses on new Consumer Loan assignments was primarily due to a 10.0% increase in the average provision per Consumer Loan assignment, partially offset by a 1.0% decrease in Consumer Loan assignment unit volume. The increase in the average provision per Consumer Loan assignment was primarily due to a higher average provision for Purchased Loans, driven by a lower initial forecast and spread, and a greater proportion of Purchased Loans in the mix of Consumer Loan assignments received during the second quarter of 2026.</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Interest.</w:t>
      </w:r>
      <w:r>
        <w:rPr>
          <w:color w:val="000000"/>
        </w:rPr>
        <w:t xml:space="preserve"> </w:t>
      </w:r>
      <w:r>
        <w:rPr>
          <w:rFonts w:ascii="Times New Roman;serif" w:hAnsi="Times New Roman;serif"/>
          <w:b w:val="false"/>
          <w:color w:val="000000"/>
          <w:sz w:val="20"/>
        </w:rPr>
        <w:t xml:space="preserve">The decrease in interest expense of $10.7 million, or 9.1%, was due to decreases in our average cost of debt and average outstanding debt balance.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interest expense, average outstanding debt balance, and average cost of debt for the three months ended June 30, 2026 as compared to the three months ended June 30, 2025:</w:t>
      </w:r>
    </w:p>
    <w:tbl>
      <w:tblPr>
        <w:tblW w:w="7184" w:type="dxa"/>
        <w:jc w:val="left"/>
        <w:tblInd w:w="0" w:type="dxa"/>
        <w:tblLayout w:type="fixed"/>
        <w:tblCellMar>
          <w:top w:w="28" w:type="dxa"/>
          <w:left w:w="28" w:type="dxa"/>
          <w:bottom w:w="28" w:type="dxa"/>
          <w:right w:w="28" w:type="dxa"/>
        </w:tblCellMar>
      </w:tblPr>
      <w:tblGrid>
        <w:gridCol w:w="1049"/>
        <w:gridCol w:w="921"/>
        <w:gridCol w:w="925"/>
        <w:gridCol w:w="238"/>
        <w:gridCol w:w="696"/>
        <w:gridCol w:w="306"/>
        <w:gridCol w:w="123"/>
        <w:gridCol w:w="123"/>
        <w:gridCol w:w="123"/>
        <w:gridCol w:w="238"/>
        <w:gridCol w:w="696"/>
        <w:gridCol w:w="306"/>
        <w:gridCol w:w="109"/>
        <w:gridCol w:w="109"/>
        <w:gridCol w:w="109"/>
        <w:gridCol w:w="211"/>
        <w:gridCol w:w="586"/>
        <w:gridCol w:w="316"/>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3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30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30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debt balance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cost of debt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xml:space="preserve">. For the three months ended June 30, 2026, the effective income tax rate decreased to 19.4% from 25.8% for the same period in 2025. The decrease was primarily due to (i) a research and development tax credit recognized during the second quarter of 2026, (ii) changes in state tax laws enacted during the second quarter of 2025 that increased our effective income tax rate for that period, whereas the second quarter of 2026 had relatively few state tax law changes enacted, resulting in minimal impact to our effective income tax rate for that period, and (iii) the recognition of excess tax benefits primarily for stock option exercises in the second quarter of 2026, as opposed to a tax deficiency recognized in the second quarter of 2025. For additional information, see </w:t>
      </w:r>
      <w:r>
        <w:rPr>
          <w:rFonts w:ascii="Times New Roman;serif" w:hAnsi="Times New Roman;serif"/>
          <w:b w:val="false"/>
          <w:color w:val="0000FF"/>
          <w:sz w:val="20"/>
          <w:u w:val="single"/>
        </w:rPr>
        <w:t>Note 10</w:t>
      </w:r>
      <w:r>
        <w:rPr>
          <w:color w:val="000000"/>
        </w:rPr>
        <w:t xml:space="preserve"> </w:t>
      </w:r>
      <w:r>
        <w:rPr>
          <w:rFonts w:ascii="Times New Roman;serif" w:hAnsi="Times New Roman;serif"/>
          <w:b w:val="false"/>
          <w:color w:val="000000"/>
          <w:sz w:val="20"/>
        </w:rPr>
        <w:t>to the consolidated financial statements contained in Part I - Item 1 of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18"/>
          <w:u w:val="single"/>
        </w:rPr>
        <w:t>Six Months Ended June 30, 2026</w:t>
      </w:r>
      <w:r>
        <w:rPr>
          <w:color w:val="000000"/>
          <w:u w:val="single"/>
        </w:rPr>
        <w:t xml:space="preserve"> </w:t>
      </w:r>
      <w:r>
        <w:rPr>
          <w:rFonts w:ascii="Times New Roman;serif" w:hAnsi="Times New Roman;serif"/>
          <w:b w:val="false"/>
          <w:color w:val="000000"/>
          <w:sz w:val="20"/>
          <w:u w:val="single"/>
        </w:rPr>
        <w:t xml:space="preserve">Compared to </w:t>
      </w:r>
      <w:r>
        <w:rPr>
          <w:rFonts w:ascii="Times New Roman;serif" w:hAnsi="Times New Roman;serif"/>
          <w:b w:val="false"/>
          <w:color w:val="000000"/>
          <w:sz w:val="18"/>
          <w:u w:val="single"/>
        </w:rPr>
        <w:t>Six Months Ended June 30, 2025</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our results of operations and income statement data on a consolidated basis.</w:t>
      </w:r>
    </w:p>
    <w:tbl>
      <w:tblPr>
        <w:tblW w:w="10205" w:type="dxa"/>
        <w:jc w:val="center"/>
        <w:tblInd w:w="0" w:type="dxa"/>
        <w:tblLayout w:type="fixed"/>
        <w:tblCellMar>
          <w:top w:w="28" w:type="dxa"/>
          <w:left w:w="28" w:type="dxa"/>
          <w:bottom w:w="28" w:type="dxa"/>
          <w:right w:w="28" w:type="dxa"/>
        </w:tblCellMar>
      </w:tblPr>
      <w:tblGrid>
        <w:gridCol w:w="1728"/>
        <w:gridCol w:w="1419"/>
        <w:gridCol w:w="1431"/>
        <w:gridCol w:w="233"/>
        <w:gridCol w:w="848"/>
        <w:gridCol w:w="109"/>
        <w:gridCol w:w="109"/>
        <w:gridCol w:w="109"/>
        <w:gridCol w:w="109"/>
        <w:gridCol w:w="233"/>
        <w:gridCol w:w="848"/>
        <w:gridCol w:w="109"/>
        <w:gridCol w:w="109"/>
        <w:gridCol w:w="109"/>
        <w:gridCol w:w="109"/>
        <w:gridCol w:w="303"/>
        <w:gridCol w:w="737"/>
        <w:gridCol w:w="109"/>
        <w:gridCol w:w="109"/>
        <w:gridCol w:w="109"/>
        <w:gridCol w:w="109"/>
        <w:gridCol w:w="285"/>
        <w:gridCol w:w="286"/>
        <w:gridCol w:w="546"/>
      </w:tblGrid>
      <w:tr>
        <w:trPr/>
        <w:tc>
          <w:tcPr>
            <w:tcW w:w="172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 except per share data)</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charges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wages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4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forecast changes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new Consumer Loan assignments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4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claims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4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54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5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Finance Charges.</w:t>
      </w:r>
      <w:r>
        <w:rPr>
          <w:color w:val="000000"/>
        </w:rPr>
        <w:t> </w:t>
      </w:r>
      <w:r>
        <w:rPr>
          <w:rFonts w:ascii="Times New Roman;serif" w:hAnsi="Times New Roman;serif"/>
          <w:b w:val="false"/>
          <w:color w:val="000000"/>
          <w:sz w:val="20"/>
        </w:rPr>
        <w:t>The increase of $17.2 million, or 1.6%, was the result of an increase in the average yield on our Loan portfolio, partially offset by a decrease in the net Loans receivable balance as follows:</w:t>
      </w:r>
    </w:p>
    <w:tbl>
      <w:tblPr>
        <w:tblW w:w="7458" w:type="dxa"/>
        <w:jc w:val="left"/>
        <w:tblInd w:w="0" w:type="dxa"/>
        <w:tblLayout w:type="fixed"/>
        <w:tblCellMar>
          <w:top w:w="28" w:type="dxa"/>
          <w:left w:w="28" w:type="dxa"/>
          <w:bottom w:w="28" w:type="dxa"/>
          <w:right w:w="28" w:type="dxa"/>
        </w:tblCellMar>
      </w:tblPr>
      <w:tblGrid>
        <w:gridCol w:w="1158"/>
        <w:gridCol w:w="1016"/>
        <w:gridCol w:w="1021"/>
        <w:gridCol w:w="211"/>
        <w:gridCol w:w="766"/>
        <w:gridCol w:w="271"/>
        <w:gridCol w:w="109"/>
        <w:gridCol w:w="109"/>
        <w:gridCol w:w="109"/>
        <w:gridCol w:w="211"/>
        <w:gridCol w:w="766"/>
        <w:gridCol w:w="271"/>
        <w:gridCol w:w="109"/>
        <w:gridCol w:w="109"/>
        <w:gridCol w:w="109"/>
        <w:gridCol w:w="211"/>
        <w:gridCol w:w="586"/>
        <w:gridCol w:w="316"/>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net Loans receivable balance</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7,923.4 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7,947.0 </w:t>
            </w:r>
          </w:p>
        </w:tc>
        <w:tc>
          <w:tcPr>
            <w:tcW w:w="27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yield on our Loan portfolio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impact each component had on the overall increase in finance charges for the six months ended June 30, 2026:</w:t>
      </w:r>
    </w:p>
    <w:tbl>
      <w:tblPr>
        <w:tblW w:w="8218" w:type="dxa"/>
        <w:jc w:val="left"/>
        <w:tblInd w:w="0" w:type="dxa"/>
        <w:tblLayout w:type="fixed"/>
        <w:tblCellMar>
          <w:top w:w="28" w:type="dxa"/>
          <w:left w:w="28" w:type="dxa"/>
          <w:bottom w:w="28" w:type="dxa"/>
          <w:right w:w="28" w:type="dxa"/>
        </w:tblCellMar>
      </w:tblPr>
      <w:tblGrid>
        <w:gridCol w:w="1856"/>
        <w:gridCol w:w="1627"/>
        <w:gridCol w:w="1631"/>
        <w:gridCol w:w="747"/>
        <w:gridCol w:w="1812"/>
        <w:gridCol w:w="545"/>
      </w:tblGrid>
      <w:tr>
        <w:trPr/>
        <w:tc>
          <w:tcPr>
            <w:tcW w:w="185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over Year Change</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Impact on finance charges:</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an increase in the average yield</w:t>
            </w:r>
          </w:p>
        </w:tc>
        <w:tc>
          <w:tcPr>
            <w:tcW w:w="74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54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 decrease in the average net Loans receivable balance</w:t>
            </w:r>
          </w:p>
        </w:tc>
        <w:tc>
          <w:tcPr>
            <w:tcW w:w="2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increase in finance charges</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the average yield of our Loan portfolio was primarily due to higher contractual yields on more recent Consumer Loan assignments. The decrease in the average net Loans receivable balance was primarily due to the principal collected on Loans receivable exceeding the dollar volume of new Consumer Loan assignments.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Operating Expenses.</w:t>
      </w:r>
      <w:r>
        <w:rPr>
          <w:color w:val="000000"/>
        </w:rPr>
        <w:t xml:space="preserve"> </w:t>
      </w:r>
      <w:r>
        <w:rPr>
          <w:rFonts w:ascii="Times New Roman;serif" w:hAnsi="Times New Roman;serif"/>
          <w:b w:val="false"/>
          <w:color w:val="000000"/>
          <w:sz w:val="20"/>
        </w:rPr>
        <w:t>The decrease of $15.7 million, or 5.4%, was due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general and administrative expense of $16.4 million, or 24.4%, primarily due to the recognition of a $23.4 million contingent loss during the three months ended June 30, 2025 related to previously disclosed legal matters, partially offset by higher professional services costs related to strategic market analysis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salaries and wages expense of $5.6 million, or 3.3%, primarily due to a reduction in headcount. The impact of team member separation costs on operating expenses in the second quarter of 2026 was not material, as higher severance expense was substantially offset by lower stock-based compensation expense.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sales and marketing expense of $6.3 million, or 12.3%, primarily due to increases in advertising expenses and in the size of our sales force.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Provision for Credit Losses</w:t>
      </w:r>
      <w:r>
        <w:rPr>
          <w:rFonts w:ascii="Times New Roman;serif" w:hAnsi="Times New Roman;serif"/>
          <w:b w:val="false"/>
          <w:color w:val="000000"/>
          <w:sz w:val="20"/>
        </w:rPr>
        <w:t xml:space="preserve">. The decrease of $35.7 million, or 10.7%, was due to a decrease in provision for credit losses on forecast changes, partially offset by an increase in provision for credit losses on new Consumer Loan assignments.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provision for credit losses on new Consumer Loan assignments for contractual net cash flows that are not expected to be realized at the time of assignment. We also recognize provision for credit losses on forecast changes in the amount and timing of expected future net cash flows subsequent to assignment. The following table summarizes the provision for credit losses for each of these components:</w:t>
      </w:r>
    </w:p>
    <w:p>
      <w:pPr>
        <w:pStyle w:val="TextBody"/>
        <w:bidi w:val="0"/>
        <w:spacing w:before="0" w:after="0"/>
        <w:ind w:left="0" w:right="0" w:firstLine="360"/>
        <w:jc w:val="both"/>
        <w:rPr/>
      </w:pPr>
      <w:r>
        <w:rPr/>
      </w:r>
    </w:p>
    <w:tbl>
      <w:tblPr>
        <w:tblW w:w="6779" w:type="dxa"/>
        <w:jc w:val="center"/>
        <w:tblInd w:w="0" w:type="dxa"/>
        <w:tblLayout w:type="fixed"/>
        <w:tblCellMar>
          <w:top w:w="28" w:type="dxa"/>
          <w:left w:w="28" w:type="dxa"/>
          <w:bottom w:w="28" w:type="dxa"/>
          <w:right w:w="28" w:type="dxa"/>
        </w:tblCellMar>
      </w:tblPr>
      <w:tblGrid>
        <w:gridCol w:w="1034"/>
        <w:gridCol w:w="907"/>
        <w:gridCol w:w="909"/>
        <w:gridCol w:w="254"/>
        <w:gridCol w:w="744"/>
        <w:gridCol w:w="131"/>
        <w:gridCol w:w="131"/>
        <w:gridCol w:w="131"/>
        <w:gridCol w:w="131"/>
        <w:gridCol w:w="254"/>
        <w:gridCol w:w="744"/>
        <w:gridCol w:w="131"/>
        <w:gridCol w:w="109"/>
        <w:gridCol w:w="109"/>
        <w:gridCol w:w="109"/>
        <w:gridCol w:w="211"/>
        <w:gridCol w:w="586"/>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Provision for Credit Losses</w:t>
            </w:r>
          </w:p>
        </w:tc>
        <w:tc>
          <w:tcPr>
            <w:tcW w:w="11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Forecast changes</w:t>
            </w:r>
          </w:p>
        </w:tc>
        <w:tc>
          <w:tcPr>
            <w:tcW w:w="25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3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Consumer Loan assignments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3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3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provision for credit losses related to forecast changes during the first six months of 2026 compared to the first six months of 2025 reflected a smaller decline in Consumer Loan performance and changes in forecasted net cash flow timing. During the first six months of 2026, we decreased our estimate of future net cash flows by $48.2 million, or 0.4%, to reflect a decline in forecasted collection rates during the period and slowed our forecasted net cash flow timing to reflect lower-than-expected Consumer Loan prepayments, which remained below historical averages.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During the first six months o</w:t>
      </w:r>
      <w:r>
        <w:rPr>
          <w:rFonts w:ascii="Times New Roman;serif" w:hAnsi="Times New Roman;serif"/>
          <w:b w:val="false"/>
          <w:color w:val="000000"/>
          <w:sz w:val="18"/>
        </w:rPr>
        <w:t xml:space="preserve">f </w:t>
      </w:r>
      <w:r>
        <w:rPr>
          <w:rFonts w:ascii="Times New Roman;serif" w:hAnsi="Times New Roman;serif"/>
          <w:b w:val="false"/>
          <w:color w:val="000000"/>
          <w:sz w:val="20"/>
        </w:rPr>
        <w:t>2025, we decreased our estimate of future net cash flows by $76.7 million, or 0.7%, to reflect a decline in forecasted collection rates during the period and slowed our forecasted net cash flow timing to reflect lower-than-expected Consumer Loan prepayments, which remained below historical averages. The $76.7 million decrease in forecasted net cash flows for the first six months of 2025 was composed of an ordinary decrease in forecasted net cash flows of $58.1 million, or 0.5%, and an adjustment applied to our forecasting methodology, which upon implementation, reduced forecasted net cash flows by $18.6 million, or 0.2%, and increased our provision for credit losses by $16.5 million. Consumer Loans assigned in 2024 prior to the implementation of our scorecard adjustment during the third quarter of 2024 had underperformed relative to the forecast adjustment we implemented during the second quarter of 2024. Accordingly, during the second quarter of 2025, we applied an adjustment to that segment of the Consumer Loans assigned in 2024 to reduce forecasted collection rates to what we believed the ultimate collection rates would be based on these trends.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additional information, see </w:t>
      </w:r>
      <w:hyperlink w:anchor="i9f4c4219363a4799835bfb4671297d14_49">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to the consolidated financial statements contained in Part I - Item 1 of this Quarterly Report on Form 10-Q, which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3.8% increase in provision for credit losses on new Consumer Loan assignments was due to a 6.7% increase in the average provision per Consumer Loan assignment, partially offset by a 2.8% decrease in Consumer Loan assignment unit volume. The increase in the average provision per Consumer Loan assignment was primarily due to a higher percentage of Purchased Loans in the mix of Consumer Loan assignments received during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Interest. </w:t>
      </w:r>
      <w:r>
        <w:rPr>
          <w:rFonts w:ascii="Times New Roman;serif" w:hAnsi="Times New Roman;serif"/>
          <w:b w:val="false"/>
          <w:color w:val="000000"/>
          <w:sz w:val="20"/>
        </w:rPr>
        <w:t xml:space="preserve">The decrease in interest expense of $17.0 million, or 7.3%, was due to decreases in our average cost of debt and average outstanding debt balance.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interest expense, average outstanding debt balance, and average cost of debt for the six months ended June 30, 2026 as compared to the six months ended June 30, 2025:</w:t>
      </w:r>
    </w:p>
    <w:tbl>
      <w:tblPr>
        <w:tblW w:w="6987" w:type="dxa"/>
        <w:jc w:val="center"/>
        <w:tblInd w:w="0" w:type="dxa"/>
        <w:tblLayout w:type="fixed"/>
        <w:tblCellMar>
          <w:top w:w="28" w:type="dxa"/>
          <w:left w:w="28" w:type="dxa"/>
          <w:bottom w:w="28" w:type="dxa"/>
          <w:right w:w="28" w:type="dxa"/>
        </w:tblCellMar>
      </w:tblPr>
      <w:tblGrid>
        <w:gridCol w:w="1049"/>
        <w:gridCol w:w="921"/>
        <w:gridCol w:w="925"/>
        <w:gridCol w:w="222"/>
        <w:gridCol w:w="648"/>
        <w:gridCol w:w="285"/>
        <w:gridCol w:w="114"/>
        <w:gridCol w:w="114"/>
        <w:gridCol w:w="114"/>
        <w:gridCol w:w="222"/>
        <w:gridCol w:w="648"/>
        <w:gridCol w:w="285"/>
        <w:gridCol w:w="109"/>
        <w:gridCol w:w="109"/>
        <w:gridCol w:w="109"/>
        <w:gridCol w:w="211"/>
        <w:gridCol w:w="586"/>
        <w:gridCol w:w="316"/>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28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28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1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debt balance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cost of debt</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Provision for Income Taxes.</w:t>
      </w:r>
      <w:r>
        <w:rPr>
          <w:color w:val="000000"/>
        </w:rPr>
        <w:t> </w:t>
      </w:r>
      <w:r>
        <w:rPr>
          <w:rFonts w:ascii="Times New Roman;serif" w:hAnsi="Times New Roman;serif"/>
          <w:b w:val="false"/>
          <w:color w:val="000000"/>
          <w:sz w:val="20"/>
        </w:rPr>
        <w:t>For the six months ended June 30, 2026, our effective income tax rate decreased to 20.9% from 25.4% for the six months ended June 30, 2025. The decrease was primarily due to (i) a research and development tax credit recognized in 2026, (ii) a decrease in state and local income taxes due to a decrease in the proportion of our consolidated net income reserved for uncertain tax positions, and (iii) the reversal of previously recognized non-deductible executive compensation expenses, related to the retirement of executive officers in 2026.</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additional information, see </w:t>
      </w:r>
      <w:r>
        <w:rPr>
          <w:rFonts w:ascii="Times New Roman;serif" w:hAnsi="Times New Roman;serif"/>
          <w:b w:val="false"/>
          <w:color w:val="0000FF"/>
          <w:sz w:val="20"/>
          <w:u w:val="single"/>
        </w:rPr>
        <w:t>Note 10</w:t>
      </w:r>
      <w:r>
        <w:rPr>
          <w:color w:val="000000"/>
        </w:rPr>
        <w:t xml:space="preserve"> </w:t>
      </w:r>
      <w:r>
        <w:rPr>
          <w:rFonts w:ascii="Times New Roman;serif" w:hAnsi="Times New Roman;serif"/>
          <w:b w:val="false"/>
          <w:color w:val="000000"/>
          <w:sz w:val="20"/>
        </w:rPr>
        <w:t>to the consolidated financial statements contained in Part I - Item 1 of this Quarterly Report on Form 10-Q, which i</w:t>
      </w:r>
      <w:r>
        <w:rPr>
          <w:rFonts w:ascii="Times New Roman;serif" w:hAnsi="Times New Roman;serif"/>
          <w:b w:val="false"/>
          <w:color w:val="000000"/>
          <w:sz w:val="20"/>
          <w:shd w:fill="FFFFFF" w:val="clear"/>
        </w:rPr>
        <w:t>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We need capital to maintain and grow our business and seek to access such capital on acceptable terms by maintaining consistent financial performance, modest financial leverage, and multiple funding sources. Our primary sources of capital are cash flows from operating activities, collections of Consumer Loans, and borrowings under: (1) our revolving secured line of credit facility; (2) Warehouse facilities; (3) Term ABS financings; and (4) senior notes. There are various restrictive covenants to which we are subject under each financing arrangement, and we were in compliance with those covenants as of June 30, 2026. For information regarding these financings and the covenants included in the related documents, see </w:t>
      </w:r>
      <w:hyperlink w:anchor="i9f4c4219363a4799835bfb4671297d14_58">
        <w:r>
          <w:rPr>
            <w:rStyle w:val="InternetLink"/>
            <w:rFonts w:ascii="Times New Roman;serif" w:hAnsi="Times New Roman;serif"/>
            <w:b w:val="false"/>
            <w:color w:val="0000FF"/>
            <w:sz w:val="20"/>
            <w:u w:val="single"/>
          </w:rPr>
          <w:t>Note 9</w:t>
        </w:r>
      </w:hyperlink>
      <w:r>
        <w:rPr>
          <w:color w:val="000000"/>
        </w:rPr>
        <w:t xml:space="preserve"> </w:t>
      </w:r>
      <w:r>
        <w:rPr>
          <w:rFonts w:ascii="Times New Roman;serif" w:hAnsi="Times New Roman;serif"/>
          <w:b w:val="false"/>
          <w:color w:val="000000"/>
          <w:sz w:val="20"/>
        </w:rPr>
        <w:t>to the consolidated financial statements contained in Part I - Item 1 of this Quarterly Report on Form 10-Q, which is incorporated herein by reference.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endeavor to operate conservatively, with low leverage and significant unused capacity on our revolving credit facilities. While forecasting collection rates involves inherent uncertainty, particularly in periods of economic volatility, our operating model is designed to maintain appropriate margins of safety across the portfolio.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securitization structures incorporate multiple forms of credit enhancement, including overcollateralization, subordination, and reserve accounts. Historically, our securitization trusts have paid all required principal and interest on time and have not experienced early amortization or other adverse performance events. Based on current estimates, we believe expected cash flows from our portfolio provide substantial coverage relative to our obligations.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15, 2026, we extended the date on which our $100.0 million Term ABS 2021-1 financing will cease to revolve from February 17, 2026 to January 18, 2028. The interest rate on borrowings under the financing was decreased from the Secured Overnight Financing Rate (“SOFR”) plus 220 basis points to SOFR plus 140 basis points.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5, 2026, we completed a $450.0 million Term ABS financing, which was used to repay outstanding indebtedness and for general corporate purposes. The financing has an expected average annualized cost of 5.2% (including upfront fees and other costs), and it will revolve for 24 months, after which it will amortize based upon the cash flows on the underlying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9, 2026, we extended the maturity of our revolving secured line of credit facility from June 22, 2028 to June 22, 2029. The interest rate on borrowings under the facility was decreased from (i) at our option, SOFR plus 197.5 basis points or the prime rate plus 87.5 basis points to (ii) at our option, SOFR plus 175.0 basis points or the prime rate plus 75.0 basis points.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were $1.4 million as of June 30, 2026 and $22.8 million as of December 31, 2025. As of June 30, 2026 and December 31, 2025, we had $1,432.2 million and $1,627.7 million, respectively, in unused and available revolving lines of credit. Our total balance sheet indebtedness as of June 30, 2026 and December 31, 2025 was $6,286.2 million and $6,353.9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scheduled principal debt maturities as of June 30, 2026 is as follows:</w:t>
      </w:r>
    </w:p>
    <w:tbl>
      <w:tblPr>
        <w:tblW w:w="5021" w:type="dxa"/>
        <w:jc w:val="left"/>
        <w:tblInd w:w="0" w:type="dxa"/>
        <w:tblLayout w:type="fixed"/>
        <w:tblCellMar>
          <w:top w:w="28" w:type="dxa"/>
          <w:left w:w="28" w:type="dxa"/>
          <w:bottom w:w="28" w:type="dxa"/>
          <w:right w:w="28" w:type="dxa"/>
        </w:tblCellMar>
      </w:tblPr>
      <w:tblGrid>
        <w:gridCol w:w="608"/>
        <w:gridCol w:w="533"/>
        <w:gridCol w:w="539"/>
        <w:gridCol w:w="109"/>
        <w:gridCol w:w="109"/>
        <w:gridCol w:w="109"/>
        <w:gridCol w:w="562"/>
        <w:gridCol w:w="2042"/>
        <w:gridCol w:w="410"/>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Scheduled Principal Debt Maturities (1)</w:t>
            </w:r>
          </w:p>
        </w:tc>
      </w:tr>
      <w:tr>
        <w:trPr/>
        <w:tc>
          <w:tcPr>
            <w:tcW w:w="168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1,352.2 </w:t>
            </w:r>
          </w:p>
        </w:tc>
        <w:tc>
          <w:tcPr>
            <w:tcW w:w="4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2"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6,314.8 </w:t>
            </w:r>
          </w:p>
        </w:tc>
        <w:tc>
          <w:tcPr>
            <w:tcW w:w="410"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principal maturities of certain financings are estimated based on forecasted collections.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upon anticipated cash flows, management believes that cash flows from operations and our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 Item 7 of our Annual Report on Form 10-K for the year ended December 31, 2025 discusses several critical accounting estimates, which we believe involve a high degree of judgment and complexity. There have been no material changes to the estimates and assumptions associated with these critical accounting estimates from those discussed in our Annual Report on Form 10-K for the year ended December 31, 2025.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make forward-looking statements in this report and may make such statements in future filings with the Securities and Exchange Commission (“SEC”).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our Annual Report on Form 10-K for the year ended December 31, 2025, other risk factors discussed herein or listed from time to time in our reports filed with the SEC, and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Industry, Operational, and Macroeconomic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accurately forecast and estimate the amount and timing of future collections could have a material adverse effect on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Due to competition from traditional financing sources and non-traditional lenders, we may not be able to compete successfully.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Reliance on third parties to administer our ancillary product offerings could adversely affect our business and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dependent on our senior management, and the loss of any of these individuals or an inability to hire additional team members could adversely affect our ability to operate profitably.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reputation is a key asset to our business, and our business may be affected by how we are perceived in the marketplace.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outbreak of contagious disease or other public health emergency could materially and adversely affect our business, financial condition, liquidity,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concentration of Dealers in several states could adversely affect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Reliance on our outsourced business functions could adversely affect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hire and retain foreign engineering personnel could be hindered by immigration restrictions.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execute our business strategy due to current economic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Natural disasters, climate change, military conflicts, acts of war, terrorist attacks and threats, or the escalation of military activity in response to terrorist attacks or otherwise may negatively affect our business,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Governmental or market responses to climate change and related environmental issues could have a material adverse effect on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small number of our shareholders have the ability to significantly influence matters requiring shareholder approval and such shareholders have interests which may conflict with the interests of our other security holders.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Capital and Liquidity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continue to access or renew funding sources and obtain capital needed to maintain and grow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terms of our debt limit how we conduct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violation of the terms of our asset-backed secured financings or revolving secured warehouse facilities could have a material adverse impact on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substantial debt could negatively impact our business, prevent us from satisfying our debt obligations, and adversely affect our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generate sufficient cash flows to service our outstanding debt and fund operations and may be forced to take other actions to satisfy our obligations under such debt.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rate fluctuations may adversely affect our borrowing costs, profitability, and liquidity.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Reduction in our credit rating could increase the cost of our funding from, and restrict our access to, the capital markets and adversely affect our liquidity,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incur substantially more debt and other liabilities. This could exacerbate further the risks associated with our current debt levels.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u w:val="single"/>
        </w:rPr>
        <w:t>Technology and Cybersecurity Risks</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technology could have a material adverse effect on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depend on secure information technology, and a breach of our systems or those of our third-party service providers could result in our experiencing significant financial, legal, and reputational exposure and could materially adversely affect our business,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use of electronic contracts could impact our ability to perfect our ownership or security interest in Consumer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properly safeguard our proprietary business information or confidential consumer and team member personal information could subject us to liability, decrease our profitability, and damage our reputation.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and use of artificial intelligence presents risks and challenges that may adversely impact our business.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Legal and Regulatory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Litigation we are involved in from time to time may adversely affect our financial condition, results of operations,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and the resolution of uncertain income tax matters could have a material adverse effect on our results of operations and cash flows from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regulations to which we are or may become subject could result in a material adverse effect on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our Annual Report on Form 10-K for the year ended December 31, 2025 for a complete discussion of our market risk. There have been no material changes to the market risk information included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(a) </w:t>
      </w:r>
      <w:r>
        <w:rPr>
          <w:rFonts w:ascii="Times New Roman;serif" w:hAnsi="Times New Roman;serif"/>
          <w:b w:val="false"/>
          <w:i/>
          <w:color w:val="000000"/>
          <w:sz w:val="20"/>
        </w:rPr>
        <w:t>Disclosure Controls and Procedures.</w:t>
      </w:r>
      <w:r>
        <w:rPr>
          <w:color w:val="000000"/>
        </w:rPr>
        <w:t xml:space="preserve"> </w:t>
      </w:r>
      <w:r>
        <w:rPr>
          <w:rFonts w:ascii="Times New Roman;serif" w:hAnsi="Times New Roman;serif"/>
          <w:b w:val="false"/>
          <w:color w:val="000000"/>
          <w:sz w:val="20"/>
        </w:rPr>
        <w:t>Our management, with the participation of our principal executive and principal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principal executive officer and principal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Internal Control Over Financial Reporting.</w:t>
      </w:r>
      <w:r>
        <w:rPr>
          <w:color w:val="000000"/>
        </w:rPr>
        <w:t xml:space="preserve"> </w:t>
      </w:r>
      <w:r>
        <w:rPr>
          <w:rFonts w:ascii="Times New Roman;serif" w:hAnsi="Times New Roman;serif"/>
          <w:b w:val="false"/>
          <w:color w:val="000000"/>
          <w:sz w:val="20"/>
        </w:rPr>
        <w:t>There have not been any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5"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under the TCPA,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the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or they may file individual arbitration demands for which arbitration providers may request separate filing fees. An adverse ultimate disposition in any action to which we are a party or otherwise subject, or the requirement to pay filing fees for a large number of individual arbitration demands, could have a material adverse impact on our financial position, liquidity, and results of operations.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a description of significant litigation to which we are a party, see </w:t>
      </w:r>
      <w:hyperlink w:anchor="i9f4c4219363a4799835bfb4671297d14_76">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color w:val="000000"/>
          <w:sz w:val="20"/>
        </w:rPr>
        <w:t>to the consolidated financial statements contained in Part I - Item 1 of this Quarterly Report on Form 10-Q,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Stock Repurchases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stock repurchases for the three months ended June 30, 2026:</w:t>
      </w:r>
    </w:p>
    <w:p>
      <w:pPr>
        <w:pStyle w:val="TextBody"/>
        <w:bidi w:val="0"/>
        <w:spacing w:before="0" w:after="0"/>
        <w:ind w:left="0" w:right="0" w:firstLine="360"/>
        <w:jc w:val="both"/>
        <w:rPr/>
      </w:pPr>
      <w:r>
        <w:rPr/>
      </w:r>
    </w:p>
    <w:p>
      <w:pPr>
        <w:pStyle w:val="TextBody"/>
        <w:bidi w:val="0"/>
        <w:spacing w:lineRule="auto" w:line="288" w:before="0" w:after="14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ISSUER PURCHASES OF EQUITY SECURITIES</w:t>
      </w:r>
    </w:p>
    <w:tbl>
      <w:tblPr>
        <w:tblW w:w="10205" w:type="dxa"/>
        <w:jc w:val="left"/>
        <w:tblInd w:w="0" w:type="dxa"/>
        <w:tblLayout w:type="fixed"/>
        <w:tblCellMar>
          <w:top w:w="28" w:type="dxa"/>
          <w:left w:w="28" w:type="dxa"/>
          <w:bottom w:w="28" w:type="dxa"/>
          <w:right w:w="28" w:type="dxa"/>
        </w:tblCellMar>
      </w:tblPr>
      <w:tblGrid>
        <w:gridCol w:w="358"/>
        <w:gridCol w:w="316"/>
        <w:gridCol w:w="319"/>
        <w:gridCol w:w="109"/>
        <w:gridCol w:w="109"/>
        <w:gridCol w:w="109"/>
        <w:gridCol w:w="627"/>
        <w:gridCol w:w="437"/>
        <w:gridCol w:w="439"/>
        <w:gridCol w:w="109"/>
        <w:gridCol w:w="109"/>
        <w:gridCol w:w="109"/>
        <w:gridCol w:w="287"/>
        <w:gridCol w:w="984"/>
        <w:gridCol w:w="148"/>
        <w:gridCol w:w="109"/>
        <w:gridCol w:w="109"/>
        <w:gridCol w:w="109"/>
        <w:gridCol w:w="948"/>
        <w:gridCol w:w="787"/>
        <w:gridCol w:w="790"/>
        <w:gridCol w:w="109"/>
        <w:gridCol w:w="109"/>
        <w:gridCol w:w="109"/>
        <w:gridCol w:w="756"/>
        <w:gridCol w:w="701"/>
        <w:gridCol w:w="1000"/>
      </w:tblGrid>
      <w:tr>
        <w:trPr/>
        <w:tc>
          <w:tcPr>
            <w:tcW w:w="3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of Shares that May Yet Be Purchased Under the Plans or Programs (2)</w:t>
            </w:r>
          </w:p>
        </w:tc>
      </w:tr>
      <w:tr>
        <w:trPr/>
        <w:tc>
          <w:tcPr>
            <w:tcW w:w="993"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43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8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517.48 </w:t>
            </w:r>
          </w:p>
        </w:tc>
        <w:tc>
          <w:tcPr>
            <w:tcW w:w="14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1,411,075</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257,826 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257,457 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1,153,618</w:t>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1,153,618</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262,963 </w:t>
            </w:r>
          </w:p>
        </w:tc>
        <w:tc>
          <w:tcPr>
            <w:tcW w:w="439"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257,457 </w:t>
            </w:r>
          </w:p>
        </w:tc>
        <w:tc>
          <w:tcPr>
            <w:tcW w:w="790" w:type="dxa"/>
            <w:tcBorders>
              <w:top w:val="single" w:sz="1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Average price paid per share excludes excise tax. Our share repurchases in excess of issuances are subject to a 1% excise tax, which is recognized as part of the cost basis of the shares acquired in the Consolidated Statements of Shareholders’ Equity.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On September 29, 2025, our board of directors authorized the repurchase by us from time to time of up to two million shares of our common stock (the "September 2025 Authorization"). The September 2025 Authorization, which was announced on September 30, 2025, does not have a specified expiration date. Repurchases under the September 2025 Authorization may be made in the open market, through privately negotiated transactions, through block trades, pursuant to trading plans adopted in accordance with Rule 10b5</w:t>
        <w:noBreakHyphen/>
        <w:t xml:space="preserve">1 under the Securities Exchange Act of 1934 or otherwise.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Consists of shares of common stock released to us by team members as payment of tax withholdings upon the settlement of restricted stock units in shares of common stock and the vesting of restricted stock units.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Includes 369 shares of common stock released to us by team members as payment of tax withholdings upon the settlement of restricted stock units in common stock and the vesting of restricted stock units.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Includes 1,388 shares of common stock released to us by team members as payment of tax withholdings upon the settlement of restricted stock units in shares of common stock and the vesting of restricted stock units and 3,216 shares of common stock as payment for the exercise price of stock options and the related tax withholdings upon the exercise of stock options.</w:t>
      </w:r>
    </w:p>
    <w:p>
      <w:pPr>
        <w:pStyle w:val="TextBody"/>
        <w:bidi w:val="0"/>
        <w:spacing w:before="0" w:after="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7"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there were no Rule 10b5</w:t>
        <w:noBreakHyphen/>
        <w:t>1 trading arrangements (as defined in Item 408(a) of Regulation S</w:t>
        <w:noBreakHyphen/>
        <w:t>K) or non</w:t>
        <w:noBreakHyphen/>
        <w:t>Rule 10b5</w:t>
        <w:noBreakHyphen/>
        <w:t>1 trading arrangements (as defined in Item 408(c) of Regulation S</w:t>
        <w:noBreakHyphen/>
        <w:t>K) adopted or terminated by any director or officer (as defined in Rule 16a</w:t>
        <w:noBreakHyphen/>
        <w:t>1(f) under the Exchange Act) of Credit Acceptance Corporation.</w:t>
      </w:r>
    </w:p>
    <w:p>
      <w:pPr>
        <w:pStyle w:val="TextBody"/>
        <w:bidi w:val="0"/>
        <w:spacing w:before="0" w:after="0"/>
        <w:jc w:val="both"/>
        <w:rPr/>
      </w:pPr>
      <w:r>
        <w:rPr/>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5"/>
        <w:gridCol w:w="242"/>
        <w:gridCol w:w="243"/>
        <w:gridCol w:w="2786"/>
        <w:gridCol w:w="2743"/>
        <w:gridCol w:w="3916"/>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9445"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760" w:type="dxa"/>
            <w:gridSpan w:val="3"/>
            <w:tcBorders/>
            <w:vAlign w:val="center"/>
          </w:tcPr>
          <w:p>
            <w:pPr>
              <w:pStyle w:val="TableContents"/>
              <w:bidi w:val="0"/>
              <w:spacing w:before="0" w:after="283"/>
              <w:jc w:val="left"/>
              <w:rPr>
                <w:sz w:val="4"/>
                <w:szCs w:val="4"/>
              </w:rPr>
            </w:pPr>
            <w:r>
              <w:rPr>
                <w:sz w:val="4"/>
                <w:szCs w:val="4"/>
              </w:rPr>
            </w:r>
          </w:p>
        </w:tc>
        <w:tc>
          <w:tcPr>
            <w:tcW w:w="9445" w:type="dxa"/>
            <w:gridSpan w:val="3"/>
            <w:tcBorders/>
            <w:vAlign w:val="center"/>
          </w:tcPr>
          <w:p>
            <w:pPr>
              <w:pStyle w:val="TableContents"/>
              <w:bidi w:val="0"/>
              <w:spacing w:before="0" w:after="283"/>
              <w:jc w:val="left"/>
              <w:rPr>
                <w:sz w:val="4"/>
                <w:szCs w:val="4"/>
              </w:rPr>
            </w:pPr>
            <w:r>
              <w:rPr>
                <w:sz w:val="4"/>
                <w:szCs w:val="4"/>
              </w:rPr>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4.141</w:t>
              </w:r>
            </w:hyperlink>
          </w:p>
        </w:tc>
        <w:tc>
          <w:tcPr>
            <w:tcW w:w="9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May 5, 2026, between Credit Acceptance Auto Loan Trust 2026-1 and Computershare Trust Company, N.A. (incorporated by reference to Exhibit 4.141 to the Company’s Current Report on Form 8-K filed on May 11, 2026).</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20"/>
                  <w:u w:val="single"/>
                </w:rPr>
                <w:t>4.142</w:t>
              </w:r>
            </w:hyperlink>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Backup Servicing Agreement, dated as of May 5, 2026, among the Company, Credit Acceptance Funding LLC 2026-1, Credit Acceptance Auto Loan Trust 2026-1, and Computershare Trust Company, N.A. (incorporated by reference to Exhibit 4.142 to the Company’s Current Report on Form 8-K filed on May 11, 2026).</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4.143</w:t>
              </w:r>
            </w:hyperlink>
          </w:p>
        </w:tc>
        <w:tc>
          <w:tcPr>
            <w:tcW w:w="9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Intercreditor Agreement, dated May 5, 2026, among the Company, CAC Warehouse Funding LLC II, CAC Warehouse Funding LLC IV, CAC Warehouse Funding LLC V, CAC Warehouse Funding LLC VI, CAC Warehouse Funding LLC VIII, Credit Acceptance Funding LLC 2026-1, Credit Acceptance Funding LLC 2025-2, Credit Acceptance Funding LLC 2025-1, Credit Acceptance Funding LLC 2024-B, Credit Acceptance Funding LLC 2024-3, Credit Acceptance Funding LLC 2024-2, Credit Acceptance Funding LLC 2024-1, Credit Acceptance Funding LLC 2024-A, Credit Acceptance Funding LLC 2023-5, Credit Acceptance Funding LLC 2023-3, Credit Acceptance Funding LLC 2023-2, Credit Acceptance Funding LLC 2023-1, Credit Acceptance Funding LLC 2022-3, Credit Acceptance Funding LLC 2022-2, Credit Acceptance Funding LLC 2022-1, Credit Acceptance Funding LLC 2021-1, Credit Acceptance Funding LLC 2019-2, Credit Acceptance Auto Loan Trust 2026-1, Credit Acceptance Auto Loan Trust 2025-2, Credit Acceptance Auto Loan Trust 2025-1, Credit Acceptance Auto Loan Trust 2024-3, Credit Acceptance Auto Loan Trust 2024-2, Credit Acceptance Auto Loan Trust 2024-1, Credit Acceptance Auto Loan Trust 2024-A, Credit Acceptance Auto Loan Trust 2023-5, Credit Acceptance Auto Loan Trust 2023-3, Credit Acceptance Auto Loan Trust 2023-2, Credit Acceptance Auto Loan Trust 2023-1, Credit Acceptance Auto Loan Trust 2022-3, Credit Acceptance Auto Loan Trust 2022-1, Computershare Trust Company, N.A., as trustee, Bank of Montreal, as agent, Fifth Third Bank, National Association, as agent, Flagstar Bank, National Association, as agent, Fifth Third Bank, N.A., successor by merger to Comerica Bank, as agent, and Citizens Bank, N.A., as agent (incorporated by reference to Exhibit 4.143 to the Company’s Current Report on Form 8-K filed on May 11, 2026).</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20"/>
                  <w:u w:val="single"/>
                </w:rPr>
                <w:t>4.144</w:t>
              </w:r>
            </w:hyperlink>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Sale and Contribution Agreement, dated as of May 5, 2026, between the Company and Credit Acceptance Funding LLC 2026-1 (incorporated by reference to Exhibit 4.144 to the Company’s Current Report on Form 8-K filed on May 11, 2026).</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4.145</w:t>
              </w:r>
            </w:hyperlink>
          </w:p>
        </w:tc>
        <w:tc>
          <w:tcPr>
            <w:tcW w:w="9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Trust Agreement, dated as of May 5, 2026, among Credit Acceptance Funding LLC 2026-1, each of the initial members of the Board of Trustees of the Trust, and Computershare Delaware Trust Company (incorporated by reference to Exhibit 4.145 to the Company’s Current Report on Form 8-K filed on May 11, 2026).</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20"/>
                  <w:u w:val="single"/>
                </w:rPr>
                <w:t>4.146</w:t>
              </w:r>
            </w:hyperlink>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Sale and Servicing Agreement, dated as of May 5, 2026, among the Company, Credit Acceptance Auto Loan Trust 2026-1, Credit Acceptance Funding LLC 2026-1, and Computershare Trust Company, N.A. (incorporated by reference to Exhibit 4.146 to the Company’s Current Report on Form 8-K filed on May 11, 2026).</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4.147</w:t>
              </w:r>
            </w:hyperlink>
          </w:p>
        </w:tc>
        <w:tc>
          <w:tcPr>
            <w:tcW w:w="9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Fifteenth Amendment to Sixth Amended and Restated Credit Agreement, dated as of June 9, 2026, among the Company, Fifth Third Bank, N.A., successor by merger to Comerica Bank, and the other banks signatory thereto, and Fifth Third Bank, N.A., successor by merger to Comerica Bank, as administrative agent for the banks (incorporated by reference to Exhibit 4.147 to the Company’s Current Report on Form 8-K filed on June 15, 2026).</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cacc-20260630xex31a.htm">
              <w:r>
                <w:rPr>
                  <w:rStyle w:val="InternetLink"/>
                  <w:rFonts w:ascii="Times New Roman;serif" w:hAnsi="Times New Roman;serif"/>
                  <w:b w:val="false"/>
                  <w:color w:val="0000FF"/>
                  <w:sz w:val="20"/>
                  <w:u w:val="single"/>
                </w:rPr>
                <w:t>31.1</w:t>
              </w:r>
            </w:hyperlink>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Section 302 of the Sarbanes-Oxley Act of 2002.</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acc-20260630xex31b.htm">
              <w:r>
                <w:rPr>
                  <w:rStyle w:val="InternetLink"/>
                  <w:rFonts w:ascii="Times New Roman;serif" w:hAnsi="Times New Roman;serif"/>
                  <w:b w:val="false"/>
                  <w:color w:val="0000FF"/>
                  <w:sz w:val="20"/>
                  <w:u w:val="single"/>
                </w:rPr>
                <w:t>31.2</w:t>
              </w:r>
            </w:hyperlink>
          </w:p>
        </w:tc>
        <w:tc>
          <w:tcPr>
            <w:tcW w:w="9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cacc-20260630xex32a.htm">
              <w:r>
                <w:rPr>
                  <w:rStyle w:val="InternetLink"/>
                  <w:rFonts w:ascii="Times New Roman;serif" w:hAnsi="Times New Roman;serif"/>
                  <w:b w:val="false"/>
                  <w:color w:val="0000FF"/>
                  <w:sz w:val="20"/>
                  <w:u w:val="single"/>
                </w:rPr>
                <w:t>32.1</w:t>
              </w:r>
            </w:hyperlink>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18 U.S.C. Section 1350, as adopted pursuant to Section 906 of the Sarbanes-Oxley Act of 2002.</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acc-20260630xex32b.htm">
              <w:r>
                <w:rPr>
                  <w:rStyle w:val="InternetLink"/>
                  <w:rFonts w:ascii="Times New Roman;serif" w:hAnsi="Times New Roman;serif"/>
                  <w:b w:val="false"/>
                  <w:color w:val="0000FF"/>
                  <w:sz w:val="20"/>
                  <w:u w:val="single"/>
                </w:rPr>
                <w:t>32.2</w:t>
              </w:r>
            </w:hyperlink>
          </w:p>
        </w:tc>
        <w:tc>
          <w:tcPr>
            <w:tcW w:w="9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9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9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4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(included in the Exhibit 101 Inline XBRL Document Set).</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4c4219363a4799835bfb4671297d1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4896" w:type="dxa"/>
        <w:jc w:val="left"/>
        <w:tblInd w:w="0" w:type="dxa"/>
        <w:tblLayout w:type="fixed"/>
        <w:tblCellMar>
          <w:top w:w="28" w:type="dxa"/>
          <w:left w:w="28" w:type="dxa"/>
          <w:bottom w:w="28" w:type="dxa"/>
          <w:right w:w="28" w:type="dxa"/>
        </w:tblCellMar>
      </w:tblPr>
      <w:tblGrid>
        <w:gridCol w:w="124"/>
        <w:gridCol w:w="109"/>
        <w:gridCol w:w="109"/>
        <w:gridCol w:w="589"/>
        <w:gridCol w:w="589"/>
        <w:gridCol w:w="589"/>
        <w:gridCol w:w="804"/>
        <w:gridCol w:w="804"/>
        <w:gridCol w:w="8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ACCEPTANCE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Billante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Billante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9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u w:val="single"/>
        </w:rPr>
      </w:pPr>
      <w:r>
        <w:rPr>
          <w:rFonts w:ascii="Times New Roman;serif" w:hAnsi="Times New Roman;serif"/>
          <w:b/>
          <w:i/>
          <w:color w:val="000000"/>
          <w:sz w:val="20"/>
          <w:u w:val="single"/>
        </w:rPr>
        <w:t>CERTIFICATIONS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Vinayak R. Hegde, certify that: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Credit Acceptance Corporation;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03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809"/>
        <w:gridCol w:w="809"/>
        <w:gridCol w:w="81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Vinayak R. Hegde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Vinayak R. Hegde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9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u w:val="single"/>
        </w:rPr>
      </w:pPr>
      <w:r>
        <w:rPr>
          <w:rFonts w:ascii="Times New Roman;serif" w:hAnsi="Times New Roman;serif"/>
          <w:b/>
          <w:i/>
          <w:color w:val="000000"/>
          <w:sz w:val="20"/>
          <w:u w:val="single"/>
        </w:rPr>
        <w:t>CERTIFICATIONS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Joseph Billante III, certify that: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Credit Acceptance Corporation;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497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789"/>
        <w:gridCol w:w="789"/>
        <w:gridCol w:w="79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Billante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Billante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Credit Acceptance Corporation (the “Company”) for the quarterly period ended June 30, 2026 (the “Report”), I, Vinayak R. Hegde, as Chief Executive Officer of the Company, hereby certify, pursuant to 18 U.S.C. §1350, as adopted pursuant to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w:t>
      </w:r>
    </w:p>
    <w:p>
      <w:pPr>
        <w:pStyle w:val="TextBody"/>
        <w:bidi w:val="0"/>
        <w:spacing w:lineRule="auto" w:line="288" w:before="0" w:after="0"/>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firstLine="765"/>
        <w:jc w:val="both"/>
        <w:rPr/>
      </w:pPr>
      <w:r>
        <w:rPr/>
      </w:r>
    </w:p>
    <w:p>
      <w:pPr>
        <w:pStyle w:val="TextBody"/>
        <w:bidi w:val="0"/>
        <w:spacing w:before="0" w:after="0"/>
        <w:ind w:left="0" w:right="0" w:firstLine="765"/>
        <w:jc w:val="both"/>
        <w:rPr/>
      </w:pPr>
      <w:r>
        <w:rPr/>
      </w:r>
    </w:p>
    <w:p>
      <w:pPr>
        <w:pStyle w:val="TextBody"/>
        <w:bidi w:val="0"/>
        <w:spacing w:before="0" w:after="0"/>
        <w:jc w:val="left"/>
        <w:rPr/>
      </w:pPr>
      <w:r>
        <w:rPr/>
      </w:r>
    </w:p>
    <w:tbl>
      <w:tblPr>
        <w:tblW w:w="5076"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809"/>
        <w:gridCol w:w="809"/>
        <w:gridCol w:w="811"/>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Vinayak R. Hegde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Vinayak R. Hegde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Credit Acceptance Corporation (the “Company”) for the quarterly period ended June 30, 2026 (the “Report”), I, Joseph Billante III, as Chief Financial Officer of the Company, hereby certify, pursuant to 18 U.S.C. §1350, as adopted pursuant to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w:t>
      </w:r>
    </w:p>
    <w:p>
      <w:pPr>
        <w:pStyle w:val="TextBody"/>
        <w:bidi w:val="0"/>
        <w:spacing w:lineRule="auto" w:line="288" w:before="0" w:after="0"/>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firstLine="765"/>
        <w:jc w:val="both"/>
        <w:rPr/>
      </w:pPr>
      <w:r>
        <w:rPr/>
      </w:r>
    </w:p>
    <w:p>
      <w:pPr>
        <w:pStyle w:val="TextBody"/>
        <w:bidi w:val="0"/>
        <w:spacing w:before="0" w:after="0"/>
        <w:ind w:left="0" w:right="0" w:firstLine="765"/>
        <w:jc w:val="both"/>
        <w:rPr/>
      </w:pPr>
      <w:r>
        <w:rPr/>
      </w:r>
    </w:p>
    <w:p>
      <w:pPr>
        <w:pStyle w:val="TextBody"/>
        <w:bidi w:val="0"/>
        <w:spacing w:before="0" w:after="0"/>
        <w:jc w:val="left"/>
        <w:rPr/>
      </w:pPr>
      <w:r>
        <w:rPr/>
      </w:r>
    </w:p>
    <w:tbl>
      <w:tblPr>
        <w:tblW w:w="5016"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789"/>
        <w:gridCol w:w="789"/>
        <w:gridCol w:w="791"/>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Billante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Billante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5550/000088555026000098/cacc_8k20260505ia.htm" TargetMode="External"/><Relationship Id="rId3" Type="http://schemas.openxmlformats.org/officeDocument/2006/relationships/hyperlink" Target="https://www.sec.gov/Archives/edgar/data/885550/000088555026000098/cacc_8k20260505bsa.htm" TargetMode="External"/><Relationship Id="rId4" Type="http://schemas.openxmlformats.org/officeDocument/2006/relationships/hyperlink" Target="https://www.sec.gov/Archives/edgar/data/885550/000088555026000098/cacc_8k20260505aria.htm" TargetMode="External"/><Relationship Id="rId5" Type="http://schemas.openxmlformats.org/officeDocument/2006/relationships/hyperlink" Target="https://www.sec.gov/Archives/edgar/data/885550/000088555026000098/cacc_8k20260505sca.htm" TargetMode="External"/><Relationship Id="rId6" Type="http://schemas.openxmlformats.org/officeDocument/2006/relationships/hyperlink" Target="https://www.sec.gov/Archives/edgar/data/885550/000088555026000098/cacc_8k20260505arta.htm" TargetMode="External"/><Relationship Id="rId7" Type="http://schemas.openxmlformats.org/officeDocument/2006/relationships/hyperlink" Target="https://www.sec.gov/Archives/edgar/data/885550/000088555026000098/cacc_8k20260505ssa.htm" TargetMode="External"/><Relationship Id="rId8" Type="http://schemas.openxmlformats.org/officeDocument/2006/relationships/hyperlink" Target="https://www.sec.gov/Archives/edgar/data/885550/000088555026000147/cacc_8k20260609rca.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32541</Words>
  <Characters>171285</Characters>
  <CharactersWithSpaces>200552</CharactersWithSpaces>
  <Paragraphs>6905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