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Arial" w:cs="Arial" w:eastAsia="Arial" w:hAnsi="Arial"/>
          <w:sz w:val="15"/>
          <w:szCs w:val="15"/>
          <w:b w:val="1"/>
          <w:bCs w:val="1"/>
          <w:color w:val="auto"/>
        </w:rPr>
        <w:t>_________________________________________________________________________________________________________________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480" w:hanging="322"/>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8"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6" w:lineRule="exact"/>
        <w:rPr>
          <w:sz w:val="24"/>
          <w:szCs w:val="24"/>
          <w:color w:val="auto"/>
        </w:rPr>
      </w:pPr>
    </w:p>
    <w:p>
      <w:pPr>
        <w:ind w:left="180" w:right="1760" w:hanging="22"/>
        <w:spacing w:after="0" w:line="363" w:lineRule="auto"/>
        <w:tabs>
          <w:tab w:leader="none" w:pos="48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 to 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000-20202</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CREDIT ACCEPTANCE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4920" w:type="dxa"/>
            <w:vAlign w:val="bottom"/>
            <w:gridSpan w:val="3"/>
          </w:tcPr>
          <w:p>
            <w:pPr>
              <w:jc w:val="center"/>
              <w:ind w:left="1277"/>
              <w:spacing w:after="0"/>
              <w:rPr>
                <w:sz w:val="20"/>
                <w:szCs w:val="20"/>
                <w:color w:val="auto"/>
              </w:rPr>
            </w:pPr>
            <w:r>
              <w:rPr>
                <w:rFonts w:ascii="Arial" w:cs="Arial" w:eastAsia="Arial" w:hAnsi="Arial"/>
                <w:sz w:val="18"/>
                <w:szCs w:val="18"/>
                <w:b w:val="1"/>
                <w:bCs w:val="1"/>
                <w:color w:val="auto"/>
                <w:w w:val="92"/>
              </w:rPr>
              <w:t>Michigan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9"/>
              </w:rPr>
              <w:t>38-1999511</w:t>
            </w:r>
          </w:p>
        </w:tc>
      </w:tr>
      <w:tr>
        <w:trPr>
          <w:trHeight w:val="180"/>
        </w:trPr>
        <w:tc>
          <w:tcPr>
            <w:tcW w:w="4920" w:type="dxa"/>
            <w:vAlign w:val="bottom"/>
            <w:gridSpan w:val="3"/>
          </w:tcPr>
          <w:p>
            <w:pPr>
              <w:jc w:val="center"/>
              <w:ind w:left="1277"/>
              <w:spacing w:after="0"/>
              <w:rPr>
                <w:sz w:val="20"/>
                <w:szCs w:val="20"/>
                <w:color w:val="auto"/>
              </w:rPr>
            </w:pPr>
            <w:r>
              <w:rPr>
                <w:rFonts w:ascii="Arial" w:cs="Arial" w:eastAsia="Arial" w:hAnsi="Arial"/>
                <w:sz w:val="14"/>
                <w:szCs w:val="14"/>
                <w:i w:val="1"/>
                <w:iCs w:val="1"/>
                <w:color w:val="auto"/>
                <w:w w:val="95"/>
              </w:rPr>
              <w:t>(State or other jurisdiction of incorporation or organization)</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 Identification No.)</w:t>
            </w:r>
          </w:p>
        </w:tc>
      </w:tr>
      <w:tr>
        <w:trPr>
          <w:trHeight w:val="456"/>
        </w:trPr>
        <w:tc>
          <w:tcPr>
            <w:tcW w:w="4920" w:type="dxa"/>
            <w:vAlign w:val="bottom"/>
            <w:gridSpan w:val="3"/>
          </w:tcPr>
          <w:p>
            <w:pPr>
              <w:jc w:val="center"/>
              <w:ind w:left="1297"/>
              <w:spacing w:after="0"/>
              <w:rPr>
                <w:sz w:val="20"/>
                <w:szCs w:val="20"/>
                <w:color w:val="auto"/>
              </w:rPr>
            </w:pPr>
            <w:r>
              <w:rPr>
                <w:rFonts w:ascii="Arial" w:cs="Arial" w:eastAsia="Arial" w:hAnsi="Arial"/>
                <w:sz w:val="18"/>
                <w:szCs w:val="18"/>
                <w:b w:val="1"/>
                <w:bCs w:val="1"/>
                <w:color w:val="auto"/>
                <w:w w:val="90"/>
              </w:rPr>
              <w:t>25505 W. Twelve Mile Road</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25"/>
        </w:trPr>
        <w:tc>
          <w:tcPr>
            <w:tcW w:w="4920" w:type="dxa"/>
            <w:vAlign w:val="bottom"/>
            <w:gridSpan w:val="3"/>
          </w:tcPr>
          <w:p>
            <w:pPr>
              <w:ind w:left="2440"/>
              <w:spacing w:after="0"/>
              <w:rPr>
                <w:sz w:val="20"/>
                <w:szCs w:val="20"/>
                <w:color w:val="auto"/>
              </w:rPr>
            </w:pPr>
            <w:r>
              <w:rPr>
                <w:rFonts w:ascii="Arial" w:cs="Arial" w:eastAsia="Arial" w:hAnsi="Arial"/>
                <w:sz w:val="18"/>
                <w:szCs w:val="18"/>
                <w:b w:val="1"/>
                <w:bCs w:val="1"/>
                <w:color w:val="auto"/>
              </w:rPr>
              <w:t>Southfield, Michigan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9"/>
              </w:rPr>
              <w:t>48034-8339</w:t>
            </w:r>
          </w:p>
        </w:tc>
      </w:tr>
      <w:tr>
        <w:trPr>
          <w:trHeight w:val="180"/>
        </w:trPr>
        <w:tc>
          <w:tcPr>
            <w:tcW w:w="4920" w:type="dxa"/>
            <w:vAlign w:val="bottom"/>
            <w:gridSpan w:val="3"/>
          </w:tcPr>
          <w:p>
            <w:pPr>
              <w:jc w:val="center"/>
              <w:ind w:left="1277"/>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tcPr>
          <w:p>
            <w:pPr>
              <w:jc w:val="center"/>
              <w:spacing w:after="0"/>
              <w:rPr>
                <w:sz w:val="20"/>
                <w:szCs w:val="20"/>
                <w:color w:val="auto"/>
              </w:rPr>
            </w:pPr>
            <w:r>
              <w:rPr>
                <w:rFonts w:ascii="Arial" w:cs="Arial" w:eastAsia="Arial" w:hAnsi="Arial"/>
                <w:sz w:val="14"/>
                <w:szCs w:val="14"/>
                <w:i w:val="1"/>
                <w:iCs w:val="1"/>
                <w:color w:val="auto"/>
                <w:w w:val="93"/>
              </w:rPr>
              <w:t>(Zip Code)</w:t>
            </w:r>
          </w:p>
        </w:tc>
      </w:tr>
      <w:tr>
        <w:trPr>
          <w:trHeight w:val="315"/>
        </w:trPr>
        <w:tc>
          <w:tcPr>
            <w:tcW w:w="11200" w:type="dxa"/>
            <w:vAlign w:val="bottom"/>
            <w:gridSpan w:val="6"/>
          </w:tcPr>
          <w:p>
            <w:pPr>
              <w:jc w:val="center"/>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(248) 353-2700</w:t>
            </w:r>
          </w:p>
        </w:tc>
      </w:tr>
      <w:tr>
        <w:trPr>
          <w:trHeight w:val="451"/>
        </w:trPr>
        <w:tc>
          <w:tcPr>
            <w:tcW w:w="11200" w:type="dxa"/>
            <w:vAlign w:val="bottom"/>
            <w:gridSpan w:val="6"/>
          </w:tcPr>
          <w:p>
            <w:pPr>
              <w:jc w:val="center"/>
              <w:spacing w:after="0"/>
              <w:rPr>
                <w:sz w:val="20"/>
                <w:szCs w:val="20"/>
                <w:color w:val="auto"/>
              </w:rPr>
            </w:pPr>
            <w:r>
              <w:rPr>
                <w:rFonts w:ascii="Arial" w:cs="Arial" w:eastAsia="Arial" w:hAnsi="Arial"/>
                <w:sz w:val="18"/>
                <w:szCs w:val="18"/>
                <w:color w:val="auto"/>
                <w:w w:val="89"/>
              </w:rPr>
              <w:t>Securities registered pursuant to Section 12(b) of the Act:</w:t>
            </w:r>
          </w:p>
        </w:tc>
      </w:tr>
      <w:tr>
        <w:trPr>
          <w:trHeight w:val="237"/>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96"/>
              <w:spacing w:after="0"/>
              <w:rPr>
                <w:sz w:val="20"/>
                <w:szCs w:val="20"/>
                <w:color w:val="auto"/>
              </w:rPr>
            </w:pPr>
            <w:r>
              <w:rPr>
                <w:rFonts w:ascii="Arial" w:cs="Arial" w:eastAsia="Arial" w:hAnsi="Arial"/>
                <w:sz w:val="16"/>
                <w:szCs w:val="16"/>
                <w:b w:val="1"/>
                <w:bCs w:val="1"/>
                <w:color w:val="auto"/>
                <w:w w:val="89"/>
              </w:rPr>
              <w:t>Trading symbol(s)</w:t>
            </w:r>
          </w:p>
        </w:tc>
        <w:tc>
          <w:tcPr>
            <w:tcW w:w="1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20"/>
        </w:trPr>
        <w:tc>
          <w:tcPr>
            <w:tcW w:w="49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$.01 par value</w:t>
            </w: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CACC</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Stock Market LLC</w:t>
            </w: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62"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2"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w:t>
      </w:r>
    </w:p>
    <w:p>
      <w:pPr>
        <w:spacing w:after="0" w:line="33" w:lineRule="exact"/>
        <w:rPr>
          <w:sz w:val="24"/>
          <w:szCs w:val="24"/>
          <w:color w:val="auto"/>
        </w:rPr>
      </w:pPr>
    </w:p>
    <w:p>
      <w:pPr>
        <w:spacing w:after="0"/>
        <w:tabs>
          <w:tab w:leader="none" w:pos="300" w:val="left"/>
          <w:tab w:leader="none" w:pos="820" w:val="left"/>
          <w:tab w:leader="none" w:pos="1660" w:val="left"/>
          <w:tab w:leader="none" w:pos="2160" w:val="left"/>
          <w:tab w:leader="none" w:pos="3060" w:val="left"/>
          <w:tab w:leader="none" w:pos="3580" w:val="left"/>
          <w:tab w:leader="none" w:pos="4240" w:val="left"/>
          <w:tab w:leader="none" w:pos="4940" w:val="left"/>
          <w:tab w:leader="none" w:pos="5740" w:val="left"/>
          <w:tab w:leader="none" w:pos="6140" w:val="left"/>
          <w:tab w:leader="none" w:pos="6920" w:val="left"/>
          <w:tab w:leader="none" w:pos="7520" w:val="left"/>
          <w:tab w:leader="none" w:pos="8280" w:val="left"/>
          <w:tab w:leader="none" w:pos="8580" w:val="left"/>
          <w:tab w:leader="none" w:pos="9040" w:val="left"/>
          <w:tab w:leader="none" w:pos="9560" w:val="left"/>
          <w:tab w:leader="none" w:pos="9860" w:val="left"/>
          <w:tab w:leader="none" w:pos="10240" w:val="left"/>
          <w:tab w:leader="none" w:pos="10980" w:val="left"/>
        </w:tabs>
        <w:rPr>
          <w:sz w:val="20"/>
          <w:szCs w:val="20"/>
          <w:color w:val="auto"/>
        </w:rPr>
      </w:pPr>
      <w:r>
        <w:rPr>
          <w:rFonts w:ascii="Arial" w:cs="Arial" w:eastAsia="Arial" w:hAnsi="Arial"/>
          <w:sz w:val="14"/>
          <w:szCs w:val="14"/>
          <w:color w:val="auto"/>
        </w:rPr>
        <w:t>of</w:t>
        <w:tab/>
        <w:t>“large</w:t>
        <w:tab/>
        <w:t>accelerated</w:t>
        <w:tab/>
        <w:t>filer,”</w:t>
        <w:tab/>
        <w:t>“accelerated</w:t>
        <w:tab/>
        <w:t>filer,”</w:t>
        <w:tab/>
        <w:t>“smaller</w:t>
        <w:tab/>
        <w:t>reporting</w:t>
        <w:tab/>
        <w:t>company,”</w:t>
        <w:tab/>
        <w:t>and</w:t>
        <w:tab/>
        <w:t>“emerging</w:t>
        <w:tab/>
        <w:t>growth</w:t>
        <w:tab/>
        <w:t>company”</w:t>
        <w:tab/>
        <w:t>in</w:t>
        <w:tab/>
        <w:t>Rule</w:t>
        <w:tab/>
        <w:t>12b-2</w:t>
        <w:tab/>
        <w:t>of</w:t>
        <w:tab/>
        <w:t>the</w:t>
        <w:tab/>
        <w:t>Exchange</w:t>
      </w:r>
      <w:r>
        <w:rPr>
          <w:sz w:val="20"/>
          <w:szCs w:val="20"/>
          <w:color w:val="auto"/>
        </w:rPr>
        <w:tab/>
      </w:r>
      <w:r>
        <w:rPr>
          <w:rFonts w:ascii="Arial" w:cs="Arial" w:eastAsia="Arial" w:hAnsi="Arial"/>
          <w:sz w:val="13"/>
          <w:szCs w:val="13"/>
          <w:color w:val="auto"/>
        </w:rPr>
        <w:t>Act.</w:t>
      </w:r>
    </w:p>
    <w:p>
      <w:pPr>
        <w:spacing w:after="0" w:line="14" w:lineRule="exact"/>
        <w:rPr>
          <w:sz w:val="24"/>
          <w:szCs w:val="24"/>
          <w:color w:val="auto"/>
        </w:rPr>
      </w:pPr>
    </w:p>
    <w:p>
      <w:pPr>
        <w:ind w:left="160"/>
        <w:spacing w:after="0" w:line="161" w:lineRule="exact"/>
        <w:tabs>
          <w:tab w:leader="none" w:pos="1680" w:val="left"/>
          <w:tab w:leader="none" w:pos="2240" w:val="left"/>
          <w:tab w:leader="none" w:pos="3600" w:val="left"/>
          <w:tab w:leader="none" w:pos="4020" w:val="left"/>
          <w:tab w:leader="none" w:pos="5500" w:val="left"/>
          <w:tab w:leader="none" w:pos="5900" w:val="left"/>
          <w:tab w:leader="none" w:pos="7700" w:val="left"/>
          <w:tab w:leader="none" w:pos="8100" w:val="left"/>
          <w:tab w:leader="none" w:pos="9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341" w:lineRule="exact"/>
        <w:rPr>
          <w:sz w:val="24"/>
          <w:szCs w:val="24"/>
          <w:color w:val="auto"/>
        </w:rPr>
      </w:pPr>
    </w:p>
    <w:p>
      <w:pPr>
        <w:jc w:val="both"/>
        <w:spacing w:after="0" w:line="28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9" w:lineRule="exact"/>
        <w:rPr>
          <w:sz w:val="24"/>
          <w:szCs w:val="24"/>
          <w:color w:val="auto"/>
        </w:rPr>
      </w:pPr>
    </w:p>
    <w:p>
      <w:pPr>
        <w:jc w:val="both"/>
        <w:ind w:right="2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2" w:lineRule="exact"/>
        <w:rPr>
          <w:sz w:val="24"/>
          <w:szCs w:val="24"/>
          <w:color w:val="auto"/>
        </w:rPr>
      </w:pPr>
    </w:p>
    <w:p>
      <w:pPr>
        <w:jc w:val="both"/>
        <w:spacing w:after="0" w:line="251" w:lineRule="auto"/>
        <w:rPr>
          <w:sz w:val="20"/>
          <w:szCs w:val="20"/>
          <w:color w:val="auto"/>
        </w:rPr>
      </w:pPr>
      <w:r>
        <w:rPr>
          <w:rFonts w:ascii="Arial" w:cs="Arial" w:eastAsia="Arial" w:hAnsi="Arial"/>
          <w:sz w:val="14"/>
          <w:szCs w:val="14"/>
          <w:color w:val="auto"/>
        </w:rPr>
        <w:t>The aggregate market value of 6,769,961 shares of the registrant's common stock held by non-affiliates on June 30, 2021 was approximately $3,074.3 million.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At February 3, 2022, there were 14,114,355 shares of the registrant's common stock issued and outstanding.</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1" w:lineRule="exact"/>
        <w:rPr>
          <w:sz w:val="24"/>
          <w:szCs w:val="24"/>
          <w:color w:val="auto"/>
        </w:rPr>
      </w:pPr>
    </w:p>
    <w:p>
      <w:pPr>
        <w:ind w:right="260"/>
        <w:spacing w:after="0" w:line="252" w:lineRule="auto"/>
        <w:rPr>
          <w:sz w:val="20"/>
          <w:szCs w:val="20"/>
          <w:color w:val="auto"/>
        </w:rPr>
      </w:pPr>
      <w:r>
        <w:rPr>
          <w:rFonts w:ascii="Arial" w:cs="Arial" w:eastAsia="Arial" w:hAnsi="Arial"/>
          <w:sz w:val="14"/>
          <w:szCs w:val="14"/>
          <w:color w:val="auto"/>
        </w:rPr>
        <w:t>Portions of the registrant's definitive proxy statement pertaining to the 2022 Annual Meeting of Shareholders (the “Proxy Statement”) filed pursuant to Regulation 14A are incorporated herein by reference into Part III of this Annual Report on Form 10-K (this “Form 10-K”).</w:t>
      </w:r>
    </w:p>
    <w:p>
      <w:pPr>
        <w:sectPr>
          <w:pgSz w:w="11900" w:h="16838" w:orient="portrait"/>
          <w:cols w:equalWidth="0" w:num="1">
            <w:col w:w="11240"/>
          </w:cols>
          <w:pgMar w:left="320" w:top="545" w:right="339" w:bottom="1440" w:gutter="0" w:footer="0" w:header="0"/>
        </w:sectPr>
      </w:pPr>
    </w:p>
    <w:p>
      <w:pPr>
        <w:ind w:left="640"/>
        <w:spacing w:after="0"/>
        <w:rPr>
          <w:sz w:val="20"/>
          <w:szCs w:val="20"/>
          <w:color w:val="auto"/>
        </w:rPr>
      </w:pPr>
      <w:r>
        <w:rPr>
          <w:rFonts w:ascii="Arial" w:cs="Arial" w:eastAsia="Arial" w:hAnsi="Arial"/>
          <w:sz w:val="15"/>
          <w:szCs w:val="15"/>
          <w:b w:val="1"/>
          <w:bCs w:val="1"/>
          <w:color w:val="auto"/>
        </w:rPr>
        <w:t>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280670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9000" w:type="dxa"/>
            <w:vAlign w:val="bottom"/>
          </w:tcPr>
          <w:p>
            <w:pPr>
              <w:jc w:val="center"/>
              <w:ind w:left="792"/>
              <w:spacing w:after="0"/>
              <w:rPr>
                <w:sz w:val="20"/>
                <w:szCs w:val="20"/>
                <w:color w:val="auto"/>
              </w:rPr>
            </w:pPr>
            <w:r>
              <w:rPr>
                <w:rFonts w:ascii="Arial" w:cs="Arial" w:eastAsia="Arial" w:hAnsi="Arial"/>
                <w:sz w:val="18"/>
                <w:szCs w:val="18"/>
                <w:b w:val="1"/>
                <w:bCs w:val="1"/>
                <w:color w:val="auto"/>
                <w:w w:val="98"/>
              </w:rPr>
              <w:t>CREDIT ACCEPTANCE CORPORATION</w:t>
            </w:r>
          </w:p>
        </w:tc>
        <w:tc>
          <w:tcPr>
            <w:tcW w:w="1540" w:type="dxa"/>
            <w:vAlign w:val="bottom"/>
          </w:tcPr>
          <w:p>
            <w:pPr>
              <w:spacing w:after="0"/>
              <w:rPr>
                <w:sz w:val="18"/>
                <w:szCs w:val="18"/>
                <w:color w:val="auto"/>
              </w:rPr>
            </w:pPr>
          </w:p>
        </w:tc>
      </w:tr>
      <w:tr>
        <w:trPr>
          <w:trHeight w:val="229"/>
        </w:trPr>
        <w:tc>
          <w:tcPr>
            <w:tcW w:w="680" w:type="dxa"/>
            <w:vAlign w:val="bottom"/>
          </w:tcPr>
          <w:p>
            <w:pPr>
              <w:spacing w:after="0"/>
              <w:rPr>
                <w:sz w:val="19"/>
                <w:szCs w:val="19"/>
                <w:color w:val="auto"/>
              </w:rPr>
            </w:pPr>
          </w:p>
        </w:tc>
        <w:tc>
          <w:tcPr>
            <w:tcW w:w="9000" w:type="dxa"/>
            <w:vAlign w:val="bottom"/>
          </w:tcPr>
          <w:p>
            <w:pPr>
              <w:jc w:val="center"/>
              <w:ind w:left="792"/>
              <w:spacing w:after="0"/>
              <w:rPr>
                <w:sz w:val="20"/>
                <w:szCs w:val="20"/>
                <w:color w:val="auto"/>
              </w:rPr>
            </w:pPr>
            <w:r>
              <w:rPr>
                <w:rFonts w:ascii="Arial" w:cs="Arial" w:eastAsia="Arial" w:hAnsi="Arial"/>
                <w:sz w:val="18"/>
                <w:szCs w:val="18"/>
                <w:b w:val="1"/>
                <w:bCs w:val="1"/>
                <w:color w:val="auto"/>
                <w:w w:val="95"/>
              </w:rPr>
              <w:t>YEAR ENDED DECEMBER 31, 2021</w:t>
            </w:r>
          </w:p>
        </w:tc>
        <w:tc>
          <w:tcPr>
            <w:tcW w:w="1540" w:type="dxa"/>
            <w:vAlign w:val="bottom"/>
          </w:tcPr>
          <w:p>
            <w:pPr>
              <w:spacing w:after="0"/>
              <w:rPr>
                <w:sz w:val="19"/>
                <w:szCs w:val="19"/>
                <w:color w:val="auto"/>
              </w:rPr>
            </w:pPr>
          </w:p>
        </w:tc>
      </w:tr>
      <w:tr>
        <w:trPr>
          <w:trHeight w:val="451"/>
        </w:trPr>
        <w:tc>
          <w:tcPr>
            <w:tcW w:w="680" w:type="dxa"/>
            <w:vAlign w:val="bottom"/>
          </w:tcPr>
          <w:p>
            <w:pPr>
              <w:spacing w:after="0"/>
              <w:rPr>
                <w:sz w:val="24"/>
                <w:szCs w:val="24"/>
                <w:color w:val="auto"/>
              </w:rPr>
            </w:pPr>
          </w:p>
        </w:tc>
        <w:tc>
          <w:tcPr>
            <w:tcW w:w="9000" w:type="dxa"/>
            <w:vAlign w:val="bottom"/>
          </w:tcPr>
          <w:p>
            <w:pPr>
              <w:jc w:val="center"/>
              <w:ind w:left="812"/>
              <w:spacing w:after="0"/>
              <w:rPr>
                <w:sz w:val="20"/>
                <w:szCs w:val="20"/>
                <w:color w:val="auto"/>
              </w:rPr>
            </w:pPr>
            <w:r>
              <w:rPr>
                <w:rFonts w:ascii="Arial" w:cs="Arial" w:eastAsia="Arial" w:hAnsi="Arial"/>
                <w:sz w:val="18"/>
                <w:szCs w:val="18"/>
                <w:b w:val="1"/>
                <w:bCs w:val="1"/>
                <w:color w:val="auto"/>
                <w:w w:val="99"/>
              </w:rPr>
              <w:t>INDEX TO FORM 10-K</w:t>
            </w:r>
          </w:p>
        </w:tc>
        <w:tc>
          <w:tcPr>
            <w:tcW w:w="1540" w:type="dxa"/>
            <w:vAlign w:val="bottom"/>
          </w:tcPr>
          <w:p>
            <w:pPr>
              <w:spacing w:after="0"/>
              <w:rPr>
                <w:sz w:val="24"/>
                <w:szCs w:val="24"/>
                <w:color w:val="auto"/>
              </w:rPr>
            </w:pPr>
          </w:p>
        </w:tc>
      </w:tr>
      <w:tr>
        <w:trPr>
          <w:trHeight w:val="259"/>
        </w:trPr>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Item</w:t>
            </w:r>
          </w:p>
        </w:tc>
        <w:tc>
          <w:tcPr>
            <w:tcW w:w="9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Page</w:t>
            </w:r>
          </w:p>
        </w:tc>
      </w:tr>
      <w:tr>
        <w:trPr>
          <w:trHeight w:val="225"/>
        </w:trPr>
        <w:tc>
          <w:tcPr>
            <w:tcW w:w="680" w:type="dxa"/>
            <w:vAlign w:val="bottom"/>
          </w:tcPr>
          <w:p>
            <w:pPr>
              <w:spacing w:after="0"/>
              <w:rPr>
                <w:sz w:val="19"/>
                <w:szCs w:val="19"/>
                <w:color w:val="auto"/>
              </w:rPr>
            </w:pPr>
          </w:p>
        </w:tc>
        <w:tc>
          <w:tcPr>
            <w:tcW w:w="9000" w:type="dxa"/>
            <w:vAlign w:val="bottom"/>
          </w:tcPr>
          <w:p>
            <w:pPr>
              <w:jc w:val="center"/>
              <w:ind w:left="772"/>
              <w:spacing w:after="0"/>
              <w:rPr>
                <w:sz w:val="20"/>
                <w:szCs w:val="20"/>
                <w:color w:val="auto"/>
              </w:rPr>
            </w:pPr>
            <w:r>
              <w:rPr>
                <w:rFonts w:ascii="Arial" w:cs="Arial" w:eastAsia="Arial" w:hAnsi="Arial"/>
                <w:sz w:val="18"/>
                <w:szCs w:val="18"/>
                <w:b w:val="1"/>
                <w:bCs w:val="1"/>
                <w:color w:val="auto"/>
                <w:w w:val="98"/>
              </w:rPr>
              <w:t>PART I</w:t>
            </w:r>
          </w:p>
        </w:tc>
        <w:tc>
          <w:tcPr>
            <w:tcW w:w="1540" w:type="dxa"/>
            <w:vAlign w:val="bottom"/>
          </w:tcPr>
          <w:p>
            <w:pPr>
              <w:spacing w:after="0"/>
              <w:rPr>
                <w:sz w:val="19"/>
                <w:szCs w:val="19"/>
                <w:color w:val="auto"/>
              </w:rPr>
            </w:pPr>
          </w:p>
        </w:tc>
      </w:tr>
      <w:tr>
        <w:trPr>
          <w:trHeight w:val="225"/>
        </w:trPr>
        <w:tc>
          <w:tcPr>
            <w:tcW w:w="680" w:type="dxa"/>
            <w:vAlign w:val="bottom"/>
            <w:shd w:val="clear" w:color="auto" w:fill="CCEEFF"/>
          </w:tcPr>
          <w:p>
            <w:pPr>
              <w:jc w:val="center"/>
              <w:ind w:left="12"/>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1.</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25"/>
        </w:trPr>
        <w:tc>
          <w:tcPr>
            <w:tcW w:w="680" w:type="dxa"/>
            <w:vAlign w:val="bottom"/>
          </w:tcPr>
          <w:p>
            <w:pPr>
              <w:jc w:val="center"/>
              <w:ind w:left="12"/>
              <w:spacing w:after="0"/>
              <w:rPr>
                <w:rFonts w:ascii="Arial" w:cs="Arial" w:eastAsia="Arial" w:hAnsi="Arial"/>
                <w:sz w:val="18"/>
                <w:szCs w:val="18"/>
                <w:color w:val="auto"/>
                <w:w w:val="96"/>
              </w:rPr>
            </w:pPr>
            <w:hyperlink w:anchor="page15">
              <w:r>
                <w:rPr>
                  <w:rFonts w:ascii="Arial" w:cs="Arial" w:eastAsia="Arial" w:hAnsi="Arial"/>
                  <w:sz w:val="18"/>
                  <w:szCs w:val="18"/>
                  <w:color w:val="auto"/>
                  <w:w w:val="96"/>
                </w:rPr>
                <w:t>1A.</w:t>
              </w:r>
            </w:hyperlink>
          </w:p>
        </w:tc>
        <w:tc>
          <w:tcPr>
            <w:tcW w:w="9000" w:type="dxa"/>
            <w:vAlign w:val="bottom"/>
          </w:tcPr>
          <w:p>
            <w:pPr>
              <w:ind w:left="120"/>
              <w:spacing w:after="0"/>
              <w:rPr>
                <w:rFonts w:ascii="Arial" w:cs="Arial" w:eastAsia="Arial" w:hAnsi="Arial"/>
                <w:sz w:val="18"/>
                <w:szCs w:val="18"/>
                <w:color w:val="auto"/>
              </w:rPr>
            </w:pPr>
            <w:hyperlink w:anchor="page15">
              <w:r>
                <w:rPr>
                  <w:rFonts w:ascii="Arial" w:cs="Arial" w:eastAsia="Arial" w:hAnsi="Arial"/>
                  <w:sz w:val="18"/>
                  <w:szCs w:val="18"/>
                  <w:color w:val="auto"/>
                </w:rPr>
                <w:t>Risk Factors</w:t>
              </w:r>
            </w:hyperlink>
          </w:p>
        </w:tc>
        <w:tc>
          <w:tcPr>
            <w:tcW w:w="154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6"/>
              </w:rPr>
            </w:pPr>
            <w:hyperlink w:anchor="page24">
              <w:r>
                <w:rPr>
                  <w:rFonts w:ascii="Arial" w:cs="Arial" w:eastAsia="Arial" w:hAnsi="Arial"/>
                  <w:sz w:val="18"/>
                  <w:szCs w:val="18"/>
                  <w:color w:val="auto"/>
                  <w:w w:val="96"/>
                </w:rPr>
                <w:t>1B.</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24">
              <w:r>
                <w:rPr>
                  <w:rFonts w:ascii="Arial" w:cs="Arial" w:eastAsia="Arial" w:hAnsi="Arial"/>
                  <w:sz w:val="18"/>
                  <w:szCs w:val="18"/>
                  <w:color w:val="auto"/>
                </w:rPr>
                <w:t>Unresolved Staff Comments</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24">
              <w:r>
                <w:rPr>
                  <w:rFonts w:ascii="Arial" w:cs="Arial" w:eastAsia="Arial" w:hAnsi="Arial"/>
                  <w:sz w:val="18"/>
                  <w:szCs w:val="18"/>
                  <w:color w:val="auto"/>
                  <w:w w:val="92"/>
                </w:rPr>
                <w:t>2.</w:t>
              </w:r>
            </w:hyperlink>
          </w:p>
        </w:tc>
        <w:tc>
          <w:tcPr>
            <w:tcW w:w="9000" w:type="dxa"/>
            <w:vAlign w:val="bottom"/>
          </w:tcPr>
          <w:p>
            <w:pPr>
              <w:ind w:left="120"/>
              <w:spacing w:after="0"/>
              <w:rPr>
                <w:rFonts w:ascii="Arial" w:cs="Arial" w:eastAsia="Arial" w:hAnsi="Arial"/>
                <w:sz w:val="18"/>
                <w:szCs w:val="18"/>
                <w:color w:val="auto"/>
              </w:rPr>
            </w:pPr>
            <w:hyperlink w:anchor="page24">
              <w:r>
                <w:rPr>
                  <w:rFonts w:ascii="Arial" w:cs="Arial" w:eastAsia="Arial" w:hAnsi="Arial"/>
                  <w:sz w:val="18"/>
                  <w:szCs w:val="18"/>
                  <w:color w:val="auto"/>
                </w:rPr>
                <w:t>Properties</w:t>
              </w:r>
            </w:hyperlink>
          </w:p>
        </w:tc>
        <w:tc>
          <w:tcPr>
            <w:tcW w:w="15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2"/>
              </w:rPr>
            </w:pPr>
            <w:hyperlink w:anchor="page24">
              <w:r>
                <w:rPr>
                  <w:rFonts w:ascii="Arial" w:cs="Arial" w:eastAsia="Arial" w:hAnsi="Arial"/>
                  <w:sz w:val="18"/>
                  <w:szCs w:val="18"/>
                  <w:color w:val="auto"/>
                  <w:w w:val="92"/>
                </w:rPr>
                <w:t>3.</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24">
              <w:r>
                <w:rPr>
                  <w:rFonts w:ascii="Arial" w:cs="Arial" w:eastAsia="Arial" w:hAnsi="Arial"/>
                  <w:sz w:val="18"/>
                  <w:szCs w:val="18"/>
                  <w:color w:val="auto"/>
                </w:rPr>
                <w:t>Legal Proceedings</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25">
              <w:r>
                <w:rPr>
                  <w:rFonts w:ascii="Arial" w:cs="Arial" w:eastAsia="Arial" w:hAnsi="Arial"/>
                  <w:sz w:val="18"/>
                  <w:szCs w:val="18"/>
                  <w:color w:val="auto"/>
                  <w:w w:val="92"/>
                </w:rPr>
                <w:t>4.</w:t>
              </w:r>
            </w:hyperlink>
          </w:p>
        </w:tc>
        <w:tc>
          <w:tcPr>
            <w:tcW w:w="9000" w:type="dxa"/>
            <w:vAlign w:val="bottom"/>
          </w:tcPr>
          <w:p>
            <w:pPr>
              <w:ind w:left="120"/>
              <w:spacing w:after="0"/>
              <w:rPr>
                <w:rFonts w:ascii="Arial" w:cs="Arial" w:eastAsia="Arial" w:hAnsi="Arial"/>
                <w:sz w:val="18"/>
                <w:szCs w:val="18"/>
                <w:color w:val="auto"/>
              </w:rPr>
            </w:pPr>
            <w:hyperlink w:anchor="page25">
              <w:r>
                <w:rPr>
                  <w:rFonts w:ascii="Arial" w:cs="Arial" w:eastAsia="Arial" w:hAnsi="Arial"/>
                  <w:sz w:val="18"/>
                  <w:szCs w:val="18"/>
                  <w:color w:val="auto"/>
                </w:rPr>
                <w:t>Mine Safety Disclosures</w:t>
              </w:r>
            </w:hyperlink>
          </w:p>
        </w:tc>
        <w:tc>
          <w:tcPr>
            <w:tcW w:w="15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26"/>
        </w:trPr>
        <w:tc>
          <w:tcPr>
            <w:tcW w:w="680" w:type="dxa"/>
            <w:vAlign w:val="bottom"/>
            <w:shd w:val="clear" w:color="auto" w:fill="CCEEFF"/>
          </w:tcPr>
          <w:p>
            <w:pPr>
              <w:spacing w:after="0"/>
              <w:rPr>
                <w:sz w:val="19"/>
                <w:szCs w:val="19"/>
                <w:color w:val="auto"/>
              </w:rPr>
            </w:pPr>
          </w:p>
        </w:tc>
        <w:tc>
          <w:tcPr>
            <w:tcW w:w="9000" w:type="dxa"/>
            <w:vAlign w:val="bottom"/>
            <w:shd w:val="clear" w:color="auto" w:fill="CCEEFF"/>
          </w:tcPr>
          <w:p>
            <w:pPr>
              <w:jc w:val="center"/>
              <w:ind w:left="772"/>
              <w:spacing w:after="0"/>
              <w:rPr>
                <w:sz w:val="20"/>
                <w:szCs w:val="20"/>
                <w:color w:val="auto"/>
              </w:rPr>
            </w:pPr>
            <w:r>
              <w:rPr>
                <w:rFonts w:ascii="Arial" w:cs="Arial" w:eastAsia="Arial" w:hAnsi="Arial"/>
                <w:sz w:val="18"/>
                <w:szCs w:val="18"/>
                <w:b w:val="1"/>
                <w:bCs w:val="1"/>
                <w:color w:val="auto"/>
              </w:rPr>
              <w:t>PART II</w:t>
            </w:r>
          </w:p>
        </w:tc>
        <w:tc>
          <w:tcPr>
            <w:tcW w:w="1540" w:type="dxa"/>
            <w:vAlign w:val="bottom"/>
            <w:shd w:val="clear" w:color="auto" w:fill="CCEEFF"/>
          </w:tcPr>
          <w:p>
            <w:pPr>
              <w:spacing w:after="0"/>
              <w:rPr>
                <w:sz w:val="19"/>
                <w:szCs w:val="19"/>
                <w:color w:val="auto"/>
              </w:rPr>
            </w:pPr>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26">
              <w:r>
                <w:rPr>
                  <w:rFonts w:ascii="Arial" w:cs="Arial" w:eastAsia="Arial" w:hAnsi="Arial"/>
                  <w:sz w:val="18"/>
                  <w:szCs w:val="18"/>
                  <w:color w:val="auto"/>
                  <w:w w:val="92"/>
                </w:rPr>
                <w:t>5.</w:t>
              </w:r>
            </w:hyperlink>
          </w:p>
        </w:tc>
        <w:tc>
          <w:tcPr>
            <w:tcW w:w="9000" w:type="dxa"/>
            <w:vAlign w:val="bottom"/>
          </w:tcPr>
          <w:p>
            <w:pPr>
              <w:ind w:left="120"/>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Market for Registrant's Common Equity, Related Stockholder Matters and Issuer Purchases of Equity Securities</w:t>
              </w:r>
            </w:hyperlink>
          </w:p>
        </w:tc>
        <w:tc>
          <w:tcPr>
            <w:tcW w:w="1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2"/>
              </w:rPr>
            </w:pPr>
            <w:hyperlink w:anchor="page27">
              <w:r>
                <w:rPr>
                  <w:rFonts w:ascii="Arial" w:cs="Arial" w:eastAsia="Arial" w:hAnsi="Arial"/>
                  <w:sz w:val="18"/>
                  <w:szCs w:val="18"/>
                  <w:color w:val="auto"/>
                  <w:w w:val="92"/>
                </w:rPr>
                <w:t>6.</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27">
              <w:r>
                <w:rPr>
                  <w:rFonts w:ascii="Arial" w:cs="Arial" w:eastAsia="Arial" w:hAnsi="Arial"/>
                  <w:sz w:val="18"/>
                  <w:szCs w:val="18"/>
                  <w:color w:val="auto"/>
                </w:rPr>
                <w:t>[Reserved]</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40">
              <w:r>
                <w:rPr>
                  <w:rFonts w:ascii="Arial" w:cs="Arial" w:eastAsia="Arial" w:hAnsi="Arial"/>
                  <w:sz w:val="18"/>
                  <w:szCs w:val="18"/>
                  <w:color w:val="auto"/>
                  <w:w w:val="92"/>
                </w:rPr>
                <w:t>7.</w:t>
              </w:r>
            </w:hyperlink>
          </w:p>
        </w:tc>
        <w:tc>
          <w:tcPr>
            <w:tcW w:w="9000" w:type="dxa"/>
            <w:vAlign w:val="bottom"/>
          </w:tcPr>
          <w:p>
            <w:pPr>
              <w:ind w:left="120"/>
              <w:spacing w:after="0"/>
              <w:rPr>
                <w:rFonts w:ascii="Arial" w:cs="Arial" w:eastAsia="Arial" w:hAnsi="Arial"/>
                <w:sz w:val="18"/>
                <w:szCs w:val="18"/>
                <w:color w:val="auto"/>
              </w:rPr>
            </w:pPr>
            <w:hyperlink w:anchor="page40">
              <w:r>
                <w:rPr>
                  <w:rFonts w:ascii="Arial" w:cs="Arial" w:eastAsia="Arial" w:hAnsi="Arial"/>
                  <w:sz w:val="18"/>
                  <w:szCs w:val="18"/>
                  <w:color w:val="auto"/>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6"/>
              </w:rPr>
            </w:pPr>
            <w:hyperlink w:anchor="page42">
              <w:r>
                <w:rPr>
                  <w:rFonts w:ascii="Arial" w:cs="Arial" w:eastAsia="Arial" w:hAnsi="Arial"/>
                  <w:sz w:val="18"/>
                  <w:szCs w:val="18"/>
                  <w:color w:val="auto"/>
                  <w:w w:val="96"/>
                </w:rPr>
                <w:t>7A.</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Quantitative and Qualitative Disclosures About Market Risk</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42">
              <w:r>
                <w:rPr>
                  <w:rFonts w:ascii="Arial" w:cs="Arial" w:eastAsia="Arial" w:hAnsi="Arial"/>
                  <w:sz w:val="18"/>
                  <w:szCs w:val="18"/>
                  <w:color w:val="auto"/>
                  <w:w w:val="92"/>
                </w:rPr>
                <w:t>8.</w:t>
              </w:r>
            </w:hyperlink>
          </w:p>
        </w:tc>
        <w:tc>
          <w:tcPr>
            <w:tcW w:w="900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Financial Statements and Supplementary Data</w:t>
              </w:r>
            </w:hyperlink>
          </w:p>
        </w:tc>
        <w:tc>
          <w:tcPr>
            <w:tcW w:w="15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2"/>
              </w:rPr>
            </w:pPr>
            <w:hyperlink w:anchor="page95">
              <w:r>
                <w:rPr>
                  <w:rFonts w:ascii="Arial" w:cs="Arial" w:eastAsia="Arial" w:hAnsi="Arial"/>
                  <w:sz w:val="18"/>
                  <w:szCs w:val="18"/>
                  <w:color w:val="auto"/>
                  <w:w w:val="92"/>
                </w:rPr>
                <w:t>9.</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Changes in and Disagreements with Accountants on Accounting and Financial Disclosure</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96</w:t>
              </w:r>
            </w:hyperlink>
          </w:p>
        </w:tc>
      </w:tr>
      <w:tr>
        <w:trPr>
          <w:trHeight w:val="225"/>
        </w:trPr>
        <w:tc>
          <w:tcPr>
            <w:tcW w:w="680" w:type="dxa"/>
            <w:vAlign w:val="bottom"/>
          </w:tcPr>
          <w:p>
            <w:pPr>
              <w:jc w:val="center"/>
              <w:ind w:left="12"/>
              <w:spacing w:after="0"/>
              <w:rPr>
                <w:rFonts w:ascii="Arial" w:cs="Arial" w:eastAsia="Arial" w:hAnsi="Arial"/>
                <w:sz w:val="18"/>
                <w:szCs w:val="18"/>
                <w:color w:val="auto"/>
                <w:w w:val="96"/>
              </w:rPr>
            </w:pPr>
            <w:hyperlink w:anchor="page96">
              <w:r>
                <w:rPr>
                  <w:rFonts w:ascii="Arial" w:cs="Arial" w:eastAsia="Arial" w:hAnsi="Arial"/>
                  <w:sz w:val="18"/>
                  <w:szCs w:val="18"/>
                  <w:color w:val="auto"/>
                  <w:w w:val="96"/>
                </w:rPr>
                <w:t>9A.</w:t>
              </w:r>
            </w:hyperlink>
          </w:p>
        </w:tc>
        <w:tc>
          <w:tcPr>
            <w:tcW w:w="9000" w:type="dxa"/>
            <w:vAlign w:val="bottom"/>
          </w:tcPr>
          <w:p>
            <w:pPr>
              <w:ind w:left="120"/>
              <w:spacing w:after="0"/>
              <w:rPr>
                <w:rFonts w:ascii="Arial" w:cs="Arial" w:eastAsia="Arial" w:hAnsi="Arial"/>
                <w:sz w:val="18"/>
                <w:szCs w:val="18"/>
                <w:color w:val="auto"/>
              </w:rPr>
            </w:pPr>
            <w:hyperlink w:anchor="page96">
              <w:r>
                <w:rPr>
                  <w:rFonts w:ascii="Arial" w:cs="Arial" w:eastAsia="Arial" w:hAnsi="Arial"/>
                  <w:sz w:val="18"/>
                  <w:szCs w:val="18"/>
                  <w:color w:val="auto"/>
                </w:rPr>
                <w:t>Controls and Procedures</w:t>
              </w:r>
            </w:hyperlink>
          </w:p>
        </w:tc>
        <w:tc>
          <w:tcPr>
            <w:tcW w:w="154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96"/>
              </w:rPr>
            </w:pPr>
            <w:hyperlink w:anchor="page97">
              <w:r>
                <w:rPr>
                  <w:rFonts w:ascii="Arial" w:cs="Arial" w:eastAsia="Arial" w:hAnsi="Arial"/>
                  <w:sz w:val="18"/>
                  <w:szCs w:val="18"/>
                  <w:color w:val="auto"/>
                  <w:w w:val="96"/>
                </w:rPr>
                <w:t>9B.</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97">
              <w:r>
                <w:rPr>
                  <w:rFonts w:ascii="Arial" w:cs="Arial" w:eastAsia="Arial" w:hAnsi="Arial"/>
                  <w:sz w:val="18"/>
                  <w:szCs w:val="18"/>
                  <w:color w:val="auto"/>
                </w:rPr>
                <w:t>Other Information</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98</w:t>
              </w:r>
            </w:hyperlink>
          </w:p>
        </w:tc>
      </w:tr>
      <w:tr>
        <w:trPr>
          <w:trHeight w:val="225"/>
        </w:trPr>
        <w:tc>
          <w:tcPr>
            <w:tcW w:w="680" w:type="dxa"/>
            <w:vAlign w:val="bottom"/>
          </w:tcPr>
          <w:p>
            <w:pPr>
              <w:jc w:val="center"/>
              <w:ind w:left="12"/>
              <w:spacing w:after="0"/>
              <w:rPr>
                <w:rFonts w:ascii="Arial" w:cs="Arial" w:eastAsia="Arial" w:hAnsi="Arial"/>
                <w:sz w:val="18"/>
                <w:szCs w:val="18"/>
                <w:color w:val="auto"/>
                <w:w w:val="92"/>
              </w:rPr>
            </w:pPr>
            <w:hyperlink w:anchor="page96">
              <w:r>
                <w:rPr>
                  <w:rFonts w:ascii="Arial" w:cs="Arial" w:eastAsia="Arial" w:hAnsi="Arial"/>
                  <w:sz w:val="18"/>
                  <w:szCs w:val="18"/>
                  <w:color w:val="auto"/>
                  <w:w w:val="92"/>
                </w:rPr>
                <w:t>9C.</w:t>
              </w:r>
            </w:hyperlink>
          </w:p>
        </w:tc>
        <w:tc>
          <w:tcPr>
            <w:tcW w:w="9000" w:type="dxa"/>
            <w:vAlign w:val="bottom"/>
          </w:tcPr>
          <w:p>
            <w:pPr>
              <w:ind w:left="1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54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98</w:t>
              </w:r>
            </w:hyperlink>
          </w:p>
        </w:tc>
      </w:tr>
      <w:tr>
        <w:trPr>
          <w:trHeight w:val="226"/>
        </w:trPr>
        <w:tc>
          <w:tcPr>
            <w:tcW w:w="680" w:type="dxa"/>
            <w:vAlign w:val="bottom"/>
            <w:shd w:val="clear" w:color="auto" w:fill="CCEEFF"/>
          </w:tcPr>
          <w:p>
            <w:pPr>
              <w:spacing w:after="0"/>
              <w:rPr>
                <w:sz w:val="19"/>
                <w:szCs w:val="19"/>
                <w:color w:val="auto"/>
              </w:rPr>
            </w:pPr>
          </w:p>
        </w:tc>
        <w:tc>
          <w:tcPr>
            <w:tcW w:w="9000" w:type="dxa"/>
            <w:vAlign w:val="bottom"/>
            <w:shd w:val="clear" w:color="auto" w:fill="CCEEFF"/>
          </w:tcPr>
          <w:p>
            <w:pPr>
              <w:jc w:val="center"/>
              <w:ind w:left="772"/>
              <w:spacing w:after="0"/>
              <w:rPr>
                <w:sz w:val="20"/>
                <w:szCs w:val="20"/>
                <w:color w:val="auto"/>
              </w:rPr>
            </w:pPr>
            <w:r>
              <w:rPr>
                <w:rFonts w:ascii="Arial" w:cs="Arial" w:eastAsia="Arial" w:hAnsi="Arial"/>
                <w:sz w:val="18"/>
                <w:szCs w:val="18"/>
                <w:b w:val="1"/>
                <w:bCs w:val="1"/>
                <w:color w:val="auto"/>
              </w:rPr>
              <w:t>PART III</w:t>
            </w:r>
          </w:p>
        </w:tc>
        <w:tc>
          <w:tcPr>
            <w:tcW w:w="1540" w:type="dxa"/>
            <w:vAlign w:val="bottom"/>
            <w:shd w:val="clear" w:color="auto" w:fill="CCEEFF"/>
          </w:tcPr>
          <w:p>
            <w:pPr>
              <w:spacing w:after="0"/>
              <w:rPr>
                <w:sz w:val="19"/>
                <w:szCs w:val="19"/>
                <w:color w:val="auto"/>
              </w:rPr>
            </w:pPr>
          </w:p>
        </w:tc>
      </w:tr>
      <w:tr>
        <w:trPr>
          <w:trHeight w:val="225"/>
        </w:trPr>
        <w:tc>
          <w:tcPr>
            <w:tcW w:w="680" w:type="dxa"/>
            <w:vAlign w:val="bottom"/>
          </w:tcPr>
          <w:p>
            <w:pPr>
              <w:jc w:val="center"/>
              <w:ind w:left="12"/>
              <w:spacing w:after="0"/>
              <w:rPr>
                <w:rFonts w:ascii="Arial" w:cs="Arial" w:eastAsia="Arial" w:hAnsi="Arial"/>
                <w:sz w:val="18"/>
                <w:szCs w:val="18"/>
                <w:color w:val="auto"/>
                <w:w w:val="87"/>
              </w:rPr>
            </w:pPr>
            <w:hyperlink w:anchor="page98">
              <w:r>
                <w:rPr>
                  <w:rFonts w:ascii="Arial" w:cs="Arial" w:eastAsia="Arial" w:hAnsi="Arial"/>
                  <w:sz w:val="18"/>
                  <w:szCs w:val="18"/>
                  <w:color w:val="auto"/>
                  <w:w w:val="87"/>
                </w:rPr>
                <w:t>10.</w:t>
              </w:r>
            </w:hyperlink>
          </w:p>
        </w:tc>
        <w:tc>
          <w:tcPr>
            <w:tcW w:w="900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Directors, Executive Officers and Corporate Governance</w:t>
              </w:r>
            </w:hyperlink>
          </w:p>
        </w:tc>
        <w:tc>
          <w:tcPr>
            <w:tcW w:w="15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87"/>
              </w:rPr>
            </w:pPr>
            <w:hyperlink w:anchor="page98">
              <w:r>
                <w:rPr>
                  <w:rFonts w:ascii="Arial" w:cs="Arial" w:eastAsia="Arial" w:hAnsi="Arial"/>
                  <w:sz w:val="18"/>
                  <w:szCs w:val="18"/>
                  <w:color w:val="auto"/>
                  <w:w w:val="87"/>
                </w:rPr>
                <w:t>11.</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Executive Compensation</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25"/>
        </w:trPr>
        <w:tc>
          <w:tcPr>
            <w:tcW w:w="680" w:type="dxa"/>
            <w:vAlign w:val="bottom"/>
          </w:tcPr>
          <w:p>
            <w:pPr>
              <w:jc w:val="center"/>
              <w:ind w:left="12"/>
              <w:spacing w:after="0"/>
              <w:rPr>
                <w:rFonts w:ascii="Arial" w:cs="Arial" w:eastAsia="Arial" w:hAnsi="Arial"/>
                <w:sz w:val="18"/>
                <w:szCs w:val="18"/>
                <w:color w:val="auto"/>
                <w:w w:val="87"/>
              </w:rPr>
            </w:pPr>
            <w:hyperlink w:anchor="page98">
              <w:r>
                <w:rPr>
                  <w:rFonts w:ascii="Arial" w:cs="Arial" w:eastAsia="Arial" w:hAnsi="Arial"/>
                  <w:sz w:val="18"/>
                  <w:szCs w:val="18"/>
                  <w:color w:val="auto"/>
                  <w:w w:val="87"/>
                </w:rPr>
                <w:t>12.</w:t>
              </w:r>
            </w:hyperlink>
          </w:p>
        </w:tc>
        <w:tc>
          <w:tcPr>
            <w:tcW w:w="900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Security Ownership of Certain Beneficial Owners and Management and Related Stockholder Matters</w:t>
              </w:r>
            </w:hyperlink>
          </w:p>
        </w:tc>
        <w:tc>
          <w:tcPr>
            <w:tcW w:w="15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26"/>
        </w:trPr>
        <w:tc>
          <w:tcPr>
            <w:tcW w:w="680" w:type="dxa"/>
            <w:vAlign w:val="bottom"/>
            <w:shd w:val="clear" w:color="auto" w:fill="CCEEFF"/>
          </w:tcPr>
          <w:p>
            <w:pPr>
              <w:jc w:val="center"/>
              <w:ind w:left="12"/>
              <w:spacing w:after="0"/>
              <w:rPr>
                <w:rFonts w:ascii="Arial" w:cs="Arial" w:eastAsia="Arial" w:hAnsi="Arial"/>
                <w:sz w:val="18"/>
                <w:szCs w:val="18"/>
                <w:color w:val="auto"/>
                <w:w w:val="87"/>
              </w:rPr>
            </w:pPr>
            <w:hyperlink w:anchor="page98">
              <w:r>
                <w:rPr>
                  <w:rFonts w:ascii="Arial" w:cs="Arial" w:eastAsia="Arial" w:hAnsi="Arial"/>
                  <w:sz w:val="18"/>
                  <w:szCs w:val="18"/>
                  <w:color w:val="auto"/>
                  <w:w w:val="87"/>
                </w:rPr>
                <w:t>13.</w:t>
              </w:r>
            </w:hyperlink>
          </w:p>
        </w:tc>
        <w:tc>
          <w:tcPr>
            <w:tcW w:w="9000" w:type="dxa"/>
            <w:vAlign w:val="bottom"/>
            <w:shd w:val="clear" w:color="auto" w:fill="CCEEFF"/>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Certain Relationships and Related Transactions and Director Independence</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25"/>
        </w:trPr>
        <w:tc>
          <w:tcPr>
            <w:tcW w:w="680" w:type="dxa"/>
            <w:vAlign w:val="bottom"/>
          </w:tcPr>
          <w:p>
            <w:pPr>
              <w:jc w:val="center"/>
              <w:ind w:left="12"/>
              <w:spacing w:after="0"/>
              <w:rPr>
                <w:rFonts w:ascii="Arial" w:cs="Arial" w:eastAsia="Arial" w:hAnsi="Arial"/>
                <w:sz w:val="18"/>
                <w:szCs w:val="18"/>
                <w:color w:val="auto"/>
                <w:w w:val="87"/>
              </w:rPr>
            </w:pPr>
            <w:hyperlink w:anchor="page98">
              <w:r>
                <w:rPr>
                  <w:rFonts w:ascii="Arial" w:cs="Arial" w:eastAsia="Arial" w:hAnsi="Arial"/>
                  <w:sz w:val="18"/>
                  <w:szCs w:val="18"/>
                  <w:color w:val="auto"/>
                  <w:w w:val="87"/>
                </w:rPr>
                <w:t>14.</w:t>
              </w:r>
            </w:hyperlink>
          </w:p>
        </w:tc>
        <w:tc>
          <w:tcPr>
            <w:tcW w:w="9000" w:type="dxa"/>
            <w:vAlign w:val="bottom"/>
          </w:tcPr>
          <w:p>
            <w:pPr>
              <w:ind w:left="120"/>
              <w:spacing w:after="0"/>
              <w:rPr>
                <w:rFonts w:ascii="Arial" w:cs="Arial" w:eastAsia="Arial" w:hAnsi="Arial"/>
                <w:sz w:val="18"/>
                <w:szCs w:val="18"/>
                <w:color w:val="auto"/>
              </w:rPr>
            </w:pPr>
            <w:hyperlink w:anchor="page98">
              <w:r>
                <w:rPr>
                  <w:rFonts w:ascii="Arial" w:cs="Arial" w:eastAsia="Arial" w:hAnsi="Arial"/>
                  <w:sz w:val="18"/>
                  <w:szCs w:val="18"/>
                  <w:color w:val="auto"/>
                </w:rPr>
                <w:t>Principal Accounting Fees and Services</w:t>
              </w:r>
            </w:hyperlink>
          </w:p>
        </w:tc>
        <w:tc>
          <w:tcPr>
            <w:tcW w:w="15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26"/>
        </w:trPr>
        <w:tc>
          <w:tcPr>
            <w:tcW w:w="680" w:type="dxa"/>
            <w:vAlign w:val="bottom"/>
            <w:shd w:val="clear" w:color="auto" w:fill="CCEEFF"/>
          </w:tcPr>
          <w:p>
            <w:pPr>
              <w:spacing w:after="0"/>
              <w:rPr>
                <w:sz w:val="19"/>
                <w:szCs w:val="19"/>
                <w:color w:val="auto"/>
              </w:rPr>
            </w:pPr>
          </w:p>
        </w:tc>
        <w:tc>
          <w:tcPr>
            <w:tcW w:w="9000" w:type="dxa"/>
            <w:vAlign w:val="bottom"/>
            <w:shd w:val="clear" w:color="auto" w:fill="CCEEFF"/>
          </w:tcPr>
          <w:p>
            <w:pPr>
              <w:jc w:val="center"/>
              <w:ind w:left="772"/>
              <w:spacing w:after="0"/>
              <w:rPr>
                <w:sz w:val="20"/>
                <w:szCs w:val="20"/>
                <w:color w:val="auto"/>
              </w:rPr>
            </w:pPr>
            <w:r>
              <w:rPr>
                <w:rFonts w:ascii="Arial" w:cs="Arial" w:eastAsia="Arial" w:hAnsi="Arial"/>
                <w:sz w:val="18"/>
                <w:szCs w:val="18"/>
                <w:b w:val="1"/>
                <w:bCs w:val="1"/>
                <w:color w:val="auto"/>
                <w:w w:val="98"/>
              </w:rPr>
              <w:t>PART IV</w:t>
            </w:r>
          </w:p>
        </w:tc>
        <w:tc>
          <w:tcPr>
            <w:tcW w:w="1540" w:type="dxa"/>
            <w:vAlign w:val="bottom"/>
            <w:shd w:val="clear" w:color="auto" w:fill="CCEEFF"/>
          </w:tcPr>
          <w:p>
            <w:pPr>
              <w:spacing w:after="0"/>
              <w:rPr>
                <w:sz w:val="19"/>
                <w:szCs w:val="19"/>
                <w:color w:val="auto"/>
              </w:rPr>
            </w:pPr>
          </w:p>
        </w:tc>
      </w:tr>
      <w:tr>
        <w:trPr>
          <w:trHeight w:val="225"/>
        </w:trPr>
        <w:tc>
          <w:tcPr>
            <w:tcW w:w="680" w:type="dxa"/>
            <w:vAlign w:val="bottom"/>
          </w:tcPr>
          <w:p>
            <w:pPr>
              <w:jc w:val="center"/>
              <w:ind w:left="12"/>
              <w:spacing w:after="0"/>
              <w:rPr>
                <w:rFonts w:ascii="Arial" w:cs="Arial" w:eastAsia="Arial" w:hAnsi="Arial"/>
                <w:sz w:val="18"/>
                <w:szCs w:val="18"/>
                <w:color w:val="auto"/>
                <w:w w:val="87"/>
              </w:rPr>
            </w:pPr>
            <w:hyperlink w:anchor="page99">
              <w:r>
                <w:rPr>
                  <w:rFonts w:ascii="Arial" w:cs="Arial" w:eastAsia="Arial" w:hAnsi="Arial"/>
                  <w:sz w:val="18"/>
                  <w:szCs w:val="18"/>
                  <w:color w:val="auto"/>
                  <w:w w:val="87"/>
                </w:rPr>
                <w:t>15.</w:t>
              </w:r>
            </w:hyperlink>
          </w:p>
        </w:tc>
        <w:tc>
          <w:tcPr>
            <w:tcW w:w="9000" w:type="dxa"/>
            <w:vAlign w:val="bottom"/>
          </w:tcPr>
          <w:p>
            <w:pPr>
              <w:ind w:left="120"/>
              <w:spacing w:after="0"/>
              <w:rPr>
                <w:rFonts w:ascii="Arial" w:cs="Arial" w:eastAsia="Arial" w:hAnsi="Arial"/>
                <w:sz w:val="18"/>
                <w:szCs w:val="18"/>
                <w:color w:val="auto"/>
              </w:rPr>
            </w:pPr>
            <w:hyperlink w:anchor="page99">
              <w:r>
                <w:rPr>
                  <w:rFonts w:ascii="Arial" w:cs="Arial" w:eastAsia="Arial" w:hAnsi="Arial"/>
                  <w:sz w:val="18"/>
                  <w:szCs w:val="18"/>
                  <w:color w:val="auto"/>
                </w:rPr>
                <w:t>Exhibits, Financial Statement Schedules</w:t>
              </w:r>
            </w:hyperlink>
          </w:p>
        </w:tc>
        <w:tc>
          <w:tcPr>
            <w:tcW w:w="154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r>
      <w:tr>
        <w:trPr>
          <w:trHeight w:val="226"/>
        </w:trPr>
        <w:tc>
          <w:tcPr>
            <w:tcW w:w="6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16.</w:t>
            </w:r>
          </w:p>
        </w:tc>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Form 10-K Summary</w:t>
            </w:r>
          </w:p>
        </w:tc>
        <w:tc>
          <w:tcPr>
            <w:tcW w:w="1540" w:type="dxa"/>
            <w:vAlign w:val="bottom"/>
            <w:shd w:val="clear" w:color="auto" w:fill="CCEEFF"/>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r>
        <w:trPr>
          <w:trHeight w:val="225"/>
        </w:trPr>
        <w:tc>
          <w:tcPr>
            <w:tcW w:w="68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680" w:type="dxa"/>
            <w:vAlign w:val="bottom"/>
            <w:shd w:val="clear" w:color="auto" w:fill="CCEEFF"/>
          </w:tcPr>
          <w:p>
            <w:pPr>
              <w:spacing w:after="0"/>
              <w:rPr>
                <w:sz w:val="19"/>
                <w:szCs w:val="19"/>
                <w:color w:val="auto"/>
              </w:rPr>
            </w:pPr>
          </w:p>
        </w:tc>
        <w:tc>
          <w:tcPr>
            <w:tcW w:w="9000" w:type="dxa"/>
            <w:vAlign w:val="bottom"/>
            <w:shd w:val="clear" w:color="auto" w:fill="CCEEFF"/>
          </w:tcPr>
          <w:p>
            <w:pPr>
              <w:ind w:left="120"/>
              <w:spacing w:after="0"/>
              <w:rPr>
                <w:rFonts w:ascii="Arial" w:cs="Arial" w:eastAsia="Arial" w:hAnsi="Arial"/>
                <w:sz w:val="18"/>
                <w:szCs w:val="18"/>
                <w:color w:val="auto"/>
              </w:rPr>
            </w:pPr>
            <w:hyperlink w:anchor="page107">
              <w:r>
                <w:rPr>
                  <w:rFonts w:ascii="Arial" w:cs="Arial" w:eastAsia="Arial" w:hAnsi="Arial"/>
                  <w:sz w:val="18"/>
                  <w:szCs w:val="18"/>
                  <w:color w:val="auto"/>
                </w:rPr>
                <w:t>Signatures</w:t>
              </w:r>
            </w:hyperlink>
          </w:p>
        </w:tc>
        <w:tc>
          <w:tcPr>
            <w:tcW w:w="1540" w:type="dxa"/>
            <w:vAlign w:val="bottom"/>
            <w:shd w:val="clear" w:color="auto" w:fill="CCEEFF"/>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Since 1972, Credit Acceptance Corporation (referred to as the “Company”, “Credit Acceptance”, “we”, “our” or “us”)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Credit Acceptance was founded to collect retail installment contracts (referred to as “Consumer Loans”) originated by automobile dealerships owned by Donald Foss, our founder. During the 1980s, we began to market this service to non-affiliated dealers and, at the same time, began to offer dealers a non-recourse cash payment (referred to as an “advance”) against anticipated future collections on Consumer Loans serviced for that dealer.</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Dealers to us. We are an indirect lender from a legal perspective, meaning the Consumer Loan is originated by the Dealer and assigned to us.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Substantially all of the Consumer Loans assigned to us are made to consumers with impaired or limited credit histories. The following table shows the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18"/>
                <w:szCs w:val="18"/>
                <w:color w:val="auto"/>
                <w:w w:val="99"/>
              </w:rPr>
              <w:t>percentage</w:t>
            </w:r>
          </w:p>
        </w:tc>
        <w:tc>
          <w:tcPr>
            <w:tcW w:w="400" w:type="dxa"/>
            <w:vAlign w:val="bottom"/>
          </w:tcPr>
          <w:p>
            <w:pPr>
              <w:ind w:left="140"/>
              <w:spacing w:after="0"/>
              <w:rPr>
                <w:sz w:val="20"/>
                <w:szCs w:val="20"/>
                <w:color w:val="auto"/>
              </w:rPr>
            </w:pPr>
            <w:r>
              <w:rPr>
                <w:rFonts w:ascii="Arial" w:cs="Arial" w:eastAsia="Arial" w:hAnsi="Arial"/>
                <w:sz w:val="18"/>
                <w:szCs w:val="18"/>
                <w:color w:val="auto"/>
              </w:rPr>
              <w:t>of</w:t>
            </w:r>
          </w:p>
        </w:tc>
        <w:tc>
          <w:tcPr>
            <w:tcW w:w="10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720" w:type="dxa"/>
            <w:vAlign w:val="bottom"/>
          </w:tcPr>
          <w:p>
            <w:pPr>
              <w:ind w:left="140"/>
              <w:spacing w:after="0"/>
              <w:rPr>
                <w:sz w:val="20"/>
                <w:szCs w:val="20"/>
                <w:color w:val="auto"/>
              </w:rPr>
            </w:pPr>
            <w:r>
              <w:rPr>
                <w:rFonts w:ascii="Arial" w:cs="Arial" w:eastAsia="Arial" w:hAnsi="Arial"/>
                <w:sz w:val="18"/>
                <w:szCs w:val="18"/>
                <w:color w:val="auto"/>
              </w:rPr>
              <w:t>Loans</w:t>
            </w:r>
          </w:p>
        </w:tc>
        <w:tc>
          <w:tcPr>
            <w:tcW w:w="900" w:type="dxa"/>
            <w:vAlign w:val="bottom"/>
          </w:tcPr>
          <w:p>
            <w:pPr>
              <w:ind w:left="140"/>
              <w:spacing w:after="0"/>
              <w:rPr>
                <w:sz w:val="20"/>
                <w:szCs w:val="20"/>
                <w:color w:val="auto"/>
              </w:rPr>
            </w:pPr>
            <w:r>
              <w:rPr>
                <w:rFonts w:ascii="Arial" w:cs="Arial" w:eastAsia="Arial" w:hAnsi="Arial"/>
                <w:sz w:val="18"/>
                <w:szCs w:val="18"/>
                <w:color w:val="auto"/>
              </w:rPr>
              <w:t>assigned</w:t>
            </w:r>
          </w:p>
        </w:tc>
        <w:tc>
          <w:tcPr>
            <w:tcW w:w="560" w:type="dxa"/>
            <w:vAlign w:val="bottom"/>
          </w:tcPr>
          <w:p>
            <w:pPr>
              <w:ind w:left="140"/>
              <w:spacing w:after="0"/>
              <w:rPr>
                <w:sz w:val="20"/>
                <w:szCs w:val="20"/>
                <w:color w:val="auto"/>
              </w:rPr>
            </w:pPr>
            <w:r>
              <w:rPr>
                <w:rFonts w:ascii="Arial" w:cs="Arial" w:eastAsia="Arial" w:hAnsi="Arial"/>
                <w:sz w:val="18"/>
                <w:szCs w:val="18"/>
                <w:color w:val="auto"/>
              </w:rPr>
              <w:t>to</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80" w:type="dxa"/>
            <w:vAlign w:val="bottom"/>
          </w:tcPr>
          <w:p>
            <w:pPr>
              <w:ind w:left="120"/>
              <w:spacing w:after="0"/>
              <w:rPr>
                <w:sz w:val="20"/>
                <w:szCs w:val="20"/>
                <w:color w:val="auto"/>
              </w:rPr>
            </w:pPr>
            <w:r>
              <w:rPr>
                <w:rFonts w:ascii="Arial" w:cs="Arial" w:eastAsia="Arial" w:hAnsi="Arial"/>
                <w:sz w:val="18"/>
                <w:szCs w:val="18"/>
                <w:color w:val="auto"/>
              </w:rPr>
              <w:t>with</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either</w:t>
            </w: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scores</w:t>
            </w:r>
          </w:p>
        </w:tc>
        <w:tc>
          <w:tcPr>
            <w:tcW w:w="560" w:type="dxa"/>
            <w:vAlign w:val="bottom"/>
          </w:tcPr>
          <w:p>
            <w:pPr>
              <w:ind w:left="140"/>
              <w:spacing w:after="0"/>
              <w:rPr>
                <w:sz w:val="20"/>
                <w:szCs w:val="20"/>
                <w:color w:val="auto"/>
              </w:rPr>
            </w:pPr>
            <w:r>
              <w:rPr>
                <w:rFonts w:ascii="Arial" w:cs="Arial" w:eastAsia="Arial" w:hAnsi="Arial"/>
                <w:sz w:val="18"/>
                <w:szCs w:val="18"/>
                <w:color w:val="auto"/>
                <w:w w:val="84"/>
              </w:rPr>
              <w:t>below</w:t>
            </w:r>
          </w:p>
        </w:tc>
        <w:tc>
          <w:tcPr>
            <w:tcW w:w="620" w:type="dxa"/>
            <w:vAlign w:val="bottom"/>
          </w:tcPr>
          <w:p>
            <w:pPr>
              <w:jc w:val="right"/>
              <w:spacing w:after="0"/>
              <w:rPr>
                <w:sz w:val="20"/>
                <w:szCs w:val="20"/>
                <w:color w:val="auto"/>
              </w:rPr>
            </w:pPr>
            <w:r>
              <w:rPr>
                <w:rFonts w:ascii="Arial" w:cs="Arial" w:eastAsia="Arial" w:hAnsi="Arial"/>
                <w:sz w:val="18"/>
                <w:szCs w:val="18"/>
                <w:color w:val="auto"/>
              </w:rPr>
              <w:t>650</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or</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900" w:type="dxa"/>
            <w:vAlign w:val="bottom"/>
          </w:tcPr>
          <w:p>
            <w:pPr>
              <w:jc w:val="right"/>
              <w:ind w:right="178"/>
              <w:spacing w:after="0"/>
              <w:rPr>
                <w:sz w:val="20"/>
                <w:szCs w:val="20"/>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2"/>
              </w:rPr>
              <w:t>scores:</w:t>
            </w: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For the Years Ended December 31,</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Consumer Loan Assignment Volume</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40" w:type="dxa"/>
            <w:vAlign w:val="bottom"/>
            <w:gridSpan w:val="6"/>
            <w:shd w:val="clear" w:color="auto" w:fill="CCEEFF"/>
          </w:tcPr>
          <w:p>
            <w:pPr>
              <w:ind w:left="20"/>
              <w:spacing w:after="0" w:line="173" w:lineRule="exact"/>
              <w:rPr>
                <w:sz w:val="20"/>
                <w:szCs w:val="20"/>
                <w:color w:val="auto"/>
              </w:rPr>
            </w:pPr>
            <w:r>
              <w:rPr>
                <w:rFonts w:ascii="Arial" w:cs="Arial" w:eastAsia="Arial" w:hAnsi="Arial"/>
                <w:sz w:val="15"/>
                <w:szCs w:val="15"/>
                <w:color w:val="auto"/>
              </w:rPr>
              <w:t>Percentage of total unit volume with either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scores below</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1"/>
              </w:rPr>
              <w:t>91.0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85"/>
              </w:rPr>
              <w:t>94.9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360" w:type="dxa"/>
            <w:vAlign w:val="bottom"/>
            <w:gridSpan w:val="3"/>
            <w:shd w:val="clear" w:color="auto" w:fill="CCEEFF"/>
          </w:tcPr>
          <w:p>
            <w:pPr>
              <w:ind w:left="180"/>
              <w:spacing w:after="0" w:line="225" w:lineRule="exact"/>
              <w:rPr>
                <w:sz w:val="20"/>
                <w:szCs w:val="20"/>
                <w:color w:val="auto"/>
              </w:rPr>
            </w:pPr>
            <w:r>
              <w:rPr>
                <w:rFonts w:ascii="Arial" w:cs="Arial" w:eastAsia="Arial" w:hAnsi="Arial"/>
                <w:sz w:val="18"/>
                <w:szCs w:val="18"/>
                <w:color w:val="auto"/>
              </w:rPr>
              <w:t>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17" w:lineRule="auto"/>
        <w:rPr>
          <w:sz w:val="20"/>
          <w:szCs w:val="20"/>
          <w:color w:val="auto"/>
        </w:rPr>
      </w:pPr>
      <w:r>
        <w:rPr>
          <w:rFonts w:ascii="Arial" w:cs="Arial" w:eastAsia="Arial" w:hAnsi="Arial"/>
          <w:sz w:val="18"/>
          <w:szCs w:val="18"/>
          <w:color w:val="auto"/>
        </w:rPr>
        <w:t>In 2020, we began piloting an option that expanded our financing programs to consumers with higher credit ratings. In the fourth quarter of 2021, we made this option available to all Dealers. A portion of the reduction in the percentage of total unit volume with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relates to Consumer Loans assigned under this option.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currently operate in one reportable segment which represents our core business of offering Dealers financing programs and related products and services that enable them to sell vehicles to consumers, regardless of their credit history. For information regarding our one reportable segment and related entity-wide disclosures, see Note 15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Business</w:t>
      </w:r>
    </w:p>
    <w:p>
      <w:pPr>
        <w:spacing w:after="0" w:line="25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We offer our Dealers financing programs that enable them to sell vehicles to consumers, regardless of their credit history. 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shows  the  percentage  of  Consumer</w:t>
            </w:r>
          </w:p>
        </w:tc>
        <w:tc>
          <w:tcPr>
            <w:tcW w:w="2140" w:type="dxa"/>
            <w:vAlign w:val="bottom"/>
            <w:gridSpan w:val="3"/>
          </w:tcPr>
          <w:p>
            <w:pPr>
              <w:jc w:val="right"/>
              <w:ind w:right="49"/>
              <w:spacing w:after="0"/>
              <w:rPr>
                <w:sz w:val="20"/>
                <w:szCs w:val="20"/>
                <w:color w:val="auto"/>
              </w:rPr>
            </w:pPr>
            <w:r>
              <w:rPr>
                <w:rFonts w:ascii="Arial" w:cs="Arial" w:eastAsia="Arial" w:hAnsi="Arial"/>
                <w:sz w:val="18"/>
                <w:szCs w:val="18"/>
                <w:color w:val="auto"/>
              </w:rPr>
              <w:t>Loans  assigned  to  us</w:t>
            </w: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under</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each  of  the</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w w:val="86"/>
              </w:rPr>
              <w:t>programs</w:t>
            </w:r>
          </w:p>
        </w:tc>
        <w:tc>
          <w:tcPr>
            <w:tcW w:w="940" w:type="dxa"/>
            <w:vAlign w:val="bottom"/>
          </w:tcPr>
          <w:p>
            <w:pPr>
              <w:jc w:val="center"/>
              <w:ind w:left="55"/>
              <w:spacing w:after="0"/>
              <w:rPr>
                <w:sz w:val="20"/>
                <w:szCs w:val="20"/>
                <w:color w:val="auto"/>
              </w:rPr>
            </w:pPr>
            <w:r>
              <w:rPr>
                <w:rFonts w:ascii="Arial" w:cs="Arial" w:eastAsia="Arial" w:hAnsi="Arial"/>
                <w:sz w:val="18"/>
                <w:szCs w:val="18"/>
                <w:color w:val="auto"/>
              </w:rPr>
              <w:t>for  each</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of</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the  last  three</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81"/>
              </w:rPr>
              <w:t>years:</w:t>
            </w:r>
          </w:p>
        </w:tc>
      </w:tr>
      <w:tr>
        <w:trPr>
          <w:trHeight w:val="208"/>
        </w:trPr>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Unit Volume</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Dollar Volume (1)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3180" w:type="dxa"/>
            <w:vAlign w:val="bottom"/>
            <w:tcBorders>
              <w:bottom w:val="single" w:sz="8" w:color="auto"/>
            </w:tcBorders>
          </w:tcPr>
          <w:p>
            <w:pPr>
              <w:jc w:val="center"/>
              <w:ind w:left="675"/>
              <w:spacing w:after="0"/>
              <w:rPr>
                <w:sz w:val="20"/>
                <w:szCs w:val="20"/>
                <w:color w:val="auto"/>
              </w:rPr>
            </w:pPr>
            <w:r>
              <w:rPr>
                <w:rFonts w:ascii="Arial" w:cs="Arial" w:eastAsia="Arial" w:hAnsi="Arial"/>
                <w:sz w:val="14"/>
                <w:szCs w:val="14"/>
                <w:b w:val="1"/>
                <w:bCs w:val="1"/>
                <w:color w:val="auto"/>
                <w:w w:val="90"/>
              </w:rPr>
              <w:t>For the Years Ended December 31,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Portfolio Program</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 Program</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95"/>
              <w:spacing w:after="0"/>
              <w:rPr>
                <w:sz w:val="20"/>
                <w:szCs w:val="20"/>
                <w:color w:val="auto"/>
              </w:rPr>
            </w:pPr>
            <w:r>
              <w:rPr>
                <w:rFonts w:ascii="Arial" w:cs="Arial" w:eastAsia="Arial" w:hAnsi="Arial"/>
                <w:sz w:val="14"/>
                <w:szCs w:val="14"/>
                <w:b w:val="1"/>
                <w:bCs w:val="1"/>
                <w:color w:val="auto"/>
                <w:w w:val="92"/>
              </w:rPr>
              <w:t>Portfolio Program</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Purchase Program</w:t>
            </w:r>
          </w:p>
        </w:tc>
        <w:tc>
          <w:tcPr>
            <w:tcW w:w="100" w:type="dxa"/>
            <w:vAlign w:val="bottom"/>
          </w:tcPr>
          <w:p>
            <w:pPr>
              <w:spacing w:after="0"/>
              <w:rPr>
                <w:sz w:val="16"/>
                <w:szCs w:val="16"/>
                <w:color w:val="auto"/>
              </w:rPr>
            </w:pPr>
          </w:p>
        </w:tc>
      </w:tr>
      <w:tr>
        <w:trPr>
          <w:trHeight w:val="225"/>
        </w:trPr>
        <w:tc>
          <w:tcPr>
            <w:tcW w:w="318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84"/>
              </w:rPr>
              <w:t>2019</w:t>
            </w:r>
          </w:p>
        </w:tc>
        <w:tc>
          <w:tcPr>
            <w:tcW w:w="2140" w:type="dxa"/>
            <w:vAlign w:val="bottom"/>
            <w:gridSpan w:val="3"/>
            <w:shd w:val="clear" w:color="auto" w:fill="CCEEFF"/>
          </w:tcPr>
          <w:p>
            <w:pPr>
              <w:jc w:val="right"/>
              <w:ind w:right="309"/>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64.3</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5"/>
        </w:trPr>
        <w:tc>
          <w:tcPr>
            <w:tcW w:w="3180" w:type="dxa"/>
            <w:vAlign w:val="bottom"/>
          </w:tcPr>
          <w:p>
            <w:pPr>
              <w:jc w:val="center"/>
              <w:ind w:left="675"/>
              <w:spacing w:after="0"/>
              <w:rPr>
                <w:sz w:val="20"/>
                <w:szCs w:val="20"/>
                <w:color w:val="auto"/>
              </w:rPr>
            </w:pPr>
            <w:r>
              <w:rPr>
                <w:rFonts w:ascii="Arial" w:cs="Arial" w:eastAsia="Arial" w:hAnsi="Arial"/>
                <w:sz w:val="18"/>
                <w:szCs w:val="18"/>
                <w:color w:val="auto"/>
                <w:w w:val="84"/>
              </w:rPr>
              <w:t>2020</w:t>
            </w:r>
          </w:p>
        </w:tc>
        <w:tc>
          <w:tcPr>
            <w:tcW w:w="2140" w:type="dxa"/>
            <w:vAlign w:val="bottom"/>
            <w:gridSpan w:val="3"/>
          </w:tcPr>
          <w:p>
            <w:pPr>
              <w:jc w:val="right"/>
              <w:ind w:right="309"/>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295"/>
              <w:spacing w:after="0"/>
              <w:rPr>
                <w:sz w:val="20"/>
                <w:szCs w:val="20"/>
                <w:color w:val="auto"/>
              </w:rPr>
            </w:pPr>
            <w:r>
              <w:rPr>
                <w:rFonts w:ascii="Arial" w:cs="Arial" w:eastAsia="Arial" w:hAnsi="Arial"/>
                <w:sz w:val="18"/>
                <w:szCs w:val="18"/>
                <w:color w:val="auto"/>
              </w:rPr>
              <w:t>35.9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60.6</w:t>
            </w:r>
          </w:p>
        </w:tc>
        <w:tc>
          <w:tcPr>
            <w:tcW w:w="340" w:type="dxa"/>
            <w:vAlign w:val="bottom"/>
          </w:tcPr>
          <w:p>
            <w:pPr>
              <w:ind w:left="18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39.4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318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84"/>
              </w:rPr>
              <w:t>2021</w:t>
            </w:r>
          </w:p>
        </w:tc>
        <w:tc>
          <w:tcPr>
            <w:tcW w:w="2140" w:type="dxa"/>
            <w:vAlign w:val="bottom"/>
            <w:gridSpan w:val="3"/>
            <w:shd w:val="clear" w:color="auto" w:fill="CCEEFF"/>
          </w:tcPr>
          <w:p>
            <w:pPr>
              <w:jc w:val="right"/>
              <w:ind w:right="309"/>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313" w:lineRule="exact"/>
        <w:rPr>
          <w:sz w:val="20"/>
          <w:szCs w:val="20"/>
          <w:color w:val="auto"/>
        </w:rPr>
      </w:pPr>
    </w:p>
    <w:p>
      <w:pPr>
        <w:ind w:left="480" w:hanging="315"/>
        <w:spacing w:after="0" w:line="265" w:lineRule="auto"/>
        <w:tabs>
          <w:tab w:leader="none" w:pos="472"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Portfolio Program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44" w:lineRule="exact"/>
        <w:rPr>
          <w:sz w:val="20"/>
          <w:szCs w:val="20"/>
          <w:color w:val="auto"/>
        </w:rPr>
      </w:pPr>
    </w:p>
    <w:p>
      <w:pPr>
        <w:ind w:left="800" w:hanging="317"/>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advance from us; and</w:t>
      </w:r>
    </w:p>
    <w:p>
      <w:pPr>
        <w:spacing w:after="0" w:line="5" w:lineRule="exact"/>
        <w:rPr>
          <w:rFonts w:ascii="Arial" w:cs="Arial" w:eastAsia="Arial" w:hAnsi="Arial"/>
          <w:sz w:val="18"/>
          <w:szCs w:val="18"/>
          <w:color w:val="auto"/>
        </w:rPr>
      </w:pPr>
    </w:p>
    <w:p>
      <w:pPr>
        <w:ind w:left="800" w:right="20" w:hanging="317"/>
        <w:spacing w:after="0" w:line="251"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2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record the amount advanced to the Dealer as a Dealer Loan, which is classified within Loans receivable in our consolidated balance sheets. Cash advanced to the Dealer is automatically assigned to the Dealer’s open pool of advances. Prior to August 5, 2019, we generally required Dealers to group advances into pools of at least 100 Consumer Loans. Beginning August 5, 2019, Dealers may also elect to close a pool containing at least 50 Consumer Loans and assign subsequent advances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207" w:lineRule="exact"/>
        <w:rPr>
          <w:sz w:val="20"/>
          <w:szCs w:val="20"/>
          <w:color w:val="auto"/>
        </w:rPr>
      </w:pPr>
    </w:p>
    <w:p>
      <w:pPr>
        <w:ind w:left="800" w:hanging="31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 w:name="page5"/>
    <w:bookmarkEnd w:id="4"/>
    <w:p>
      <w:pPr>
        <w:jc w:val="both"/>
        <w:ind w:firstLine="318"/>
        <w:spacing w:after="0" w:line="255"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Purchase Program</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Program Enrollment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Beginning August 5, 2019, Dealers may enroll in our Portfolio Program without incurring an enrollment fee. Prior to August 5, 2019, Dealers enrolled in our Portfolio Program by (1) paying an up-front, one-time fee of $9,850, or (2) agreeing to allow us to retain 50% of their accelerated Dealer Holdback payment(s) on the first 100 Consumer Loan assignments.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Access to the Purchase Program is typically only granted to Dealers that meet one of the following:</w:t>
      </w:r>
    </w:p>
    <w:p>
      <w:pPr>
        <w:spacing w:after="0" w:line="244" w:lineRule="exact"/>
        <w:rPr>
          <w:sz w:val="20"/>
          <w:szCs w:val="20"/>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assigned at least 100 Consumer Loans under the Portfolio Program;</w:t>
      </w:r>
    </w:p>
    <w:p>
      <w:pPr>
        <w:spacing w:after="0" w:line="16"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Revenue Sources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Credit Acceptance derives its revenues from the following principal sources:</w:t>
      </w:r>
    </w:p>
    <w:p>
      <w:pPr>
        <w:spacing w:after="0" w:line="244" w:lineRule="exact"/>
        <w:rPr>
          <w:sz w:val="20"/>
          <w:szCs w:val="20"/>
          <w:color w:val="auto"/>
        </w:rPr>
      </w:pPr>
    </w:p>
    <w:p>
      <w:pPr>
        <w:jc w:val="both"/>
        <w:ind w:left="800" w:hanging="317"/>
        <w:spacing w:after="0" w:line="235"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Finance charges, which are comprised of: (1) interest income earned on Loans; (2) administrative fees earned from ancillary products; (3) program fees charged to Dealers under the Portfolio Program; (4) Consumer Loan assignment fees charged to Dealers; and (5) direct origination costs incurred on Dealer Loans;</w:t>
      </w:r>
    </w:p>
    <w:p>
      <w:pPr>
        <w:spacing w:after="0" w:line="2" w:lineRule="exact"/>
        <w:rPr>
          <w:rFonts w:ascii="Arial" w:cs="Arial" w:eastAsia="Arial" w:hAnsi="Arial"/>
          <w:sz w:val="18"/>
          <w:szCs w:val="18"/>
          <w:color w:val="auto"/>
        </w:rPr>
      </w:pPr>
    </w:p>
    <w:p>
      <w:pPr>
        <w:ind w:left="800" w:hanging="317"/>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earned on the reinsurance of vehicle service contracts; and</w:t>
      </w:r>
    </w:p>
    <w:p>
      <w:pPr>
        <w:spacing w:after="0" w:line="2" w:lineRule="exact"/>
        <w:rPr>
          <w:rFonts w:ascii="Arial" w:cs="Arial" w:eastAsia="Arial" w:hAnsi="Arial"/>
          <w:sz w:val="18"/>
          <w:szCs w:val="18"/>
          <w:color w:val="auto"/>
        </w:rPr>
      </w:pPr>
    </w:p>
    <w:p>
      <w:pPr>
        <w:jc w:val="both"/>
        <w:ind w:left="800" w:hanging="317"/>
        <w:spacing w:after="0" w:line="322" w:lineRule="auto"/>
        <w:tabs>
          <w:tab w:leader="none" w:pos="795"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income, which primarily consists of ancillary product profit sharing, remarketing fees, Dealer enrollment fees, Dealer support products and services, interest and, until the second quarter of 2019, GPS Starter Interrupt Devices (“GPS-SID”) fees. For additional information, see Note 8 to the consolidated financial statements contained in Item 8 to this Form 10-K, which is incorporated herein by reference.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percent relationship to total revenue of each of these sources: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19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 of Total Revenue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r>
      <w:tr>
        <w:trPr>
          <w:trHeight w:val="225"/>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charges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r>
      <w:tr>
        <w:trPr>
          <w:trHeight w:val="225"/>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Premiums earned</w:t>
            </w:r>
          </w:p>
        </w:tc>
        <w:tc>
          <w:tcPr>
            <w:tcW w:w="1820" w:type="dxa"/>
            <w:vAlign w:val="bottom"/>
          </w:tcPr>
          <w:p>
            <w:pPr>
              <w:jc w:val="right"/>
              <w:spacing w:after="0"/>
              <w:rPr>
                <w:sz w:val="20"/>
                <w:szCs w:val="20"/>
                <w:color w:val="auto"/>
              </w:rPr>
            </w:pPr>
            <w:r>
              <w:rPr>
                <w:rFonts w:ascii="Arial" w:cs="Arial" w:eastAsia="Arial" w:hAnsi="Arial"/>
                <w:sz w:val="18"/>
                <w:szCs w:val="18"/>
                <w:color w:val="auto"/>
              </w:rPr>
              <w:t>3.2 %</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2"/>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5"/>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820" w:type="dxa"/>
            <w:vAlign w:val="bottom"/>
          </w:tcPr>
          <w:p>
            <w:pPr>
              <w:jc w:val="right"/>
              <w:spacing w:after="0"/>
              <w:rPr>
                <w:sz w:val="20"/>
                <w:szCs w:val="20"/>
                <w:color w:val="auto"/>
              </w:rPr>
            </w:pPr>
            <w:r>
              <w:rPr>
                <w:rFonts w:ascii="Arial" w:cs="Arial" w:eastAsia="Arial" w:hAnsi="Arial"/>
                <w:sz w:val="18"/>
                <w:szCs w:val="18"/>
                <w:color w:val="auto"/>
              </w:rPr>
              <w:t>100.0 %</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 w:name="page6"/>
    <w:bookmarkEnd w:id="5"/>
    <w:p>
      <w:pPr>
        <w:ind w:left="320"/>
        <w:spacing w:after="0"/>
        <w:rPr>
          <w:sz w:val="20"/>
          <w:szCs w:val="20"/>
          <w:color w:val="auto"/>
        </w:rPr>
      </w:pPr>
      <w:r>
        <w:rPr>
          <w:rFonts w:ascii="Arial" w:cs="Arial" w:eastAsia="Arial" w:hAnsi="Arial"/>
          <w:sz w:val="18"/>
          <w:szCs w:val="18"/>
          <w:u w:val="single" w:color="auto"/>
          <w:color w:val="auto"/>
        </w:rPr>
        <w:t>Operations</w:t>
      </w:r>
    </w:p>
    <w:p>
      <w:pPr>
        <w:spacing w:after="0" w:line="244"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target market is approximately 60,000 independent and franchised automobile dealers in the United States. We have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area managers located throughout the United States that market our programs to prospective Dealers, enroll new Dealers, and support active Dealers. The number of Dealer enrollments and active Dealers for each of the last three years are presented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For the Years Ended December 31,</w:t>
            </w:r>
          </w:p>
        </w:tc>
        <w:tc>
          <w:tcPr>
            <w:tcW w:w="2800" w:type="dxa"/>
            <w:vAlign w:val="bottom"/>
          </w:tcPr>
          <w:p>
            <w:pPr>
              <w:ind w:left="1240"/>
              <w:spacing w:after="0"/>
              <w:rPr>
                <w:sz w:val="20"/>
                <w:szCs w:val="20"/>
                <w:color w:val="auto"/>
              </w:rPr>
            </w:pPr>
            <w:r>
              <w:rPr>
                <w:rFonts w:ascii="Arial" w:cs="Arial" w:eastAsia="Arial" w:hAnsi="Arial"/>
                <w:sz w:val="14"/>
                <w:szCs w:val="14"/>
                <w:b w:val="1"/>
                <w:bCs w:val="1"/>
                <w:color w:val="auto"/>
              </w:rPr>
              <w:t>Dealer Enrollments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jc w:val="right"/>
              <w:ind w:right="1216"/>
              <w:spacing w:after="0"/>
              <w:rPr>
                <w:sz w:val="20"/>
                <w:szCs w:val="20"/>
                <w:color w:val="auto"/>
              </w:rPr>
            </w:pPr>
            <w:r>
              <w:rPr>
                <w:rFonts w:ascii="Arial" w:cs="Arial" w:eastAsia="Arial" w:hAnsi="Arial"/>
                <w:sz w:val="14"/>
                <w:szCs w:val="14"/>
                <w:b w:val="1"/>
                <w:bCs w:val="1"/>
                <w:color w:val="auto"/>
              </w:rPr>
              <w:t>Active Dealers (1)</w:t>
            </w:r>
          </w:p>
        </w:tc>
      </w:tr>
      <w:tr>
        <w:trPr>
          <w:trHeight w:val="225"/>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2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r>
      <w:tr>
        <w:trPr>
          <w:trHeight w:val="225"/>
        </w:trPr>
        <w:tc>
          <w:tcPr>
            <w:tcW w:w="364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19"/>
                <w:szCs w:val="19"/>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12,690</w:t>
            </w:r>
          </w:p>
        </w:tc>
      </w:tr>
      <w:tr>
        <w:trPr>
          <w:trHeight w:val="22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r>
    </w:tbl>
    <w:p>
      <w:pPr>
        <w:spacing w:after="0" w:line="313" w:lineRule="exact"/>
        <w:rPr>
          <w:sz w:val="20"/>
          <w:szCs w:val="20"/>
          <w:color w:val="auto"/>
        </w:rPr>
      </w:pPr>
    </w:p>
    <w:p>
      <w:pPr>
        <w:ind w:left="480" w:hanging="3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period.</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Once Dealers have enrolled in our programs, the market area managers work closely with the newly enrolled Dealers to help them successfully launch our programs within their dealerships. Market area managers also provide active Dealers with ongoing support and consulting focused on improving the Dealers’ success on our programs, including assistance with increasing the volume and performance of Consumer Loan assignments.</w:t>
      </w:r>
    </w:p>
    <w:p>
      <w:pPr>
        <w:spacing w:after="0" w:line="1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Dealer Servicing Agreement. </w:t>
      </w:r>
      <w:r>
        <w:rPr>
          <w:rFonts w:ascii="Arial" w:cs="Arial" w:eastAsia="Arial" w:hAnsi="Arial"/>
          <w:sz w:val="15"/>
          <w:szCs w:val="15"/>
          <w:color w:val="auto"/>
        </w:rPr>
        <w:t>As a part of the enrollment process, a new Dealer is required to enter into a Dealer servicing agreement with Credit</w:t>
      </w:r>
      <w:r>
        <w:rPr>
          <w:rFonts w:ascii="Arial" w:cs="Arial" w:eastAsia="Arial" w:hAnsi="Arial"/>
          <w:sz w:val="15"/>
          <w:szCs w:val="15"/>
          <w:i w:val="1"/>
          <w:iCs w:val="1"/>
          <w:color w:val="auto"/>
        </w:rPr>
        <w:t xml:space="preserve"> </w:t>
      </w:r>
      <w:r>
        <w:rPr>
          <w:rFonts w:ascii="Arial" w:cs="Arial" w:eastAsia="Arial" w:hAnsi="Arial"/>
          <w:sz w:val="15"/>
          <w:szCs w:val="15"/>
          <w:color w:val="auto"/>
        </w:rPr>
        <w:t>Acceptance that defines the legal relationship between Credit Acceptance and the Dealer. The Dealer servicing agreement assigns the responsibilities for administering, servicing, and collecting the amounts due on Consumer Loans from the Dealers to us. Under the typical Dealer servicing agreement, a Dealer represents that it will only assign Consumer Loans to us that satisfy criteria established by us, meet certain conditions with respect to their binding nature and the status of the security interest in the purchased vehicle, and comply with applicable state and federal laws and regulations.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typical Dealer servicing agreement may be terminated by us or by the Dealer upon written notice. We may terminate the Dealer servicing agreement immediately in the case of an event of default by the Dealer. Events of default include, among other things:</w:t>
      </w:r>
    </w:p>
    <w:p>
      <w:pPr>
        <w:spacing w:after="0" w:line="207" w:lineRule="exact"/>
        <w:rPr>
          <w:sz w:val="20"/>
          <w:szCs w:val="20"/>
          <w:color w:val="auto"/>
        </w:rPr>
      </w:pPr>
    </w:p>
    <w:p>
      <w:pPr>
        <w:ind w:left="800" w:hanging="317"/>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Dealer's refusal to allow us to audit its records relating to the Consumer Loans assigned to us;</w:t>
      </w:r>
    </w:p>
    <w:p>
      <w:pPr>
        <w:spacing w:after="0" w:line="16"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 without our consent, is dissolved; merges or consolidates with an entity not affiliated with the Dealer; or sells a material part of its assets outside the course of its business to an entity not affiliated with the Dealer; or</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appointment of a receiver for, or the bankruptcy or insolvency of, the Dealer.</w:t>
      </w:r>
    </w:p>
    <w:p>
      <w:pPr>
        <w:spacing w:after="0" w:line="232"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While a Dealer can cease assigning Consumer Loans to us at any time without terminating the Dealer servicing agreement, if the Dealer elects to terminate the Dealer servicing agreement or in the event of a default, we have the right to require that the Dealer immediately pay us:</w:t>
      </w:r>
    </w:p>
    <w:p>
      <w:pPr>
        <w:spacing w:after="0" w:line="184" w:lineRule="exact"/>
        <w:rPr>
          <w:sz w:val="20"/>
          <w:szCs w:val="20"/>
          <w:color w:val="auto"/>
        </w:rPr>
      </w:pPr>
    </w:p>
    <w:p>
      <w:pPr>
        <w:ind w:left="800" w:hanging="317"/>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unreimbursed collection costs on Dealer Loans;</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unpaid advances and all amounts owed by the Dealer to us;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termination fee equal to 15% of the then outstanding amount of the Consumer Loans assigned to us.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Upon receipt of such amounts in full, we reassign the Consumer Loans and our security interest in the financed vehicles to the Dealer.</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the event of a termination of the Dealer servicing agreement by us, we may continue to service Consumer Loans assigned by Dealers accepted prior to termination in the normal course of business without charging a termination fee.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Consumer Loan Assignment. </w:t>
      </w:r>
      <w:r>
        <w:rPr>
          <w:rFonts w:ascii="Arial" w:cs="Arial" w:eastAsia="Arial" w:hAnsi="Arial"/>
          <w:sz w:val="15"/>
          <w:szCs w:val="15"/>
          <w:color w:val="auto"/>
        </w:rPr>
        <w:t>Once a Dealer has enrolled in our programs, the Dealer may begin assigning Consumer Loans to us. For legal purposes, 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Consumer Loan is considered to have been assigned to us after the following has occurred:</w:t>
      </w:r>
    </w:p>
    <w:p>
      <w:pPr>
        <w:spacing w:after="0" w:line="232" w:lineRule="exact"/>
        <w:rPr>
          <w:sz w:val="20"/>
          <w:szCs w:val="20"/>
          <w:color w:val="auto"/>
        </w:rPr>
      </w:pPr>
    </w:p>
    <w:p>
      <w:pPr>
        <w:ind w:left="800" w:hanging="317"/>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ind w:left="32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55" w:lineRule="exact"/>
        <w:rPr>
          <w:sz w:val="20"/>
          <w:szCs w:val="20"/>
          <w:color w:val="auto"/>
        </w:rPr>
      </w:pPr>
    </w:p>
    <w:p>
      <w:pPr>
        <w:ind w:left="800" w:hanging="31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16" w:lineRule="exact"/>
        <w:rPr>
          <w:rFonts w:ascii="Arial" w:cs="Arial" w:eastAsia="Arial" w:hAnsi="Arial"/>
          <w:sz w:val="18"/>
          <w:szCs w:val="18"/>
          <w:color w:val="auto"/>
        </w:rPr>
      </w:pPr>
    </w:p>
    <w:p>
      <w:pPr>
        <w:ind w:left="800" w:hanging="317"/>
        <w:spacing w:after="0" w:line="251"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1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 Consumer Loan is originated by the Dealer when a consumer enters into a contract with a Dealer that sets forth the terms of the agreement between the consumer and the Dealer for the payment of the purchase price of the vehicle. The amount of the Consumer Loan consists of the total principal and interest that the consumer is required to pay over the term of the Consumer Loan. Consumer Loans are written on a contract form provided by us. Although the Dealer is named in the Consumer Loan contract, the Dealer generally does not have legal ownership of the Consumer Loan for more than a moment and we, not the Dealer, are listed as lien holder on the vehicle title. Consumers are obligated to make payments on the Consumer Loan directly to us, and any failure to make such payments will result in our pursuing payment through collection efforts.</w:t>
      </w:r>
    </w:p>
    <w:p>
      <w:pPr>
        <w:spacing w:after="0" w:line="20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All Consumer Loans submitted to us for assignment are processed through our Credit Approval Processing System (“CAPS”). CAPS allows Dealers to input a consumer’s credit application and view the response from us via the Internet. CAPS allows Dealers to: (1) receive a quick approval from us; (2) interact with our proprietary credit scoring system to optimize the structure of each transaction prior to delivery; and (3) create, electronically execute and print legally compliant Consumer Loan documents. All responses include the amount of funding (advance for a Dealer Loan or purchase price for a Purchased Loan), as well as any stipulations required for funding. The amount of funding is determined using a formula which considers a number of factors including the timing and amount of cash flows expected on the related Consumer Loan and our target return on capital at the time a Consumer Loan is submitted to us for assignment. The estimated future cash flows are determined based upon our proprietary credit scoring system, which considers numerous variables, including attributes contained in the consumer’s credit bureau report, data contained in the consumer’s credit application, the structure of the proposed transaction, vehicle information and other factors, to calculate a composite credit score that corresponds to an expected collection rate. Our proprietary credit scoring system forecasts the collection rate based upon the historical performance of Consumer Loans in our portfolio that share similar characteristics. The performance of our proprietary credit scoring system is evaluated monthly by comparing projected to actual Consumer Loan performance. Adjustments are made to our proprietary credit scoring system as necessary. For additional information on adjustments to forecasted collection rates, please see the Critical Accounting Estimates section in Item 7 of this Form 10-K, which is incorporated herein by reference.</w:t>
      </w:r>
    </w:p>
    <w:p>
      <w:pPr>
        <w:spacing w:after="0" w:line="39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While a Dealer can submit any legally compliant Consumer Loan to us for assignment, the decision whether to provide funding to the Dealer and the amount of any funding is made solely by us. Through our Dealer Service Center, we perform all significant functions relating to the processing of the Consumer Loan applications and bear certain costs of Consumer Loan assignment, including the cost of assessing the adequacy of Consumer Loan documentation, compliance with our underwriting guidelines and the cost of verifying employment, residence and other information provided by the Dealer.</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audit Consumer Loan files for compliance with our underwriting guidelines on a daily basis in order to assess whether our Dealers are operating in accordance with the terms and conditions of our Dealer servicing agreement. We occasionally identify breaches of the Dealer servicing agreement and depending upon the circumstances, and at our discretion, we may:</w:t>
      </w:r>
    </w:p>
    <w:p>
      <w:pPr>
        <w:spacing w:after="0" w:line="215" w:lineRule="exact"/>
        <w:rPr>
          <w:sz w:val="20"/>
          <w:szCs w:val="20"/>
          <w:color w:val="auto"/>
        </w:rPr>
      </w:pPr>
    </w:p>
    <w:p>
      <w:pPr>
        <w:ind w:left="800" w:hanging="317"/>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or charge the Dealer fees for future Consumer Loan assignments;</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reassign the Consumer Loans back to the Dealer and require repayment of the related advances and/or purchase payments; or</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our relationship with the Dealer.</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Consumer Loans that have been assigned to us can be reassigned back to the Dealer, at the Dealer’s discretion, as follows:</w:t>
      </w:r>
    </w:p>
    <w:p>
      <w:pPr>
        <w:spacing w:after="0" w:line="244" w:lineRule="exact"/>
        <w:rPr>
          <w:sz w:val="20"/>
          <w:szCs w:val="20"/>
          <w:color w:val="auto"/>
        </w:rPr>
      </w:pPr>
    </w:p>
    <w:p>
      <w:pPr>
        <w:ind w:left="800" w:hanging="317"/>
        <w:spacing w:after="0" w:line="252" w:lineRule="auto"/>
        <w:tabs>
          <w:tab w:leader="none" w:pos="7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Consumer Loan may be reassigned within 180 days of assignment. We require repayment of the related advance or purchase payment and, if requested more than 90 days after assignment, payment of a fee; and</w:t>
      </w:r>
    </w:p>
    <w:p>
      <w:pPr>
        <w:ind w:left="800" w:hanging="317"/>
        <w:spacing w:after="0" w:line="251" w:lineRule="auto"/>
        <w:tabs>
          <w:tab w:leader="none" w:pos="796" w:val="left"/>
        </w:tabs>
        <w:numPr>
          <w:ilvl w:val="0"/>
          <w:numId w:val="14"/>
        </w:numPr>
        <w:rPr>
          <w:rFonts w:ascii="Arial" w:cs="Arial" w:eastAsia="Arial" w:hAnsi="Arial"/>
          <w:sz w:val="14"/>
          <w:szCs w:val="14"/>
          <w:color w:val="auto"/>
        </w:rPr>
      </w:pPr>
      <w:r>
        <w:rPr>
          <w:rFonts w:ascii="Arial" w:cs="Arial" w:eastAsia="Arial" w:hAnsi="Arial"/>
          <w:sz w:val="18"/>
          <w:szCs w:val="18"/>
          <w:color w:val="auto"/>
        </w:rPr>
        <w:t>all Consumer Loans assigned under the Portfolio Program may be reassigned through termination of the Dealer servicing agreement, as described under “Dealer Servicing Agreement,”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p>
      <w:pPr>
        <w:jc w:val="both"/>
        <w:ind w:firstLine="318"/>
        <w:spacing w:after="0" w:line="268" w:lineRule="auto"/>
        <w:rPr>
          <w:sz w:val="20"/>
          <w:szCs w:val="20"/>
          <w:color w:val="auto"/>
        </w:rPr>
      </w:pPr>
      <w:r>
        <w:rPr>
          <w:rFonts w:ascii="Arial" w:cs="Arial" w:eastAsia="Arial" w:hAnsi="Arial"/>
          <w:sz w:val="17"/>
          <w:szCs w:val="17"/>
          <w:color w:val="auto"/>
        </w:rPr>
        <w:t>Our business model allows us to share the risk and reward of collecting on the Consumer Loans with the Dealers, more so with the Portfolio Program than the Purchase Program. Such sharing is intended to motivate the Dealer to assign better quality Consumer Loans, follow our underwriting guidelines, comply with various legal regulations, meet our credit compliance requirements and provide appropriate service and support to the consumer after the sale. In addition, our Dealer Service Center works closely with Dealers to assist them in resolving any documentation deficiencies or funding stipulations. We believe this arrangement causes the interests of the Dealer, the consumer and us to all be aligned.</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measure various criteria for each Dealer against other Dealers in their geographic area as well as the top performing Dealers. Dealers are assigned a Dealer rating based upon the performance of their Consumer Loans in both the Portfolio and Purchase Programs as well as other criteria. The Dealer rating is one of the factors used to determine the amount paid to Dealers as an advance or to acquire a Purchased Loan. We provide each Dealer under the Portfolio Program with a monthly statement summarizing all activity that occurred on their Consumer Loan assignments.</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Our largest group of collectors services Consumer Loans that are in the early stages of delinquency. Collection efforts typically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placing a call to the consumer within one day of the missed payment due date, although efforts may begin later for some segments of accounts. Consumer Loans are segmented into dialing pools by various phone contact profiles in an effort to efficiently contact the consumer. We utilize text messaging and email as additional means to contact the consumer. Our collectors work with consumers to attempt to reach a solution that will help them avoid becoming further past due and get them current where possible.</w:t>
      </w:r>
    </w:p>
    <w:p>
      <w:pPr>
        <w:spacing w:after="0" w:line="22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decision to repossess a vehicle is based on policy-based criteria. When a Consumer Loan is approved for repossession, we continue to service the Consumer Loan while it is being assigned to a third party repossession contractor, who works on a contingency fee basis. Once a vehicle has been repossessed, the consumer can negotiate to redeem the vehicle, whereupon the vehicle is returned to the consumer in exchange for paying off the Consumer Loan balance; or, where appropriate or if required by law, the vehicle is returned to the consumer and the Consumer Loan is reinstated in exchange for a payment that reduces or eliminates the past due balance. If this process is unsuccessful, the vehicle is sold at a wholesale automobile auction. Prior to sale, the vehicle is typically inspected by a representative at the auction who provides repair and reconditioning recommendations. Alternatively, our remarketing representatives may inspect the vehicle directly. Our remarketing representatives then authorize any repair and reconditioning work in order to maximize the net sale proceeds at auction.</w:t>
      </w:r>
    </w:p>
    <w:p>
      <w:pPr>
        <w:spacing w:after="0" w:line="20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the vehicle sale proceeds are not sufficient to satisfy the balance owing on the Consumer Loan, the Consumer Loan is serviced by either: (1) our internal collection team, in the event the consumer is willing to make payments on the deficiency balance; or (2) where permitted by law, our external collection team, if it is believed that legal action is required to reduce the deficiency balance owing on the Consumer Loan. Our external collection team generally assigns Consumer Loans to third party collection attorneys who work on a contingency fee basis.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Collectors service Consumer Loans through our servicing platform, which consists of the following two systems:</w:t>
      </w:r>
    </w:p>
    <w:p>
      <w:pPr>
        <w:spacing w:after="0" w:line="244" w:lineRule="exact"/>
        <w:rPr>
          <w:sz w:val="20"/>
          <w:szCs w:val="20"/>
          <w:color w:val="auto"/>
        </w:rPr>
      </w:pPr>
    </w:p>
    <w:p>
      <w:pPr>
        <w:ind w:left="800" w:hanging="317"/>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collection system, which assigns Consumer Loans to collectors through a predictive dialer and records all collection activity, including:</w:t>
      </w:r>
    </w:p>
    <w:p>
      <w:pPr>
        <w:spacing w:after="0" w:line="27" w:lineRule="exact"/>
        <w:rPr>
          <w:rFonts w:ascii="Arial" w:cs="Arial" w:eastAsia="Arial" w:hAnsi="Arial"/>
          <w:sz w:val="17"/>
          <w:szCs w:val="17"/>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details of past phone conversations with the consumer;</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letters sent;</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promises to pay;</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broken promises;</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repossession orders; and</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attorney activity.</w:t>
      </w:r>
    </w:p>
    <w:p>
      <w:pPr>
        <w:spacing w:after="0" w:line="232" w:lineRule="exact"/>
        <w:rPr>
          <w:rFonts w:ascii="Arial" w:cs="Arial" w:eastAsia="Arial" w:hAnsi="Arial"/>
          <w:sz w:val="18"/>
          <w:szCs w:val="18"/>
          <w:color w:val="auto"/>
        </w:rPr>
      </w:pPr>
    </w:p>
    <w:p>
      <w:pPr>
        <w:ind w:left="800" w:right="20" w:hanging="317"/>
        <w:spacing w:after="0" w:line="252"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servicing system, which maintains a record of all transactions relating to Consumer Loan assignments and is a primary source of data utilized to:</w:t>
      </w: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the outstanding balance of the Consumer Loans;</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forecast future collections;</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analyze the profitability of our program; and</w:t>
      </w:r>
    </w:p>
    <w:p>
      <w:pPr>
        <w:spacing w:after="0" w:line="5" w:lineRule="exact"/>
        <w:rPr>
          <w:rFonts w:ascii="Arial" w:cs="Arial" w:eastAsia="Arial" w:hAnsi="Arial"/>
          <w:sz w:val="18"/>
          <w:szCs w:val="18"/>
          <w:color w:val="auto"/>
        </w:rPr>
      </w:pPr>
    </w:p>
    <w:p>
      <w:pPr>
        <w:ind w:left="1120" w:hanging="319"/>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 our proprietary credit scoring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Ancillary Products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finance charges on a level-yield basis over the life of the related Loan.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 Our agreement with one of our TPPs allows us to receive profit sharing payments depending on the performance of the vehicle service contracts.</w:t>
      </w:r>
    </w:p>
    <w:p>
      <w:pPr>
        <w:spacing w:after="0" w:line="2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finance charges on a level-yield basis over the life of the related Loan.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 Our agreement with one of our TPPs allow us to receive profit sharing payments depending on the performance of the GAP contracts.</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Under our Purchase Program, we provide Dealers that meet certain criteria the ability to offer vehicle service contracts and GAP to consumers through the Dealers’ relationships with TPPs. The retail price of the vehicle service contract and/or GAP is included in the principal balance of the Consumer Loan and is paid to the Dealer. Under this arrangement, we do not receive an administrative fee and the Dealers’ TPPs process claims.</w:t>
      </w:r>
    </w:p>
    <w:p>
      <w:pPr>
        <w:spacing w:after="0" w:line="1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provided Dealers in certain states the ability to purchase GPS-SID through our relationship with a TPP. Through this program, Dealers could install GPS-SID on vehicles financed by us that can be activated if the consumer fails to make payments on their account, and can result in the prompt repossession of the vehicle. Dealers purchased GPS-SID directly from the TPP. The TPP paid us a fee for each device sold, at which time the fee revenue was recognized in other income within our consolidated statements of income. Effective during the second quarter of 2019, we no longer provide Dealers the ability to purchase GPS-SID through this program. We allowed Dealers to install previously purchased GPS-SID on vehicles financed by us until September 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market for consumers who do not qualify for conventional automobile financing is large and highly competitive. The market is currently served by “buy here, pay here” dealerships, banks, captive finance affiliates of automobile manufacturers, credit unions and independent finance companies both publicly and privately owned. Many of these companies are much larger and have greater resources than us. We compete by offering a profitable and efficient method for Dealers to finance consumers who would be more difficult or less profitable to finance through other methods. In addition, we compete on the basis of the level of service provided by our Dealer Service Center and sales personnel.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 and Geographic Concentrations</w:t>
      </w:r>
    </w:p>
    <w:p>
      <w:pPr>
        <w:spacing w:after="0" w:line="250" w:lineRule="exact"/>
        <w:rPr>
          <w:sz w:val="20"/>
          <w:szCs w:val="20"/>
          <w:color w:val="auto"/>
        </w:rPr>
      </w:pPr>
    </w:p>
    <w:p>
      <w:pPr>
        <w:ind w:firstLine="318"/>
        <w:spacing w:after="0" w:line="262" w:lineRule="auto"/>
        <w:rPr>
          <w:sz w:val="20"/>
          <w:szCs w:val="20"/>
          <w:color w:val="auto"/>
        </w:rPr>
      </w:pPr>
      <w:r>
        <w:rPr>
          <w:rFonts w:ascii="Arial" w:cs="Arial" w:eastAsia="Arial" w:hAnsi="Arial"/>
          <w:sz w:val="18"/>
          <w:szCs w:val="18"/>
          <w:color w:val="auto"/>
        </w:rPr>
        <w:t>The following tables provide information regarding the five states that were responsible for the largest dollar volume of Consumer Loan assignments and the related number of active Dealers during 2021,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For the Year Ended December 31, 2021</w:t>
            </w:r>
          </w:p>
        </w:tc>
        <w:tc>
          <w:tcPr>
            <w:tcW w:w="1640" w:type="dxa"/>
            <w:vAlign w:val="bottom"/>
            <w:tcBorders>
              <w:bottom w:val="single" w:sz="8" w:color="auto"/>
            </w:tcBorders>
          </w:tcPr>
          <w:p>
            <w:pPr>
              <w:spacing w:after="0"/>
              <w:rPr>
                <w:sz w:val="17"/>
                <w:szCs w:val="17"/>
                <w:color w:val="auto"/>
              </w:rPr>
            </w:pP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60" w:type="dxa"/>
            <w:vAlign w:val="bottom"/>
          </w:tcPr>
          <w:p>
            <w:pPr>
              <w:spacing w:after="0"/>
              <w:rPr>
                <w:sz w:val="16"/>
                <w:szCs w:val="16"/>
                <w:color w:val="auto"/>
              </w:rPr>
            </w:pPr>
          </w:p>
        </w:tc>
        <w:tc>
          <w:tcPr>
            <w:tcW w:w="3180" w:type="dxa"/>
            <w:vAlign w:val="bottom"/>
            <w:gridSpan w:val="4"/>
          </w:tcPr>
          <w:p>
            <w:pPr>
              <w:ind w:left="580"/>
              <w:spacing w:after="0"/>
              <w:rPr>
                <w:sz w:val="20"/>
                <w:szCs w:val="20"/>
                <w:color w:val="auto"/>
              </w:rPr>
            </w:pPr>
            <w:r>
              <w:rPr>
                <w:rFonts w:ascii="Arial" w:cs="Arial" w:eastAsia="Arial" w:hAnsi="Arial"/>
                <w:sz w:val="14"/>
                <w:szCs w:val="14"/>
                <w:b w:val="1"/>
                <w:bCs w:val="1"/>
                <w:color w:val="auto"/>
              </w:rPr>
              <w:t>Consumer Loan Assignments</w:t>
            </w:r>
          </w:p>
        </w:tc>
        <w:tc>
          <w:tcPr>
            <w:tcW w:w="326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Active Dealers (2)</w:t>
            </w:r>
          </w:p>
        </w:tc>
      </w:tr>
      <w:tr>
        <w:trPr>
          <w:trHeight w:val="192"/>
        </w:trPr>
        <w:tc>
          <w:tcPr>
            <w:tcW w:w="4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of Total</w:t>
            </w: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2,090.9</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69.5 %</w:t>
            </w:r>
          </w:p>
        </w:tc>
      </w:tr>
      <w:tr>
        <w:trPr>
          <w:trHeight w:val="250"/>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gridSpan w:val="4"/>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ind w:left="520"/>
              <w:spacing w:after="0" w:line="158" w:lineRule="exact"/>
              <w:rPr>
                <w:sz w:val="20"/>
                <w:szCs w:val="20"/>
                <w:color w:val="auto"/>
              </w:rPr>
            </w:pPr>
            <w:r>
              <w:rPr>
                <w:rFonts w:ascii="Arial" w:cs="Arial" w:eastAsia="Arial" w:hAnsi="Arial"/>
                <w:sz w:val="14"/>
                <w:szCs w:val="14"/>
                <w:b w:val="1"/>
                <w:bCs w:val="1"/>
                <w:color w:val="auto"/>
              </w:rPr>
              <w:t>For the Year Ended December 31, 2020</w:t>
            </w:r>
          </w:p>
        </w:tc>
        <w:tc>
          <w:tcPr>
            <w:tcW w:w="1640" w:type="dxa"/>
            <w:vAlign w:val="bottom"/>
            <w:tcBorders>
              <w:bottom w:val="single" w:sz="8" w:color="auto"/>
            </w:tcBorders>
          </w:tcPr>
          <w:p>
            <w:pPr>
              <w:spacing w:after="0"/>
              <w:rPr>
                <w:sz w:val="14"/>
                <w:szCs w:val="14"/>
                <w:color w:val="auto"/>
              </w:rPr>
            </w:pP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60" w:type="dxa"/>
            <w:vAlign w:val="bottom"/>
          </w:tcPr>
          <w:p>
            <w:pPr>
              <w:spacing w:after="0"/>
              <w:rPr>
                <w:sz w:val="16"/>
                <w:szCs w:val="16"/>
                <w:color w:val="auto"/>
              </w:rPr>
            </w:pPr>
          </w:p>
        </w:tc>
        <w:tc>
          <w:tcPr>
            <w:tcW w:w="3180" w:type="dxa"/>
            <w:vAlign w:val="bottom"/>
            <w:gridSpan w:val="4"/>
          </w:tcPr>
          <w:p>
            <w:pPr>
              <w:ind w:left="580"/>
              <w:spacing w:after="0"/>
              <w:rPr>
                <w:sz w:val="20"/>
                <w:szCs w:val="20"/>
                <w:color w:val="auto"/>
              </w:rPr>
            </w:pPr>
            <w:r>
              <w:rPr>
                <w:rFonts w:ascii="Arial" w:cs="Arial" w:eastAsia="Arial" w:hAnsi="Arial"/>
                <w:sz w:val="14"/>
                <w:szCs w:val="14"/>
                <w:b w:val="1"/>
                <w:bCs w:val="1"/>
                <w:color w:val="auto"/>
              </w:rPr>
              <w:t>Consumer Loan Assignments</w:t>
            </w:r>
          </w:p>
        </w:tc>
        <w:tc>
          <w:tcPr>
            <w:tcW w:w="326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Active Dealers (2)</w:t>
            </w:r>
          </w:p>
        </w:tc>
      </w:tr>
      <w:tr>
        <w:trPr>
          <w:trHeight w:val="192"/>
        </w:trPr>
        <w:tc>
          <w:tcPr>
            <w:tcW w:w="4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of Total</w:t>
            </w: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Ohio</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70.0 %</w:t>
            </w:r>
          </w:p>
        </w:tc>
      </w:tr>
      <w:tr>
        <w:trPr>
          <w:trHeight w:val="250"/>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12,690</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gridSpan w:val="4"/>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ind w:left="520"/>
              <w:spacing w:after="0" w:line="158" w:lineRule="exact"/>
              <w:rPr>
                <w:sz w:val="20"/>
                <w:szCs w:val="20"/>
                <w:color w:val="auto"/>
              </w:rPr>
            </w:pPr>
            <w:r>
              <w:rPr>
                <w:rFonts w:ascii="Arial" w:cs="Arial" w:eastAsia="Arial" w:hAnsi="Arial"/>
                <w:sz w:val="14"/>
                <w:szCs w:val="14"/>
                <w:b w:val="1"/>
                <w:bCs w:val="1"/>
                <w:color w:val="auto"/>
              </w:rPr>
              <w:t>For the Year Ended December 31, 2019</w:t>
            </w:r>
          </w:p>
        </w:tc>
        <w:tc>
          <w:tcPr>
            <w:tcW w:w="1640" w:type="dxa"/>
            <w:vAlign w:val="bottom"/>
            <w:tcBorders>
              <w:bottom w:val="single" w:sz="8" w:color="auto"/>
            </w:tcBorders>
          </w:tcPr>
          <w:p>
            <w:pPr>
              <w:spacing w:after="0"/>
              <w:rPr>
                <w:sz w:val="14"/>
                <w:szCs w:val="14"/>
                <w:color w:val="auto"/>
              </w:rPr>
            </w:pP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60" w:type="dxa"/>
            <w:vAlign w:val="bottom"/>
          </w:tcPr>
          <w:p>
            <w:pPr>
              <w:spacing w:after="0"/>
              <w:rPr>
                <w:sz w:val="16"/>
                <w:szCs w:val="16"/>
                <w:color w:val="auto"/>
              </w:rPr>
            </w:pPr>
          </w:p>
        </w:tc>
        <w:tc>
          <w:tcPr>
            <w:tcW w:w="3180" w:type="dxa"/>
            <w:vAlign w:val="bottom"/>
            <w:gridSpan w:val="4"/>
          </w:tcPr>
          <w:p>
            <w:pPr>
              <w:ind w:left="580"/>
              <w:spacing w:after="0"/>
              <w:rPr>
                <w:sz w:val="20"/>
                <w:szCs w:val="20"/>
                <w:color w:val="auto"/>
              </w:rPr>
            </w:pPr>
            <w:r>
              <w:rPr>
                <w:rFonts w:ascii="Arial" w:cs="Arial" w:eastAsia="Arial" w:hAnsi="Arial"/>
                <w:sz w:val="14"/>
                <w:szCs w:val="14"/>
                <w:b w:val="1"/>
                <w:bCs w:val="1"/>
                <w:color w:val="auto"/>
              </w:rPr>
              <w:t>Consumer Loan Assignments</w:t>
            </w:r>
          </w:p>
        </w:tc>
        <w:tc>
          <w:tcPr>
            <w:tcW w:w="326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Active Dealers (2)</w:t>
            </w:r>
          </w:p>
        </w:tc>
      </w:tr>
      <w:tr>
        <w:trPr>
          <w:trHeight w:val="192"/>
        </w:trPr>
        <w:tc>
          <w:tcPr>
            <w:tcW w:w="4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of Total</w:t>
            </w: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Ohio</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5"/>
        </w:trPr>
        <w:tc>
          <w:tcPr>
            <w:tcW w:w="4580" w:type="dxa"/>
            <w:vAlign w:val="bottom"/>
          </w:tcPr>
          <w:p>
            <w:pPr>
              <w:ind w:left="20"/>
              <w:spacing w:after="0"/>
              <w:rPr>
                <w:sz w:val="20"/>
                <w:szCs w:val="20"/>
                <w:color w:val="auto"/>
              </w:rPr>
            </w:pPr>
            <w:r>
              <w:rPr>
                <w:rFonts w:ascii="Arial" w:cs="Arial" w:eastAsia="Arial" w:hAnsi="Arial"/>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71.6 %</w:t>
            </w:r>
          </w:p>
        </w:tc>
      </w:tr>
      <w:tr>
        <w:trPr>
          <w:trHeight w:val="250"/>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480" w:hanging="315"/>
        <w:spacing w:after="0" w:line="245" w:lineRule="auto"/>
        <w:tabs>
          <w:tab w:leader="none" w:pos="4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 w:lineRule="exact"/>
        <w:rPr>
          <w:rFonts w:ascii="Arial" w:cs="Arial" w:eastAsia="Arial" w:hAnsi="Arial"/>
          <w:sz w:val="14"/>
          <w:szCs w:val="14"/>
          <w:color w:val="auto"/>
        </w:rPr>
      </w:pPr>
    </w:p>
    <w:p>
      <w:pPr>
        <w:ind w:left="480" w:hanging="315"/>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year.</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single Dealer’s Loans receivable balance accounted for more than 10% of total Loans receivable balance as of December 31, 2021 or 2020.</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business is seasonal with peak Consumer Loan assignments and collections occurring during the first quarter of the year. This seasonality has a material impact on our interim results, as we are required to recognize a significant provision for credit losses expense at the time of assignment. For additional information, see Note 2 to the consolidated financial statements contained in Item 8 of this Form 10-K, which is incorporated herein by reference.</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Regulation</w:t>
      </w:r>
    </w:p>
    <w:p>
      <w:pPr>
        <w:spacing w:after="0" w:line="2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business is subject to laws and regulations, including the Truth in Lending Act, the Equal Credit Opportunity Act, the Fair Credit Reporting Act, prohibitions against unfair, deceptive and abusive acts and practices, and various other state and federal laws and regulations. These laws and regulations, among other things, require licensing and qualification; limit interest rates, fees and other charges associated with the Consumer Loans assigned to us; require specified disclosures by Dealers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has increased in recent years. From time to time, legislation and regulations are enacted which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the state legislatures and by various regulatory agencies. Such changes in laws and regulations may change our operating environment in substantial and unpredictable ways and may have a material adverse effect on our business.</w:t>
      </w:r>
    </w:p>
    <w:p>
      <w:pPr>
        <w:spacing w:after="0" w:line="18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subject to supervision by the Bureau of Consumer Financial Protection (the “Bureau”). The Bureau has rulemaking and enforcement authority over certain non-depository institutions, including us. The Bureau is specifically authorized, among other things, to take actions to prevent companies providing consumer financial products or services and their service providers from engaging in unfair, deceptive or abusive acts or practices in connection with consumer financial products and services, and to issue rules requiring enhanced disclosures or consumer access to information for consumer financial products or services. Under the Dodd-Frank Wall Street Reform and Consumer Protection Act (the “Dodd-Frank Act”), the Bureau also may restrict the use of pre-dispute mandatory arbitration clauses in contracts between covered persons and consumers for a consumer financial product or service. The Bureau also has authority to interpret, enforce and issue regulations implementing enumerated consumer laws, including certain laws that apply to our business. The Dodd-Frank Act and regulations promulgated thereunder may affect our cost of doing business, may limit or expand our permissible activities, may affect the competitive balance within our industry and market areas and could have a material adverse effect on us.</w:t>
      </w:r>
    </w:p>
    <w:p>
      <w:pPr>
        <w:spacing w:after="0" w:line="1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the Bureau, other state and federal agencies have the ability to regulate aspects of our business. For example, the Dodd-Frank Act provides a mechanism for state attorneys general to investigate us. Separately, state attorneys general and certain state regulators have authority under their respective rules and laws, to investigate and/or regulate aspects of our business. In addition, the Federal Trade Commission has jurisdiction to investigate aspects of our business. We expect that regulatory investigations of our business by both state and federal agencies will continue and that the results of these investigations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Regulatory Matters Resolved During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matters were resolved during the year ended December 31, 2021:</w:t>
      </w:r>
    </w:p>
    <w:p>
      <w:pPr>
        <w:spacing w:after="0" w:line="244" w:lineRule="exact"/>
        <w:rPr>
          <w:sz w:val="20"/>
          <w:szCs w:val="20"/>
          <w:color w:val="auto"/>
        </w:rPr>
      </w:pPr>
    </w:p>
    <w:p>
      <w:pPr>
        <w:jc w:val="both"/>
        <w:ind w:left="640" w:hanging="316"/>
        <w:spacing w:after="0" w:line="298"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investigative demand from the Office of the Attorney General seeking updated information on its original civil investigative demand, additional information related to the Company's origination and collection of Consumer Loans, and information regarding securitization activities. In connection with this inquiry, we were informed by representatives of the Office of the Attorney General that it believed that the Company may have engaged in unfair and deceptive acts or practices related to the origination and collection of auto loans, which may have caused some of the Company’s representations and warranties contained in securitization documents to be inaccurate. On July 22, 2020, we received a third civil investigative demand from the Office of the Attorney General seeking updates on previously produced data and additional information related to the Company's origination of Consumer Loans. On August 30, 2020, we were served with a complaint, filed by the Attorney General in Massachusetts Superior Court in Suffolk County, alleging that the Company engaged in unfair and deceptive trade practices in subprime auto lending, debt collection and asset-backed securitizations in the Commonwealth of Massachusetts, in violation of the Massachusetts Consumer Protection Law, M.G.L. c. 93A. The complaint sought injunctive relief, restitution, disgorgement, civil penalties and payment of the Commonwealth’s attorney’s fees and costs. On March 15, 2021, the court entered an order denying a motion by the Company to dismiss four of the Commonwealth’s seven claims and granting in part and denying in part a motion by the Commonwealth for partial summary judgment on three of its claims. On April 27, 2021, the Company and the Commonwealth reached an agreement in principle to settle this lawsuit, and, as a result, we estimated a probable loss of $27.2 million, all of which was recognized as a contingent loss during the first quarter of 2021. On September 1, 2021, we entered into a settlement agreement with the Office of the Attorney General, reflecting the parties’ agreement to settle and fully resolve the claims asserted against us. We agreed to make a payment in the total amount of $27.2 million to an independent trust for purposes of making payments to provide relief for eligible Massachusetts consumers, paying costs of implementation of the agreement and paying the Attorney General’s costs of investigation, and to pay up to $95,000 to cover costs and expenses incurred by an independent trustee for management of the independent trust.</w:t>
      </w:r>
    </w:p>
    <w:p>
      <w:pPr>
        <w:spacing w:after="0" w:line="200" w:lineRule="exact"/>
        <w:rPr>
          <w:rFonts w:ascii="Arial" w:cs="Arial" w:eastAsia="Arial" w:hAnsi="Arial"/>
          <w:sz w:val="15"/>
          <w:szCs w:val="15"/>
          <w:color w:val="auto"/>
        </w:rPr>
      </w:pPr>
    </w:p>
    <w:p>
      <w:pPr>
        <w:spacing w:after="0" w:line="209" w:lineRule="exact"/>
        <w:rPr>
          <w:rFonts w:ascii="Arial" w:cs="Arial" w:eastAsia="Arial" w:hAnsi="Arial"/>
          <w:sz w:val="15"/>
          <w:szCs w:val="15"/>
          <w:color w:val="auto"/>
        </w:rPr>
      </w:pPr>
    </w:p>
    <w:p>
      <w:pPr>
        <w:jc w:val="both"/>
        <w:ind w:left="640" w:hanging="316"/>
        <w:spacing w:after="0" w:line="301"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On August 14, 2017, we received a subpoena from the Attorney General of the State of Mississippi, relating to the origination and collection of non-prime auto loans in the state of Mississippi. The Company cooperated with the inquiry. On April 23, 2019, the Attorney General of the State of Mississippi, on behalf of the State of Mississippi, filed a complaint in the Chancery Court of the First Judicial District of Hinds County, Mississippi, alleging that the Company engaged in unfair and deceptive trade practices in subprime auto lending, loan servicing, vehicle repossession and debt collection in the State of Mississippi in violation of the Mississippi Consumer Protection Act. On December 15, 2021, the Company announced its settlement of litigation with the Mississippi Attorney General. As part of the settlement, the Company made a charitable donation of $125,000, paid $325,000 to the State of Mississippi, inclusive of attorney’s fees and expenses, and provided certain assurances relating to, among other things, continued compliance with laws applicable to indirect auto finance operations in Mississippi and disclosures to consumers purchasing an optional</w:t>
      </w:r>
    </w:p>
    <w:p>
      <w:pPr>
        <w:spacing w:after="0" w:line="5" w:lineRule="exact"/>
        <w:rPr>
          <w:rFonts w:ascii="Arial" w:cs="Arial" w:eastAsia="Arial" w:hAnsi="Arial"/>
          <w:sz w:val="15"/>
          <w:szCs w:val="15"/>
          <w:color w:val="auto"/>
        </w:rPr>
      </w:pPr>
    </w:p>
    <w:p>
      <w:pPr>
        <w:ind w:left="640"/>
        <w:spacing w:after="0" w:line="264" w:lineRule="auto"/>
        <w:rPr>
          <w:rFonts w:ascii="Arial" w:cs="Arial" w:eastAsia="Arial" w:hAnsi="Arial"/>
          <w:sz w:val="15"/>
          <w:szCs w:val="15"/>
          <w:color w:val="auto"/>
        </w:rPr>
      </w:pPr>
      <w:r>
        <w:rPr>
          <w:rFonts w:ascii="Arial" w:cs="Arial" w:eastAsia="Arial" w:hAnsi="Arial"/>
          <w:sz w:val="18"/>
          <w:szCs w:val="18"/>
          <w:color w:val="auto"/>
        </w:rPr>
        <w:t>vehicle service contract. The Attorney General agreed to dismiss the litigation, and Credit Acceptance made no admission of liability or wrongdoing as part of the settlement.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Regulatory Matters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cooperating with the following inquiries and cannot predict the eventual scopes, durations or outcomes at this time.</w:t>
      </w:r>
    </w:p>
    <w:p>
      <w:pPr>
        <w:spacing w:after="0" w:line="244" w:lineRule="exact"/>
        <w:rPr>
          <w:sz w:val="20"/>
          <w:szCs w:val="20"/>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December 1, 2021, we received a subpoena from the Office of the Attorney General for the State of California seeking documents and information regarding GAP products, GAP product administration and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jc w:val="both"/>
        <w:ind w:left="320" w:hanging="316"/>
        <w:spacing w:after="0" w:line="301" w:lineRule="auto"/>
        <w:tabs>
          <w:tab w:leader="none" w:pos="315"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May 7, 2019, we received a subpoena from the Consumer Frauds and Protection Bureau of the Office of the New York State Attorney General, relating to the Company’s origination and collection policies and procedures in the state of New York. On July 30, 2020, we received two additional subpoenas from the Office of the New York State Attorney General, both from the Consumer Frauds and Protection Bureau and the Investor Protection Bureau, relating to the Company’s origination and collection policies and procedures in the state of New York and its securitizations. On August 28, 2020, we were informed that one of the two additional subpoenas was being withdrawn. On November 16, 2020, we received an additional subpoena for documents from the Office of the New York State Attorney General. On November 19, 2020, the Company received a letter from the Office of the New York State Attorney General stating that the New York State Attorney General is considering bringing claims against the Company under the Dodd-Frank Act, New York Executive Law § 63(12), the New York Martin Act and New York General Business Law § 349 in connection with the Company’s origination and securitization practices. On December 9, 2020, we responded to the New York State Attorney General’s letter, disputing the assertions contained therein. On December 21, 2020, we received two additional subpoenas from the Office of the New York State Attorney General, one relating to data and the other seeking testimony. On February 24 and April 30, 2021, we received additional subpoenas from the Office of the New York State Attorney General seeking information relating to its investigation.</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jc w:val="both"/>
        <w:ind w:left="320" w:hanging="316"/>
        <w:spacing w:after="0" w:line="299" w:lineRule="auto"/>
        <w:tabs>
          <w:tab w:leader="none" w:pos="315"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April 22, 2019, we received a civil investigative demand from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formally petitioned the Bureau to modify the June 1, 2020 civil investigative demand. On September 3, 2020, the Director of the Bureau denied our petition to modify the June 1, 2020 civil investigative demand. On December 23, 2020, we received a civil investigative demand for investigational hearings in connection with the Bureau’s investigation. The Company objected to certain portions of the civil investigative demands for hearings and, on January 19, 2021, the Bureau notified the Company that it had withdrawn such portions from the December 23, 2020 civil investigative demands. On March 11, 2021, we received another civil investigative demand from the Bureau seeking additional information relating to its investigation and an investigational hearing. On June 3, 2021, we received another civil investigative demand from the Bureau seeking additional information relating to its investigation. On December 6, 2021, we received a Notice and Opportunity to Respond and Advise (“NORA”) letter from the Staff of the Office of Enforcement (“Staff”) of the Bureau, stating that Staff is considering whether to recommend that the Bureau take legal action against the Company for alleged violations of the Consumer Financial Protection Act (the “CFPA”) in connection with the Company’s consumer loan origination practices. The NORA letter states that the Bureau may allege that the Company (i) committed abusive and unfair acts or practices in violation of 12 U.S.C. § 5531(c) and (d) and 12 U.S.C. § 5536(a)(1)(B) and (ii) substantially assisted the deceptive acts of others in violation of 12 U.S.C. § 5536 (a)(3). The NORA letter also states that, in connection with any action, the Bureau may seek all remedies available under the CFPA, including civil money penalties, consumer redress and injunctive relief. On January 18, 2022, the Company responded to the NORA letter disputing that it had committed any violations.</w:t>
      </w: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both"/>
        <w:ind w:left="320" w:hanging="316"/>
        <w:spacing w:after="0" w:line="264"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40 other states (Alabama, Alaska, Arizona, Arkansas, California,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w:t>
      </w:r>
    </w:p>
    <w:p>
      <w:pPr>
        <w:spacing w:after="0" w:line="208" w:lineRule="exact"/>
        <w:rPr>
          <w:rFonts w:ascii="Arial" w:cs="Arial" w:eastAsia="Arial" w:hAnsi="Arial"/>
          <w:sz w:val="17"/>
          <w:szCs w:val="17"/>
          <w:color w:val="auto"/>
        </w:rPr>
      </w:pPr>
    </w:p>
    <w:p>
      <w:pPr>
        <w:jc w:val="both"/>
        <w:ind w:left="320" w:hanging="316"/>
        <w:spacing w:after="0" w:line="255"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922" w:right="339" w:bottom="1440" w:gutter="0" w:footer="0" w:header="0"/>
        </w:sectPr>
      </w:pPr>
    </w:p>
    <w:bookmarkStart w:id="13" w:name="page14"/>
    <w:bookmarkEnd w:id="13"/>
    <w:p>
      <w:pPr>
        <w:ind w:firstLine="318"/>
        <w:spacing w:after="0" w:line="264" w:lineRule="auto"/>
        <w:rPr>
          <w:sz w:val="20"/>
          <w:szCs w:val="20"/>
          <w:color w:val="auto"/>
        </w:rPr>
      </w:pPr>
      <w:r>
        <w:rPr>
          <w:rFonts w:ascii="Arial" w:cs="Arial" w:eastAsia="Arial" w:hAnsi="Arial"/>
          <w:sz w:val="18"/>
          <w:szCs w:val="18"/>
          <w:color w:val="auto"/>
        </w:rPr>
        <w:t>In addition, governmental regulations that would deplete the supply of used vehicles, such as environmental protection regulations governing emissions or fuel consumption, could have a material adverse effect on us.</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Dealers must also comply with credit and trade practice statutes and regulations. Failure of our Dealers to comply with these statutes and regulations could result in consumers having rights of rescission and other remedies that could have a material adverse effect on us.</w:t>
      </w:r>
    </w:p>
    <w:p>
      <w:pPr>
        <w:spacing w:after="0" w:line="207"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sale of vehicle service contracts and GAP by Dealers in connection with Consumer Loans assigned to us from Dealers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Dealers will not seek to regulate or restrict the operation of our business in these jurisdictions. Any regulation or restriction of our business in these jurisdictions could materially adversely affect the income received from these products.</w:t>
      </w: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we maintain all material licenses and permits required for our current operations and are in substantial compliance with all applicable laws and regulations. Our agreements with Dealers provide that the Dealer shall indemnify us with respect to any loss or expense we incur as a result of the Dealer’s failure to comply with applicable laws and regulations.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Team Members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team members are organized into three operating functions: Originations, Servicing and Support.</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function includes team members that are responsible for marketing our programs to prospective Dealers, enrolling new</w:t>
      </w:r>
      <w:r>
        <w:rPr>
          <w:rFonts w:ascii="Arial" w:cs="Arial" w:eastAsia="Arial" w:hAnsi="Arial"/>
          <w:sz w:val="17"/>
          <w:szCs w:val="17"/>
          <w:i w:val="1"/>
          <w:iCs w:val="1"/>
          <w:color w:val="auto"/>
        </w:rPr>
        <w:t xml:space="preserve"> </w:t>
      </w:r>
      <w:r>
        <w:rPr>
          <w:rFonts w:ascii="Arial" w:cs="Arial" w:eastAsia="Arial" w:hAnsi="Arial"/>
          <w:sz w:val="17"/>
          <w:szCs w:val="17"/>
          <w:color w:val="auto"/>
        </w:rPr>
        <w:t>Dealers and supporting active Dealers. Originations also includes team members responsible for processing new Consumer Loan assignments.</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The servicing function includes team members that are responsible for servicing the Consumer Loans. The majority of these team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collection activities on delinquent Consumer Loans.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Support</w:t>
      </w:r>
      <w:r>
        <w:rPr>
          <w:rFonts w:ascii="Arial" w:cs="Arial" w:eastAsia="Arial" w:hAnsi="Arial"/>
          <w:sz w:val="18"/>
          <w:szCs w:val="18"/>
          <w:color w:val="auto"/>
        </w:rPr>
        <w:t>. The support function includes team members that are responsible for information technology, human resources, finance, analytics,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corporate legal activities.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team members by operating function: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w w:val="90"/>
              </w:rPr>
              <w:t>Number of Team Members</w:t>
            </w:r>
          </w:p>
        </w:tc>
        <w:tc>
          <w:tcPr>
            <w:tcW w:w="1780" w:type="dxa"/>
            <w:vAlign w:val="bottom"/>
          </w:tcPr>
          <w:p>
            <w:pPr>
              <w:spacing w:after="0"/>
              <w:rPr>
                <w:sz w:val="14"/>
                <w:szCs w:val="14"/>
                <w:color w:val="auto"/>
              </w:rPr>
            </w:pPr>
          </w:p>
        </w:tc>
      </w:tr>
      <w:tr>
        <w:trPr>
          <w:trHeight w:val="192"/>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As of December 31,</w:t>
            </w:r>
          </w:p>
        </w:tc>
        <w:tc>
          <w:tcPr>
            <w:tcW w:w="1780" w:type="dxa"/>
            <w:vAlign w:val="bottom"/>
            <w:tcBorders>
              <w:bottom w:val="single" w:sz="8" w:color="auto"/>
            </w:tcBorders>
          </w:tcPr>
          <w:p>
            <w:pPr>
              <w:spacing w:after="0"/>
              <w:rPr>
                <w:sz w:val="16"/>
                <w:szCs w:val="16"/>
                <w:color w:val="auto"/>
              </w:rPr>
            </w:pPr>
          </w:p>
        </w:tc>
      </w:tr>
      <w:tr>
        <w:trPr>
          <w:trHeight w:val="192"/>
        </w:trPr>
        <w:tc>
          <w:tcPr>
            <w:tcW w:w="558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Operating Function</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5"/>
        </w:trPr>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Originations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5"/>
        </w:trPr>
        <w:tc>
          <w:tcPr>
            <w:tcW w:w="5700" w:type="dxa"/>
            <w:vAlign w:val="bottom"/>
            <w:gridSpan w:val="2"/>
          </w:tcPr>
          <w:p>
            <w:pPr>
              <w:ind w:left="340"/>
              <w:spacing w:after="0"/>
              <w:rPr>
                <w:sz w:val="20"/>
                <w:szCs w:val="20"/>
                <w:color w:val="auto"/>
              </w:rPr>
            </w:pPr>
            <w:r>
              <w:rPr>
                <w:rFonts w:ascii="Arial" w:cs="Arial" w:eastAsia="Arial" w:hAnsi="Arial"/>
                <w:sz w:val="18"/>
                <w:szCs w:val="18"/>
                <w:color w:val="auto"/>
              </w:rPr>
              <w:t>Servicing</w:t>
            </w:r>
          </w:p>
        </w:tc>
        <w:tc>
          <w:tcPr>
            <w:tcW w:w="17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32"/>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Support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5"/>
        </w:trPr>
        <w:tc>
          <w:tcPr>
            <w:tcW w:w="570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we had 2,073 full and part-time team members. Our team members have no union affiliations and we believe our relationship with our team members is in good standing. We strive to create a work environment that is pleasant, professional, and free from intimidation, hostility, or other offenses that may interfere with work performance. All team members complete non-discrimination and anti-harassment training, promoting a safe and inclusive work environment.</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Company is highly diverse, as more than half of our team members are women, and more than half belong to a minority ethnicity. Our team members reflect diversity of nationality, faith, age and sexual orientation. We believe that our workplace is naturally diverse and inclusive due to our practices of maintaining open and transparent communication and fostering a climate in which all team members are welcome to speak up and contribute. In 2020, we formed the Diversity and Inclusion Committee, chaired by a senior manager, tasked with generating concrete actions that we can take together to help our communities heal and make our culture and our Company stronger.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4" w:name="page15"/>
    <w:bookmarkEnd w:id="14"/>
    <w:p>
      <w:pPr>
        <w:jc w:val="both"/>
        <w:ind w:firstLine="318"/>
        <w:spacing w:after="0" w:line="252" w:lineRule="auto"/>
        <w:rPr>
          <w:sz w:val="20"/>
          <w:szCs w:val="20"/>
          <w:color w:val="auto"/>
        </w:rPr>
      </w:pPr>
      <w:r>
        <w:rPr>
          <w:rFonts w:ascii="Arial" w:cs="Arial" w:eastAsia="Arial" w:hAnsi="Arial"/>
          <w:sz w:val="18"/>
          <w:szCs w:val="18"/>
          <w:color w:val="auto"/>
        </w:rPr>
        <w:t>We place great importance on listening to our team members, as we believe that “the people doing the work know the most about it.” We encourage participation in periodic anonymous surveys to gain honest feedback about our workplace from our team members, and we use this feedback to generate ideas for improvement. Our Company’s culture attracts talented people and enables them to perform to their potential. We have been honored to receive many workplace awards in recent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 w:lineRule="exact"/>
        <w:rPr>
          <w:sz w:val="20"/>
          <w:szCs w:val="20"/>
          <w:color w:val="auto"/>
        </w:rPr>
      </w:pPr>
    </w:p>
    <w:p>
      <w:pPr>
        <w:jc w:val="both"/>
        <w:ind w:firstLine="238"/>
        <w:spacing w:after="0" w:line="24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creditacceptance.com</w:t>
      </w:r>
      <w:r>
        <w:rPr>
          <w:rFonts w:ascii="Arial" w:cs="Arial" w:eastAsia="Arial" w:hAnsi="Arial"/>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(the “SEC”).</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Operational and Macroeconomic Risks</w:t>
      </w:r>
    </w:p>
    <w:p>
      <w:pPr>
        <w:spacing w:after="0" w:line="238"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The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3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COVID-19 pandemic has caused a deterioration in the U.S. economy and our industry and resulted in a period of substantial economic and financial turmoil. The ultimate impact of this event on our business and the duration and future severity of the economic downturn caused by the pandemic are uncertain; however, the pandemic has adversely affected, and it is likely that the pandemic will continue to adversely affect, our business, team members, current and potential consumers, automobile dealers, and vendors, as well as our financial condition, liquidity, and results of operations.</w:t>
      </w:r>
    </w:p>
    <w:p>
      <w:pPr>
        <w:spacing w:after="0" w:line="1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an attempt to contain COVID-19, certain state governments implemented social distancing guidelines, travel bans and restrictions, quarantines, stay-at-home orders and shutdowns of non-essential businesses. These actions caused economic hardship in the areas in which they were implemented. While the prevalence, severity and impact of such restrictions have lessened, uncertainty remains as to when economic conditions will return to normalcy. Many automobile dealers were required to temporarily close or restrict their operations. Additionally, there have been supply chain disruptions in the automotive industry, which have resulted in low dealer inventories and elevated used vehicle prices. As a result, we have experienced a significant decline in Consumer Loan assignments.</w:t>
      </w:r>
    </w:p>
    <w:p>
      <w:pPr>
        <w:spacing w:after="0" w:line="22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have worked with our consumers to provide relief where possible, including the temporary suspension of involuntary vehicle repossessions, late fees and suit starts. The COVID-19 pandemic has also caused us to modify our business practices in an effort to increase team member safety, including allowing team members to work remotely, reconfiguring workstations to increase physical distance between team members, where permitted, limiting travel, and canceling physical participation in meetings and events, and we may take further actions as required by government authorities or that we determine are in the best interests of our team members. Our business operations may be disrupted further if significant portions of our workforce are unable to work effectively, including because of illness, quarantines, or other restrictions in connection with the COVID-19 pandemic.</w:t>
      </w:r>
    </w:p>
    <w:p>
      <w:pPr>
        <w:spacing w:after="0" w:line="1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There is no certainty that such measures will be sufficient to mitigate the risks posed by the disease, and our ability to perform certain functions could be negatively impacted. While the duration and potential future impact of the COVID-19 pandemic on the U.S. economy, and the automotive industry and our industry in particular, are difficult to assess or predict, the pandemic has resulted in disruption of financial markets, which may reduce our ability to access capital or our consumers’ ability to repay past or future Consumer Loans, and could negatively affect our liquidity and results of operations. In addition, a recession or further financial market correction resulting from the COVID-19 pandemic could adversely affect demand for used vehicles. A continued disruption in our workforce, decrease in collections from our consumers or decline in Consumer Loan assignments could cause a material adverse effect on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5" w:name="page16"/>
    <w:bookmarkEnd w:id="15"/>
    <w:p>
      <w:pPr>
        <w:jc w:val="both"/>
        <w:ind w:firstLine="318"/>
        <w:spacing w:after="0" w:line="303" w:lineRule="auto"/>
        <w:rPr>
          <w:sz w:val="20"/>
          <w:szCs w:val="20"/>
          <w:color w:val="auto"/>
        </w:rPr>
      </w:pPr>
      <w:r>
        <w:rPr>
          <w:rFonts w:ascii="Arial" w:cs="Arial" w:eastAsia="Arial" w:hAnsi="Arial"/>
          <w:sz w:val="15"/>
          <w:szCs w:val="15"/>
          <w:color w:val="auto"/>
        </w:rPr>
        <w:t>The COVID-19 pandemic continues to evolve, and we continue to monitor the situation closely. The ultimate impact of this pandemic or a similar health epidemic is highly uncertain and subject to change. The extent of the impact of the COVID-19 pandemic on our operational and financial performance will depend on future developments, including, but not limited to, the duration of the pandemic, its severity, the actions to contain the disease or mitigate its impact, related restrictions on travel, additional federal stimulus measures and enhanced unemployment benefits, if any, and the duration, timing and severity of the impact on consumer behavior, including any recession resulting from the pandemic, all of which are uncertain and cannot be predicted. An extended period of economic and supply chain disruptions as a result of the COVID-19 pandemic could have a material negative impact on our business, financial position, liquidity, and results of operations, though the full extent and duration is uncertain. The COVID-19 pandemic may also intensify the risks described in the other risk factors disclosed in this Form 10-K. The COVID-19 pandemic, or any future outbreak of any contagious diseases or other public health emergency, could continue to, and may materially, adversely affect our business, financial condition, liquidity and results of operations.</w:t>
      </w:r>
    </w:p>
    <w:p>
      <w:pPr>
        <w:spacing w:after="0" w:line="181" w:lineRule="exact"/>
        <w:rPr>
          <w:sz w:val="20"/>
          <w:szCs w:val="20"/>
          <w:color w:val="auto"/>
        </w:rPr>
      </w:pPr>
    </w:p>
    <w:p>
      <w:pPr>
        <w:ind w:right="260" w:firstLine="318"/>
        <w:spacing w:after="0" w:line="271" w:lineRule="auto"/>
        <w:rPr>
          <w:sz w:val="20"/>
          <w:szCs w:val="20"/>
          <w:color w:val="auto"/>
        </w:rPr>
      </w:pPr>
      <w:r>
        <w:rPr>
          <w:rFonts w:ascii="Arial" w:cs="Arial" w:eastAsia="Arial" w:hAnsi="Arial"/>
          <w:sz w:val="18"/>
          <w:szCs w:val="18"/>
          <w:b w:val="1"/>
          <w:bCs w:val="1"/>
          <w:color w:val="auto"/>
        </w:rPr>
        <w:t>Our inability to accurately forecast and estimate the amount and timing of future collections could have a material adverse effect on results of operations.</w:t>
      </w:r>
    </w:p>
    <w:p>
      <w:pPr>
        <w:spacing w:after="0" w:line="20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Substantially all of the Consumer Loans assigned to us are made to individuals with impaired or limited credit histories.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assignment, we forecast future expected cash flows from the Consumer Loan. Based on these forecasts, which include estimates for wholesale vehicle prices in the event of vehicle repossession and sale, we make an advance or one-time purchase payment to the related Dealer at a level designed to maximize economic profit, a non-GAAP financial measure. We continue to forecast the expected collection rate of each Consumer Loan subsequent to assignment. These forecasts also serve as a critical assumption in our accounting for recognizing finance charge income and determining our allowance for credit losses. Please see the Critical Accounting Estimates – Finance Charge Revenue &amp; Allowance for Credit Losses section in Item 7 of this Form 10-K, which is incorporated herein by reference. Actual cash flows from any individual Consumer Loan are often different from cash flows estimated at the time of assignment. There can be no assurance that our forecasts will be accurate or that Consumer Loan performance will be as expected. In periods with changing economic conditions, accurately forecasting the performance of Consumer Loans is more difficult. In the event that our forecasts are not accurate, our financial position, liquidity and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competition from traditional financing sources and non-traditional lenders, we may not be able to compete successfully.</w:t>
      </w:r>
    </w:p>
    <w:p>
      <w:pPr>
        <w:spacing w:after="0" w:line="25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 standing relationships with automobile dealerships. Providers of automobile financing have traditionally competed based on the interest rate charged, the quality of credit accepted, the flexibility of loan terms offered and the quality of service provided to dealers and consumers. We may be unable to compete successfully in the automobile finance market or, due to the intense competition in this market, our results of operations, cash flows and financial condition may be adversely affected as we adjust our business in response to competitive pressures. Increasing advance rates on Loans has the impact of reducing the return on capital we expect to earn on Loans. Additionally, if we are unsuccessful in maintaining and expanding our relationships with Dealers, we may be unable to accept Consumer Loans in the volume and on the terms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Reliance on third parties to administer our ancillary product offerings could adversely affect our business and financial results.</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relationships with TPPs to administer vehicle service contracts and GAP underwritten by third party insurers and financed by us. We depend on these TPPs to evaluate and pay claims in an accurate and timely manner. We also have a relationship with a TPP to administer GPS-SID. If our relationships with these TPPs were modified, disrupted, or terminated, we would need to obtain these services from an alternative administrator or provide them using our internal resources. We may be unable to replace these TPPs with a suitable alternative in a timely and efficient manner on terms we consider acceptable, or at all. In the event we were unable to effectively administer our ancillary products offerings, we may need to eliminate or suspend our ancillary product offerings from our future business, we may experience a decline in the performance of our Consumer Loans, our reputation in the marketplace could be undermined, and our financial position, liquidity and results of operations could be adversely affected.</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are dependent on our senior management and the loss of any of these individuals or an inability to hire additional team members could adversely affect our ability to operate profitably.</w:t>
      </w:r>
    </w:p>
    <w:p>
      <w:pPr>
        <w:spacing w:after="0" w:line="20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senior management average over 16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is a key asset to our business, and our business may be affected by how we are perceived in the marketplace.</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reputation is a key asset to our business. Our ability to attract consumers through our Dealers is highly dependent upon external perceptions of our level of service, trustworthiness, business practices and financial condition. Negative publicity regarding these matters could damage our reputation among existing and potential consumers and Dealers, which could make it difficult for us to attract new consumers and Dealers and maintain existing Dealers. Adverse developments with respect to our industry may also, by association, negatively impact our reputation or result in greater regulatory or legislative scrutiny or litigation against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concentration of our Dealers in several states could adversely affect us.</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Dealers are located throughout the United States. During the year ended December 31, 2021, our five largest states (measured by advances paid to Dealers on Consumer Loans assigned under our Portfolio Program and one-time payments made to Dealers to purchase Consumer Loans assigned under our Purchase Program) contained 30.5% of our Dealers. While we believe we have a diverse geographic presence, for the near term, we expect that significant amounts of Consumer Loan assignments will continue to be generated by Dealers in these five states due to the number of Dealers in these states and currently prevailing economic, demographic, regulatory, competitive and other conditions in these states. Changes to conditions in these states could lead to an increase in Dealer attrition or a reduction in demand for our service that could materially adversely affect our financial position, liquidity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our outsourced business functions could adversely affect our business.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outsource certain business functions to third party service providers, which increases our operational complexity and decreases our control. We rely on these service providers to provide a high level of service and support, which subjects us to risks associated with inadequate or untimely service.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additional business functions. If any of these or other risks related to outsourcing were realized, our financial position, liquidity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ability to hire and retain foreign information technology personnel could be hindered by immigration restrictions.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significant portion of our information technology team is composed of foreign nationals whose ability to work for us depends on obtaining the necessary H-1B visas. The H-1B visa category allows U.S. employers to hire qualified foreign nationals to perform services in specialty occupations that require the attainment of at least a bachelor’s degree or its equivalent. Our ability to hire and retain these foreign nationals and their ability to remain and work in the United States are affected by various laws and regulations, including limitations on the number of available H-1B visas, which the U.S. government allocates by lottery. Changes in the laws or regulations affecting the availability, allocation and/or cost of H-1B visas, eligibility for the H-1B visa category, or otherwise affecting the admission or retention of skilled foreign nationals by U.S. employers, or any increase in demand for H-1B visas relative to the limited supply of those visas, may adversely affect our ability to hire or retain foreign information technology personnel and may, as a result, increase our operating costs and impair our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execute our business strategy due to current economic conditions.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financial position, liquidity and results of operations depend on management’s ability to execute our business strategy. Key factors involved in the execution of our business strategy include achieving our desired Consumer Loan assignment volume, continued and successful use of CAPS and pricing strategy, the use of effective credit risk management techniques and servicing strategies, continued investment in technology to support operating efficiency and continued access to funding and liquidity sources. Although our pricing strategy is intended to maximize the amount of economic profit we generate, within the confines of capital and infrastructure constraints, there can be no assurance that this strategy will have its intended effect. Please see the Consumer Loan Volume section in Item 7 of this Form 10-K, which is incorporated herein by reference. Our failure or inability to execute any element of our business strategy could materially adversely affect our financial position, liquidity and results of operations.</w:t>
      </w:r>
    </w:p>
    <w:p>
      <w:pPr>
        <w:spacing w:after="0" w:line="20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21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subject to general economic conditions which are beyond our control. During periods of economic slowdown or recession, delinquencies, defaults, repossessions and losses may increase on our Consumer Loans and Consumer Loan prepayments may decline. These periods are also typically accompanied by decreased consumer demand for automobiles and declining values of automobiles securing outstanding Consumer Loans, which weakens collateral coverage and increases the amount of loss in the event of default. Significant increases in the inventory of used automobiles during periods of economic recession may also depress the prices at which repossessed automobiles may be sold or delay the timing of these sales. Additionally, higher gasoline prices, increased focus on climate-related initiatives and regulation, declining stock market values, unstable real estate values, resets of adjustable rate mortgages to higher interest rates, increasing unemployment levels, general availability of consumer credit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our Consumer Loans could be higher than those experienced in the general automobile finance industry, and could be more dramatically affected by a general economic downturn.</w:t>
      </w:r>
    </w:p>
    <w:p>
      <w:pPr>
        <w:spacing w:after="0" w:line="21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rely on Dealers to originate Consumer Loans for assignment under our programs. High levels of Dealer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finance charge revenue.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2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Technological advancements or changes to trends in the automobile industry such as new autonomous driving technologies or car- and ride-sharing programs could decrease consumer demand for automobiles. Decreased consumer demand for automobiles could negatively impact demand for our financing programs as well as weaken collateral values of automobiles, which could materially adversely affect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8"/>
          <w:szCs w:val="18"/>
          <w:b w:val="1"/>
          <w:bCs w:val="1"/>
          <w:color w:val="auto"/>
        </w:rPr>
        <w:t>Natural disasters, climate change, acts of war, terrorist attacks and threats or the escalation of military activity in response to these attacks or otherwise may negatively affect our business, financial condition and results of operations.</w:t>
      </w:r>
    </w:p>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Natural disasters, climate change, acts of war, terrorist attacks and the escalation of military activity in response to these attacks or otherwise may have negative and significant effects, such as imposition of increased security measures, changes in applicable laws, market disruptions and job losses. These events may have an adverse effect on the economy in general. Moreover, the potential for future terrorist attacks and the national and international responses to these threats could affect the business in ways that cannot be predicted. The effect of any of these events or threats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Governmental or market responses to climate change and related environmental issues could have a material adverse effect on our business.</w:t>
      </w:r>
    </w:p>
    <w:p>
      <w:pPr>
        <w:spacing w:after="0" w:line="2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Governments have become increasingly focused on the effects of climate change and related environmental issues. How governments act to mitigate climate and related environmental risks, as well as associated changes in the behavior and preferences of businesses and consumers, could have an adverse effect on our business and results of operations. We could, for example, experience decreased consumer demand for gasoline-powered automobiles and declining values of gasoline-powered automobiles securing outstanding Consumer Loans, which would weaken collateral coverage and increase the amount of loss in the event of default. Further, we may be compelled to change our business practices or our operational processes, and we could have less access to capital or face a higher cost of capital, because of climate- or environmental-driven changes in applicable law or due to related political, social or market pressure. It is possible as well that changes in climate and related environmental risks, perceptions of them, and governmental responses to them may occur more rapidly than our ability to adapt without disrupting our business which could have a material adverse effect on our financial position and results of operations.</w:t>
      </w:r>
    </w:p>
    <w:p>
      <w:pPr>
        <w:spacing w:after="0" w:line="20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0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2021, based on filings made with the SEC and other information made available to us, Prescott General Partners, LLC and its affiliates beneficially owned 18.3% of our common stock, Jill Foss Watson beneficially owned 15.4% of our common stock and Allan V. Apple beneficially owned 12.6% of our common stock. As a result, these shareholders are able to significantly influence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Their interests may conflict with the interests of our other security holders.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and Liquidity Risks</w:t>
      </w:r>
    </w:p>
    <w:p>
      <w:pPr>
        <w:ind w:left="320"/>
        <w:spacing w:after="0"/>
        <w:rPr>
          <w:sz w:val="20"/>
          <w:szCs w:val="20"/>
          <w:color w:val="auto"/>
        </w:rPr>
      </w:pPr>
      <w:r>
        <w:rPr>
          <w:rFonts w:ascii="Arial" w:cs="Arial" w:eastAsia="Arial" w:hAnsi="Arial"/>
          <w:sz w:val="14"/>
          <w:szCs w:val="14"/>
          <w:color w:val="FFFFFF"/>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continue to access or renew funding sources and obtain capital needed to maintain and grow our business.</w:t>
      </w:r>
    </w:p>
    <w:p>
      <w:pPr>
        <w:spacing w:after="0" w:line="23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use debt financing to maintain and grow our business. We currently utilize the following primary forms of debt financing: (1) a revolving secured line of credit; (2) revolving secured warehouse (“Warehouse”) facilities; (3) asset-backed secured financings (“Term ABS”); and (4) senior notes. We cannot guarantee that the revolving secured line of credit or the Warehouse facilities will continue to be available beyond their current maturity dates, on acceptable terms, or at all, or that we will be able to obtain additional financing on acceptable terms or at all. The availability of additional financing will depend on a variety of factors such as market conditions, the general availability of credit, our financial position, our results of operations, and the capacity for additional borrowing under our existing financing arrangements. If our various financing alternatives were to become limited or unavailable, we may be unable to maintain or grow Consumer Loan volume at the level that we anticipate and our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terms of our debt limit how we conduct our business.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agreements that govern our debt contain covenants that restrict our ability to, among other things:</w:t>
      </w:r>
    </w:p>
    <w:p>
      <w:pPr>
        <w:spacing w:after="0" w:line="16" w:lineRule="exact"/>
        <w:rPr>
          <w:sz w:val="20"/>
          <w:szCs w:val="20"/>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and guarantee debt;</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repurchase our stock;</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with or into other companies;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stockholders and other affiliates.</w:t>
      </w:r>
    </w:p>
    <w:p>
      <w:pPr>
        <w:spacing w:after="0" w:line="23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Some of our debt agreements also impose requirements that we maintain specified financial measures not in excess of, or not below, specified levels. In particular, our revolving credit facility requires, among other things, that we maintain (i) as of the end of each fiscal quarter, a ratio of consolidated funded debt less unrestricted cash and cash equivalents to consolidated tangible net worth at or below a specified maximum; (ii) as of the end of each fiscal quarter calculated for the two fiscal quarters then ending, consolidated net income, as defined in the agreements, of not less than a specified minimum; and (iii) as of the end of each fiscal quarter, a ratio of consolidated income available for fixed charges for the period of four consecutive fiscal quarters most recently ended to consolidated fixed charges, as defined in the agreements,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cross-acceleration or cross-default provision. In addition, an event of default under our revolving credit facility would permit the lenders thereunder to terminate all commitments to extend further credit under our revolving credit facility.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violation of the terms of our Term ABS facilities or Warehouse facilities could have a material adverse impact on our operations.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Under our Term ABS facilities and our Warehouse facilities, (1) we have various obligations and covenants as servicer and custodian of the Consumer Loans contributed thereto and in our individual capacity and (2) the special purpose subsidiaries to which we contribute Consumer Loans have various obligations and covenants. A violation of any of these obligations or covenants by us or the special purpose subsidiaries, respectively, may result in our being unable to obtain additional funding under our Warehouse facilities, the termination of our servicing rights and the loss of servicing fees, and may result in amounts outstanding under our Term ABS financings and our Warehouse facilities becoming immediately due and payable. In addition, the violation of any financial covenant under our revolving secured line of credit facility is an event of default or termination event under certain of the Term ABS facilities and our Warehouse facilities. The lack of availability from any or all of these Term ABS facilities and Warehouse facilities may have a material adverse effect on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0" w:name="page21"/>
    <w:bookmarkEnd w:id="20"/>
    <w:p>
      <w:pPr>
        <w:ind w:right="700"/>
        <w:spacing w:after="0" w:line="271" w:lineRule="auto"/>
        <w:rPr>
          <w:sz w:val="20"/>
          <w:szCs w:val="20"/>
          <w:color w:val="auto"/>
        </w:rPr>
      </w:pPr>
      <w:r>
        <w:rPr>
          <w:rFonts w:ascii="Arial" w:cs="Arial" w:eastAsia="Arial" w:hAnsi="Arial"/>
          <w:sz w:val="18"/>
          <w:szCs w:val="18"/>
          <w:b w:val="1"/>
          <w:bCs w:val="1"/>
          <w:color w:val="auto"/>
        </w:rPr>
        <w:t>Our substantial debt could negatively impact our business, prevent us from satisfying our debt obligations and adversely affect our financial condition.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 substantial amount of debt, which could have negative consequences, including the following:</w:t>
      </w:r>
    </w:p>
    <w:p>
      <w:pPr>
        <w:spacing w:after="0" w:line="16" w:lineRule="exact"/>
        <w:rPr>
          <w:sz w:val="20"/>
          <w:szCs w:val="20"/>
          <w:color w:val="auto"/>
        </w:rPr>
      </w:pPr>
    </w:p>
    <w:p>
      <w:pPr>
        <w:ind w:left="800" w:hanging="317"/>
        <w:spacing w:after="0"/>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obtain additional financing for Consumer Loan assignments, working capital, debt refinancing or other purposes could be impaired;</w:t>
      </w:r>
    </w:p>
    <w:p>
      <w:pPr>
        <w:spacing w:after="0" w:line="39" w:lineRule="exact"/>
        <w:rPr>
          <w:rFonts w:ascii="Arial" w:cs="Arial" w:eastAsia="Arial" w:hAnsi="Arial"/>
          <w:sz w:val="15"/>
          <w:szCs w:val="15"/>
          <w:color w:val="auto"/>
        </w:rPr>
      </w:pPr>
    </w:p>
    <w:p>
      <w:pPr>
        <w:ind w:left="800" w:hanging="317"/>
        <w:spacing w:after="0" w:line="245"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will be dedicated to paying principal and interest on our debt, reducing funds available for other purposes;</w:t>
      </w:r>
    </w:p>
    <w:p>
      <w:pPr>
        <w:spacing w:after="0" w:line="1"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some of our borrowings, including those under our revolving credit facility, bear interest at variable rates;</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more vulnerable to adverse developments in our industry or in general economic conditions;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restricted from taking advantage of business opportunities or making strategic acquisitions;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limited in our flexibility in planning for, or reacting to, changes in our business and the industries in which we operate.</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may not be able to generate sufficient cash flows to service our outstanding debt and fund operations and may be forced to take other actions to satisfy our obligations under such debt.</w:t>
      </w:r>
    </w:p>
    <w:p>
      <w:pPr>
        <w:spacing w:after="0" w:line="20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may adversely affect our borrowing costs, profitability and liquidity.</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strategies designed to partially mitigate the impact of increases in interest rates. We can provide no assurance, however, that our strategies will mitigate the impact of increases in interest rates.</w:t>
      </w:r>
    </w:p>
    <w:p>
      <w:pPr>
        <w:spacing w:after="0" w:line="200" w:lineRule="exact"/>
        <w:rPr>
          <w:sz w:val="20"/>
          <w:szCs w:val="20"/>
          <w:color w:val="auto"/>
        </w:rPr>
      </w:pPr>
    </w:p>
    <w:p>
      <w:pPr>
        <w:spacing w:after="0" w:line="25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The phaseout of the London Interbank Offered Rate (“LIBOR”), or the replacement of LIBOR with a different reference rate, could result in a material adverse effect on our business.</w:t>
      </w:r>
    </w:p>
    <w:p>
      <w:pPr>
        <w:spacing w:after="0" w:line="20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July 2017, the United Kingdom Financial Conduct Authority, or the FCA (the authority that regulates LIBOR), announced that it would phase out LIBOR by the end of 2021. The FCA-regulated and authorized administrator of LIBOR indicated in 2020 that U.S.-dollar LIBOR for certain maturities would continue to be available until the end of June 2023. It is unclear whether new methods of calculating LIBOR will be established or if alternative rates or benchmarks will be adopted. Our revolving secured line of credit, certain of our Warehouse facilities, one of our Term ABS financings and our interest rate cap agreements utilize LIBOR as a benchmark for calculating the applicable interest rates. We have entered into amendments for certain of those LIBOR-based facilities to provide for transitioning to a LIBOR alternative. Changes in the method of calculating LIBOR, the elimination of LIBOR or the replacement of LIBOR with an alternative rate or benchmark, such as the Secured Overnight Financing Rate, may require us to renegotiate or amend those facilities that do not already provide for transitioning to a LIBOR alternative and, even if applied in a manner consistent with any transition provisions, may adversely affect the interest rates available to us and result in higher borrowing costs. Such higher borrowing costs or any other similar increases in the cost of capital to us resulting from the phaseout or replacement of LIBOR could materially adversely affect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1" w:name="page22"/>
    <w:bookmarkEnd w:id="21"/>
    <w:p>
      <w:pPr>
        <w:ind w:right="320"/>
        <w:spacing w:after="0" w:line="271" w:lineRule="auto"/>
        <w:rPr>
          <w:sz w:val="20"/>
          <w:szCs w:val="20"/>
          <w:color w:val="auto"/>
        </w:rPr>
      </w:pPr>
      <w:r>
        <w:rPr>
          <w:rFonts w:ascii="Arial" w:cs="Arial" w:eastAsia="Arial" w:hAnsi="Arial"/>
          <w:sz w:val="18"/>
          <w:szCs w:val="18"/>
          <w:b w:val="1"/>
          <w:bCs w:val="1"/>
          <w:color w:val="auto"/>
        </w:rPr>
        <w:t>Reduction in our credit rating could increase the cost of our funding from, and restrict our access to, the capital markets and adversely affect our liquidity, financial condition and results of operations.</w:t>
      </w:r>
    </w:p>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As the financial services industry and the financial markets periodically face difficulties,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substantially more debt and other liabilities. This could exacerbate further the risks associated with our current debt levels.</w:t>
      </w:r>
    </w:p>
    <w:p>
      <w:pPr>
        <w:spacing w:after="0" w:line="26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be able to incur substantial additional debt in the future. Although the terms of our debt instruments contain restrictions on our ability to incur additional debt, these restrictions are subject to exemptions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198"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3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Periodically, there has been uncertainty in the global capital markets and the overall economy. Such uncertainty can result in disruptions in the financial sector and affect lenders with which we have relationships. Disruptions in the financial sector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 There can be no assurance that future disruptions in the financial sector will not occur that could have similar adverse effects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Technology and Cybersecurity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dependence on technology could have a material adverse effect on our business.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All Consumer Loans submitted to us for assignment are processed through our internet-based CAPS application, which enables our Dealers to interact with our proprietary credit scoring system. Our Consumer Loan servicing platform is also technology based. We rely on these systems to record and process significant amounts of data quickly and accurately and believe that these systems provide us with a competitive advantage. All of these systems are dependent upon computer and telecommunications equipment, software systems and Internet access. The temporary or permanent loss of any components of these systems through hardware failures, software errors, operating malfunctions, the vulnerability of the Internet or otherwise could interrupt our business operations, harm our business and adversely affect our competitive advantage. In addition, our competitors could create or acquire systems similar to ours, which would adversely affect our competitive advantage.</w:t>
      </w:r>
    </w:p>
    <w:p>
      <w:pPr>
        <w:spacing w:after="0" w:line="212"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Our systems, and the equipment, software and Internet access on which they depend, may be subject to cyber attacks, security breaches and other cybersecurity incidents. Although the cybersecurity incidents we have experienced to date have not had a material effect on our business, financial condition or results of operations, there can be no assurance that cybersecurity incidents will not have a material adverse effect on us in the future.</w:t>
      </w:r>
    </w:p>
    <w:p>
      <w:pPr>
        <w:spacing w:after="0" w:line="16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rely on a variety of measures to protect our technology and proprietary information, including copyrights and a comprehensive information security program. However, these measures may not prevent misappropriation or infringement of our intellectual property or proprietary information, which would adversely affect us. In addition, our competitors or other third parties may allege that our systems, processes or technologies infringe their intellectual property rights.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integrate computer and telecommunications technologies into our business is essential to our success. Computer and telecommunications technologies are evolving rapidly and are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use of electronic contracts could impact our ability to perfect our ownership or security interest in Consumer Loans.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systems permit origination and assignment of Consumer Loans in electronic form. We have engaged a TPP to facilitate the process of creating, establishing control of and storing electronic contracts in a manner that enables us to perfect our ownership or security interest in the electronic contracts by satisfying the requirements for “control” of electronic chattel paper under the Uniform Commercial Code.</w:t>
      </w:r>
    </w:p>
    <w:p>
      <w:pPr>
        <w:spacing w:after="0" w:line="21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law governing the perfection of ownership and security interests in electronic contracts was enacted in 2001, the statutory requirements for the relevant control arrangements have not been meaningfully tested in court. In addition, market practices regarding control of electronic contracts are still developing. As a result, there is a risk that the systems employed by us or any TPP to maintain control of the electronic contracts may not be sufficient as a matter of law to give us a perfected ownership or security interest in the Consumer Loans evidenced by electronic contracts. In addition, technological failure, including failure in the security or access restrictions with respect to the systems, and operational failure, such as the failure to implement and maintain adequate internal controls and procedures, could also affect our ability to obtain or maintain a perfected ownership or security interest in the Consumer Loans evidenced by electronic contracts (or the priority of such interests). Our failure or inability to perfect our ownership or security interest in the Consumer Loans could materially adversely affect our financial position, liquidity and results of operations.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Failure to properly safeguard confidential consumer and team member information could subject us to liability, decrease our profitability and damage our reputation.</w:t>
      </w:r>
    </w:p>
    <w:p>
      <w:pPr>
        <w:spacing w:after="0" w:line="2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our business, we collect and store sensitive data, including our proprietary business information and personally identifiable information of our consumers and team members, on our computer networks. The secure processing, maintenance and transmission of this information is critical to our operations and business strategy.</w:t>
      </w:r>
    </w:p>
    <w:p>
      <w:pPr>
        <w:spacing w:after="0" w:line="21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third parties or our team members are able to breach our network security, the network security of a third party that we share information with or otherwise misappropriate our consumers’ and team members’ personal information, or if we give third parties or our team members improper access to our consumers’ and team members’ personal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rely on encryption and authentication technology licensed from third parties to provide the security and authentication necessary to secure online transmission of confidential consumer and team member information. Advances in computer capabilities, new discoveries in the field of cryptography or other events or developments may result in a compromise or breach of the algorithms that we use to protect sensitive consumer transaction data. A party who is able to circumvent our security measures could misappropriate proprietary information or cause interruptions in our operations. We may be required to expend capital and other resources to protect against, or alleviate problems caused by, security breaches or other cybersecurity incidents. Although we have experienced cybersecurity incidents from time to time that have not had a material effect on our business, financial condition or results of operations, there can be no assurance that a cyber attack, security breach or other cybersecurity incident will not have a material adverse effect on us in the future. Our security measures are designed to protect against security breaches, but our failure to prevent security breaches could subject us to liability, decrease our profitability and damage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we are involved in from time to time may adversely affect our financial condition, results of operations and cash flows.</w:t>
      </w:r>
    </w:p>
    <w:p>
      <w:pPr>
        <w:spacing w:after="0" w:line="2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a result of the consumer-oriented nature of the industry in which we operate and uncertainties with respect to the application of various laws and regulations in some circumstances, we are subject to various consumer claims, litigation and regulatory investigations seeking damages, fines and statutory penalties, based upon, among other things, usury, disclosure inaccuracies, wrongful repossession, violations of bankruptcy stay provisions, certificate of title disputes, fraud and breach of contract.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188" w:lineRule="exact"/>
        <w:rPr>
          <w:sz w:val="20"/>
          <w:szCs w:val="20"/>
          <w:color w:val="auto"/>
        </w:rPr>
      </w:pPr>
    </w:p>
    <w:p>
      <w:pPr>
        <w:jc w:val="both"/>
        <w:ind w:right="20" w:firstLine="31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a description of significant litigation to which we are a party, see </w:t>
      </w:r>
      <w:hyperlink w:anchor="page92">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contained in Item 8 of this Form 10-K, which is incorporated herein by reference.</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Changes in tax laws and the resolution of uncertain income tax matters could have a material adverse effect on our results of operations and cash flows from operations.</w:t>
      </w:r>
    </w:p>
    <w:p>
      <w:pPr>
        <w:spacing w:after="0" w:line="20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income tax in many of the various jurisdictions in which we operate. Increases in statutory income tax rates and other adverse changes in applicable law in these jurisdictions could have an adverse effect on our results of operations. In the ordinary course of business, there are transactions and calculations where the ultimate tax determination is uncertain. At any one time, multiple tax years are subject to audit by various taxing jurisdictions. We provide reserves for potential payments of tax to various tax authorities related to uncertain tax positions. Please see the Critical Accounting Estimates – Uncertain Tax Positions section in Item 7 of this Form 10-K, which is incorporated herein by reference. We adjust these liabilities as a result of changing facts and circumstances; however, due to the complexity of some of these uncertainties, the ultimate resolution may result in a payment that is materially different from our current estimate of the tax liabilities. Such payments could have a material adverse effect on our results of operations and cash flows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regulations to which we are or may become subject could result in a material adverse effect on our business.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Reference should be made to Item 1. Business “Regulation” for a discussion of regulatory risk factors.</w:t>
      </w:r>
    </w:p>
    <w:p>
      <w:pPr>
        <w:spacing w:after="0" w:line="23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headquarters is located in Southfield, Michigan, in an office building we purchased in 1993, which includes approximately 136,000 square feet of space. We also own a second office building in Southfield that we purchased in 2018, which includes approximately 297,000 square feet of space. We have a mortgage loan from a commercial bank that is secured by a first mortgage lien on the second office property.</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lease approximately 31,000 square feet of office space in Henderson, Nevada. The lease, which includes a renewal option, expires in December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currently is a significant amount of unoccupied office space available for lease in the markets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 or otherwise subject could have a material adverse impact on our financial position, liquidity and results of operations.</w:t>
      </w:r>
    </w:p>
    <w:p>
      <w:pPr>
        <w:spacing w:after="0" w:line="200" w:lineRule="exact"/>
        <w:rPr>
          <w:sz w:val="20"/>
          <w:szCs w:val="20"/>
          <w:color w:val="auto"/>
        </w:rPr>
      </w:pPr>
    </w:p>
    <w:p>
      <w:pPr>
        <w:spacing w:after="0" w:line="203" w:lineRule="exact"/>
        <w:rPr>
          <w:sz w:val="20"/>
          <w:szCs w:val="20"/>
          <w:color w:val="auto"/>
        </w:rPr>
      </w:pPr>
    </w:p>
    <w:p>
      <w:pPr>
        <w:jc w:val="both"/>
        <w:ind w:right="20" w:firstLine="31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a description of significant litigation to which we are a party, see </w:t>
      </w:r>
      <w:hyperlink w:anchor="page92">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contained in Item 8 of this Form 10-K, which is incorporated herein by reference.</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jc w:val="both"/>
        <w:ind w:left="960" w:hanging="1271"/>
        <w:spacing w:after="0" w:line="271" w:lineRule="auto"/>
        <w:tabs>
          <w:tab w:leader="none" w:pos="94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traded on The Nasdaq Global Select Market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under the symbol “CACC”.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February 3, 2022, we had 90 shareholders of record of our common stock.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graph compares the percentage change in the cumulative total shareholder return on our common stock during the period beginning January 1, 2017 and ending on December 31, 2021 with the cumulative total return on the NASDAQ Composite Index and a peer group index based upon approximately 100 companies included in the Dow Jones U.S. Financial Services Index. The comparison assumes that $100 was invested on January 1, 2017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5755005" cy="2801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5005" cy="280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6D6D6D"/>
        </w:rPr>
        <w:t>Source: Zacks Investment Research, Inc. Used with permission. All rights reserved. Copyright 1980-2022.</w:t>
      </w:r>
    </w:p>
    <w:p>
      <w:pPr>
        <w:ind w:left="160"/>
        <w:spacing w:after="0" w:line="217" w:lineRule="auto"/>
        <w:rPr>
          <w:sz w:val="20"/>
          <w:szCs w:val="20"/>
          <w:color w:val="auto"/>
        </w:rPr>
      </w:pPr>
      <w:r>
        <w:rPr>
          <w:rFonts w:ascii="Arial" w:cs="Arial" w:eastAsia="Arial" w:hAnsi="Arial"/>
          <w:sz w:val="14"/>
          <w:szCs w:val="14"/>
          <w:color w:val="6D6D6D"/>
        </w:rPr>
        <w:t>Index Data: Copyright NASDAQ OMX, Inc. Used with permission. All rights reserved.</w:t>
      </w:r>
    </w:p>
    <w:p>
      <w:pPr>
        <w:ind w:left="160"/>
        <w:spacing w:after="0"/>
        <w:rPr>
          <w:sz w:val="20"/>
          <w:szCs w:val="20"/>
          <w:color w:val="auto"/>
        </w:rPr>
      </w:pPr>
      <w:r>
        <w:rPr>
          <w:rFonts w:ascii="Arial" w:cs="Arial" w:eastAsia="Arial" w:hAnsi="Arial"/>
          <w:sz w:val="14"/>
          <w:szCs w:val="14"/>
          <w:color w:val="6D6D6D"/>
        </w:rPr>
        <w:t>Index Data: Copyright Dow Jones, Inc.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Stock Repurchases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stock repurchases for the three months ended December 31, 2021: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w:t>
            </w: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1"/>
                <w:szCs w:val="1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33"/>
        </w:trPr>
        <w:tc>
          <w:tcPr>
            <w:tcW w:w="37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Publicly Announced Plans</w:t>
            </w:r>
          </w:p>
        </w:tc>
        <w:tc>
          <w:tcPr>
            <w:tcW w:w="12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Programs (1)</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Programs (1)</w:t>
            </w:r>
          </w:p>
        </w:tc>
        <w:tc>
          <w:tcPr>
            <w:tcW w:w="0" w:type="dxa"/>
            <w:vAlign w:val="bottom"/>
          </w:tcPr>
          <w:p>
            <w:pPr>
              <w:spacing w:after="0"/>
              <w:rPr>
                <w:sz w:val="1"/>
                <w:szCs w:val="1"/>
                <w:color w:val="auto"/>
              </w:rPr>
            </w:pPr>
          </w:p>
        </w:tc>
      </w:tr>
      <w:tr>
        <w:trPr>
          <w:trHeight w:val="22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through October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271,908</w:t>
            </w:r>
          </w:p>
        </w:tc>
        <w:tc>
          <w:tcPr>
            <w:tcW w:w="18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1,959,951</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November 1 through November 30, 2021</w:t>
            </w:r>
          </w:p>
        </w:tc>
        <w:tc>
          <w:tcPr>
            <w:tcW w:w="1780" w:type="dxa"/>
            <w:vAlign w:val="bottom"/>
          </w:tcPr>
          <w:p>
            <w:pPr>
              <w:jc w:val="right"/>
              <w:spacing w:after="0"/>
              <w:rPr>
                <w:sz w:val="20"/>
                <w:szCs w:val="20"/>
                <w:color w:val="auto"/>
              </w:rPr>
            </w:pPr>
            <w:r>
              <w:rPr>
                <w:rFonts w:ascii="Arial" w:cs="Arial" w:eastAsia="Arial" w:hAnsi="Arial"/>
                <w:sz w:val="18"/>
                <w:szCs w:val="18"/>
                <w:color w:val="auto"/>
              </w:rPr>
              <w:t>158,359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634.57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158,359</w:t>
            </w:r>
          </w:p>
        </w:tc>
        <w:tc>
          <w:tcPr>
            <w:tcW w:w="1880" w:type="dxa"/>
            <w:vAlign w:val="bottom"/>
            <w:gridSpan w:val="2"/>
          </w:tcPr>
          <w:p>
            <w:pPr>
              <w:jc w:val="right"/>
              <w:ind w:right="9"/>
              <w:spacing w:after="0"/>
              <w:rPr>
                <w:sz w:val="20"/>
                <w:szCs w:val="20"/>
                <w:color w:val="auto"/>
              </w:rPr>
            </w:pPr>
            <w:r>
              <w:rPr>
                <w:rFonts w:ascii="Arial" w:cs="Arial" w:eastAsia="Arial" w:hAnsi="Arial"/>
                <w:sz w:val="18"/>
                <w:szCs w:val="18"/>
                <w:color w:val="auto"/>
              </w:rPr>
              <w:t>1,801,592</w:t>
            </w:r>
          </w:p>
        </w:tc>
        <w:tc>
          <w:tcPr>
            <w:tcW w:w="0" w:type="dxa"/>
            <w:vAlign w:val="bottom"/>
          </w:tcPr>
          <w:p>
            <w:pPr>
              <w:spacing w:after="0"/>
              <w:rPr>
                <w:sz w:val="1"/>
                <w:szCs w:val="1"/>
                <w:color w:val="auto"/>
              </w:rPr>
            </w:pPr>
          </w:p>
        </w:tc>
      </w:tr>
      <w:tr>
        <w:trPr>
          <w:trHeight w:val="232"/>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through December 31,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643.61</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176,042</w:t>
            </w:r>
          </w:p>
        </w:tc>
        <w:tc>
          <w:tcPr>
            <w:tcW w:w="188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1,625,550</w:t>
            </w:r>
          </w:p>
        </w:tc>
        <w:tc>
          <w:tcPr>
            <w:tcW w:w="0" w:type="dxa"/>
            <w:vAlign w:val="bottom"/>
          </w:tcPr>
          <w:p>
            <w:pPr>
              <w:spacing w:after="0"/>
              <w:rPr>
                <w:sz w:val="1"/>
                <w:szCs w:val="1"/>
                <w:color w:val="auto"/>
              </w:rPr>
            </w:pPr>
          </w:p>
        </w:tc>
      </w:tr>
      <w:tr>
        <w:trPr>
          <w:trHeight w:val="225"/>
        </w:trPr>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623.19</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606,309</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480" w:hanging="315"/>
        <w:spacing w:after="0" w:line="152" w:lineRule="exact"/>
        <w:tabs>
          <w:tab w:leader="none" w:pos="472" w:val="left"/>
        </w:tabs>
        <w:numPr>
          <w:ilvl w:val="0"/>
          <w:numId w:val="22"/>
        </w:numPr>
        <w:rPr>
          <w:rFonts w:ascii="Arial" w:cs="Arial" w:eastAsia="Arial" w:hAnsi="Arial"/>
          <w:sz w:val="13"/>
          <w:szCs w:val="13"/>
          <w:color w:val="auto"/>
        </w:rPr>
      </w:pPr>
      <w:r>
        <w:rPr>
          <w:rFonts w:ascii="Arial" w:cs="Arial" w:eastAsia="Arial" w:hAnsi="Arial"/>
          <w:sz w:val="13"/>
          <w:szCs w:val="13"/>
          <w:color w:val="auto"/>
        </w:rPr>
        <w:t>On March 5, 2020, our board of directors authorized the repurchase by us from time to time of up to three million shares of our common stock (the "March 2020 Authorization"). The March 2020 Authorization, which was announced on March 11, 2020, did not have a specified expiration date. On September 28, 2021, our board of directors authorized the repurchase by us from time to time of up to two million shares of our common stock (the "September 2021 Authorization") in addition to the March 2020 Authorization. The September 2021 Authorization, which was announced on October 1, 2021, does not have a specified expiration date. Repurchases under the September 2021 Authorization may be made in the open market, through privately negotiated transactions, through block trades, pursuant to trading plans adopted in accordance with Rule 10b5</w:t>
      </w:r>
      <w:r>
        <w:rPr>
          <w:rFonts w:ascii="MS PGothic" w:cs="MS PGothic" w:eastAsia="MS PGothic" w:hAnsi="MS PGothic"/>
          <w:sz w:val="13"/>
          <w:szCs w:val="13"/>
          <w:color w:val="auto"/>
        </w:rPr>
        <w:t>‑</w:t>
      </w:r>
      <w:r>
        <w:rPr>
          <w:rFonts w:ascii="Arial" w:cs="Arial" w:eastAsia="Arial" w:hAnsi="Arial"/>
          <w:sz w:val="13"/>
          <w:szCs w:val="13"/>
          <w:color w:val="auto"/>
        </w:rPr>
        <w:t>1 under the Securities Exchange Act of 1934 or otherwise.</w:t>
      </w: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7" w:name="page28"/>
    <w:bookmarkEnd w:id="27"/>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contained in Item 8 of this Form 10-K, which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year ended December 31, 2021, consolidated net income was $958.3 million, or $59.52 per diluted share, compared to $421.0 million, or $23.47 per diluted share, for the same period in 2020. The increase in consolidated net income was primarily due to a decrease in provision for credit losses and an increase in finance charges. The decrease in provision for credit losses was primarily due to an improvement in Consumer Loan performance and a decrease in new Consumer Loan assignment volume. The increase in finance charges was primarily due to an increase in the average yield on our Loan portfolio, which was primarily the result of the adoption of the current expected credit loss (“CECL”) accounting standard on January 1, 2020. Our results for the year ended December 31, 2021 included:</w:t>
      </w:r>
    </w:p>
    <w:p>
      <w:pPr>
        <w:spacing w:after="0" w:line="222" w:lineRule="exact"/>
        <w:rPr>
          <w:sz w:val="20"/>
          <w:szCs w:val="20"/>
          <w:color w:val="auto"/>
        </w:rPr>
      </w:pPr>
    </w:p>
    <w:p>
      <w:pPr>
        <w:ind w:left="640" w:hanging="316"/>
        <w:spacing w:after="0" w:line="25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forecasted collection rates for Consumer Loans assigned in 2017 through 2021, which increased forecasted net cash flows from our loan portfolio by $326.1 million.</w:t>
      </w:r>
    </w:p>
    <w:p>
      <w:pPr>
        <w:ind w:left="64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Forecasted profitability per Consumer Loan assignment that exceeded our initial estimate for Consumer Loans assigned in 2021 and significantly exceeded our initial estimates for Consumer Loans assigned in 2018 through 2020.</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decline in Consumer Loan assignment volume, as unit and dollar volumes declined 21.4% and 13.0%, respectively, as compared to 2020.</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repurchases of approximately 2.9 million shares, which represented 16.8% of the shares outstanding at the beginning of the year.</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the year ended December 31, 2020, consolidated net income was $421.0 million, or $23.47 per diluted share, compared to $656.1 million, or $34.57 per diluted share, for the same period in 2019. The decrease in consolidated net income was primarily due to an increase in provision for credit losses primarily due to the adoption of CECL on January 1, 2020. Our results for the year ended December 31, 2020 included:</w:t>
      </w:r>
    </w:p>
    <w:p>
      <w:pPr>
        <w:spacing w:after="0" w:line="198" w:lineRule="exact"/>
        <w:rPr>
          <w:sz w:val="20"/>
          <w:szCs w:val="20"/>
          <w:color w:val="auto"/>
        </w:rPr>
      </w:pPr>
    </w:p>
    <w:p>
      <w:pPr>
        <w:ind w:left="640" w:hanging="316"/>
        <w:spacing w:after="0" w:line="26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decrease in forecasted collection rates for Consumer Loans assigned in 2015 through 2019 and an increase in forecasted collection rates for Consumer Loans assigned in 2020, which decreased forecasted net cash flows from our loan portfolio by $46.3 million.</w:t>
      </w:r>
    </w:p>
    <w:p>
      <w:pPr>
        <w:ind w:left="640" w:hanging="316"/>
        <w:spacing w:after="0" w:line="24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Forecasted profitability per Consumer Loan assignment that exceeded our initial estimate for Consumer Loans assigned in 2018 and 2019 and significantly exceeded our initial estimates for Consumer Loans assigned in 2020.</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decline in Consumer Loan assignment volume, as unit and dollar volumes declined 7.5% and 3.5%, respectively, as compared to 2019.</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 repurchases of approximately 1.3 million shares, which represented 6.9% of the shares outstanding at the beginning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Success Factors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Metrics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21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2021, with the forecasts as of December 31, 2020, as of December 31, 2019, and at the time of assignment, segmented by year of assignment: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Forecasted Collection Percentage as of (1)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auto"/>
            </w:tcBorders>
            <w:gridSpan w:val="5"/>
          </w:tcPr>
          <w:p>
            <w:pPr>
              <w:jc w:val="center"/>
              <w:ind w:left="875"/>
              <w:spacing w:after="0"/>
              <w:rPr>
                <w:sz w:val="20"/>
                <w:szCs w:val="20"/>
                <w:color w:val="auto"/>
              </w:rPr>
            </w:pPr>
            <w:r>
              <w:rPr>
                <w:rFonts w:ascii="Arial" w:cs="Arial" w:eastAsia="Arial" w:hAnsi="Arial"/>
                <w:sz w:val="14"/>
                <w:szCs w:val="14"/>
                <w:b w:val="1"/>
                <w:bCs w:val="1"/>
                <w:color w:val="auto"/>
                <w:w w:val="92"/>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6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2021</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2020</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6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December 31, 2019</w:t>
            </w:r>
          </w:p>
        </w:tc>
        <w:tc>
          <w:tcPr>
            <w:tcW w:w="98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92"/>
        </w:trPr>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Assignment Year</w:t>
            </w:r>
          </w:p>
        </w:tc>
        <w:tc>
          <w:tcPr>
            <w:tcW w:w="134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38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25"/>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5"/>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5"/>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5"/>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66.3 %</w:t>
            </w:r>
          </w:p>
        </w:tc>
        <w:tc>
          <w:tcPr>
            <w:tcW w:w="1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480" w:hanging="315"/>
        <w:spacing w:after="0" w:line="251" w:lineRule="auto"/>
        <w:tabs>
          <w:tab w:leader="none" w:pos="4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Consumer Loans assigned in 2012 and 2013 and 2018 through 2020 have yielded forecasted collection results significantly better than our initial estimates, while Consumer Loans assigned in 2015 and 2016 have yielded forecasted collection results significantly worse than our initial estimates. For all other assignment years presented, actual results have been close to our initial estimates.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 ended December 31, 2021, forecasted collection rates improved for Consumer Loans assigned in 2017 through 2021 and were generally consistent with expectations at the start of the period for all other assignment years presented.</w:t>
      </w:r>
    </w:p>
    <w:p>
      <w:pPr>
        <w:spacing w:after="0" w:line="20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the year ended December 31, 2020, forecasted collection rates improved for Consumer Loans assigned in 2020, declined for Consumer Loans assigned in 2015 through 2019 and were generally consistent with expectations at the start of the period for all other assignment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9" w:name="page30"/>
    <w:bookmarkEnd w:id="29"/>
    <w:p>
      <w:pPr>
        <w:jc w:val="both"/>
        <w:ind w:firstLine="318"/>
        <w:spacing w:after="0" w:line="264" w:lineRule="auto"/>
        <w:rPr>
          <w:sz w:val="20"/>
          <w:szCs w:val="20"/>
          <w:color w:val="auto"/>
        </w:rPr>
      </w:pPr>
      <w:r>
        <w:rPr>
          <w:rFonts w:ascii="Arial" w:cs="Arial" w:eastAsia="Arial" w:hAnsi="Arial"/>
          <w:sz w:val="18"/>
          <w:szCs w:val="18"/>
          <w:color w:val="auto"/>
        </w:rPr>
        <w:t>The changes in forecasted collection rates impacted forecasted net cash flows (forecasted collections less forecasted Dealer Holdback payments)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192"/>
        </w:trPr>
        <w:tc>
          <w:tcPr>
            <w:tcW w:w="5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5"/>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Dealer Loans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1"/>
              </w:rPr>
              <w:t>(7.9)</w:t>
            </w:r>
          </w:p>
        </w:tc>
      </w:tr>
      <w:tr>
        <w:trPr>
          <w:trHeight w:val="232"/>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Purchased Loans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22.5</w:t>
            </w:r>
          </w:p>
        </w:tc>
      </w:tr>
      <w:tr>
        <w:trPr>
          <w:trHeight w:val="250"/>
        </w:trPr>
        <w:tc>
          <w:tcPr>
            <w:tcW w:w="6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14.6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During the first quarter of 2020, we reduced our estimate of future net cash flows from our Loan portfolio by $206.5 million, or 2.3% of the forecasted net cash flows at the start of the period, primarily due to the impact of the COVID-19 pandemic. The reduction was comprised of: (1) $44.3 million calculated by our forecasting model, which reflected lower realized collections during the first quarter of 2020 and (2) an additional $162.2 million, which represented our best estimate of the future impact of the COVID-19 pandemic on future net cash flows. Under CECL, changes in the amount and timing of forecasted net cash flows are recorded as a provision for credit losses in the current period. We have continued to apply this adjustment to our forecast through the end of 2021 as it continues to represent our best estimate of the impact of the COVID-19 pandemic on future net cash flows. The COVID-19 pandemic has created conditions that increase the level of uncertainty associated with our estimate of the amount and timing of future net cash flows from our Loan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ind w:left="320"/>
              <w:spacing w:after="0"/>
              <w:rPr>
                <w:sz w:val="20"/>
                <w:szCs w:val="20"/>
                <w:color w:val="auto"/>
              </w:rPr>
            </w:pPr>
            <w:r>
              <w:rPr>
                <w:rFonts w:ascii="Arial" w:cs="Arial" w:eastAsia="Arial" w:hAnsi="Arial"/>
                <w:sz w:val="18"/>
                <w:szCs w:val="18"/>
                <w:color w:val="auto"/>
              </w:rPr>
              <w:t>The   following   table   presents   information</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on   the   average</w:t>
            </w:r>
          </w:p>
        </w:tc>
        <w:tc>
          <w:tcPr>
            <w:tcW w:w="1580" w:type="dxa"/>
            <w:vAlign w:val="bottom"/>
          </w:tcPr>
          <w:p>
            <w:pPr>
              <w:jc w:val="right"/>
              <w:ind w:right="93"/>
              <w:spacing w:after="0"/>
              <w:rPr>
                <w:sz w:val="20"/>
                <w:szCs w:val="20"/>
                <w:color w:val="auto"/>
              </w:rPr>
            </w:pPr>
            <w:r>
              <w:rPr>
                <w:rFonts w:ascii="Arial" w:cs="Arial" w:eastAsia="Arial" w:hAnsi="Arial"/>
                <w:sz w:val="18"/>
                <w:szCs w:val="18"/>
                <w:color w:val="auto"/>
                <w:w w:val="99"/>
              </w:rPr>
              <w:t>Consumer   Loan</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assignment</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for   each   of   the</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9"/>
              </w:rPr>
              <w:t>last   10   years:</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Average</w:t>
            </w:r>
          </w:p>
        </w:tc>
        <w:tc>
          <w:tcPr>
            <w:tcW w:w="1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00" w:type="dxa"/>
            <w:vAlign w:val="bottom"/>
            <w:vMerge w:val="restart"/>
          </w:tcPr>
          <w:p>
            <w:pPr>
              <w:jc w:val="center"/>
              <w:ind w:left="1273"/>
              <w:spacing w:after="0"/>
              <w:rPr>
                <w:sz w:val="20"/>
                <w:szCs w:val="20"/>
                <w:color w:val="auto"/>
              </w:rPr>
            </w:pPr>
            <w:r>
              <w:rPr>
                <w:rFonts w:ascii="Arial" w:cs="Arial" w:eastAsia="Arial" w:hAnsi="Arial"/>
                <w:sz w:val="14"/>
                <w:szCs w:val="14"/>
                <w:b w:val="1"/>
                <w:bCs w:val="1"/>
                <w:color w:val="auto"/>
                <w:w w:val="90"/>
              </w:rPr>
              <w:t>Consumer Loan Assignment Year</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8"/>
              </w:rPr>
              <w:t>Consumer Loan (1)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98"/>
              </w:rPr>
              <w:t>Advance (2)</w:t>
            </w:r>
          </w:p>
        </w:tc>
        <w:tc>
          <w:tcPr>
            <w:tcW w:w="12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136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rPr>
              <w:t>Initial Loan 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(in months)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89"/>
              </w:rPr>
              <w:t>2012</w:t>
            </w: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jc w:val="center"/>
              <w:ind w:left="1233"/>
              <w:spacing w:after="0"/>
              <w:rPr>
                <w:sz w:val="20"/>
                <w:szCs w:val="20"/>
                <w:color w:val="auto"/>
              </w:rPr>
            </w:pPr>
            <w:r>
              <w:rPr>
                <w:rFonts w:ascii="Arial" w:cs="Arial" w:eastAsia="Arial" w:hAnsi="Arial"/>
                <w:sz w:val="18"/>
                <w:szCs w:val="18"/>
                <w:color w:val="auto"/>
                <w:w w:val="89"/>
              </w:rPr>
              <w:t>2013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89"/>
              </w:rPr>
              <w:t>2014</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jc w:val="center"/>
              <w:ind w:left="1233"/>
              <w:spacing w:after="0"/>
              <w:rPr>
                <w:sz w:val="20"/>
                <w:szCs w:val="20"/>
                <w:color w:val="auto"/>
              </w:rPr>
            </w:pPr>
            <w:r>
              <w:rPr>
                <w:rFonts w:ascii="Arial" w:cs="Arial" w:eastAsia="Arial" w:hAnsi="Arial"/>
                <w:sz w:val="18"/>
                <w:szCs w:val="18"/>
                <w:color w:val="auto"/>
                <w:w w:val="89"/>
              </w:rPr>
              <w:t>2015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89"/>
              </w:rPr>
              <w:t>2016</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jc w:val="center"/>
              <w:ind w:left="1233"/>
              <w:spacing w:after="0"/>
              <w:rPr>
                <w:sz w:val="20"/>
                <w:szCs w:val="20"/>
                <w:color w:val="auto"/>
              </w:rPr>
            </w:pPr>
            <w:r>
              <w:rPr>
                <w:rFonts w:ascii="Arial" w:cs="Arial" w:eastAsia="Arial" w:hAnsi="Arial"/>
                <w:sz w:val="18"/>
                <w:szCs w:val="18"/>
                <w:color w:val="auto"/>
                <w:w w:val="89"/>
              </w:rPr>
              <w:t>2017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20,230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89"/>
              </w:rPr>
              <w:t>2018</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jc w:val="center"/>
              <w:ind w:left="1233"/>
              <w:spacing w:after="0"/>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89"/>
              </w:rPr>
              <w:t>2020</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jc w:val="center"/>
              <w:ind w:left="1233"/>
              <w:spacing w:after="0"/>
              <w:rPr>
                <w:sz w:val="20"/>
                <w:szCs w:val="20"/>
                <w:color w:val="auto"/>
              </w:rPr>
            </w:pPr>
            <w:r>
              <w:rPr>
                <w:rFonts w:ascii="Arial" w:cs="Arial" w:eastAsia="Arial" w:hAnsi="Arial"/>
                <w:sz w:val="18"/>
                <w:szCs w:val="18"/>
                <w:color w:val="auto"/>
                <w:w w:val="89"/>
              </w:rPr>
              <w:t>2021</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25,632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80" w:hanging="315"/>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0" w:lineRule="exact"/>
        <w:rPr>
          <w:rFonts w:ascii="Arial" w:cs="Arial" w:eastAsia="Arial" w:hAnsi="Arial"/>
          <w:sz w:val="14"/>
          <w:szCs w:val="14"/>
          <w:color w:val="auto"/>
        </w:rPr>
      </w:pPr>
    </w:p>
    <w:p>
      <w:pPr>
        <w:ind w:left="480" w:hanging="315"/>
        <w:spacing w:after="0" w:line="247" w:lineRule="auto"/>
        <w:tabs>
          <w:tab w:leader="none" w:pos="47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0" w:name="page31"/>
    <w:bookmarkEnd w:id="30"/>
    <w:p>
      <w:pPr>
        <w:jc w:val="both"/>
        <w:ind w:firstLine="318"/>
        <w:spacing w:after="0" w:line="308" w:lineRule="auto"/>
        <w:rPr>
          <w:sz w:val="20"/>
          <w:szCs w:val="20"/>
          <w:color w:val="auto"/>
        </w:rPr>
      </w:pPr>
      <w:r>
        <w:rPr>
          <w:rFonts w:ascii="Arial" w:cs="Arial" w:eastAsia="Arial" w:hAnsi="Arial"/>
          <w:sz w:val="15"/>
          <w:szCs w:val="15"/>
          <w:color w:val="auto"/>
        </w:rPr>
        <w:t>The following table presents forecasted Consumer Loan collection rates, advance rates, the spread (the forecasted collection rate less the advance rate), and the percentage of the forecasted collections that had been realized as of December 31, 2021. All amounts, unless otherwise noted, are presented as a percentage of the initial balance of the Consumer Loan (principal + interest). The table includes both Dealer Loans and Purchased Loans.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rPr>
              <w:t>As of December 31, 2021</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Consumer Loan Assignment Year</w:t>
            </w:r>
          </w:p>
        </w:tc>
        <w:tc>
          <w:tcPr>
            <w:tcW w:w="19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Forecasted</w:t>
            </w:r>
          </w:p>
        </w:tc>
        <w:tc>
          <w:tcPr>
            <w:tcW w:w="19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Advance % (1)</w:t>
            </w: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Spread %</w:t>
            </w:r>
          </w:p>
        </w:tc>
        <w:tc>
          <w:tcPr>
            <w:tcW w:w="1820" w:type="dxa"/>
            <w:vAlign w:val="bottom"/>
          </w:tcPr>
          <w:p>
            <w:pPr>
              <w:jc w:val="right"/>
              <w:ind w:right="395"/>
              <w:spacing w:after="0" w:line="13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Collection %</w:t>
            </w:r>
          </w:p>
        </w:tc>
        <w:tc>
          <w:tcPr>
            <w:tcW w:w="194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820" w:type="dxa"/>
            <w:vAlign w:val="bottom"/>
          </w:tcPr>
          <w:p>
            <w:pPr>
              <w:jc w:val="right"/>
              <w:ind w:right="455"/>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25"/>
        </w:trPr>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99.9 %</w:t>
            </w:r>
          </w:p>
        </w:tc>
        <w:tc>
          <w:tcPr>
            <w:tcW w:w="0" w:type="dxa"/>
            <w:vAlign w:val="bottom"/>
          </w:tcPr>
          <w:p>
            <w:pPr>
              <w:spacing w:after="0"/>
              <w:rPr>
                <w:sz w:val="1"/>
                <w:szCs w:val="1"/>
                <w:color w:val="auto"/>
              </w:rPr>
            </w:pPr>
          </w:p>
        </w:tc>
      </w:tr>
      <w:tr>
        <w:trPr>
          <w:trHeight w:val="225"/>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99.4 %</w:t>
            </w:r>
          </w:p>
        </w:tc>
        <w:tc>
          <w:tcPr>
            <w:tcW w:w="0" w:type="dxa"/>
            <w:vAlign w:val="bottom"/>
          </w:tcPr>
          <w:p>
            <w:pPr>
              <w:spacing w:after="0"/>
              <w:rPr>
                <w:sz w:val="1"/>
                <w:szCs w:val="1"/>
                <w:color w:val="auto"/>
              </w:rPr>
            </w:pPr>
          </w:p>
        </w:tc>
      </w:tr>
      <w:tr>
        <w:trPr>
          <w:trHeight w:val="225"/>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44.5 %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98.8 %</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97.6 %</w:t>
            </w:r>
          </w:p>
        </w:tc>
        <w:tc>
          <w:tcPr>
            <w:tcW w:w="0" w:type="dxa"/>
            <w:vAlign w:val="bottom"/>
          </w:tcPr>
          <w:p>
            <w:pPr>
              <w:spacing w:after="0"/>
              <w:rPr>
                <w:sz w:val="1"/>
                <w:szCs w:val="1"/>
                <w:color w:val="auto"/>
              </w:rPr>
            </w:pPr>
          </w:p>
        </w:tc>
      </w:tr>
      <w:tr>
        <w:trPr>
          <w:trHeight w:val="225"/>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43.2 %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93.4 %</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25"/>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24"/>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hanging="315"/>
        <w:spacing w:after="0" w:line="264" w:lineRule="auto"/>
        <w:tabs>
          <w:tab w:leader="none" w:pos="472"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480" w:hanging="315"/>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risk of a material change in our forecasted collection rate declines as the Consumer Loans age. For 2017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6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spread between the forecasted collection rate and the advance rate has ranged from 19.8% to 27.5% over the last 10 years. The spread was at the high end of this range in 2012, when the competitive environment was unusually favorable, and much lower during other years (2015 through 2019 and 2021) when competition was more intense. Despite intense competition, the spread in 2020 was higher than other recent years due to Consumer Loan performance, which has exceeded our initial estimates by a significantly greater margin than the other years presented. The decrease in the spread from 2020 to 2021 was primarily the result of the performance of 2020 Consumer Loans, partially offset by a higher initial spread on 2021 Consumer Loans, primarily due to a higher initial forecast on 2021 Consumer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1" w:name="page32"/>
    <w:bookmarkEnd w:id="31"/>
    <w:p>
      <w:pPr>
        <w:ind w:left="320"/>
        <w:spacing w:after="0"/>
        <w:rPr>
          <w:sz w:val="20"/>
          <w:szCs w:val="20"/>
          <w:color w:val="auto"/>
        </w:rPr>
      </w:pPr>
      <w:r>
        <w:rPr>
          <w:rFonts w:ascii="Arial" w:cs="Arial" w:eastAsia="Arial" w:hAnsi="Arial"/>
          <w:sz w:val="15"/>
          <w:szCs w:val="15"/>
          <w:color w:val="auto"/>
        </w:rPr>
        <w:t>The following table compares our forecast of Consumer Loan collection rates as of December 31, 2021 with the forecasts at the time of assignment, for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Dealer Loans and Purchased Loans separately:</w:t>
      </w:r>
    </w:p>
    <w:p>
      <w:pPr>
        <w:sectPr>
          <w:pgSz w:w="11900" w:h="16838" w:orient="portrait"/>
          <w:cols w:equalWidth="0" w:num="1">
            <w:col w:w="11240"/>
          </w:cols>
          <w:pgMar w:left="320" w:top="922" w:right="339" w:bottom="1440" w:gutter="0" w:footer="0" w:header="0"/>
        </w:sect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21590</wp:posOffset>
            </wp:positionV>
            <wp:extent cx="26333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33345" cy="17145"/>
                    </a:xfrm>
                    <a:prstGeom prst="rect">
                      <a:avLst/>
                    </a:prstGeom>
                    <a:noFill/>
                  </pic:spPr>
                </pic:pic>
              </a:graphicData>
            </a:graphic>
          </wp:anchor>
        </w:drawing>
      </w:r>
    </w:p>
    <w:p>
      <w:pPr>
        <w:spacing w:after="0" w:line="31" w:lineRule="exact"/>
        <w:rPr>
          <w:sz w:val="20"/>
          <w:szCs w:val="20"/>
          <w:color w:val="auto"/>
        </w:rPr>
      </w:pPr>
    </w:p>
    <w:p>
      <w:pPr>
        <w:ind w:left="282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right"/>
        <w:ind w:right="166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21590</wp:posOffset>
            </wp:positionV>
            <wp:extent cx="26504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0490" cy="17145"/>
                    </a:xfrm>
                    <a:prstGeom prst="rect">
                      <a:avLst/>
                    </a:prstGeom>
                    <a:noFill/>
                  </pic:spPr>
                </pic:pic>
              </a:graphicData>
            </a:graphic>
          </wp:anchor>
        </w:drawing>
      </w:r>
    </w:p>
    <w:p>
      <w:pPr>
        <w:spacing w:after="0" w:line="31" w:lineRule="exact"/>
        <w:rPr>
          <w:sz w:val="20"/>
          <w:szCs w:val="20"/>
          <w:color w:val="auto"/>
        </w:rPr>
      </w:pPr>
    </w:p>
    <w:p>
      <w:pPr>
        <w:jc w:val="right"/>
        <w:ind w:right="164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46" w:lineRule="exact"/>
        <w:rPr>
          <w:sz w:val="20"/>
          <w:szCs w:val="20"/>
          <w:color w:val="auto"/>
        </w:rPr>
      </w:pPr>
    </w:p>
    <w:p>
      <w:pPr>
        <w:sectPr>
          <w:pgSz w:w="11900" w:h="16838" w:orient="portrait"/>
          <w:cols w:equalWidth="0" w:num="2">
            <w:col w:w="6360" w:space="720"/>
            <w:col w:w="4160"/>
          </w:cols>
          <w:pgMar w:left="320" w:top="922"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Consumer Loan Assignment Year</w:t>
            </w:r>
          </w:p>
        </w:tc>
        <w:tc>
          <w:tcPr>
            <w:tcW w:w="14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3"/>
                <w:szCs w:val="13"/>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14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3"/>
                <w:szCs w:val="13"/>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2"/>
        </w:trPr>
        <w:tc>
          <w:tcPr>
            <w:tcW w:w="27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5"/>
        </w:trPr>
        <w:tc>
          <w:tcPr>
            <w:tcW w:w="262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26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5"/>
        </w:trPr>
        <w:tc>
          <w:tcPr>
            <w:tcW w:w="26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262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4"/>
        </w:trPr>
        <w:tc>
          <w:tcPr>
            <w:tcW w:w="262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480" w:hanging="315"/>
        <w:spacing w:after="0" w:line="229"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13"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December 31, 2021 for Dealer Loans and Purchased Loans separately. All amounts are presented as a percentage of the initial balance of the Consumer Loan (principal + interest).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Dealer Loans</w:t>
            </w: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7"/>
              </w:rPr>
              <w:t>Purchased Loans</w:t>
            </w: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40" w:type="dxa"/>
            <w:vAlign w:val="bottom"/>
            <w:gridSpan w:val="2"/>
          </w:tcPr>
          <w:p>
            <w:pPr>
              <w:jc w:val="center"/>
              <w:ind w:left="175"/>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240" w:type="dxa"/>
            <w:vAlign w:val="bottom"/>
          </w:tcPr>
          <w:p>
            <w:pPr>
              <w:ind w:left="560"/>
              <w:spacing w:after="0" w:line="133" w:lineRule="exact"/>
              <w:rPr>
                <w:sz w:val="20"/>
                <w:szCs w:val="20"/>
                <w:color w:val="auto"/>
              </w:rPr>
            </w:pPr>
            <w:r>
              <w:rPr>
                <w:rFonts w:ascii="Arial" w:cs="Arial" w:eastAsia="Arial" w:hAnsi="Arial"/>
                <w:sz w:val="14"/>
                <w:szCs w:val="14"/>
                <w:b w:val="1"/>
                <w:bCs w:val="1"/>
                <w:color w:val="auto"/>
                <w:w w:val="88"/>
              </w:rPr>
              <w:t>Forecasted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Advance % (1)(2)</w:t>
            </w:r>
          </w:p>
        </w:tc>
        <w:tc>
          <w:tcPr>
            <w:tcW w:w="122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7"/>
              </w:rPr>
              <w:t>Spread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540"/>
              <w:spacing w:after="0" w:line="133" w:lineRule="exact"/>
              <w:rPr>
                <w:sz w:val="20"/>
                <w:szCs w:val="20"/>
                <w:color w:val="auto"/>
              </w:rPr>
            </w:pPr>
            <w:r>
              <w:rPr>
                <w:rFonts w:ascii="Arial" w:cs="Arial" w:eastAsia="Arial" w:hAnsi="Arial"/>
                <w:sz w:val="14"/>
                <w:szCs w:val="14"/>
                <w:b w:val="1"/>
                <w:bCs w:val="1"/>
                <w:color w:val="auto"/>
                <w:w w:val="90"/>
              </w:rPr>
              <w:t>Forecasted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Advance % (1)(2)</w:t>
            </w:r>
          </w:p>
        </w:tc>
        <w:tc>
          <w:tcPr>
            <w:tcW w:w="12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Spread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Assignment Year</w:t>
            </w:r>
          </w:p>
        </w:tc>
        <w:tc>
          <w:tcPr>
            <w:tcW w:w="1240" w:type="dxa"/>
            <w:vAlign w:val="bottom"/>
          </w:tcPr>
          <w:p>
            <w:pPr>
              <w:jc w:val="center"/>
              <w:ind w:left="115"/>
              <w:spacing w:after="0"/>
              <w:rPr>
                <w:sz w:val="20"/>
                <w:szCs w:val="20"/>
                <w:color w:val="auto"/>
              </w:rPr>
            </w:pPr>
            <w:r>
              <w:rPr>
                <w:rFonts w:ascii="Arial" w:cs="Arial" w:eastAsia="Arial" w:hAnsi="Arial"/>
                <w:sz w:val="14"/>
                <w:szCs w:val="14"/>
                <w:b w:val="1"/>
                <w:bCs w:val="1"/>
                <w:color w:val="auto"/>
                <w:w w:val="95"/>
              </w:rPr>
              <w:t>Collection %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95"/>
              <w:spacing w:after="0"/>
              <w:rPr>
                <w:sz w:val="20"/>
                <w:szCs w:val="20"/>
                <w:color w:val="auto"/>
              </w:rPr>
            </w:pPr>
            <w:r>
              <w:rPr>
                <w:rFonts w:ascii="Arial" w:cs="Arial" w:eastAsia="Arial" w:hAnsi="Arial"/>
                <w:sz w:val="14"/>
                <w:szCs w:val="14"/>
                <w:b w:val="1"/>
                <w:bCs w:val="1"/>
                <w:color w:val="auto"/>
                <w:w w:val="93"/>
              </w:rPr>
              <w:t>Collection % (1)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top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w w:val="89"/>
              </w:rPr>
              <w:t>2012</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85"/>
              </w:rPr>
              <w:t>73.6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46.0</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27.6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85"/>
              </w:rPr>
              <w:t>75.9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50.0</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25.9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960" w:type="dxa"/>
            <w:vAlign w:val="bottom"/>
          </w:tcPr>
          <w:p>
            <w:pPr>
              <w:jc w:val="center"/>
              <w:ind w:left="235"/>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73.3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47.2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74.2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rPr>
              <w:t>22.7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71.4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72.4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960" w:type="dxa"/>
            <w:vAlign w:val="bottom"/>
          </w:tcPr>
          <w:p>
            <w:pPr>
              <w:jc w:val="center"/>
              <w:ind w:left="235"/>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21.0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960" w:type="dxa"/>
            <w:vAlign w:val="bottom"/>
          </w:tcPr>
          <w:p>
            <w:pPr>
              <w:jc w:val="center"/>
              <w:ind w:left="235"/>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21.7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45.8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rPr>
              <w:t>20.2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42.7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960" w:type="dxa"/>
            <w:vAlign w:val="bottom"/>
          </w:tcPr>
          <w:p>
            <w:pPr>
              <w:jc w:val="center"/>
              <w:ind w:left="235"/>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45.6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rPr>
              <w:t>21.6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5"/>
              </w:rPr>
              <w:t>68.4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960" w:type="dxa"/>
            <w:vAlign w:val="bottom"/>
          </w:tcPr>
          <w:p>
            <w:pPr>
              <w:jc w:val="center"/>
              <w:ind w:left="235"/>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45.1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21.1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85"/>
              </w:rPr>
              <w:t>67.1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47.7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rPr>
              <w:t>19.4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480" w:hanging="31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0" w:lineRule="exact"/>
        <w:rPr>
          <w:rFonts w:ascii="Arial" w:cs="Arial" w:eastAsia="Arial" w:hAnsi="Arial"/>
          <w:sz w:val="14"/>
          <w:szCs w:val="14"/>
          <w:color w:val="auto"/>
        </w:rPr>
      </w:pPr>
    </w:p>
    <w:p>
      <w:pPr>
        <w:ind w:left="480" w:hanging="315"/>
        <w:spacing w:after="0" w:line="284" w:lineRule="auto"/>
        <w:tabs>
          <w:tab w:leader="none" w:pos="472"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9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32" w:name="page33"/>
    <w:bookmarkEnd w:id="32"/>
    <w:p>
      <w:pPr>
        <w:jc w:val="both"/>
        <w:ind w:firstLine="318"/>
        <w:spacing w:after="0" w:line="309" w:lineRule="auto"/>
        <w:rPr>
          <w:sz w:val="20"/>
          <w:szCs w:val="20"/>
          <w:color w:val="auto"/>
        </w:rPr>
      </w:pPr>
      <w:r>
        <w:rPr>
          <w:rFonts w:ascii="Arial" w:cs="Arial" w:eastAsia="Arial" w:hAnsi="Arial"/>
          <w:sz w:val="15"/>
          <w:szCs w:val="15"/>
          <w:color w:val="auto"/>
        </w:rPr>
        <w:t>The spread on Dealer Loans decreased from 24.6% in 2020 to 21.1% in 2021 primarily as a result of the performance of the 2020 Consumer Loans in our Dealer Loan portfolio, which has significantly exceeded our initial estimates, partially offset by a higher initial spread on 2021 Consumer Loans in our Dealer Loan portfolio, primarily due to a higher initial forecast on 2021 Consumer Loans in our Dealer Loan portfolio. The spread on Purchased Loans decreased from 22.9% in 2020 to 19.4% in 2021 primarily as a result of the performance of the 2020 Consumer Loans in our Purchased Loan portfolio, which has exceeded our initial estimates by a significantly greater margin than those assigned to us in 2021, partially offset by a higher initial spread on 2021 Consumer Loans in our Purchased Loan portfolio, primarily due to a higher initial forecast on 2021 Consumer Loans in our Purchased Loan portfolio.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2.5 to 1 as of December 31, 2021. We currently utilize the following primary forms of debt financing: (1) a revolving secured line of credit; (2) Warehouse facilities; (3) Term ABS financings; and (4) senior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5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following table summarizes changes in Consumer Loan assignment volume in each of the last three years as compared to the same period in the previous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auto"/>
            </w:tcBorders>
            <w:gridSpan w:val="3"/>
          </w:tcPr>
          <w:p>
            <w:pPr>
              <w:jc w:val="right"/>
              <w:ind w:right="1256"/>
              <w:spacing w:after="0"/>
              <w:rPr>
                <w:sz w:val="20"/>
                <w:szCs w:val="20"/>
                <w:color w:val="auto"/>
              </w:rPr>
            </w:pPr>
            <w:r>
              <w:rPr>
                <w:rFonts w:ascii="Arial" w:cs="Arial" w:eastAsia="Arial" w:hAnsi="Arial"/>
                <w:sz w:val="14"/>
                <w:szCs w:val="14"/>
                <w:b w:val="1"/>
                <w:bCs w:val="1"/>
                <w:color w:val="auto"/>
              </w:rPr>
              <w:t>Year over Year Percent Change</w:t>
            </w:r>
          </w:p>
        </w:tc>
      </w:tr>
      <w:tr>
        <w:trPr>
          <w:trHeight w:val="192"/>
        </w:trPr>
        <w:tc>
          <w:tcPr>
            <w:tcW w:w="6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For the Year Ended December 31,</w:t>
            </w:r>
          </w:p>
        </w:tc>
        <w:tc>
          <w:tcPr>
            <w:tcW w:w="2340" w:type="dxa"/>
            <w:vAlign w:val="bottom"/>
            <w:gridSpan w:val="2"/>
          </w:tcPr>
          <w:p>
            <w:pPr>
              <w:ind w:left="740"/>
              <w:spacing w:after="0"/>
              <w:rPr>
                <w:sz w:val="20"/>
                <w:szCs w:val="20"/>
                <w:color w:val="auto"/>
              </w:rPr>
            </w:pPr>
            <w:r>
              <w:rPr>
                <w:rFonts w:ascii="Arial" w:cs="Arial" w:eastAsia="Arial" w:hAnsi="Arial"/>
                <w:sz w:val="14"/>
                <w:szCs w:val="14"/>
                <w:b w:val="1"/>
                <w:bCs w:val="1"/>
                <w:color w:val="auto"/>
              </w:rPr>
              <w:t>Unit Volume</w:t>
            </w:r>
          </w:p>
        </w:tc>
        <w:tc>
          <w:tcPr>
            <w:tcW w:w="2240" w:type="dxa"/>
            <w:vAlign w:val="bottom"/>
          </w:tcPr>
          <w:p>
            <w:pPr>
              <w:jc w:val="right"/>
              <w:ind w:right="496"/>
              <w:spacing w:after="0"/>
              <w:rPr>
                <w:sz w:val="20"/>
                <w:szCs w:val="20"/>
                <w:color w:val="auto"/>
              </w:rPr>
            </w:pPr>
            <w:r>
              <w:rPr>
                <w:rFonts w:ascii="Arial" w:cs="Arial" w:eastAsia="Arial" w:hAnsi="Arial"/>
                <w:sz w:val="14"/>
                <w:szCs w:val="14"/>
                <w:b w:val="1"/>
                <w:bCs w:val="1"/>
                <w:color w:val="auto"/>
              </w:rPr>
              <w:t>Dollar Volume (1)</w:t>
            </w:r>
          </w:p>
        </w:tc>
      </w:tr>
      <w:tr>
        <w:trPr>
          <w:trHeight w:val="225"/>
        </w:trPr>
        <w:tc>
          <w:tcPr>
            <w:tcW w:w="6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5"/>
        </w:trPr>
        <w:tc>
          <w:tcPr>
            <w:tcW w:w="65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6"/>
        </w:trPr>
        <w:tc>
          <w:tcPr>
            <w:tcW w:w="6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bl>
    <w:p>
      <w:pPr>
        <w:spacing w:after="0" w:line="313" w:lineRule="exact"/>
        <w:rPr>
          <w:sz w:val="20"/>
          <w:szCs w:val="20"/>
          <w:color w:val="auto"/>
        </w:rPr>
      </w:pPr>
    </w:p>
    <w:p>
      <w:pPr>
        <w:ind w:left="480" w:hanging="315"/>
        <w:spacing w:after="0" w:line="265" w:lineRule="auto"/>
        <w:tabs>
          <w:tab w:leader="none" w:pos="47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2021, unit and dollar volumes decreased 21.4% and 13.0%, respectively, as the number of active Dealers declined 10.1% while average volume per active Dealer decreased 12.3%. We believe that this decline is primarily due to low dealer inventories and elevated used vehicle prices, which we believe are primarily due to the downstream impact of supply chain disruptions in the automotive industry. Dollar volume declined less than unit volume during 2021 due to an increase in the average advance paid per unit. This increase was the result of an increase in the average size of the Consumer Loans assigned primarily due to an increase in the average vehicle selling price.</w:t>
      </w:r>
    </w:p>
    <w:p>
      <w:pPr>
        <w:spacing w:after="0" w:line="22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2020, unit and dollar volumes decreased 7.5% and 3.5%, respectively, as the number of active Dealers declined 5.3% while average volume per active Dealer decreased 2.5%. Dollar volume declined less than unit volume during 2020 due to an increase in the average advance paid per unit. This increase was the result of an increase in the average size of the Consumer Loans assigned primarily due to increases in the average vehicle selling price and average initial loan term and an increase in Purchased Loans as a percentage of total unit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3" w:name="page34"/>
    <w:bookmarkEnd w:id="33"/>
    <w:p>
      <w:pPr>
        <w:ind w:left="32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w w:val="89"/>
              </w:rPr>
              <w:t>For the Years Ended December 31,</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w w:val="90"/>
              </w:rPr>
              <w:t>For the Years Ended December 31,</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8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Consumer Loan unit volume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341,967</w:t>
            </w:r>
          </w:p>
        </w:tc>
        <w:tc>
          <w:tcPr>
            <w:tcW w:w="14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369,805</w:t>
            </w:r>
          </w:p>
        </w:tc>
        <w:tc>
          <w:tcPr>
            <w:tcW w:w="14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780" w:type="dxa"/>
            <w:vAlign w:val="bottom"/>
            <w:tcBorders>
              <w:bottom w:val="single" w:sz="8" w:color="CCEEFF"/>
            </w:tcBorders>
            <w:gridSpan w:val="7"/>
          </w:tcPr>
          <w:p>
            <w:pPr>
              <w:ind w:left="340"/>
              <w:spacing w:after="0"/>
              <w:rPr>
                <w:sz w:val="20"/>
                <w:szCs w:val="20"/>
                <w:color w:val="auto"/>
              </w:rPr>
            </w:pPr>
            <w:r>
              <w:rPr>
                <w:rFonts w:ascii="Arial" w:cs="Arial" w:eastAsia="Arial" w:hAnsi="Arial"/>
                <w:sz w:val="18"/>
                <w:szCs w:val="18"/>
                <w:color w:val="auto"/>
              </w:rPr>
              <w:t>Active Dealers (1)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11,410</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w:t>
            </w:r>
          </w:p>
        </w:tc>
        <w:tc>
          <w:tcPr>
            <w:tcW w:w="1460" w:type="dxa"/>
            <w:vAlign w:val="bottom"/>
            <w:tcBorders>
              <w:bottom w:val="single" w:sz="8" w:color="CCEEFF"/>
            </w:tcBorders>
            <w:gridSpan w:val="2"/>
          </w:tcPr>
          <w:p>
            <w:pPr>
              <w:jc w:val="right"/>
              <w:ind w:right="221"/>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w:t>
            </w:r>
          </w:p>
        </w:tc>
        <w:tc>
          <w:tcPr>
            <w:tcW w:w="1480" w:type="dxa"/>
            <w:vAlign w:val="bottom"/>
            <w:tcBorders>
              <w:bottom w:val="single" w:sz="8" w:color="CCEEFF"/>
            </w:tcBorders>
            <w:gridSpan w:val="2"/>
          </w:tcPr>
          <w:p>
            <w:pPr>
              <w:jc w:val="right"/>
              <w:ind w:right="221"/>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78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w w:val="89"/>
              </w:rPr>
              <w:t>Average volume per active Dealer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780" w:type="dxa"/>
            <w:vAlign w:val="bottom"/>
            <w:gridSpan w:val="7"/>
            <w:shd w:val="clear" w:color="auto" w:fill="CCEEFF"/>
          </w:tcPr>
          <w:p>
            <w:pPr>
              <w:ind w:left="20"/>
              <w:spacing w:after="0" w:line="173" w:lineRule="exact"/>
              <w:rPr>
                <w:sz w:val="20"/>
                <w:szCs w:val="20"/>
                <w:color w:val="auto"/>
              </w:rPr>
            </w:pPr>
            <w:r>
              <w:rPr>
                <w:rFonts w:ascii="Arial" w:cs="Arial" w:eastAsia="Arial" w:hAnsi="Arial"/>
                <w:sz w:val="18"/>
                <w:szCs w:val="18"/>
                <w:color w:val="auto"/>
              </w:rPr>
              <w:t>Consumer Loan unit volume from</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249,743</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315,540</w:t>
            </w:r>
          </w:p>
        </w:tc>
        <w:tc>
          <w:tcPr>
            <w:tcW w:w="146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-20.9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309,179</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338,939</w:t>
            </w:r>
          </w:p>
        </w:tc>
        <w:tc>
          <w:tcPr>
            <w:tcW w:w="148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-8.8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78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Dealers active both periods</w:t>
            </w:r>
          </w:p>
        </w:tc>
        <w:tc>
          <w:tcPr>
            <w:tcW w:w="118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80" w:type="dxa"/>
            <w:vAlign w:val="bottom"/>
            <w:tcBorders>
              <w:bottom w:val="single" w:sz="8" w:color="CCEEFF"/>
            </w:tcBorders>
            <w:gridSpan w:val="7"/>
          </w:tcPr>
          <w:p>
            <w:pPr>
              <w:ind w:left="340"/>
              <w:spacing w:after="0"/>
              <w:rPr>
                <w:sz w:val="20"/>
                <w:szCs w:val="20"/>
                <w:color w:val="auto"/>
              </w:rPr>
            </w:pPr>
            <w:r>
              <w:rPr>
                <w:rFonts w:ascii="Arial" w:cs="Arial" w:eastAsia="Arial" w:hAnsi="Arial"/>
                <w:sz w:val="18"/>
                <w:szCs w:val="18"/>
                <w:color w:val="auto"/>
              </w:rPr>
              <w:t>Dealers active both periods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780" w:type="dxa"/>
            <w:vAlign w:val="bottom"/>
            <w:gridSpan w:val="7"/>
            <w:shd w:val="clear" w:color="auto" w:fill="CCEEFF"/>
          </w:tcPr>
          <w:p>
            <w:pPr>
              <w:ind w:left="20"/>
              <w:spacing w:after="0" w:line="160" w:lineRule="exact"/>
              <w:rPr>
                <w:sz w:val="20"/>
                <w:szCs w:val="20"/>
                <w:color w:val="auto"/>
              </w:rPr>
            </w:pPr>
            <w:r>
              <w:rPr>
                <w:rFonts w:ascii="Arial" w:cs="Arial" w:eastAsia="Arial" w:hAnsi="Arial"/>
                <w:sz w:val="18"/>
                <w:szCs w:val="18"/>
                <w:color w:val="auto"/>
              </w:rPr>
              <w:t>Average volume per Dealer active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6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-20.9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8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-8.8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78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both periods</w:t>
            </w:r>
          </w:p>
        </w:tc>
        <w:tc>
          <w:tcPr>
            <w:tcW w:w="118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780" w:type="dxa"/>
            <w:vAlign w:val="bottom"/>
            <w:gridSpan w:val="7"/>
            <w:shd w:val="clear" w:color="auto" w:fill="CCEEFF"/>
          </w:tcPr>
          <w:p>
            <w:pPr>
              <w:ind w:left="20"/>
              <w:spacing w:after="0" w:line="173" w:lineRule="exact"/>
              <w:rPr>
                <w:sz w:val="20"/>
                <w:szCs w:val="20"/>
                <w:color w:val="auto"/>
              </w:rPr>
            </w:pPr>
            <w:r>
              <w:rPr>
                <w:rFonts w:ascii="Arial" w:cs="Arial" w:eastAsia="Arial" w:hAnsi="Arial"/>
                <w:sz w:val="18"/>
                <w:szCs w:val="18"/>
                <w:color w:val="auto"/>
              </w:rPr>
              <w:t>Consumer Loan unit volume from</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46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-28.2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1480" w:type="dxa"/>
            <w:vAlign w:val="bottom"/>
            <w:gridSpan w:val="2"/>
            <w:vMerge w:val="restart"/>
            <w:shd w:val="clear" w:color="auto" w:fill="CCEEFF"/>
          </w:tcPr>
          <w:p>
            <w:pPr>
              <w:jc w:val="right"/>
              <w:ind w:right="221"/>
              <w:spacing w:after="0"/>
              <w:rPr>
                <w:sz w:val="20"/>
                <w:szCs w:val="20"/>
                <w:color w:val="auto"/>
              </w:rPr>
            </w:pPr>
            <w:r>
              <w:rPr>
                <w:rFonts w:ascii="Arial" w:cs="Arial" w:eastAsia="Arial" w:hAnsi="Arial"/>
                <w:sz w:val="18"/>
                <w:szCs w:val="18"/>
                <w:color w:val="auto"/>
              </w:rPr>
              <w:t>6.2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2780" w:type="dxa"/>
            <w:vAlign w:val="bottom"/>
            <w:gridSpan w:val="7"/>
            <w:shd w:val="clear" w:color="auto" w:fill="CCEEFF"/>
          </w:tcPr>
          <w:p>
            <w:pPr>
              <w:ind w:left="180"/>
              <w:spacing w:after="0" w:line="185" w:lineRule="exact"/>
              <w:rPr>
                <w:sz w:val="20"/>
                <w:szCs w:val="20"/>
                <w:color w:val="auto"/>
              </w:rPr>
            </w:pPr>
            <w:r>
              <w:rPr>
                <w:rFonts w:ascii="Arial" w:cs="Arial" w:eastAsia="Arial" w:hAnsi="Arial"/>
                <w:sz w:val="18"/>
                <w:szCs w:val="18"/>
                <w:color w:val="auto"/>
              </w:rPr>
              <w:t>Dealers not active both periods</w:t>
            </w:r>
          </w:p>
        </w:tc>
        <w:tc>
          <w:tcPr>
            <w:tcW w:w="118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6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780" w:type="dxa"/>
            <w:vAlign w:val="bottom"/>
            <w:gridSpan w:val="7"/>
          </w:tcPr>
          <w:p>
            <w:pPr>
              <w:ind w:left="340"/>
              <w:spacing w:after="0" w:line="199" w:lineRule="exact"/>
              <w:rPr>
                <w:sz w:val="20"/>
                <w:szCs w:val="20"/>
                <w:color w:val="auto"/>
              </w:rPr>
            </w:pPr>
            <w:r>
              <w:rPr>
                <w:rFonts w:ascii="Arial" w:cs="Arial" w:eastAsia="Arial" w:hAnsi="Arial"/>
                <w:sz w:val="18"/>
                <w:szCs w:val="18"/>
                <w:color w:val="auto"/>
                <w:w w:val="97"/>
              </w:rPr>
              <w:t>Dealers not active both periods</w:t>
            </w:r>
          </w:p>
        </w:tc>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2,214</w:t>
            </w:r>
          </w:p>
        </w:tc>
        <w:tc>
          <w:tcPr>
            <w:tcW w:w="12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3,494</w:t>
            </w:r>
          </w:p>
        </w:tc>
        <w:tc>
          <w:tcPr>
            <w:tcW w:w="1460" w:type="dxa"/>
            <w:vAlign w:val="bottom"/>
            <w:gridSpan w:val="2"/>
          </w:tcPr>
          <w:p>
            <w:pPr>
              <w:jc w:val="right"/>
              <w:ind w:right="221"/>
              <w:spacing w:after="0" w:line="199" w:lineRule="exact"/>
              <w:rPr>
                <w:sz w:val="20"/>
                <w:szCs w:val="20"/>
                <w:color w:val="auto"/>
              </w:rPr>
            </w:pPr>
            <w:r>
              <w:rPr>
                <w:rFonts w:ascii="Arial" w:cs="Arial" w:eastAsia="Arial" w:hAnsi="Arial"/>
                <w:sz w:val="18"/>
                <w:szCs w:val="18"/>
                <w:color w:val="auto"/>
              </w:rPr>
              <w:t>-36.6</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2,895</w:t>
            </w:r>
          </w:p>
        </w:tc>
        <w:tc>
          <w:tcPr>
            <w:tcW w:w="12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3,604</w:t>
            </w:r>
          </w:p>
        </w:tc>
        <w:tc>
          <w:tcPr>
            <w:tcW w:w="1480" w:type="dxa"/>
            <w:vAlign w:val="bottom"/>
            <w:gridSpan w:val="2"/>
          </w:tcPr>
          <w:p>
            <w:pPr>
              <w:jc w:val="right"/>
              <w:ind w:right="221"/>
              <w:spacing w:after="0" w:line="199" w:lineRule="exact"/>
              <w:rPr>
                <w:sz w:val="20"/>
                <w:szCs w:val="20"/>
                <w:color w:val="auto"/>
              </w:rPr>
            </w:pPr>
            <w:r>
              <w:rPr>
                <w:rFonts w:ascii="Arial" w:cs="Arial" w:eastAsia="Arial" w:hAnsi="Arial"/>
                <w:sz w:val="18"/>
                <w:szCs w:val="18"/>
                <w:color w:val="auto"/>
              </w:rPr>
              <w:t>-19.7</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80" w:type="dxa"/>
            <w:vAlign w:val="bottom"/>
            <w:gridSpan w:val="7"/>
            <w:shd w:val="clear" w:color="auto" w:fill="CCEEFF"/>
          </w:tcPr>
          <w:p>
            <w:pPr>
              <w:ind w:left="20"/>
              <w:spacing w:after="0" w:line="165" w:lineRule="exact"/>
              <w:rPr>
                <w:sz w:val="20"/>
                <w:szCs w:val="20"/>
                <w:color w:val="auto"/>
              </w:rPr>
            </w:pPr>
            <w:r>
              <w:rPr>
                <w:rFonts w:ascii="Arial" w:cs="Arial" w:eastAsia="Arial" w:hAnsi="Arial"/>
                <w:sz w:val="18"/>
                <w:szCs w:val="18"/>
                <w:color w:val="auto"/>
                <w:w w:val="90"/>
              </w:rPr>
              <w:t>Average volume per Dealer not active</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tcBorders>
              <w:top w:val="single" w:sz="8" w:color="CCEEFF"/>
            </w:tcBorders>
            <w:gridSpan w:val="5"/>
            <w:shd w:val="clear" w:color="auto" w:fill="CCEEFF"/>
          </w:tcPr>
          <w:p>
            <w:pPr>
              <w:ind w:left="180"/>
              <w:spacing w:after="0" w:line="192" w:lineRule="exact"/>
              <w:rPr>
                <w:sz w:val="20"/>
                <w:szCs w:val="20"/>
                <w:color w:val="auto"/>
              </w:rPr>
            </w:pPr>
            <w:r>
              <w:rPr>
                <w:rFonts w:ascii="Arial" w:cs="Arial" w:eastAsia="Arial" w:hAnsi="Arial"/>
                <w:sz w:val="18"/>
                <w:szCs w:val="18"/>
                <w:color w:val="auto"/>
              </w:rPr>
              <w:t>both periods</w:t>
            </w: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8.6</w:t>
            </w:r>
          </w:p>
        </w:tc>
        <w:tc>
          <w:tcPr>
            <w:tcW w:w="1280" w:type="dxa"/>
            <w:vAlign w:val="bottom"/>
            <w:tcBorders>
              <w:top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7.6</w:t>
            </w:r>
          </w:p>
        </w:tc>
        <w:tc>
          <w:tcPr>
            <w:tcW w:w="1460" w:type="dxa"/>
            <w:vAlign w:val="bottom"/>
            <w:tcBorders>
              <w:top w:val="single" w:sz="8" w:color="CCEEFF"/>
            </w:tcBorders>
            <w:gridSpan w:val="2"/>
            <w:shd w:val="clear" w:color="auto" w:fill="CCEEFF"/>
          </w:tcPr>
          <w:p>
            <w:pPr>
              <w:jc w:val="right"/>
              <w:ind w:right="221"/>
              <w:spacing w:after="0" w:line="192" w:lineRule="exact"/>
              <w:rPr>
                <w:sz w:val="20"/>
                <w:szCs w:val="20"/>
                <w:color w:val="auto"/>
              </w:rPr>
            </w:pPr>
            <w:r>
              <w:rPr>
                <w:rFonts w:ascii="Arial" w:cs="Arial" w:eastAsia="Arial" w:hAnsi="Arial"/>
                <w:sz w:val="18"/>
                <w:szCs w:val="18"/>
                <w:color w:val="auto"/>
              </w:rPr>
              <w:t>13.2</w:t>
            </w:r>
          </w:p>
        </w:tc>
        <w:tc>
          <w:tcPr>
            <w:tcW w:w="24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11.3</w:t>
            </w:r>
          </w:p>
        </w:tc>
        <w:tc>
          <w:tcPr>
            <w:tcW w:w="1280" w:type="dxa"/>
            <w:vAlign w:val="bottom"/>
            <w:tcBorders>
              <w:top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8.6</w:t>
            </w:r>
          </w:p>
        </w:tc>
        <w:tc>
          <w:tcPr>
            <w:tcW w:w="1480" w:type="dxa"/>
            <w:vAlign w:val="bottom"/>
            <w:tcBorders>
              <w:top w:val="single" w:sz="8" w:color="CCEEFF"/>
            </w:tcBorders>
            <w:gridSpan w:val="2"/>
            <w:shd w:val="clear" w:color="auto" w:fill="CCEEFF"/>
          </w:tcPr>
          <w:p>
            <w:pPr>
              <w:jc w:val="right"/>
              <w:ind w:right="221"/>
              <w:spacing w:after="0" w:line="192" w:lineRule="exact"/>
              <w:rPr>
                <w:sz w:val="20"/>
                <w:szCs w:val="20"/>
                <w:color w:val="auto"/>
              </w:rPr>
            </w:pPr>
            <w:r>
              <w:rPr>
                <w:rFonts w:ascii="Arial" w:cs="Arial" w:eastAsia="Arial" w:hAnsi="Arial"/>
                <w:sz w:val="18"/>
                <w:szCs w:val="18"/>
                <w:color w:val="auto"/>
              </w:rPr>
              <w:t>31.4</w:t>
            </w:r>
          </w:p>
        </w:tc>
        <w:tc>
          <w:tcPr>
            <w:tcW w:w="24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80" w:hanging="315"/>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80" w:type="dxa"/>
            <w:vAlign w:val="bottom"/>
          </w:tcPr>
          <w:p>
            <w:pPr>
              <w:spacing w:after="0"/>
              <w:rPr>
                <w:sz w:val="17"/>
                <w:szCs w:val="17"/>
                <w:color w:val="auto"/>
              </w:rPr>
            </w:pPr>
          </w:p>
        </w:tc>
        <w:tc>
          <w:tcPr>
            <w:tcW w:w="30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89"/>
              </w:rPr>
              <w:t>For the Years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0"/>
              </w:rPr>
              <w:t>For the Years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0"/>
        </w:trPr>
        <w:tc>
          <w:tcPr>
            <w:tcW w:w="298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w w:val="96"/>
              </w:rPr>
              <w:t>Consumer Loan unit volume from new</w:t>
            </w:r>
          </w:p>
        </w:tc>
        <w:tc>
          <w:tcPr>
            <w:tcW w:w="128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18,267</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30,968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30,968</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44,938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active Dealers</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active Dealers (1)</w:t>
            </w: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Average volume per new active Dealer</w:t>
            </w: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Attrition (2)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480" w:hanging="31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0" w:lineRule="exact"/>
        <w:rPr>
          <w:rFonts w:ascii="Arial" w:cs="Arial" w:eastAsia="Arial" w:hAnsi="Arial"/>
          <w:sz w:val="14"/>
          <w:szCs w:val="14"/>
          <w:color w:val="auto"/>
        </w:rPr>
      </w:pPr>
    </w:p>
    <w:p>
      <w:pPr>
        <w:ind w:left="480" w:right="20" w:hanging="315"/>
        <w:spacing w:after="0" w:line="247" w:lineRule="auto"/>
        <w:tabs>
          <w:tab w:leader="none" w:pos="47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219"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Consumer Loans are assigned to us as either Dealer Loans through our Portfolio Program or Purchased Loans through our Purchase Program. The following table shows the percentage of Consumer Loans assigned to us under each of the programs for each of the last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4"/>
          </w:tcPr>
          <w:p>
            <w:pPr>
              <w:ind w:left="1260"/>
              <w:spacing w:after="0"/>
              <w:rPr>
                <w:sz w:val="20"/>
                <w:szCs w:val="20"/>
                <w:color w:val="auto"/>
              </w:rPr>
            </w:pPr>
            <w:r>
              <w:rPr>
                <w:rFonts w:ascii="Arial" w:cs="Arial" w:eastAsia="Arial" w:hAnsi="Arial"/>
                <w:sz w:val="14"/>
                <w:szCs w:val="14"/>
                <w:b w:val="1"/>
                <w:bCs w:val="1"/>
                <w:color w:val="auto"/>
              </w:rPr>
              <w:t>Unit Volume</w:t>
            </w:r>
          </w:p>
        </w:tc>
        <w:tc>
          <w:tcPr>
            <w:tcW w:w="3340" w:type="dxa"/>
            <w:vAlign w:val="bottom"/>
            <w:gridSpan w:val="3"/>
          </w:tcPr>
          <w:p>
            <w:pPr>
              <w:jc w:val="right"/>
              <w:ind w:right="1036"/>
              <w:spacing w:after="0"/>
              <w:rPr>
                <w:sz w:val="20"/>
                <w:szCs w:val="20"/>
                <w:color w:val="auto"/>
              </w:rPr>
            </w:pPr>
            <w:r>
              <w:rPr>
                <w:rFonts w:ascii="Arial" w:cs="Arial" w:eastAsia="Arial" w:hAnsi="Arial"/>
                <w:sz w:val="14"/>
                <w:szCs w:val="14"/>
                <w:b w:val="1"/>
                <w:bCs w:val="1"/>
                <w:color w:val="auto"/>
              </w:rPr>
              <w:t>Dollar Volume (1)</w:t>
            </w:r>
          </w:p>
        </w:tc>
      </w:tr>
      <w:tr>
        <w:trPr>
          <w:trHeight w:val="192"/>
        </w:trPr>
        <w:tc>
          <w:tcPr>
            <w:tcW w:w="4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For the Years Ended December 31,</w:t>
            </w:r>
          </w:p>
        </w:tc>
        <w:tc>
          <w:tcPr>
            <w:tcW w:w="17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60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Purchase Program</w:t>
            </w:r>
          </w:p>
        </w:tc>
        <w:tc>
          <w:tcPr>
            <w:tcW w:w="100" w:type="dxa"/>
            <w:vAlign w:val="bottom"/>
          </w:tcPr>
          <w:p>
            <w:pPr>
              <w:spacing w:after="0"/>
              <w:rPr>
                <w:sz w:val="16"/>
                <w:szCs w:val="16"/>
                <w:color w:val="auto"/>
              </w:rPr>
            </w:pPr>
          </w:p>
        </w:tc>
        <w:tc>
          <w:tcPr>
            <w:tcW w:w="17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62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Purchase Program</w:t>
            </w:r>
          </w:p>
        </w:tc>
      </w:tr>
      <w:tr>
        <w:trPr>
          <w:trHeight w:val="225"/>
        </w:trPr>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25"/>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39.4 %</w:t>
            </w:r>
          </w:p>
        </w:tc>
      </w:tr>
      <w:tr>
        <w:trPr>
          <w:trHeight w:val="226"/>
        </w:trPr>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bl>
    <w:p>
      <w:pPr>
        <w:spacing w:after="0" w:line="313" w:lineRule="exact"/>
        <w:rPr>
          <w:sz w:val="20"/>
          <w:szCs w:val="20"/>
          <w:color w:val="auto"/>
        </w:rPr>
      </w:pPr>
    </w:p>
    <w:p>
      <w:pPr>
        <w:ind w:left="480" w:hanging="315"/>
        <w:spacing w:after="0" w:line="265" w:lineRule="auto"/>
        <w:tabs>
          <w:tab w:leader="none" w:pos="472"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and 2020, the net Dealer Loans receivable balance was 61.3% and 61.4%, respectively, of the total net Loans receivable balance.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following is a discussion of our 2021 and 2020 results of operations and income statement data on a consolidated basis, including year-to-year comparisons between 2021 and 2020. Discussions of 2019 items and year-to-year comparisons between 2020 and 2019 that are not included in this Form 10-K can be found in “Management’s Discussion and Analysis of Financial Condition and Results of Operations” in Item 7 of the Company’s Annual Report on Form 10-K for the year ended December 31, 2020.</w:t>
      </w:r>
    </w:p>
    <w:p>
      <w:pPr>
        <w:spacing w:after="0" w:line="217"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net Loan income on a level-yield basis over the life of the Loan based on expected future net cash flows. We do not believe the CECL methodology we employ under GAAP provides sufficient transparency into the economics of our business due to its asymmetry requiring us to recognize a significant provision for credit losses expense at the time of assignment for contractual net cash flows we never expect to realize and to recognize in subsequent periods finance charge revenue that is significantly in excess of our expected yields. For additional information, see Note 2 and Note 5 to the consolidated financial statements contained in Item 8 of this Form 10-K, which is incorporated herein by reference.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4560" w:type="dxa"/>
            <w:vAlign w:val="bottom"/>
          </w:tcPr>
          <w:p>
            <w:pPr>
              <w:ind w:left="340"/>
              <w:spacing w:after="0"/>
              <w:rPr>
                <w:sz w:val="20"/>
                <w:szCs w:val="20"/>
                <w:color w:val="auto"/>
              </w:rPr>
            </w:pPr>
            <w:r>
              <w:rPr>
                <w:rFonts w:ascii="Arial" w:cs="Arial" w:eastAsia="Arial" w:hAnsi="Arial"/>
                <w:sz w:val="14"/>
                <w:szCs w:val="14"/>
                <w:color w:val="auto"/>
              </w:rPr>
              <w:t>(Dollars in millions, except per share data)</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5"/>
        </w:trPr>
        <w:tc>
          <w:tcPr>
            <w:tcW w:w="4560" w:type="dxa"/>
            <w:vAlign w:val="bottom"/>
          </w:tcPr>
          <w:p>
            <w:pPr>
              <w:ind w:left="340"/>
              <w:spacing w:after="0"/>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charges</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Premiums earned</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income</w:t>
            </w: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revenue</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Costs and expenses: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Salaries and wages (1)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 (1)</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Sales and marketing (1)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credit losses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Interest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claims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2"/>
        </w:trPr>
        <w:tc>
          <w:tcPr>
            <w:tcW w:w="4560" w:type="dxa"/>
            <w:vAlign w:val="bottom"/>
          </w:tcPr>
          <w:p>
            <w:pPr>
              <w:ind w:left="660"/>
              <w:spacing w:after="0"/>
              <w:rPr>
                <w:sz w:val="20"/>
                <w:szCs w:val="20"/>
                <w:color w:val="auto"/>
              </w:rPr>
            </w:pPr>
            <w:r>
              <w:rPr>
                <w:rFonts w:ascii="Arial" w:cs="Arial" w:eastAsia="Arial" w:hAnsi="Arial"/>
                <w:sz w:val="18"/>
                <w:szCs w:val="18"/>
                <w:color w:val="auto"/>
              </w:rPr>
              <w:t>Loss on extinguishment of debt</w:t>
            </w:r>
          </w:p>
        </w:tc>
        <w:tc>
          <w:tcPr>
            <w:tcW w:w="5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5"/>
        </w:trPr>
        <w:tc>
          <w:tcPr>
            <w:tcW w:w="456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costs and expenses</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1"/>
        </w:trPr>
        <w:tc>
          <w:tcPr>
            <w:tcW w:w="456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5"/>
        </w:trPr>
        <w:tc>
          <w:tcPr>
            <w:tcW w:w="4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share:</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16,085,823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17,858,935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(1,773,112)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5"/>
        </w:trPr>
        <w:tc>
          <w:tcPr>
            <w:tcW w:w="4560" w:type="dxa"/>
            <w:vAlign w:val="bottom"/>
          </w:tcPr>
          <w:p>
            <w:pPr>
              <w:ind w:left="66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16,100,552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17,935,779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(1,835,227)</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5"/>
        </w:trPr>
        <w:tc>
          <w:tcPr>
            <w:tcW w:w="45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560" w:type="dxa"/>
            <w:vAlign w:val="bottom"/>
          </w:tcPr>
          <w:p>
            <w:pPr>
              <w:ind w:left="340"/>
              <w:spacing w:after="0"/>
              <w:rPr>
                <w:sz w:val="20"/>
                <w:szCs w:val="20"/>
                <w:color w:val="auto"/>
              </w:rPr>
            </w:pPr>
            <w:r>
              <w:rPr>
                <w:rFonts w:ascii="Arial" w:cs="Arial" w:eastAsia="Arial" w:hAnsi="Arial"/>
                <w:sz w:val="18"/>
                <w:szCs w:val="18"/>
                <w:color w:val="auto"/>
              </w:rPr>
              <w:t>(1) Operating expenses</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16" w:right="239" w:bottom="1440" w:gutter="0" w:footer="0" w:header="0"/>
        </w:sectPr>
      </w:pPr>
    </w:p>
    <w:bookmarkStart w:id="35" w:name="page36"/>
    <w:bookmarkEnd w:id="35"/>
    <w:p>
      <w:pPr>
        <w:ind w:left="320"/>
        <w:spacing w:after="0"/>
        <w:rPr>
          <w:sz w:val="20"/>
          <w:szCs w:val="20"/>
          <w:color w:val="auto"/>
        </w:rPr>
      </w:pPr>
      <w:r>
        <w:rPr>
          <w:rFonts w:ascii="Arial" w:cs="Arial" w:eastAsia="Arial" w:hAnsi="Arial"/>
          <w:sz w:val="15"/>
          <w:szCs w:val="15"/>
          <w:i w:val="1"/>
          <w:iCs w:val="1"/>
          <w:color w:val="auto"/>
        </w:rPr>
        <w:t xml:space="preserve">Finance Charges. </w:t>
      </w:r>
      <w:r>
        <w:rPr>
          <w:rFonts w:ascii="Arial" w:cs="Arial" w:eastAsia="Arial" w:hAnsi="Arial"/>
          <w:sz w:val="15"/>
          <w:szCs w:val="15"/>
          <w:color w:val="auto"/>
        </w:rPr>
        <w:t>The increase of $180.2 million, or 11.5%, was primarily the result of an increase in the average yield on our Loan portfolio,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w w:val="94"/>
              </w:rPr>
              <w:t>For the Years Ended December 31,</w:t>
            </w:r>
          </w:p>
        </w:tc>
        <w:tc>
          <w:tcPr>
            <w:tcW w:w="1400" w:type="dxa"/>
            <w:vAlign w:val="bottom"/>
            <w:tcBorders>
              <w:bottom w:val="single" w:sz="8" w:color="auto"/>
            </w:tcBorders>
          </w:tcPr>
          <w:p>
            <w:pPr>
              <w:spacing w:after="0"/>
              <w:rPr>
                <w:sz w:val="17"/>
                <w:szCs w:val="17"/>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Change</w:t>
            </w:r>
          </w:p>
        </w:tc>
      </w:tr>
      <w:tr>
        <w:trPr>
          <w:trHeight w:val="22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net Loans receivable balance</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6,694.9</w:t>
            </w: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6,753.5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(58.6)</w:t>
            </w: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Average yield on our Loan portfolio</w:t>
            </w:r>
          </w:p>
        </w:tc>
        <w:tc>
          <w:tcPr>
            <w:tcW w:w="10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impact each component had on the overall increase in finance charges for the year ended December 31,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18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08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Impact on finance charges:</w:t>
            </w:r>
          </w:p>
        </w:tc>
        <w:tc>
          <w:tcPr>
            <w:tcW w:w="10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92"/>
        </w:trPr>
        <w:tc>
          <w:tcPr>
            <w:tcW w:w="9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5"/>
        </w:trPr>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an increase in the average yield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7"/>
              </w:rPr>
              <w:t>193.8</w:t>
            </w:r>
          </w:p>
        </w:tc>
        <w:tc>
          <w:tcPr>
            <w:tcW w:w="0" w:type="dxa"/>
            <w:vAlign w:val="bottom"/>
          </w:tcPr>
          <w:p>
            <w:pPr>
              <w:spacing w:after="0"/>
              <w:rPr>
                <w:sz w:val="1"/>
                <w:szCs w:val="1"/>
                <w:color w:val="auto"/>
              </w:rPr>
            </w:pPr>
          </w:p>
        </w:tc>
      </w:tr>
      <w:tr>
        <w:trPr>
          <w:trHeight w:val="232"/>
        </w:trPr>
        <w:tc>
          <w:tcPr>
            <w:tcW w:w="9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Due to a decrease in the average net Loans receivable balance</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increase in finance charges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7"/>
              </w:rPr>
              <w:t>180.2</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average yield on our Loan portfolio for the year ended December 31, 2021 increased as compared to the same period in 2020 primarily due to the adoption of CECL on January 1, 2020, which requires us to recognize finance charges on new Consumer Loan assignments using effective interest rates based on contractual future net cash flows, which are significantly in excess of our expected yields.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The increase of $58.1 million, or 17.8%, was primarily due to:</w:t>
      </w:r>
    </w:p>
    <w:p>
      <w:pPr>
        <w:spacing w:after="0" w:line="16"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salaries and wages expense of $31.6 million, or 16.9%, comprised of the following:</w:t>
      </w:r>
    </w:p>
    <w:p>
      <w:pPr>
        <w:spacing w:after="0" w:line="5" w:lineRule="exact"/>
        <w:rPr>
          <w:rFonts w:ascii="Arial" w:cs="Arial" w:eastAsia="Arial" w:hAnsi="Arial"/>
          <w:sz w:val="18"/>
          <w:szCs w:val="18"/>
          <w:color w:val="auto"/>
        </w:rPr>
      </w:pPr>
    </w:p>
    <w:p>
      <w:pPr>
        <w:jc w:val="both"/>
        <w:ind w:left="960" w:hanging="318"/>
        <w:spacing w:after="0" w:line="294" w:lineRule="auto"/>
        <w:tabs>
          <w:tab w:leader="none" w:pos="955" w:val="left"/>
        </w:tabs>
        <w:numPr>
          <w:ilvl w:val="1"/>
          <w:numId w:val="34"/>
        </w:numPr>
        <w:rPr>
          <w:rFonts w:ascii="Arial" w:cs="Arial" w:eastAsia="Arial" w:hAnsi="Arial"/>
          <w:sz w:val="15"/>
          <w:szCs w:val="15"/>
          <w:color w:val="auto"/>
        </w:rPr>
      </w:pPr>
      <w:r>
        <w:rPr>
          <w:rFonts w:ascii="Arial" w:cs="Arial" w:eastAsia="Arial" w:hAnsi="Arial"/>
          <w:sz w:val="15"/>
          <w:szCs w:val="15"/>
          <w:color w:val="auto"/>
        </w:rPr>
        <w:t>An increase in stock-based compensation expense of $18.6 million, due to an increase of $33.7 million related to stock options and a decrease of $15.1 million related to restricted stock and restricted stock units. We recognized $33.7 million of expense in 2021 for stock options granted from December 2020 through August 2021 primarily due to a change in the incentive compensation program for senior management. During the second quarter of 2021, we recognized an $11.5 million reversal of stock-based compensation expense due to the forfeiture of unvested restricted stock and restricted stock units upon the retirement of our former Chief Executive Officer in May 2021. For additional information, see Note 14 to the consolidated financial statements contained in Item 8 of this Form 10-K, which is incorporated herein by reference.</w:t>
      </w:r>
    </w:p>
    <w:p>
      <w:pPr>
        <w:spacing w:after="0" w:line="4" w:lineRule="exact"/>
        <w:rPr>
          <w:rFonts w:ascii="Arial" w:cs="Arial" w:eastAsia="Arial" w:hAnsi="Arial"/>
          <w:sz w:val="15"/>
          <w:szCs w:val="15"/>
          <w:color w:val="auto"/>
        </w:rPr>
      </w:pPr>
    </w:p>
    <w:p>
      <w:pPr>
        <w:jc w:val="both"/>
        <w:ind w:left="960" w:hanging="318"/>
        <w:spacing w:after="0" w:line="245" w:lineRule="auto"/>
        <w:tabs>
          <w:tab w:leader="none" w:pos="9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increase of $22.3 million, excluding stock-based compensation and cash-based incentive compensation, related to increases of $12.8 million for our support function, $9.0 million for our servicing function and $0.5 million for our originations function. The increase in our support function was primarily related to a $7.4 million increase related to our information technology department.</w:t>
      </w:r>
    </w:p>
    <w:p>
      <w:pPr>
        <w:spacing w:after="0" w:line="2" w:lineRule="exact"/>
        <w:rPr>
          <w:rFonts w:ascii="Arial" w:cs="Arial" w:eastAsia="Arial" w:hAnsi="Arial"/>
          <w:sz w:val="18"/>
          <w:szCs w:val="18"/>
          <w:color w:val="auto"/>
        </w:rPr>
      </w:pPr>
    </w:p>
    <w:p>
      <w:pPr>
        <w:jc w:val="both"/>
        <w:ind w:left="960" w:hanging="318"/>
        <w:spacing w:after="0" w:line="245" w:lineRule="auto"/>
        <w:tabs>
          <w:tab w:leader="none" w:pos="9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decrease of $9.3 million in cash-based incentive compensation expense, primarily due to a change in the incentive compensation program for senior management, which eliminated annual cash awards in favor of longer-term equity awards, partially offset by an increase in profit sharing primarily due to an improvement in Company performance measures.</w:t>
      </w:r>
    </w:p>
    <w:p>
      <w:pPr>
        <w:spacing w:after="0" w:line="2" w:lineRule="exact"/>
        <w:rPr>
          <w:rFonts w:ascii="Arial" w:cs="Arial" w:eastAsia="Arial" w:hAnsi="Arial"/>
          <w:sz w:val="18"/>
          <w:szCs w:val="18"/>
          <w:color w:val="auto"/>
        </w:rPr>
      </w:pPr>
    </w:p>
    <w:p>
      <w:pPr>
        <w:jc w:val="both"/>
        <w:ind w:left="640" w:hanging="316"/>
        <w:spacing w:after="0" w:line="322"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of $30.7 million, or 44.1%, primarily due to an increase in legal expenses, which included a $27.2 million settlement with the Commonwealth of Massachusetts to settle and fully resolve the claims asserted against the Company. For additional information, see Note 16 to the consolidated financial statements contained in Item 8 of this Form 10-K, which is incorporated herein by reference.</w:t>
      </w:r>
    </w:p>
    <w:p>
      <w:pPr>
        <w:spacing w:after="0" w:line="15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The decrease of $548.5 million, or 98.5%, was due to decreases in provision for credit losses on forecast changes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credit losses on new Consumer Loan assignments.</w:t>
      </w:r>
    </w:p>
    <w:p>
      <w:pPr>
        <w:spacing w:after="0" w:line="214"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Provision for Credit Losses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Consumer Loan assignments</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Forecast changes</w:t>
            </w: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4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36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6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6" w:name="page37"/>
    <w:bookmarkEnd w:id="36"/>
    <w:p>
      <w:pPr>
        <w:jc w:val="both"/>
        <w:ind w:firstLine="318"/>
        <w:spacing w:after="0" w:line="255" w:lineRule="auto"/>
        <w:rPr>
          <w:sz w:val="20"/>
          <w:szCs w:val="20"/>
          <w:color w:val="auto"/>
        </w:rPr>
      </w:pPr>
      <w:r>
        <w:rPr>
          <w:rFonts w:ascii="Arial" w:cs="Arial" w:eastAsia="Arial" w:hAnsi="Arial"/>
          <w:sz w:val="18"/>
          <w:szCs w:val="18"/>
          <w:color w:val="auto"/>
        </w:rPr>
        <w:t>The decrease in provision for credit losses related to new Consumer Loan assignments was due to a 21.4% decrease in Consumer Loan assignment unit volume and a decrease in the average provision for credit losses per Consumer Loan assignment primarily due to a higher initial forecast on 2021 Consumer Loan assignments.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decrease in provision for credit losses related to forecast changes was primarily due to an improvement in Consumer Loan performance. For the year ended December 31, 2021, we increased our estimate of future net cash flows by $326.1 million to reflect improvements in Consumer Loan performance during the period. For the year ended December 31, 2020, we decreased our estimate of future net cash flows by $46.3 million to reflect the estimated long-term impact of COVID-19 on Consumer Loan performance.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decrease of $27.8 million, or 14.5%, was primarily due to a decrease in our average cost of debt,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w w:val="94"/>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Change</w:t>
            </w:r>
          </w:p>
        </w:tc>
      </w:tr>
      <w:tr>
        <w:trPr>
          <w:trHeight w:val="22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(27.8)</w:t>
            </w:r>
          </w:p>
        </w:tc>
      </w:tr>
      <w:tr>
        <w:trPr>
          <w:trHeight w:val="238"/>
        </w:trPr>
        <w:tc>
          <w:tcPr>
            <w:tcW w:w="5540" w:type="dxa"/>
            <w:vAlign w:val="bottom"/>
          </w:tcPr>
          <w:p>
            <w:pPr>
              <w:ind w:left="20"/>
              <w:spacing w:after="0"/>
              <w:rPr>
                <w:sz w:val="20"/>
                <w:szCs w:val="20"/>
                <w:color w:val="auto"/>
              </w:rPr>
            </w:pPr>
            <w:r>
              <w:rPr>
                <w:rFonts w:ascii="Arial" w:cs="Arial" w:eastAsia="Arial" w:hAnsi="Arial"/>
                <w:sz w:val="18"/>
                <w:szCs w:val="18"/>
                <w:color w:val="auto"/>
              </w:rPr>
              <w:t>Average outstanding debt principal balance (1)</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4,728.9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4,712.8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16.1</w:t>
            </w:r>
          </w:p>
        </w:tc>
      </w:tr>
      <w:tr>
        <w:trPr>
          <w:trHeight w:val="23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cost of debt</w:t>
            </w:r>
          </w:p>
        </w:tc>
        <w:tc>
          <w:tcPr>
            <w:tcW w:w="10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bl>
    <w:p>
      <w:pPr>
        <w:spacing w:after="0" w:line="3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our average cost of debt was primarily the result of lower interest rates on recently-completed secured financings.</w:t>
      </w:r>
    </w:p>
    <w:p>
      <w:pPr>
        <w:spacing w:after="0" w:line="23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year ended December 31, 2021, the effective income tax rate increased to 24.0% from 23.4%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The increase was primarily due to an increase in our state income tax rate and the impact of tax benefits related to our stock-based compensation plan on our effective income tax rate. The increase in our state income tax rate was primarily the result of the settlement of an uncertain tax position for state income taxes during 2020. The impact of tax benefits related to our stock-based compensation plan, which reduce our effective income tax rate, decreased from 2020 to 2021 primarily due to an increase in pre-tax income. For additional information, see Note 11 to the consolidated financial statements contained in Item 8 of this Form 10-K, which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Item 8 of this Form 10-K, which is incorporated herein by reference. We believe that the following accounting estimates are the most critical to aid in fully understanding and evaluating our reported financial results, and involve a high degree of subjective or complex judgment, and the use of different estimates or assumptions could produce materially different financial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Finance Charge Revenue &amp; Allowance for Credit Losses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amount and timing of future collections and Dealer Holdback payments. These estimates impact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allowance for credit losses on our balance sheet and finance charges and provision for credit losses on our income statement.</w:t>
      </w:r>
    </w:p>
    <w:p>
      <w:pPr>
        <w:spacing w:after="0" w:line="18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On January 1, 2020, we adopted Accounting Standards Update 2016-13, Measurement of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which is known as the current expected credit loss model, or CECL. Prior to the adoption of CECL on January 1, 2020, we accounted for our Loans as loans acquired with significant credit deterioration. For additional information regarding the adoption impact of CECL, see Note 2 and Note 5 to the consolidated financial statements contained in Item 8 of this Form 10-K, which is incorporated herein by reference.</w:t>
      </w:r>
    </w:p>
    <w:p>
      <w:pPr>
        <w:spacing w:after="0" w:line="2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recognize finance charges under the interest method such that revenue is recognized on a level-yield basis over the life of the Loan. We calculate finance charges on a monthly basis by applying the effective interest rate of the Loan to the net carrying amount of the Loan (Loan receivable less the related allowance for credit losses). For Consumer Loans assigned on or subsequent to January 1, 2020, the effective interest rate is based on contractual future net cash flows. For Consumer Loans assigned prior to January 1, 2020, the effective interest rate was determined based on expected future net cash flows.</w:t>
      </w:r>
    </w:p>
    <w:p>
      <w:pPr>
        <w:spacing w:after="0" w:line="17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outstanding balance of the allowance for credit losses of each Loan represents the amount required to reduce the net 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Expected future collections are forecasted for each individual Consumer Loan based on the historical performance of Consumer Loans with similar characteristics, adjusted for recent trends in payment patterns and economic conditions. Our forecast of expected future collections includes estimates for prepayments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monitor and evaluate Consumer Loan performance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spacing w:after="0" w:line="20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first quarter of 2020, we reduced our estimate of future net cash flows from our Loan portfolio by $206.5 million, or 2.3% of the forecasted net cash flows at the start of the period, primarily due to the impact of the COVID-19 pandemic. The reduction was comprised of: (1) $44.3 million calculated by our forecasting model, which reflected lower realized collections during the first quarter of 2020 and (2) an additional $162.2 million, which represented our best estimate of the future impact of the COVID-19 pandemic on future net cash flows. Under CECL, changes in the amount and timing of forecasted net cash flows are recorded as a provision for credit losses in the current period. We have continued to apply this adjustment to our forecast through the end of 2021 as it continues to represent our best estimate of the impact of the COVID-19 pandemic on future net cash flows. The COVID-19 pandemic has created conditions that increase the level of uncertainty associated with our estimate of the amount and timing of future net cash flows from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Our provision for credit losses for the year ended December 31, 2021, included:</w:t>
      </w:r>
    </w:p>
    <w:p>
      <w:pPr>
        <w:spacing w:after="0" w:line="16" w:lineRule="exact"/>
        <w:rPr>
          <w:sz w:val="20"/>
          <w:szCs w:val="20"/>
          <w:color w:val="auto"/>
        </w:rPr>
      </w:pPr>
    </w:p>
    <w:p>
      <w:pPr>
        <w:ind w:left="640" w:hanging="316"/>
        <w:spacing w:after="0" w:line="24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$365.1 million provision for credit losses on new Consumer Loan assignments, which reduced consolidated net income by $281.1 million, or $17.46 per diluted share; and</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$356.7 million reversal of provision for credit losses on forecast changes related to changes in the amount and timing of expected future net cash flows, which increased consolidated net income by $274.7 million, or $17.06 per diluted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credit losses for the year ended December 31, 2020, included:</w:t>
      </w:r>
    </w:p>
    <w:p>
      <w:pPr>
        <w:spacing w:after="0" w:line="16" w:lineRule="exact"/>
        <w:rPr>
          <w:sz w:val="20"/>
          <w:szCs w:val="20"/>
          <w:color w:val="auto"/>
        </w:rPr>
      </w:pPr>
    </w:p>
    <w:p>
      <w:pPr>
        <w:ind w:left="640" w:hanging="316"/>
        <w:spacing w:after="0" w:line="24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$518.6 million provision for credit losses on new Consumer Loan assignments related to the adoption of CECL on January 1, 2020, which reduced consolidated net income by $399.3 million, or $22.26 per diluted share; and</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$38.3 million provision for credit losses on forecast changes related to changes in the amount and timing of expected future net cash flows, which reduced consolidated net income by $29.5 million, or $1.64 per diluted share.</w:t>
      </w:r>
    </w:p>
    <w:p>
      <w:pPr>
        <w:spacing w:after="0" w:line="2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Key Factors. </w:t>
      </w:r>
      <w:r>
        <w:rPr>
          <w:rFonts w:ascii="Arial" w:cs="Arial" w:eastAsia="Arial" w:hAnsi="Arial"/>
          <w:sz w:val="15"/>
          <w:szCs w:val="15"/>
          <w:color w:val="auto"/>
        </w:rPr>
        <w:t>Variances in the amount and timing of future net cash flows from current estimates could materially impact earnings in future periods. A 1%</w:t>
      </w:r>
      <w:r>
        <w:rPr>
          <w:rFonts w:ascii="Arial" w:cs="Arial" w:eastAsia="Arial" w:hAnsi="Arial"/>
          <w:sz w:val="15"/>
          <w:szCs w:val="15"/>
          <w:i w:val="1"/>
          <w:iCs w:val="1"/>
          <w:color w:val="auto"/>
        </w:rPr>
        <w:t xml:space="preserve"> </w:t>
      </w:r>
      <w:r>
        <w:rPr>
          <w:rFonts w:ascii="Arial" w:cs="Arial" w:eastAsia="Arial" w:hAnsi="Arial"/>
          <w:sz w:val="15"/>
          <w:szCs w:val="15"/>
          <w:color w:val="auto"/>
        </w:rPr>
        <w:t>decline in the forecasted future net cash flows on Loans as of December 31, 2021 would have reduced 2021 net income by approximately $47.5 million.</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During periods of economic slowdown or recession, delinquencies, defaults, repossessions and losses may increase on our Consumer Loans, and Consumer Loan prepayments may decline. These periods are also typically accompanied by decreased consumer demand for automobiles and declining values of automobiles securing outstanding Consumer Loans, which weakens collateral coverage and increases the amount of a loss in the event of default. Significant increases in the inventory of used automobiles during periods of economic recession may also depress the prices at which repossessed automobiles may be sold or delay the timing of these sales. Additionally, higher gasoline prices, increased focus on climate-related initiatives and regulation, declining stock market values, unstable real estate values, resets of adjustable rate mortgages to higher interest rates, increasing unemployment levels, general availability of consumer credit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our Consumer Loans could be higher than those experienced in the general automobile finance industry, and could be more dramatically affected by a general economic downturn.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Earned</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pattern of future claims on vehicle service contracts. These estimates impact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our balance sheet and premiums earned on our income statement.</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Assumptions and Approaches Used. </w:t>
      </w:r>
      <w:r>
        <w:rPr>
          <w:rFonts w:ascii="Arial" w:cs="Arial" w:eastAsia="Arial" w:hAnsi="Arial"/>
          <w:sz w:val="18"/>
          <w:szCs w:val="18"/>
          <w:color w:val="auto"/>
        </w:rPr>
        <w:t>Premiums from the reinsurance of vehicle service contracts are recognized over the life of the policy in proportion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costs of servicing those contracts. Expected costs are determined based on our historical claims experience. In developing our cost expectations, we stratify our historical claims experience into groupings based on contractual term, as this characteristic has led to different patterns of cost incurrence in the past. 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22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Key Factors. </w:t>
      </w:r>
      <w:r>
        <w:rPr>
          <w:rFonts w:ascii="Arial" w:cs="Arial" w:eastAsia="Arial" w:hAnsi="Arial"/>
          <w:sz w:val="15"/>
          <w:szCs w:val="15"/>
          <w:color w:val="auto"/>
        </w:rPr>
        <w:t>Variances in the pattern of future claims from our current estimates would impact the timing of premiums recognized in future periods. A</w:t>
      </w:r>
      <w:r>
        <w:rPr>
          <w:rFonts w:ascii="Arial" w:cs="Arial" w:eastAsia="Arial" w:hAnsi="Arial"/>
          <w:sz w:val="15"/>
          <w:szCs w:val="15"/>
          <w:i w:val="1"/>
          <w:iCs w:val="1"/>
          <w:color w:val="auto"/>
        </w:rPr>
        <w:t xml:space="preserve"> </w:t>
      </w:r>
      <w:r>
        <w:rPr>
          <w:rFonts w:ascii="Arial" w:cs="Arial" w:eastAsia="Arial" w:hAnsi="Arial"/>
          <w:sz w:val="15"/>
          <w:szCs w:val="15"/>
          <w:color w:val="auto"/>
        </w:rPr>
        <w:t>10% change in premiums earned for the year ended December 31, 2021 would have affected 2021 net income by approximately $4.6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Nature of Estimates Required. </w:t>
      </w:r>
      <w:r>
        <w:rPr>
          <w:rFonts w:ascii="Arial" w:cs="Arial" w:eastAsia="Arial" w:hAnsi="Arial"/>
          <w:sz w:val="15"/>
          <w:szCs w:val="15"/>
          <w:color w:val="auto"/>
        </w:rPr>
        <w:t>We estimate the likelihood of adverse judgments against us and any resulting damages, fines or statutory penalties owed.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These estimates impact accounts payable and accrued liabilities on our balance sheet and are general and administrative expenses on our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9" w:name="page40"/>
    <w:bookmarkEnd w:id="39"/>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With assistance from our legal counsel, we determine if the likelihood of an adverse judgment for various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and regulatory investigations is remote, reasonably possible, or probable. To the extent we believe an adverse judgment is probable and the amount of the judgment is estimable, we recognize a liability. For information regarding current actions to which we are a party, see Note 16 to the consolidated financial statements contained in Item 8 of this Form 10-K, which is incorporated herein by reference.</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Negative variances in the ultimate disposition of claims and litigation outstanding from current estimates could result in additional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impact of an uncertain income tax position on the income tax return. These estimates impact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accounts payable and accrued liabilities on our balance sheet and provision for income taxes on our income statement.</w:t>
      </w:r>
    </w:p>
    <w:p>
      <w:pPr>
        <w:spacing w:after="0" w:line="18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Assumptions and Approaches Used. </w:t>
      </w:r>
      <w:r>
        <w:rPr>
          <w:rFonts w:ascii="Arial" w:cs="Arial" w:eastAsia="Arial" w:hAnsi="Arial"/>
          <w:sz w:val="15"/>
          <w:szCs w:val="15"/>
          <w:color w:val="auto"/>
        </w:rPr>
        <w:t>We follow a two-step approach for recognizing uncertain tax positions. First, we evaluate the tax position for</w:t>
      </w:r>
      <w:r>
        <w:rPr>
          <w:rFonts w:ascii="Arial" w:cs="Arial" w:eastAsia="Arial" w:hAnsi="Arial"/>
          <w:sz w:val="15"/>
          <w:szCs w:val="15"/>
          <w:i w:val="1"/>
          <w:iCs w:val="1"/>
          <w:color w:val="auto"/>
        </w:rPr>
        <w:t xml:space="preserve"> </w:t>
      </w:r>
      <w:r>
        <w:rPr>
          <w:rFonts w:ascii="Arial" w:cs="Arial" w:eastAsia="Arial" w:hAnsi="Arial"/>
          <w:sz w:val="15"/>
          <w:szCs w:val="15"/>
          <w:color w:val="auto"/>
        </w:rPr>
        <w:t>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adjust this liability in the period in which an uncertain tax position is effectively settled, the statute of limitations expires for the relevant taxing authority to examine the tax position, or more information becomes available.</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To the extent we prevail in matters for which a liability has been established or are required to pay amounts in excess of our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our effective income tax rate in future periods could be materially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December 31, 2021. For information regarding these financings and the covenants included in the related documents, see Note 9 to the consolidated financial statements contained in Item 8 of this Form 10-K, which is incorporated herein by reference.</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January 29, 2021, we completed a $100.0 million Term ABS financing, which was used to repay outstanding indebtedness. The financing will revolve for 24 months, after which it will amortize based upon the cash flows on the contributed Loans.</w:t>
      </w:r>
    </w:p>
    <w:p>
      <w:pPr>
        <w:spacing w:after="0" w:line="207" w:lineRule="exact"/>
        <w:rPr>
          <w:sz w:val="20"/>
          <w:szCs w:val="20"/>
          <w:color w:val="auto"/>
        </w:rPr>
      </w:pPr>
    </w:p>
    <w:p>
      <w:pPr>
        <w:jc w:val="both"/>
        <w:ind w:firstLine="238"/>
        <w:spacing w:after="0" w:line="365" w:lineRule="auto"/>
        <w:rPr>
          <w:sz w:val="20"/>
          <w:szCs w:val="20"/>
          <w:color w:val="auto"/>
        </w:rPr>
      </w:pPr>
      <w:r>
        <w:rPr>
          <w:rFonts w:ascii="Arial" w:cs="Arial" w:eastAsia="Arial" w:hAnsi="Arial"/>
          <w:sz w:val="15"/>
          <w:szCs w:val="15"/>
          <w:color w:val="auto"/>
        </w:rPr>
        <w:t>On January 29, 2021, we extended the date on which our $300.0 million Warehouse Facility IV will cease to revolve from July 26, 2022 to November 17, 2023. The interest rate on borrowings under the facility has been increased from LIBOR plus 200 basis points to LIBOR plus 210 basis points.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On February 3, 2021, we extended the date on which our $400.0 million Warehouse Facility II will cease to revolve from July 12, 2022 to April 30, 2024.</w:t>
      </w:r>
    </w:p>
    <w:p>
      <w:pPr>
        <w:spacing w:after="0" w:line="2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18, 2021, we completed a $500.0 million Term ABS financing, which was used to repay outstanding indebtedness. The financing has an expected annualized cost of approximately 1.4% (including the initial purchasers’ fees and other costs), and it will revolve for 24 months, after which it will amortize based upon the cash flows on the contributed Loans.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20, 2021, we completed a $450.0 million Term ABS financing, which was used to repay outstanding indebtedness and for general corporate purposes. The financing has an expected annualized cost of approximately 1.5% (including the initial purchasers’ fees and other costs), and it will revolve for 24 months, after which it will amortize based upon the cash flows on the contributed Loans.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0" w:name="page41"/>
    <w:bookmarkEnd w:id="40"/>
    <w:p>
      <w:pPr>
        <w:jc w:val="both"/>
        <w:ind w:firstLine="238"/>
        <w:spacing w:after="0" w:line="264" w:lineRule="auto"/>
        <w:rPr>
          <w:sz w:val="20"/>
          <w:szCs w:val="20"/>
          <w:color w:val="auto"/>
        </w:rPr>
      </w:pPr>
      <w:r>
        <w:rPr>
          <w:rFonts w:ascii="Arial" w:cs="Arial" w:eastAsia="Arial" w:hAnsi="Arial"/>
          <w:sz w:val="18"/>
          <w:szCs w:val="18"/>
          <w:color w:val="auto"/>
        </w:rPr>
        <w:t>On September 1, 2021, we extended the date on which our $200.0 million Warehouse Facility VIII will cease to revolve from July 26, 2022 to September 1, 2024.</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October 6, 2021, we increased the financing amount on our revolving secured line of credit facility with a commercial bank syndicate from $340.0 million to $385.0 million. We also extended the maturity of the facility from June 22, 2023 to June 22, 2024. The amount of the facility will decrease by $35.0 million on June 22, 2022, and will further decrease by $25.0 million on June 22, 2023.</w:t>
      </w:r>
    </w:p>
    <w:p>
      <w:pPr>
        <w:spacing w:after="0" w:line="215"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8"/>
          <w:szCs w:val="18"/>
          <w:color w:val="auto"/>
        </w:rPr>
        <w:t>On October 15, 2021, we extended the date on which our $75.0 million Warehouse Facility VI will cease to revolve from September 30, 2022 to September 30, 2024.</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October 28, 2021, we completed a $250.1 million Term ABS financing, which was used to repay outstanding indebtedness and for general corporate purposes. The financing has an expected annualized cost of approximately 1.8% (including the initial purchasers’ fees and other costs), and it will revolve for 24 months, after which it will amortize based upon the cash flows on the contributed Loans.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November 30, 2021, we increased the financing amount on our revolving secured line of credit facility with a commercial bank syndicate from $385.0 million to $435.0 million. As noted above, the amount of the facility will decrease by $35.0 million on June 22, 2022, and will further decrease by $25.0 million on June 22, 2023.</w:t>
      </w:r>
    </w:p>
    <w:p>
      <w:pPr>
        <w:spacing w:after="0" w:line="215"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Cash and cash equivalents increased to $23.3 million as of December 31, 2021 from $16.0 million as of December 31, 2020. As of December 31, 2021 and December 31, 2020 we had $1,532.4 million and $1,419.1 million, respectively, in unused and available lines of credit. Our total balance sheet indebtedness increased to $4,616.3 million as of December 31, 2021 from $4,608.6 million as of December 31, 2020.</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future material financial obligations requiring repayments as of December 31, 2021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Payments Due as of December 31, 2021</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In less than</w:t>
            </w:r>
          </w:p>
        </w:tc>
        <w:tc>
          <w:tcPr>
            <w:tcW w:w="220" w:type="dxa"/>
            <w:vAlign w:val="bottom"/>
          </w:tcPr>
          <w:p>
            <w:pPr>
              <w:spacing w:after="0"/>
              <w:rPr>
                <w:sz w:val="11"/>
                <w:szCs w:val="11"/>
                <w:color w:val="auto"/>
              </w:rPr>
            </w:pPr>
          </w:p>
        </w:tc>
        <w:tc>
          <w:tcPr>
            <w:tcW w:w="13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In 12 months</w:t>
            </w:r>
          </w:p>
        </w:tc>
        <w:tc>
          <w:tcPr>
            <w:tcW w:w="48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12 months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or more</w:t>
            </w:r>
          </w:p>
        </w:tc>
        <w:tc>
          <w:tcPr>
            <w:tcW w:w="4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 (1)</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Dealer Holdback (2)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 (3)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 (4)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financial obligations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640" w:hanging="316"/>
        <w:spacing w:after="0"/>
        <w:tabs>
          <w:tab w:leader="none" w:pos="6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presented consist solely of principal and do not reflect deferred debt issuance costs of $26.4 million. We are also obligated to make interest payments at the applicable interest rates, as discussed in Note 9 to the consolidated financial statements contained in Item 8 of this Form 10-K, which is incorporated herein by reference. Based on the actual principal amounts outstanding under our revolving secured line of credit, our Warehouse facilities, and our senior notes as of December 31, 2021, the forecasted principal amounts outstanding on all other debt and the actual interest rates in effect as of December 31, 2021, interest is expected to be approximately $106.9 million during 2022; $70.5 million during 2023; and $91.5 million during 2024 and thereafter.</w:t>
      </w:r>
    </w:p>
    <w:p>
      <w:pPr>
        <w:spacing w:after="0" w:line="2" w:lineRule="exact"/>
        <w:rPr>
          <w:rFonts w:ascii="Arial" w:cs="Arial" w:eastAsia="Arial" w:hAnsi="Arial"/>
          <w:sz w:val="14"/>
          <w:szCs w:val="14"/>
          <w:color w:val="auto"/>
        </w:rPr>
      </w:pPr>
    </w:p>
    <w:p>
      <w:pPr>
        <w:ind w:left="640" w:hanging="316"/>
        <w:spacing w:after="0" w:line="237" w:lineRule="auto"/>
        <w:tabs>
          <w:tab w:leader="none" w:pos="6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have contractual obligations to pay Dealer Holdback to our Dealers. Payments of Dealer Holdback are contingent upon the receipt of consumer payments and the repayment of advances. The amounts presented represent our forecast as of December 31, 2021.</w:t>
      </w:r>
    </w:p>
    <w:p>
      <w:pPr>
        <w:ind w:left="640" w:hanging="316"/>
        <w:spacing w:after="0" w:line="237"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lease liability of $0.5 million is recognized within accounts payable and accrued liabilities in our consolidated balance sheets.</w:t>
      </w:r>
    </w:p>
    <w:p>
      <w:pPr>
        <w:ind w:left="640" w:hanging="31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Purchase obligations consist primarily of contractual obligations related to our information system and facility needs.</w:t>
      </w:r>
    </w:p>
    <w:p>
      <w:pPr>
        <w:spacing w:after="0" w:line="2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Market Risk</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primarily to market risks associated with movements in interest rates. Our policies and procedures prohibit the use of financial instruments for speculative purposes. A discussion of our accounting policies for derivative instruments is included in Note 2 to the consolidated financial statements contained in Item 8 of this Form 10-K, which is incorporated herein by reference.</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rely on various sources of financing, some of which contain floating rates of interest and expose us to risks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interest rates. We manage such risk primarily by entering into interest rate cap agreements.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$2.6 million of floating rate debt outstanding on our revolving secured line of credit, without interest rate protection. For every 100-basis-point increase in interest rates on our revolving secured line of credit, annual after-tax earnings would decrease by approximately $0.0 million, assuming we maintain a level amount of floating rate debt.</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of December 31, 2021, we had interest rate cap agreements outstanding to manage the interest rate risk on Warehouse Facility II, Warehouse Facility IV, Warehouse Facility V and Warehouse Facility VIII. However, as of December 31, 2021, there was no floating rate debt outstanding under these facilities.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we did not have a balance outstanding under Warehouse Facility VI, which does not have interest rate protection.</w:t>
      </w:r>
    </w:p>
    <w:p>
      <w:pPr>
        <w:spacing w:after="0" w:line="25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December 31, 2021, we had $100.0 million in floating rate debt outstanding under Term ABS 2021-1, which was covered by an interest rate cap with a cap rate of 5.50% on the underlying benchmark rate. For every 100-basis-point increase in interest rates on Term ABS 2021-1 up to the cap rate of 5.50%, annual after-tax earnings would decrease by approximately $0.8 million, assuming we maintain a level amount of floating rate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See Note 2 to the consolidated financial statements contained in Item 8 of this Form 10-K, which is incorporated herein by reference, for information concerning the following new accounting updates and the impact of the implementation of this update on our financial statements:</w:t>
      </w:r>
    </w:p>
    <w:p>
      <w:pPr>
        <w:spacing w:after="0" w:line="184" w:lineRule="exact"/>
        <w:rPr>
          <w:sz w:val="20"/>
          <w:szCs w:val="20"/>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Simplifying the Accounting for Income Taxes.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2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this Form 10-K, which is incorporated herein by reference, and the risks and uncertainties discussed elsewhere in this Form 10-K and in our other reports filed or furnished from time to time with the SEC.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called for by Item 7A is incorporated herein by reference from the information in Item 7 under the caption “Market Risk” in this Form 10-K.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2" w:name="page43"/>
    <w:bookmarkEnd w:id="42"/>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99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Page</w:t>
            </w:r>
          </w:p>
        </w:tc>
      </w:tr>
      <w:tr>
        <w:trPr>
          <w:trHeight w:val="225"/>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 (PCAOB ID Number 248)</w:t>
            </w:r>
          </w:p>
        </w:tc>
        <w:tc>
          <w:tcPr>
            <w:tcW w:w="1300" w:type="dxa"/>
            <w:vAlign w:val="bottom"/>
            <w:shd w:val="clear" w:color="auto" w:fill="CCEEFF"/>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44</w:t>
              </w:r>
            </w:hyperlink>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2021 and 2020</w:t>
            </w:r>
          </w:p>
        </w:tc>
        <w:tc>
          <w:tcPr>
            <w:tcW w:w="13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47</w:t>
              </w:r>
            </w:hyperlink>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Income for the years ended December 31, 2021, 2020 and 2019</w:t>
            </w:r>
          </w:p>
        </w:tc>
        <w:tc>
          <w:tcPr>
            <w:tcW w:w="1300" w:type="dxa"/>
            <w:vAlign w:val="bottom"/>
            <w:shd w:val="clear" w:color="auto" w:fill="CCEEFF"/>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48</w:t>
              </w:r>
            </w:hyperlink>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 for the years ended December 31, 2021, 2020 and 2019</w:t>
            </w:r>
          </w:p>
        </w:tc>
        <w:tc>
          <w:tcPr>
            <w:tcW w:w="13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Shareholders’ Equity for the years ended December 31, 2021, 2020 and 2019</w:t>
            </w:r>
          </w:p>
        </w:tc>
        <w:tc>
          <w:tcPr>
            <w:tcW w:w="1300" w:type="dxa"/>
            <w:vAlign w:val="bottom"/>
            <w:shd w:val="clear" w:color="auto" w:fill="CCEEFF"/>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50</w:t>
              </w:r>
            </w:hyperlink>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13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51</w:t>
              </w:r>
            </w:hyperlink>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shd w:val="clear" w:color="auto" w:fill="CCEEFF"/>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accompanying consolidated balance sheets of Credit Acceptance Corporation (a Michigan corporation) and subsidiaries (the “Company”) as of December 31, 2021 and 2020, the related consolidated statements of income,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11, 2022 expressed an unqualified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Provision for Credit Losses and Finance Charge Revenue</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offers financing programs to a network of automobile dealers (“Dealers”) who enter into retail installment contracts directly with consumers (“Consumer Loans”). The Company has two programs, the Portfolio Program and the Purchase Program. Under the Portfolio Program, the Company advances money to Dealers (“Dealer Loans”) in exchange for the right to service the underlying Consumer Loans. Under the Purchase Program, the Company buys the Consumer Loan from the Dealers (“Purchased Loans”) and keeps all amounts collected from the consumer. Dealer Loans and Purchased Loans, collectively referred to as “Loans”, are presented as Loans receivable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4" w:name="page45"/>
    <w:bookmarkEnd w:id="44"/>
    <w:p>
      <w:pPr>
        <w:jc w:val="both"/>
        <w:spacing w:after="0" w:line="252" w:lineRule="auto"/>
        <w:rPr>
          <w:sz w:val="20"/>
          <w:szCs w:val="20"/>
          <w:color w:val="auto"/>
        </w:rPr>
      </w:pPr>
      <w:r>
        <w:rPr>
          <w:rFonts w:ascii="Arial" w:cs="Arial" w:eastAsia="Arial" w:hAnsi="Arial"/>
          <w:sz w:val="18"/>
          <w:szCs w:val="18"/>
          <w:color w:val="auto"/>
        </w:rPr>
        <w:t>As described in Note 2 and Note 5 to the financial statements, on January 1, 2020 (the “Adoption Date”), the Company adopted Financial Accounting Standards Board Accounting Standard Codification (“ASC”) 326, Financial Instruments, which is also known as the current expected credit loss model (“CECL”). The Loans outstanding at December 31, 2019 qualified for transition relief and were accounted for as purchased financial assets with credit deterioration (“PCD Method”).</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Loans accounted for under the PCD Method, the Company calculated an effective interest rate based on expected future net cash flows at the Adoption Date.</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Loans originated after December 31, 2019, did not qualify for the PCD Method and are accounted for as originated financial assets (“Originated Method”). At the time of assignment, the Company (1) calculates the effective interest rate based on contractual future net cash flows; (2) records a Loan receivable equal to the advance paid to the Dealer under the Portfolio Program or purchase price paid to the Dealer under the Purchase Program; and (3) records an allowance for credit losses equal to the difference between the initial Loan receivable balance and the present value of expected future net cash flows discounted at the effective interest rate. The initial allowance for credit losses is recognized as a provision for credit losses in the consolidated statements of income.</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each subsequent period, the Company adjusts the allowance for credit losses for Loans accounted for under the PCD and Originated Methods, so that the net carrying amount of each Loan equals the present value of expected future net cash flows discounted at the effective interest rate. The adjustment to the allowance for credit losses is recognized as either a provision for credit losses or a reversal of provision for credit losses in the consolidated statements of income.</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first quarter of 2020, the Company evaluated the impact of the COVID-19 pandemic on its Loans based on, among other things, prior experience with economic downturns in the United States. An adjustment was made based on management’s best estimate of the impact on the expected future net cash flows and ultimately resulted in an increase to the provision for credit losses and the allowance for credit losses. The Company re-assessed this estimate throughout each period in 2021 and continued to apply a reduction to the expected future cash flows based on their evaluation.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For Loans accounted for under the PCD Method, finance charge revenue is computed using the effective interest rate that was calculated on the Adoption Date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expected future net cash flows. For Loans accounted for under the Originated Method, finance charge revenue is computed using the effective interest rate that was calculated upon assignment based on contractual future net cash flows.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identified the allowance for credit losses, provision for credit losses and finance change revenue, which are recorded based on subjective models, as a critical audit matter.</w:t>
      </w:r>
    </w:p>
    <w:p>
      <w:pPr>
        <w:spacing w:after="0" w:line="20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The allowance for credit losses as of December 31, 2021 was $3,013.5 million and the provision for credit losses was $8.4 million for the year ended December 31, 2021. Total finance charge revenue for the year ended December 31, 2021 was $1,742.6 million.</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consideration for our determination of the allowance for credit losses, provision for credit losses and finance charge revenue as a critical audit matter is the high degree of subjectivity in evaluating the reasonableness of management’s estimate, including assumptions used in the models that derive the expected future cash flows. The models used in the computation of the expected future cash flows are internally developed and determine the amount and timing of the initial forecast and the current forecast of expected future cash flows.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audit procedures related to the allowance for credit losses, provision for credit losses and finance charge revenue include testing the design and operating effectiveness of key controls related to the models, including controls over the development and validation of the models, the completeness and accuracy of information used in the models, management review controls over the models and segregation of duties for maintaining the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5" w:name="page46"/>
    <w:bookmarkEnd w:id="45"/>
    <w:p>
      <w:pPr>
        <w:jc w:val="both"/>
        <w:spacing w:after="0" w:line="322" w:lineRule="auto"/>
        <w:rPr>
          <w:sz w:val="20"/>
          <w:szCs w:val="20"/>
          <w:color w:val="auto"/>
        </w:rPr>
      </w:pPr>
      <w:r>
        <w:rPr>
          <w:rFonts w:ascii="Arial" w:cs="Arial" w:eastAsia="Arial" w:hAnsi="Arial"/>
          <w:sz w:val="15"/>
          <w:szCs w:val="15"/>
          <w:color w:val="auto"/>
        </w:rPr>
        <w:t>With the assistance of an internal specialist, we assessed the reasonableness of the methodology used in the models that compute the expected future cash flows. We recomputed the initial and current forecasts for a sample of Loans. We tested the underlying data, including Loan balances and other characteristics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included on the Consumer Loan and collections for that sample. We also assessed the reasonableness of the COVID-19 adjustment applied to the expected future cash flows, considering internal and external factors. We assessed the reasonableness of the timing of the future cash flows based on management’s assumptions and historical actual cash flows. We analyzed the historical forecasts against actuals to determine if management has the ability to accurately predict initial and current forecasts of future cash flows.</w:t>
      </w: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sampled new Loans during 2021 and confirmed the balance with the Dealer and/or agreed to the Consumer Loan for completeness and accuracy. We sampled collections made during 2021 to verify completeness, accuracy and application to the appropriate Loans. We recalculated the effective interest rate for a sample of Loans based on the contractual cash flows less estimated dealer holdback or we agreed to the prior year rate, based on the applicable method described above. We recomputed the provision for credit losses for a sample of new Loans by computing the difference between the initial Loan balance and the present value of expected future net cash flows discounted at the effective interest rate.</w:t>
      </w:r>
    </w:p>
    <w:p>
      <w:pPr>
        <w:spacing w:after="0" w:line="2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selected a sample of Loans to recompute the provision for credit losses, allowance for credit losses and finance charge revenue for the year-ended December 31, 2021. For the sample tested, we also recomputed the dealer holdback, if applicable.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assessed the correlation of changes in the allowance for credit losses to collections for a sample of Loans. We tested sensitivity around the partial write-off policy. We analyzed and agreed the past-due status of Loans to collection details and verified the allowance for credit losses was consistent with the status of the Loans.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4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December 31,</w:t>
            </w:r>
          </w:p>
        </w:tc>
      </w:tr>
      <w:tr>
        <w:trPr>
          <w:trHeight w:val="192"/>
        </w:trPr>
        <w:tc>
          <w:tcPr>
            <w:tcW w:w="34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5"/>
        </w:trPr>
        <w:tc>
          <w:tcPr>
            <w:tcW w:w="3440" w:type="dxa"/>
            <w:vAlign w:val="bottom"/>
          </w:tcPr>
          <w:p>
            <w:pPr>
              <w:spacing w:after="0"/>
              <w:rPr>
                <w:sz w:val="19"/>
                <w:szCs w:val="19"/>
                <w:color w:val="auto"/>
              </w:rPr>
            </w:pPr>
          </w:p>
        </w:tc>
        <w:tc>
          <w:tcPr>
            <w:tcW w:w="5040" w:type="dxa"/>
            <w:vAlign w:val="bottom"/>
          </w:tcPr>
          <w:p>
            <w:pPr>
              <w:ind w:left="4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5"/>
        </w:trPr>
        <w:tc>
          <w:tcPr>
            <w:tcW w:w="3440" w:type="dxa"/>
            <w:vAlign w:val="bottom"/>
          </w:tcPr>
          <w:p>
            <w:pPr>
              <w:ind w:left="340"/>
              <w:spacing w:after="0"/>
              <w:rPr>
                <w:sz w:val="20"/>
                <w:szCs w:val="20"/>
                <w:color w:val="auto"/>
              </w:rPr>
            </w:pPr>
            <w:r>
              <w:rPr>
                <w:rFonts w:ascii="Arial" w:cs="Arial" w:eastAsia="Arial" w:hAnsi="Arial"/>
                <w:sz w:val="18"/>
                <w:szCs w:val="18"/>
                <w:color w:val="auto"/>
              </w:rPr>
              <w:t>Restricted cash and cash equivalents</w:t>
            </w:r>
          </w:p>
        </w:tc>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380.2</w:t>
            </w:r>
          </w:p>
        </w:tc>
      </w:tr>
      <w:tr>
        <w:trPr>
          <w:trHeight w:val="22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securities available for sale</w:t>
            </w:r>
          </w:p>
        </w:tc>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65"/>
        </w:trPr>
        <w:tc>
          <w:tcPr>
            <w:tcW w:w="34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5"/>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receivable</w:t>
            </w:r>
          </w:p>
        </w:tc>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10,124.8</w:t>
            </w:r>
          </w:p>
        </w:tc>
      </w:tr>
      <w:tr>
        <w:trPr>
          <w:trHeight w:val="232"/>
        </w:trPr>
        <w:tc>
          <w:tcPr>
            <w:tcW w:w="3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Allowance for credit losses</w:t>
            </w:r>
          </w:p>
        </w:tc>
        <w:tc>
          <w:tcPr>
            <w:tcW w:w="5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r>
      <w:tr>
        <w:trPr>
          <w:trHeight w:val="232"/>
        </w:trPr>
        <w:tc>
          <w:tcPr>
            <w:tcW w:w="3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Loans receivable, net</w:t>
            </w:r>
          </w:p>
        </w:tc>
        <w:tc>
          <w:tcPr>
            <w:tcW w:w="5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0946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sect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Property and equipment, net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 receivable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33"/>
        </w:trPr>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25"/>
        </w:trPr>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-335915</wp:posOffset>
            </wp:positionV>
            <wp:extent cx="7109460" cy="15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760" w:space="720"/>
            <w:col w:w="2720"/>
          </w:cols>
          <w:pgMar w:left="320" w:top="916" w:right="37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8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2300"/>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secured line of credit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5"/>
        </w:trPr>
        <w:tc>
          <w:tcPr>
            <w:tcW w:w="8480" w:type="dxa"/>
            <w:vAlign w:val="bottom"/>
          </w:tcPr>
          <w:p>
            <w:pPr>
              <w:ind w:left="340"/>
              <w:spacing w:after="0"/>
              <w:rPr>
                <w:sz w:val="20"/>
                <w:szCs w:val="20"/>
                <w:color w:val="auto"/>
              </w:rPr>
            </w:pPr>
            <w:r>
              <w:rPr>
                <w:rFonts w:ascii="Arial" w:cs="Arial" w:eastAsia="Arial" w:hAnsi="Arial"/>
                <w:sz w:val="18"/>
                <w:szCs w:val="18"/>
                <w:color w:val="auto"/>
              </w:rPr>
              <w:t>Secured financing</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3,711.6</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notes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25"/>
        </w:trPr>
        <w:tc>
          <w:tcPr>
            <w:tcW w:w="8480" w:type="dxa"/>
            <w:vAlign w:val="bottom"/>
          </w:tcPr>
          <w:p>
            <w:pPr>
              <w:ind w:left="340"/>
              <w:spacing w:after="0"/>
              <w:rPr>
                <w:sz w:val="20"/>
                <w:szCs w:val="20"/>
                <w:color w:val="auto"/>
              </w:rPr>
            </w:pPr>
            <w:r>
              <w:rPr>
                <w:rFonts w:ascii="Arial" w:cs="Arial" w:eastAsia="Arial" w:hAnsi="Arial"/>
                <w:sz w:val="18"/>
                <w:szCs w:val="18"/>
                <w:color w:val="auto"/>
              </w:rPr>
              <w:t>Mortgage note</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2"/>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2"/>
        </w:trPr>
        <w:tc>
          <w:tcPr>
            <w:tcW w:w="8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0" w:type="dxa"/>
            <w:vAlign w:val="bottom"/>
          </w:tcPr>
          <w:p>
            <w:pPr>
              <w:spacing w:after="0"/>
              <w:rPr>
                <w:sz w:val="1"/>
                <w:szCs w:val="1"/>
                <w:color w:val="auto"/>
              </w:rPr>
            </w:pPr>
          </w:p>
        </w:tc>
      </w:tr>
      <w:tr>
        <w:trPr>
          <w:trHeight w:val="252"/>
        </w:trPr>
        <w:tc>
          <w:tcPr>
            <w:tcW w:w="8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 See Note 16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480" w:type="dxa"/>
            <w:vAlign w:val="bottom"/>
          </w:tcPr>
          <w:p>
            <w:pPr>
              <w:ind w:left="340"/>
              <w:spacing w:after="0" w:line="173" w:lineRule="exact"/>
              <w:rPr>
                <w:sz w:val="20"/>
                <w:szCs w:val="20"/>
                <w:color w:val="auto"/>
              </w:rPr>
            </w:pPr>
            <w:r>
              <w:rPr>
                <w:rFonts w:ascii="Arial" w:cs="Arial" w:eastAsia="Arial" w:hAnsi="Arial"/>
                <w:sz w:val="18"/>
                <w:szCs w:val="18"/>
                <w:color w:val="auto"/>
              </w:rPr>
              <w:t>Common stock, $.01 par value, 80,000,000 shares authorized, 14,145,888 and</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480" w:type="dxa"/>
            <w:vAlign w:val="bottom"/>
          </w:tcPr>
          <w:p>
            <w:pPr>
              <w:ind w:left="340"/>
              <w:spacing w:after="0" w:line="172" w:lineRule="exact"/>
              <w:rPr>
                <w:sz w:val="20"/>
                <w:szCs w:val="20"/>
                <w:color w:val="auto"/>
              </w:rPr>
            </w:pPr>
            <w:r>
              <w:rPr>
                <w:rFonts w:ascii="Arial" w:cs="Arial" w:eastAsia="Arial" w:hAnsi="Arial"/>
                <w:sz w:val="18"/>
                <w:szCs w:val="18"/>
                <w:color w:val="auto"/>
              </w:rPr>
              <w:t>17,092,432 shares issued and outstanding as of December 31, 2021 and</w:t>
            </w: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848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5"/>
        </w:trPr>
        <w:tc>
          <w:tcPr>
            <w:tcW w:w="84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2,138.8</w:t>
            </w:r>
          </w:p>
        </w:tc>
        <w:tc>
          <w:tcPr>
            <w:tcW w:w="0" w:type="dxa"/>
            <w:vAlign w:val="bottom"/>
          </w:tcPr>
          <w:p>
            <w:pPr>
              <w:spacing w:after="0"/>
              <w:rPr>
                <w:sz w:val="1"/>
                <w:szCs w:val="1"/>
                <w:color w:val="auto"/>
              </w:rPr>
            </w:pPr>
          </w:p>
        </w:tc>
      </w:tr>
      <w:tr>
        <w:trPr>
          <w:trHeight w:val="232"/>
        </w:trPr>
        <w:tc>
          <w:tcPr>
            <w:tcW w:w="8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2"/>
        </w:trPr>
        <w:tc>
          <w:tcPr>
            <w:tcW w:w="8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type w:val="continuous"/>
        </w:sectPr>
      </w:pPr>
    </w:p>
    <w:bookmarkStart w:id="47" w:name="page48"/>
    <w:bookmarkEnd w:id="47"/>
    <w:p>
      <w:pPr>
        <w:jc w:val="center"/>
        <w:ind w:right="-359"/>
        <w:spacing w:after="0"/>
        <w:rPr>
          <w:sz w:val="20"/>
          <w:szCs w:val="20"/>
          <w:color w:val="auto"/>
        </w:rPr>
      </w:pPr>
      <w:r>
        <w:rPr>
          <w:rFonts w:ascii="Arial" w:cs="Arial" w:eastAsia="Arial" w:hAnsi="Arial"/>
          <w:sz w:val="18"/>
          <w:szCs w:val="18"/>
          <w:b w:val="1"/>
          <w:bCs w:val="1"/>
          <w:color w:val="auto"/>
        </w:rPr>
        <w:t>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6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charges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Salaries and wages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claims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2"/>
        </w:trPr>
        <w:tc>
          <w:tcPr>
            <w:tcW w:w="70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5"/>
        </w:trPr>
        <w:tc>
          <w:tcPr>
            <w:tcW w:w="70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1"/>
        </w:trPr>
        <w:tc>
          <w:tcPr>
            <w:tcW w:w="70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6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17,858,935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18,900,256</w:t>
            </w:r>
          </w:p>
        </w:tc>
        <w:tc>
          <w:tcPr>
            <w:tcW w:w="0" w:type="dxa"/>
            <w:vAlign w:val="bottom"/>
          </w:tcPr>
          <w:p>
            <w:pPr>
              <w:spacing w:after="0"/>
              <w:rPr>
                <w:sz w:val="1"/>
                <w:szCs w:val="1"/>
                <w:color w:val="auto"/>
              </w:rPr>
            </w:pPr>
          </w:p>
        </w:tc>
      </w:tr>
      <w:tr>
        <w:trPr>
          <w:trHeight w:val="224"/>
        </w:trPr>
        <w:tc>
          <w:tcPr>
            <w:tcW w:w="7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16,100,552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17,935,779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18,976,560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916" w:right="3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type w:val="continuous"/>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w w:val="98"/>
              </w:rPr>
              <w:t>For the Years Ended December 31,</w:t>
            </w:r>
          </w:p>
        </w:tc>
        <w:tc>
          <w:tcPr>
            <w:tcW w:w="900" w:type="dxa"/>
            <w:vAlign w:val="bottom"/>
            <w:tcBorders>
              <w:bottom w:val="single" w:sz="8" w:color="auto"/>
            </w:tcBorders>
          </w:tcPr>
          <w:p>
            <w:pPr>
              <w:spacing w:after="0"/>
              <w:rPr>
                <w:sz w:val="17"/>
                <w:szCs w:val="17"/>
                <w:color w:val="auto"/>
              </w:rPr>
            </w:pPr>
          </w:p>
        </w:tc>
      </w:tr>
      <w:tr>
        <w:trPr>
          <w:trHeight w:val="192"/>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2"/>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 (loss) on securities, net of tax</w:t>
            </w: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2"/>
        </w:trPr>
        <w:tc>
          <w:tcPr>
            <w:tcW w:w="7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956.9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916" w:right="3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type w:val="continuous"/>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24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 Other</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 Capital</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18,972,558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Restricted stock awards, net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forfeitures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(712,448)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9"/>
              </w:rPr>
              <w:t>Restricted stock units converted to</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87,842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18,352,779</w:t>
            </w:r>
          </w:p>
        </w:tc>
        <w:tc>
          <w:tcPr>
            <w:tcW w:w="100" w:type="dxa"/>
            <w:vAlign w:val="bottom"/>
            <w:tcBorders>
              <w:top w:val="single" w:sz="8" w:color="CCEEFF"/>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CEEFF"/>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2,196.6</w:t>
            </w:r>
          </w:p>
        </w:tc>
        <w:tc>
          <w:tcPr>
            <w:tcW w:w="10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3"/>
        </w:trPr>
        <w:tc>
          <w:tcPr>
            <w:tcW w:w="3100" w:type="dxa"/>
            <w:vAlign w:val="bottom"/>
          </w:tcPr>
          <w:p>
            <w:pPr>
              <w:ind w:left="340"/>
              <w:spacing w:after="0" w:line="173" w:lineRule="exact"/>
              <w:rPr>
                <w:sz w:val="20"/>
                <w:szCs w:val="20"/>
                <w:color w:val="auto"/>
              </w:rPr>
            </w:pPr>
            <w:r>
              <w:rPr>
                <w:rFonts w:ascii="Arial" w:cs="Arial" w:eastAsia="Arial" w:hAnsi="Arial"/>
                <w:sz w:val="18"/>
                <w:szCs w:val="18"/>
                <w:color w:val="auto"/>
              </w:rPr>
              <w:t>Restricted stock awards, net of</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tcPr>
          <w:p>
            <w:pPr>
              <w:ind w:left="500"/>
              <w:spacing w:after="0"/>
              <w:rPr>
                <w:sz w:val="20"/>
                <w:szCs w:val="20"/>
                <w:color w:val="auto"/>
              </w:rPr>
            </w:pPr>
            <w:r>
              <w:rPr>
                <w:rFonts w:ascii="Arial" w:cs="Arial" w:eastAsia="Arial" w:hAnsi="Arial"/>
                <w:sz w:val="18"/>
                <w:szCs w:val="18"/>
                <w:color w:val="auto"/>
              </w:rPr>
              <w:t>forfeitures</w:t>
            </w: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173"/>
        </w:trPr>
        <w:tc>
          <w:tcPr>
            <w:tcW w:w="3100" w:type="dxa"/>
            <w:vAlign w:val="bottom"/>
          </w:tcPr>
          <w:p>
            <w:pPr>
              <w:ind w:left="340"/>
              <w:spacing w:after="0" w:line="173" w:lineRule="exact"/>
              <w:rPr>
                <w:sz w:val="20"/>
                <w:szCs w:val="20"/>
                <w:color w:val="auto"/>
              </w:rPr>
            </w:pPr>
            <w:r>
              <w:rPr>
                <w:rFonts w:ascii="Arial" w:cs="Arial" w:eastAsia="Arial" w:hAnsi="Arial"/>
                <w:sz w:val="18"/>
                <w:szCs w:val="18"/>
                <w:color w:val="auto"/>
                <w:w w:val="99"/>
              </w:rPr>
              <w:t>Restricted stock units converted to</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21,971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w:t>
            </w:r>
          </w:p>
        </w:tc>
        <w:tc>
          <w:tcPr>
            <w:tcW w:w="0" w:type="dxa"/>
            <w:vAlign w:val="bottom"/>
          </w:tcPr>
          <w:p>
            <w:pPr>
              <w:spacing w:after="0"/>
              <w:rPr>
                <w:sz w:val="1"/>
                <w:szCs w:val="1"/>
                <w:color w:val="auto"/>
              </w:rPr>
            </w:pPr>
          </w:p>
        </w:tc>
      </w:tr>
      <w:tr>
        <w:trPr>
          <w:trHeight w:val="211"/>
        </w:trPr>
        <w:tc>
          <w:tcPr>
            <w:tcW w:w="3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Restricted stock awards, net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(109,085)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forfeitures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(2,884,126)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(1,471.8)</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9"/>
              </w:rPr>
              <w:t>Restricted stock units converted to</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34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916" w:right="399" w:bottom="1440" w:gutter="0" w:footer="0" w:header="0"/>
        </w:sectPr>
      </w:pPr>
    </w:p>
    <w:bookmarkStart w:id="50" w:name="page51"/>
    <w:bookmarkEnd w:id="50"/>
    <w:p>
      <w:pPr>
        <w:jc w:val="center"/>
        <w:ind w:right="-3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Adjustments to reconcile cash provided by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5"/>
        </w:trPr>
        <w:tc>
          <w:tcPr>
            <w:tcW w:w="706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5"/>
        </w:trPr>
        <w:tc>
          <w:tcPr>
            <w:tcW w:w="7060" w:type="dxa"/>
            <w:vAlign w:val="bottom"/>
          </w:tcPr>
          <w:p>
            <w:pPr>
              <w:ind w:left="460"/>
              <w:spacing w:after="0"/>
              <w:rPr>
                <w:sz w:val="20"/>
                <w:szCs w:val="20"/>
                <w:color w:val="auto"/>
              </w:rPr>
            </w:pPr>
            <w:r>
              <w:rPr>
                <w:rFonts w:ascii="Arial" w:cs="Arial" w:eastAsia="Arial" w:hAnsi="Arial"/>
                <w:sz w:val="18"/>
                <w:szCs w:val="18"/>
                <w:color w:val="auto"/>
              </w:rPr>
              <w:t>Provision for deferred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5"/>
        </w:trPr>
        <w:tc>
          <w:tcPr>
            <w:tcW w:w="7060" w:type="dxa"/>
            <w:vAlign w:val="bottom"/>
          </w:tcPr>
          <w:p>
            <w:pPr>
              <w:ind w:left="46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Increase (decrease) in accounts payable and accrued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5"/>
        </w:trPr>
        <w:tc>
          <w:tcPr>
            <w:tcW w:w="7060" w:type="dxa"/>
            <w:vAlign w:val="bottom"/>
          </w:tcPr>
          <w:p>
            <w:pPr>
              <w:ind w:left="460"/>
              <w:spacing w:after="0"/>
              <w:rPr>
                <w:sz w:val="20"/>
                <w:szCs w:val="20"/>
                <w:color w:val="auto"/>
              </w:rPr>
            </w:pPr>
            <w:r>
              <w:rPr>
                <w:rFonts w:ascii="Arial" w:cs="Arial" w:eastAsia="Arial" w:hAnsi="Arial"/>
                <w:sz w:val="18"/>
                <w:szCs w:val="18"/>
                <w:color w:val="auto"/>
              </w:rPr>
              <w:t>Decrease (increase) in income taxes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Decrease in income taxes payable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Decrease (increase) in other assets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1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restricted securities available for sale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Proceeds from sale of restricted securities available for sale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Maturities of restricted securities available for sale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Principal collected on Loans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2,971.2</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Dealers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Purchases of Consumer Loans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payments of Dealer Holdback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Payments of Dealer Holdback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Borrowings under revolving secured line of credit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3,846.7</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under revolving secured line of credit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Proceeds from secured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secured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Proceeds from issuance of senior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senior notes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Payments of debt issuance costs and debt extinguishment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5"/>
        </w:trPr>
        <w:tc>
          <w:tcPr>
            <w:tcW w:w="7060" w:type="dxa"/>
            <w:vAlign w:val="bottom"/>
          </w:tcPr>
          <w:p>
            <w:pPr>
              <w:ind w:left="140"/>
              <w:spacing w:after="0"/>
              <w:rPr>
                <w:sz w:val="20"/>
                <w:szCs w:val="20"/>
                <w:color w:val="auto"/>
              </w:rPr>
            </w:pPr>
            <w:r>
              <w:rPr>
                <w:rFonts w:ascii="Arial" w:cs="Arial" w:eastAsia="Arial" w:hAnsi="Arial"/>
                <w:sz w:val="18"/>
                <w:szCs w:val="18"/>
                <w:color w:val="auto"/>
              </w:rPr>
              <w:t>Proceeds from stock options exercised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Net increase (decrease) in cash and cash equivalents and restricted cash and cash equivalents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w w:val="92"/>
              </w:rPr>
              <w:t>Cash and cash equivalents and restricted cash and cash equivalents, beginning of period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8"/>
              </w:rPr>
              <w:t>Cash and cash equivalents and restricted cash and cash equivalents, end of period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 interest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4"/>
        </w:trPr>
        <w:tc>
          <w:tcPr>
            <w:tcW w:w="7060" w:type="dxa"/>
            <w:vAlign w:val="bottom"/>
          </w:tcPr>
          <w:p>
            <w:pPr>
              <w:ind w:left="340"/>
              <w:spacing w:after="0"/>
              <w:rPr>
                <w:sz w:val="20"/>
                <w:szCs w:val="20"/>
                <w:color w:val="auto"/>
              </w:rPr>
            </w:pPr>
            <w:r>
              <w:rPr>
                <w:rFonts w:ascii="Arial" w:cs="Arial" w:eastAsia="Arial" w:hAnsi="Arial"/>
                <w:sz w:val="18"/>
                <w:szCs w:val="18"/>
                <w:color w:val="auto"/>
              </w:rPr>
              <w:t>Cash paid during the period for income taxes, net of refunds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0"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Principal Business. </w:t>
      </w:r>
      <w:r>
        <w:rPr>
          <w:rFonts w:ascii="Arial" w:cs="Arial" w:eastAsia="Arial" w:hAnsi="Arial"/>
          <w:sz w:val="18"/>
          <w:szCs w:val="18"/>
          <w:color w:val="auto"/>
        </w:rPr>
        <w:t>Since 1972, Credit Acceptance Corporation (referred to as the “Company”, “Credit Acceptance”, “we”, “our” or “us”) has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Substantially all of the Consumer Loans assigned to us are made to consumers with impaired or limited credit histories. The following table shows the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18"/>
                <w:szCs w:val="18"/>
                <w:color w:val="auto"/>
                <w:w w:val="99"/>
              </w:rPr>
              <w:t>percentage</w:t>
            </w:r>
          </w:p>
        </w:tc>
        <w:tc>
          <w:tcPr>
            <w:tcW w:w="400" w:type="dxa"/>
            <w:vAlign w:val="bottom"/>
          </w:tcPr>
          <w:p>
            <w:pPr>
              <w:ind w:left="140"/>
              <w:spacing w:after="0"/>
              <w:rPr>
                <w:sz w:val="20"/>
                <w:szCs w:val="20"/>
                <w:color w:val="auto"/>
              </w:rPr>
            </w:pPr>
            <w:r>
              <w:rPr>
                <w:rFonts w:ascii="Arial" w:cs="Arial" w:eastAsia="Arial" w:hAnsi="Arial"/>
                <w:sz w:val="18"/>
                <w:szCs w:val="18"/>
                <w:color w:val="auto"/>
              </w:rPr>
              <w:t>of</w:t>
            </w:r>
          </w:p>
        </w:tc>
        <w:tc>
          <w:tcPr>
            <w:tcW w:w="10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720" w:type="dxa"/>
            <w:vAlign w:val="bottom"/>
          </w:tcPr>
          <w:p>
            <w:pPr>
              <w:ind w:left="140"/>
              <w:spacing w:after="0"/>
              <w:rPr>
                <w:sz w:val="20"/>
                <w:szCs w:val="20"/>
                <w:color w:val="auto"/>
              </w:rPr>
            </w:pPr>
            <w:r>
              <w:rPr>
                <w:rFonts w:ascii="Arial" w:cs="Arial" w:eastAsia="Arial" w:hAnsi="Arial"/>
                <w:sz w:val="18"/>
                <w:szCs w:val="18"/>
                <w:color w:val="auto"/>
              </w:rPr>
              <w:t>Loans</w:t>
            </w:r>
          </w:p>
        </w:tc>
        <w:tc>
          <w:tcPr>
            <w:tcW w:w="900" w:type="dxa"/>
            <w:vAlign w:val="bottom"/>
          </w:tcPr>
          <w:p>
            <w:pPr>
              <w:ind w:left="140"/>
              <w:spacing w:after="0"/>
              <w:rPr>
                <w:sz w:val="20"/>
                <w:szCs w:val="20"/>
                <w:color w:val="auto"/>
              </w:rPr>
            </w:pPr>
            <w:r>
              <w:rPr>
                <w:rFonts w:ascii="Arial" w:cs="Arial" w:eastAsia="Arial" w:hAnsi="Arial"/>
                <w:sz w:val="18"/>
                <w:szCs w:val="18"/>
                <w:color w:val="auto"/>
              </w:rPr>
              <w:t>assigned</w:t>
            </w:r>
          </w:p>
        </w:tc>
        <w:tc>
          <w:tcPr>
            <w:tcW w:w="560" w:type="dxa"/>
            <w:vAlign w:val="bottom"/>
          </w:tcPr>
          <w:p>
            <w:pPr>
              <w:ind w:left="140"/>
              <w:spacing w:after="0"/>
              <w:rPr>
                <w:sz w:val="20"/>
                <w:szCs w:val="20"/>
                <w:color w:val="auto"/>
              </w:rPr>
            </w:pPr>
            <w:r>
              <w:rPr>
                <w:rFonts w:ascii="Arial" w:cs="Arial" w:eastAsia="Arial" w:hAnsi="Arial"/>
                <w:sz w:val="18"/>
                <w:szCs w:val="18"/>
                <w:color w:val="auto"/>
              </w:rPr>
              <w:t>to</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580" w:type="dxa"/>
            <w:vAlign w:val="bottom"/>
          </w:tcPr>
          <w:p>
            <w:pPr>
              <w:ind w:left="120"/>
              <w:spacing w:after="0"/>
              <w:rPr>
                <w:sz w:val="20"/>
                <w:szCs w:val="20"/>
                <w:color w:val="auto"/>
              </w:rPr>
            </w:pPr>
            <w:r>
              <w:rPr>
                <w:rFonts w:ascii="Arial" w:cs="Arial" w:eastAsia="Arial" w:hAnsi="Arial"/>
                <w:sz w:val="18"/>
                <w:szCs w:val="18"/>
                <w:color w:val="auto"/>
              </w:rPr>
              <w:t>with</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either</w:t>
            </w: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scores</w:t>
            </w:r>
          </w:p>
        </w:tc>
        <w:tc>
          <w:tcPr>
            <w:tcW w:w="560" w:type="dxa"/>
            <w:vAlign w:val="bottom"/>
          </w:tcPr>
          <w:p>
            <w:pPr>
              <w:ind w:left="140"/>
              <w:spacing w:after="0"/>
              <w:rPr>
                <w:sz w:val="20"/>
                <w:szCs w:val="20"/>
                <w:color w:val="auto"/>
              </w:rPr>
            </w:pPr>
            <w:r>
              <w:rPr>
                <w:rFonts w:ascii="Arial" w:cs="Arial" w:eastAsia="Arial" w:hAnsi="Arial"/>
                <w:sz w:val="18"/>
                <w:szCs w:val="18"/>
                <w:color w:val="auto"/>
                <w:w w:val="84"/>
              </w:rPr>
              <w:t>below</w:t>
            </w:r>
          </w:p>
        </w:tc>
        <w:tc>
          <w:tcPr>
            <w:tcW w:w="620" w:type="dxa"/>
            <w:vAlign w:val="bottom"/>
          </w:tcPr>
          <w:p>
            <w:pPr>
              <w:jc w:val="right"/>
              <w:spacing w:after="0"/>
              <w:rPr>
                <w:sz w:val="20"/>
                <w:szCs w:val="20"/>
                <w:color w:val="auto"/>
              </w:rPr>
            </w:pPr>
            <w:r>
              <w:rPr>
                <w:rFonts w:ascii="Arial" w:cs="Arial" w:eastAsia="Arial" w:hAnsi="Arial"/>
                <w:sz w:val="18"/>
                <w:szCs w:val="18"/>
                <w:color w:val="auto"/>
              </w:rPr>
              <w:t>650</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or</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900" w:type="dxa"/>
            <w:vAlign w:val="bottom"/>
          </w:tcPr>
          <w:p>
            <w:pPr>
              <w:jc w:val="right"/>
              <w:ind w:right="178"/>
              <w:spacing w:after="0"/>
              <w:rPr>
                <w:sz w:val="20"/>
                <w:szCs w:val="20"/>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2"/>
              </w:rPr>
              <w:t>scores:</w:t>
            </w: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For the Years Ended December 31,</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Consumer Loan Assignment Volume</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40" w:type="dxa"/>
            <w:vAlign w:val="bottom"/>
            <w:gridSpan w:val="6"/>
            <w:shd w:val="clear" w:color="auto" w:fill="CCEEFF"/>
          </w:tcPr>
          <w:p>
            <w:pPr>
              <w:ind w:left="20"/>
              <w:spacing w:after="0" w:line="173" w:lineRule="exact"/>
              <w:rPr>
                <w:sz w:val="20"/>
                <w:szCs w:val="20"/>
                <w:color w:val="auto"/>
              </w:rPr>
            </w:pPr>
            <w:r>
              <w:rPr>
                <w:rFonts w:ascii="Arial" w:cs="Arial" w:eastAsia="Arial" w:hAnsi="Arial"/>
                <w:sz w:val="15"/>
                <w:szCs w:val="15"/>
                <w:color w:val="auto"/>
              </w:rPr>
              <w:t>Percentage of total unit volume with either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scores below</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1"/>
              </w:rPr>
              <w:t>91.0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85"/>
              </w:rPr>
              <w:t>94.9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360" w:type="dxa"/>
            <w:vAlign w:val="bottom"/>
            <w:gridSpan w:val="3"/>
            <w:shd w:val="clear" w:color="auto" w:fill="CCEEFF"/>
          </w:tcPr>
          <w:p>
            <w:pPr>
              <w:ind w:left="180"/>
              <w:spacing w:after="0" w:line="225" w:lineRule="exact"/>
              <w:rPr>
                <w:sz w:val="20"/>
                <w:szCs w:val="20"/>
                <w:color w:val="auto"/>
              </w:rPr>
            </w:pPr>
            <w:r>
              <w:rPr>
                <w:rFonts w:ascii="Arial" w:cs="Arial" w:eastAsia="Arial" w:hAnsi="Arial"/>
                <w:sz w:val="18"/>
                <w:szCs w:val="18"/>
                <w:color w:val="auto"/>
              </w:rPr>
              <w:t>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17" w:lineRule="auto"/>
        <w:rPr>
          <w:sz w:val="20"/>
          <w:szCs w:val="20"/>
          <w:color w:val="auto"/>
        </w:rPr>
      </w:pPr>
      <w:r>
        <w:rPr>
          <w:rFonts w:ascii="Arial" w:cs="Arial" w:eastAsia="Arial" w:hAnsi="Arial"/>
          <w:sz w:val="18"/>
          <w:szCs w:val="18"/>
          <w:color w:val="auto"/>
        </w:rPr>
        <w:t>In 2020, we began piloting an option that expanded our financing programs to consumers with higher credit ratings. In the fourth quarter of 2021, we made this option available to all Dealers. A portion of the reduction in the percentage of total unit volume with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relates to Consumer Loans assigned under this option.</w:t>
      </w:r>
    </w:p>
    <w:p>
      <w:pPr>
        <w:spacing w:after="0" w:line="23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4"/>
          </w:tcPr>
          <w:p>
            <w:pPr>
              <w:ind w:left="1260"/>
              <w:spacing w:after="0"/>
              <w:rPr>
                <w:sz w:val="20"/>
                <w:szCs w:val="20"/>
                <w:color w:val="auto"/>
              </w:rPr>
            </w:pPr>
            <w:r>
              <w:rPr>
                <w:rFonts w:ascii="Arial" w:cs="Arial" w:eastAsia="Arial" w:hAnsi="Arial"/>
                <w:sz w:val="14"/>
                <w:szCs w:val="14"/>
                <w:b w:val="1"/>
                <w:bCs w:val="1"/>
                <w:color w:val="auto"/>
              </w:rPr>
              <w:t>Unit Volume</w:t>
            </w:r>
          </w:p>
        </w:tc>
        <w:tc>
          <w:tcPr>
            <w:tcW w:w="3320" w:type="dxa"/>
            <w:vAlign w:val="bottom"/>
            <w:gridSpan w:val="3"/>
          </w:tcPr>
          <w:p>
            <w:pPr>
              <w:jc w:val="right"/>
              <w:ind w:right="1036"/>
              <w:spacing w:after="0"/>
              <w:rPr>
                <w:sz w:val="20"/>
                <w:szCs w:val="20"/>
                <w:color w:val="auto"/>
              </w:rPr>
            </w:pPr>
            <w:r>
              <w:rPr>
                <w:rFonts w:ascii="Arial" w:cs="Arial" w:eastAsia="Arial" w:hAnsi="Arial"/>
                <w:sz w:val="14"/>
                <w:szCs w:val="14"/>
                <w:b w:val="1"/>
                <w:bCs w:val="1"/>
                <w:color w:val="auto"/>
              </w:rPr>
              <w:t>Dollar Volume (1)</w:t>
            </w:r>
          </w:p>
        </w:tc>
      </w:tr>
      <w:tr>
        <w:trPr>
          <w:trHeight w:val="192"/>
        </w:trPr>
        <w:tc>
          <w:tcPr>
            <w:tcW w:w="4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For the Years Ended December 31,</w:t>
            </w:r>
          </w:p>
        </w:tc>
        <w:tc>
          <w:tcPr>
            <w:tcW w:w="16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Dealer Loans</w:t>
            </w:r>
          </w:p>
        </w:tc>
        <w:tc>
          <w:tcPr>
            <w:tcW w:w="160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Purchased Loans</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62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Purchased Loans</w:t>
            </w:r>
          </w:p>
        </w:tc>
      </w:tr>
      <w:tr>
        <w:trPr>
          <w:trHeight w:val="225"/>
        </w:trPr>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25"/>
        </w:trPr>
        <w:tc>
          <w:tcPr>
            <w:tcW w:w="434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64.1 %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39.4 %</w:t>
            </w:r>
          </w:p>
        </w:tc>
      </w:tr>
      <w:tr>
        <w:trPr>
          <w:trHeight w:val="226"/>
        </w:trPr>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bl>
    <w:p>
      <w:pPr>
        <w:spacing w:after="0" w:line="299" w:lineRule="exact"/>
        <w:rPr>
          <w:sz w:val="20"/>
          <w:szCs w:val="20"/>
          <w:color w:val="auto"/>
        </w:rPr>
      </w:pPr>
    </w:p>
    <w:p>
      <w:pPr>
        <w:ind w:left="480" w:hanging="315"/>
        <w:spacing w:after="0" w:line="265" w:lineRule="auto"/>
        <w:tabs>
          <w:tab w:leader="none" w:pos="472"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Portfolio Program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44" w:lineRule="exact"/>
        <w:rPr>
          <w:sz w:val="20"/>
          <w:szCs w:val="20"/>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5" w:lineRule="exact"/>
        <w:rPr>
          <w:rFonts w:ascii="Arial" w:cs="Arial" w:eastAsia="Arial" w:hAnsi="Arial"/>
          <w:sz w:val="18"/>
          <w:szCs w:val="18"/>
          <w:color w:val="auto"/>
        </w:rPr>
      </w:pPr>
    </w:p>
    <w:p>
      <w:pPr>
        <w:ind w:left="800" w:right="20" w:hanging="317"/>
        <w:spacing w:after="0" w:line="251"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record the amount advanced to the Dealer as a Dealer Loan, which is classified within Loans receivable in our consolidated balance sheets. Cash advanced to the Dealer is automatically assigned to the Dealer’s open pool of advances. Prior to August 5, 2019, we generally required Dealers to group advances into pools of at least 100 Consumer Loans. Beginning August 5, 2019, Dealers may also elect to close a pool containing at least 50 Consumer Loans and assign subsequent advances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207" w:lineRule="exact"/>
        <w:rPr>
          <w:sz w:val="20"/>
          <w:szCs w:val="20"/>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Purchase Program</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Program Enrollment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Beginning August 5, 2019, Dealers may enroll in our Portfolio Program without incurring an enrollment fee. Prior to August 5, 2019, Dealers enrolled in our Portfolio Program by (1) paying an up-front, one-time fee of $9,850, or (2) agreeing to allow us to retain 50% of their accelerated Dealer Holdback payment(s) on the first 100 Consumer Loan assignments.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Access to the Purchase Program is typically only granted to Dealers that meet one of the following:</w:t>
      </w:r>
    </w:p>
    <w:p>
      <w:pPr>
        <w:spacing w:after="0" w:line="244" w:lineRule="exact"/>
        <w:rPr>
          <w:sz w:val="20"/>
          <w:szCs w:val="20"/>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assigned at least 100 Consumer Loans under the Portfolio Program;</w:t>
      </w:r>
    </w:p>
    <w:p>
      <w:pPr>
        <w:spacing w:after="0" w:line="16"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ind w:right="6320" w:firstLine="6"/>
        <w:spacing w:after="0" w:line="525" w:lineRule="auto"/>
        <w:tabs>
          <w:tab w:leader="none" w:pos="309"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consolidated financial statements include our accounts and our wholly-owned subsidiaries. All significant intercompany transactions have been eliminated. Our primary subsidiaries as of December 31, 2021 are: Buyer’s Vehicle Protection Plan, Inc. (“BVPP”), Vehicle Remarketing Services, Inc. (“VRS”), VSC Re Company (“VSC Re”), CAC Warehouse Funding LLC II, CAC Warehouse Funding LLC IV, CAC Warehouse Funding LLC V, CAC Warehouse Funding LLC VI, CAC Warehouse Funding LLC VIII, Credit Acceptance Funding LLC 2019-1, Credit Acceptance Funding LLC 2019-2, Credit Acceptance Funding LLC 2019-3, Credit Acceptance Funding LLC 2020-1, Credit Acceptance Funding LLC 2020-2 Credit Acceptance Funding LLC 2020-3, Credit Acceptance Funding LLC 2021-1, Credit Acceptance Funding LLC 2021-2, Credit Acceptance Funding LLC 2021-3 and Credit Acceptance Funding LLC 2021-4.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currently operate in one reportable segment which represents our core business of offering financing programs that enable Dealers to sell vehicles to consumers regardless of their credit history. For information regarding our one reportable segment and related entity wide disclosures, see Note 15 to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significant estimation include the allowance for credit losses, finance charge revenue, premiums earned, contingencies, and uncertain tax positions. Actual results could materially differ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Cash Equivalents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December 31, 2021 and 2020, we had $22.9 million and $15.7 million, respectively, in cash and cash equivalents that were not insured by the Federal Deposit Insurance Corporation (“FDIC”).</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December 31, 2021 and 2020, we had $407.9 million and $376.9 million, respectively, in restricted cash and cash equivalents that were not insured by the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2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32"/>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cash and cash equivalents and restricted cash and cash equivalents</w:t>
            </w:r>
          </w:p>
        </w:tc>
        <w:tc>
          <w:tcPr>
            <w:tcW w:w="1180" w:type="dxa"/>
            <w:vAlign w:val="bottom"/>
            <w:tcBorders>
              <w:bottom w:val="single" w:sz="8" w:color="auto"/>
            </w:tcBorders>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55" w:lineRule="exact"/>
        <w:rPr>
          <w:sz w:val="20"/>
          <w:szCs w:val="20"/>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16" w:lineRule="exact"/>
        <w:rPr>
          <w:rFonts w:ascii="Arial" w:cs="Arial" w:eastAsia="Arial" w:hAnsi="Arial"/>
          <w:sz w:val="18"/>
          <w:szCs w:val="18"/>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55" w:lineRule="exact"/>
        <w:rPr>
          <w:sz w:val="20"/>
          <w:szCs w:val="20"/>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16" w:lineRule="exact"/>
        <w:rPr>
          <w:rFonts w:ascii="Arial" w:cs="Arial" w:eastAsia="Arial" w:hAnsi="Arial"/>
          <w:sz w:val="18"/>
          <w:szCs w:val="18"/>
          <w:color w:val="auto"/>
        </w:rPr>
      </w:pPr>
    </w:p>
    <w:p>
      <w:pPr>
        <w:ind w:left="800" w:hanging="317"/>
        <w:spacing w:after="0" w:line="251" w:lineRule="auto"/>
        <w:tabs>
          <w:tab w:leader="none" w:pos="7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1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i w:val="1"/>
          <w:iCs w:val="1"/>
          <w:color w:val="auto"/>
        </w:rPr>
        <w:t xml:space="preserve">Portfolio Segments and Classes. </w:t>
      </w:r>
      <w:r>
        <w:rPr>
          <w:rFonts w:ascii="Arial" w:cs="Arial" w:eastAsia="Arial" w:hAnsi="Arial"/>
          <w:sz w:val="18"/>
          <w:szCs w:val="18"/>
          <w:color w:val="auto"/>
        </w:rPr>
        <w:t>Our Loan portfolio consists of two portfolio segments: Dealer Loans and Purchased Loans. Our determination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following:</w:t>
      </w:r>
    </w:p>
    <w:p>
      <w:pPr>
        <w:spacing w:after="0" w:line="1" w:lineRule="exact"/>
        <w:rPr>
          <w:sz w:val="20"/>
          <w:szCs w:val="20"/>
          <w:color w:val="auto"/>
        </w:rPr>
      </w:pPr>
    </w:p>
    <w:p>
      <w:pPr>
        <w:ind w:left="800" w:hanging="317"/>
        <w:spacing w:after="0" w:line="260" w:lineRule="auto"/>
        <w:tabs>
          <w:tab w:leader="none" w:pos="7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two financing programs: the Portfolio Program and the Purchase Program. We are considered to be a lender to our Dealers for Consumer Loans assigned under the Portfolio Program and a purchaser of Consumer Loans assigned under the Purchase Program.</w:t>
      </w:r>
    </w:p>
    <w:p>
      <w:pPr>
        <w:jc w:val="both"/>
        <w:ind w:left="800" w:hanging="317"/>
        <w:spacing w:after="0" w:line="294" w:lineRule="auto"/>
        <w:tabs>
          <w:tab w:leader="none" w:pos="795"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Portfolio Program and the Purchase Program have different levels of risk in relation to credit losses. Under the Portfolio Program, the impact of negative variances in Consumer Loan performance is mitigated by Dealer Holdback and the cross-collateralization of Consumer Loan assignments. Under the Purchase Program, we are impacted by the full amount of negative variances in Consumer Loan performance.</w:t>
      </w:r>
    </w:p>
    <w:p>
      <w:pPr>
        <w:spacing w:after="0" w:line="2" w:lineRule="exact"/>
        <w:rPr>
          <w:rFonts w:ascii="Arial" w:cs="Arial" w:eastAsia="Arial" w:hAnsi="Arial"/>
          <w:sz w:val="15"/>
          <w:szCs w:val="15"/>
          <w:color w:val="auto"/>
        </w:rPr>
      </w:pPr>
    </w:p>
    <w:p>
      <w:pPr>
        <w:jc w:val="both"/>
        <w:ind w:left="800" w:hanging="317"/>
        <w:spacing w:after="0" w:line="248" w:lineRule="auto"/>
        <w:tabs>
          <w:tab w:leader="none" w:pos="7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model is narrowly focused on Consumer Loan assignments from one industry with expected cash flows that are significantly lower than the contractual cash flows owed to us due to credit quality. We do not believe that it is meaningful to disaggregate our Loan portfolio beyond the Dealer Loans and Purchased Loans portfolio segments.</w:t>
      </w:r>
    </w:p>
    <w:p>
      <w:pPr>
        <w:spacing w:after="0" w:line="221"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Each portfolio segment consists of one class of Consumer Loan assignments, which is Consumer Loans originated by Dealers to finance purchases of vehicles and related ancillary products by consumers with impaired or limited credit histories. Our determination is based on the following:</w:t>
      </w:r>
    </w:p>
    <w:p>
      <w:pPr>
        <w:spacing w:after="0" w:line="1" w:lineRule="exact"/>
        <w:rPr>
          <w:sz w:val="20"/>
          <w:szCs w:val="20"/>
          <w:color w:val="auto"/>
        </w:rPr>
      </w:pPr>
    </w:p>
    <w:p>
      <w:pPr>
        <w:ind w:left="800" w:hanging="317"/>
        <w:spacing w:after="0" w:line="245"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the Consumer Loans assigned to us have similar risk characteristics in relation to the categorization of borrowers, type of financing receivable, industry sector and type of collateral.</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only accept Consumer Loan assignments from Dealers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2021 and 2020 Recognition and Measurement Policies. </w:t>
      </w:r>
      <w:r>
        <w:rPr>
          <w:rFonts w:ascii="Arial" w:cs="Arial" w:eastAsia="Arial" w:hAnsi="Arial"/>
          <w:sz w:val="17"/>
          <w:szCs w:val="17"/>
          <w:color w:val="auto"/>
        </w:rPr>
        <w:t>On January 1, 2020, we adopted Accounting Standards Update 2016-13, Measurement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Financial Instruments, which is known as the current expected credit loss model, or CECL. Loans outstanding prior to the adoption date qualified for transition relief and are accounted for as purchased financial assets with credit deterioration (“PCD Method”).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PCD Method, on January 1, 2020, we:</w:t>
      </w:r>
    </w:p>
    <w:p>
      <w:pPr>
        <w:spacing w:after="0" w:line="16" w:lineRule="exact"/>
        <w:rPr>
          <w:sz w:val="20"/>
          <w:szCs w:val="20"/>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calculated an effective interest rate based on expected future net cash flows; and</w:t>
      </w:r>
    </w:p>
    <w:p>
      <w:pPr>
        <w:spacing w:after="0" w:line="5" w:lineRule="exact"/>
        <w:rPr>
          <w:rFonts w:ascii="Arial" w:cs="Arial" w:eastAsia="Arial" w:hAnsi="Arial"/>
          <w:sz w:val="18"/>
          <w:szCs w:val="18"/>
          <w:color w:val="auto"/>
        </w:rPr>
      </w:pPr>
    </w:p>
    <w:p>
      <w:pPr>
        <w:jc w:val="both"/>
        <w:ind w:left="800" w:hanging="317"/>
        <w:spacing w:after="0" w:line="248"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Loans receivable and the related allowance for credit losses balances by the present value of the difference between contractual future net cash flows and expected future net cash flows discounted at the effective interest rate. This “gross-up” did not impact the net carrying amount of Loans (Loans receivable less allowance for credit losses) or net income.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PCD Method, for each reporting period subsequent to the adoption of CECL, we:</w:t>
      </w:r>
    </w:p>
    <w:p>
      <w:pPr>
        <w:spacing w:after="0" w:line="16" w:lineRule="exact"/>
        <w:rPr>
          <w:sz w:val="20"/>
          <w:szCs w:val="20"/>
          <w:color w:val="auto"/>
        </w:rPr>
      </w:pPr>
    </w:p>
    <w:p>
      <w:pPr>
        <w:ind w:left="800" w:hanging="317"/>
        <w:spacing w:after="0" w:line="245"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on the adoption date based on expected future net cash flows; and</w:t>
      </w:r>
    </w:p>
    <w:p>
      <w:pPr>
        <w:spacing w:after="0" w:line="1" w:lineRule="exact"/>
        <w:rPr>
          <w:rFonts w:ascii="Arial" w:cs="Arial" w:eastAsia="Arial" w:hAnsi="Arial"/>
          <w:sz w:val="18"/>
          <w:szCs w:val="18"/>
          <w:color w:val="auto"/>
        </w:rPr>
      </w:pPr>
    </w:p>
    <w:p>
      <w:pPr>
        <w:jc w:val="both"/>
        <w:ind w:left="800" w:hanging="317"/>
        <w:spacing w:after="0" w:line="248"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21"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Consumer Loans assigned to us on or subsequent to January 1, 2020 do not qualify for the PCD Method and are accounted for as originated financial assets (“Originated Method”). While the cash flows we expect to collect at the time of assignment are significantly lower than the contractual cash flows owed to us due to credit quality, our Loans do not qualify for the PCD Method because the assignment of the Consumer Loan to us occurs a moment after the Consumer Loan is originated by the Dealer, so “a more-than-insignificant deterioration in credit quality since origination” has not occurred at the time of assignment. In addition, Dealer Loans also do not qualify for the PCD Method because Consumer Loans assigned to us under the Portfolio Program are considered to be advances under Dealer Loans originated by us rather than Consumer Loans purchased by us.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Originated Method, at the time of assignment, we:</w:t>
      </w:r>
    </w:p>
    <w:p>
      <w:pPr>
        <w:spacing w:after="0" w:line="16" w:lineRule="exact"/>
        <w:rPr>
          <w:sz w:val="20"/>
          <w:szCs w:val="20"/>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calculate the effective interest rate based on contractual future net cash flows;</w:t>
      </w:r>
    </w:p>
    <w:p>
      <w:pPr>
        <w:spacing w:after="0" w:line="5"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record a Loan receivable equal to the advance paid to the Dealer under the Portfolio Program or purchase price paid to the Dealer under the Purchase Program; and</w:t>
      </w:r>
    </w:p>
    <w:p>
      <w:pPr>
        <w:spacing w:after="0" w:line="1" w:lineRule="exact"/>
        <w:rPr>
          <w:rFonts w:ascii="Arial" w:cs="Arial" w:eastAsia="Arial" w:hAnsi="Arial"/>
          <w:sz w:val="18"/>
          <w:szCs w:val="18"/>
          <w:color w:val="auto"/>
        </w:rPr>
      </w:pPr>
    </w:p>
    <w:p>
      <w:pPr>
        <w:ind w:left="800" w:hanging="317"/>
        <w:spacing w:after="0" w:line="349" w:lineRule="auto"/>
        <w:tabs>
          <w:tab w:leader="none" w:pos="795"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record an allowance for credit losses equal to the difference between the initial Loan receivable balance and the present value of expected future net cash flows discounted at the effective interest rate. The initial allowance for credit losses is recognized as provision for credit losses expense.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Originated Method, for each reporting period subsequent to assignment, we:</w:t>
      </w:r>
    </w:p>
    <w:p>
      <w:pPr>
        <w:spacing w:after="0" w:line="16" w:lineRule="exact"/>
        <w:rPr>
          <w:sz w:val="20"/>
          <w:szCs w:val="20"/>
          <w:color w:val="auto"/>
        </w:rPr>
      </w:pPr>
    </w:p>
    <w:p>
      <w:pPr>
        <w:ind w:left="800" w:hanging="317"/>
        <w:spacing w:after="0" w:line="245" w:lineRule="auto"/>
        <w:tabs>
          <w:tab w:leader="none" w:pos="7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at the time of assignment based on contractual future net cash flows; and</w:t>
      </w:r>
    </w:p>
    <w:p>
      <w:pPr>
        <w:spacing w:after="0" w:line="1" w:lineRule="exact"/>
        <w:rPr>
          <w:rFonts w:ascii="Arial" w:cs="Arial" w:eastAsia="Arial" w:hAnsi="Arial"/>
          <w:sz w:val="18"/>
          <w:szCs w:val="18"/>
          <w:color w:val="auto"/>
        </w:rPr>
      </w:pPr>
    </w:p>
    <w:p>
      <w:pPr>
        <w:jc w:val="both"/>
        <w:ind w:left="800" w:hanging="317"/>
        <w:spacing w:after="0" w:line="248" w:lineRule="auto"/>
        <w:tabs>
          <w:tab w:leader="none" w:pos="7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2019 Recognition and Measurement Policies. </w:t>
      </w:r>
      <w:r>
        <w:rPr>
          <w:rFonts w:ascii="Arial" w:cs="Arial" w:eastAsia="Arial" w:hAnsi="Arial"/>
          <w:sz w:val="18"/>
          <w:szCs w:val="18"/>
          <w:color w:val="auto"/>
        </w:rPr>
        <w:t>Prior to the adoption of CECL on January 1, 2020, we accounted for our Loans as loans acquired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credit deterioration.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the time of assignment, we:</w:t>
      </w:r>
    </w:p>
    <w:p>
      <w:pPr>
        <w:spacing w:after="0" w:line="16" w:lineRule="exact"/>
        <w:rPr>
          <w:sz w:val="20"/>
          <w:szCs w:val="20"/>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calculated an effective interest rate based on expected future net cash flows; and</w:t>
      </w:r>
    </w:p>
    <w:p>
      <w:pPr>
        <w:spacing w:after="0" w:line="5" w:lineRule="exact"/>
        <w:rPr>
          <w:rFonts w:ascii="Arial" w:cs="Arial" w:eastAsia="Arial" w:hAnsi="Arial"/>
          <w:sz w:val="18"/>
          <w:szCs w:val="18"/>
          <w:color w:val="auto"/>
        </w:rPr>
      </w:pPr>
    </w:p>
    <w:p>
      <w:pPr>
        <w:ind w:left="800" w:hanging="317"/>
        <w:spacing w:after="0" w:line="251"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recorded a Loan receivable equal to the advance paid to the Dealer under the Portfolio Program or purchase price paid to the Dealer under the Purchase Program.</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each reporting period subsequent to assignment, we:</w:t>
      </w:r>
    </w:p>
    <w:p>
      <w:pPr>
        <w:spacing w:after="0" w:line="16" w:lineRule="exact"/>
        <w:rPr>
          <w:sz w:val="20"/>
          <w:szCs w:val="20"/>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recalculated an effective interest rate based on expected future net cash flows;</w:t>
      </w:r>
    </w:p>
    <w:p>
      <w:pPr>
        <w:spacing w:after="0" w:line="5" w:lineRule="exact"/>
        <w:rPr>
          <w:rFonts w:ascii="Arial" w:cs="Arial" w:eastAsia="Arial" w:hAnsi="Arial"/>
          <w:sz w:val="18"/>
          <w:szCs w:val="18"/>
          <w:color w:val="auto"/>
        </w:rPr>
      </w:pPr>
    </w:p>
    <w:p>
      <w:pPr>
        <w:ind w:left="800" w:hanging="317"/>
        <w:spacing w:after="0" w:line="260" w:lineRule="auto"/>
        <w:tabs>
          <w:tab w:leader="none" w:pos="7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recognized finance charge revenue using the greater of the effective interest rate that was calculated for the reporting period or the effective interest rate that was calculated at the time of assignment, both of which were based on expected future net cash flows; and</w:t>
      </w:r>
    </w:p>
    <w:p>
      <w:pPr>
        <w:jc w:val="both"/>
        <w:ind w:left="800" w:hanging="317"/>
        <w:spacing w:after="0" w:line="247"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recorded or adjusted an allowance for credit losses, if necessary, to reduce the net carrying amount of each Loan to the present value of expected future net cash flows discounted at the effective interest rate that was calculated at the time of assignment. The initial allowance for credit losses was recognized as provision for credit losses expense and the adjustment to the allowance for credit losses was recognized as either provision for credit losses expense or a reversal of provision for credit losses expense.</w:t>
      </w:r>
    </w:p>
    <w:p>
      <w:pPr>
        <w:spacing w:after="0" w:line="223" w:lineRule="exact"/>
        <w:rPr>
          <w:sz w:val="20"/>
          <w:szCs w:val="20"/>
          <w:color w:val="auto"/>
        </w:rPr>
      </w:pPr>
    </w:p>
    <w:p>
      <w:pPr>
        <w:ind w:right="440" w:firstLine="318"/>
        <w:spacing w:after="0" w:line="300" w:lineRule="auto"/>
        <w:rPr>
          <w:sz w:val="20"/>
          <w:szCs w:val="20"/>
          <w:color w:val="auto"/>
        </w:rPr>
      </w:pPr>
      <w:r>
        <w:rPr>
          <w:rFonts w:ascii="Arial" w:cs="Arial" w:eastAsia="Arial" w:hAnsi="Arial"/>
          <w:sz w:val="15"/>
          <w:szCs w:val="15"/>
          <w:i w:val="1"/>
          <w:iCs w:val="1"/>
          <w:color w:val="auto"/>
        </w:rPr>
        <w:t>Loans Receivable</w:t>
      </w:r>
      <w:r>
        <w:rPr>
          <w:rFonts w:ascii="Arial" w:cs="Arial" w:eastAsia="Arial" w:hAnsi="Arial"/>
          <w:sz w:val="15"/>
          <w:szCs w:val="15"/>
          <w:color w:val="auto"/>
        </w:rPr>
        <w:t>. Amounts advanced to Dealers for Consumer Loans assigned under the Portfolio Program are recorded as Dealer Loans and are</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aggregated by Dealer for purposes of recognizing revenue and measuring credit losses. Amounts paid to Dealers for Consumer Loans assigned under the Purchase Program are recorded as Purchased Loans and, for purposes of recognizing revenue and measuring credit losses, are:</w:t>
      </w:r>
    </w:p>
    <w:p>
      <w:pPr>
        <w:spacing w:after="0" w:line="1" w:lineRule="exact"/>
        <w:rPr>
          <w:sz w:val="20"/>
          <w:szCs w:val="20"/>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aggregated, if assigned on or subsequent to January 1, 2020; or</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aggregated into pools based on the month of purchase, if assigned prior to January 1, 2020.</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outstanding balance of each Loan included in Loans receivable is comprised of the following:</w:t>
      </w:r>
    </w:p>
    <w:p>
      <w:pPr>
        <w:spacing w:after="0" w:line="16" w:lineRule="exact"/>
        <w:rPr>
          <w:sz w:val="20"/>
          <w:szCs w:val="20"/>
          <w:color w:val="auto"/>
        </w:rPr>
      </w:pPr>
    </w:p>
    <w:p>
      <w:pPr>
        <w:ind w:left="800" w:hanging="317"/>
        <w:spacing w:after="0" w:line="245" w:lineRule="auto"/>
        <w:tabs>
          <w:tab w:leader="none" w:pos="7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paid to the Dealer (or to third party ancillary product providers on the Dealer’s behalf) for the Consumer Loan assignment (advance under the Portfolio Program or one-time purchase payment under the Purchase Program);</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accelerated Dealer Holdback payments;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recoveries;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in;</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collections (net of certain collection costs);</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write-offs; and</w:t>
      </w:r>
    </w:p>
    <w:p>
      <w:pPr>
        <w:spacing w:after="0" w:line="5"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transfers out.</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our Portfolio Program, certain events may result in Dealers forfeiting their rights to Dealer Holdback. We transfer the Dealer’s outstanding Dealer Loan balance and the related allowance for credit losses balance to Purchased Loans in the period this forfeiture occurs. We aggregate these Purchased Loans by Dealer for purposes of recognizing revenue and measuring credit losses.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outstanding balance of the allowance for credit losses of each Loan represents the amount required to reduce net</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22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Expected future collections are forecasted for each individual Consumer Loan based on the historical performance of Consumer Loans with similar characteristics, adjusted for recent trends in payment patterns and economic conditions. Our forecast of expected future collections includes estimates for prepayments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fully write off the outstanding balances of a Loan and the related allowance for credit losses once we are no longer forecasting any expected future net cash flows on the Loan. In addition, on January 1, 2020, we adopted a partial write-off policy in connection with the adoption of CECL. Under our partial write-off policy, we write off the amount of the outstanding balances of a Loan and the related allowance for credit losses, if any, that exceeds 200% of the present value of expected future net cash flows on the Loan, as we deem this amount to be uncollectable.</w:t>
      </w:r>
    </w:p>
    <w:p>
      <w:pPr>
        <w:spacing w:after="0" w:line="2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Credit Quality. </w:t>
      </w:r>
      <w:r>
        <w:rPr>
          <w:rFonts w:ascii="Arial" w:cs="Arial" w:eastAsia="Arial" w:hAnsi="Arial"/>
          <w:sz w:val="15"/>
          <w:szCs w:val="15"/>
          <w:color w:val="auto"/>
        </w:rPr>
        <w:t>Substantially all of the Consumer Loans assigned to us are made to individuals with impaired or limited credit histories. Consumer Loans</w:t>
      </w:r>
      <w:r>
        <w:rPr>
          <w:rFonts w:ascii="Arial" w:cs="Arial" w:eastAsia="Arial" w:hAnsi="Arial"/>
          <w:sz w:val="15"/>
          <w:szCs w:val="15"/>
          <w:i w:val="1"/>
          <w:iCs w:val="1"/>
          <w:color w:val="auto"/>
        </w:rPr>
        <w:t xml:space="preserve"> </w:t>
      </w:r>
      <w:r>
        <w:rPr>
          <w:rFonts w:ascii="Arial" w:cs="Arial" w:eastAsia="Arial" w:hAnsi="Arial"/>
          <w:sz w:val="15"/>
          <w:szCs w:val="15"/>
          <w:color w:val="auto"/>
        </w:rPr>
        <w:t>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a Consumer Loan is submitted to us for assignment, we forecast future expected cash flows from the Consumer Loan. Based on these forecasts, an advance or one-time purchase payment is made to the related Dealer at a price designed to maximize our economic profit, a non-GAAP financial measure that considers our return on capital, our cost of capital and the amount of capital invested.</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spacing w:after="0" w:line="20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6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Methodology Changes. </w:t>
      </w:r>
      <w:r>
        <w:rPr>
          <w:rFonts w:ascii="Arial" w:cs="Arial" w:eastAsia="Arial" w:hAnsi="Arial"/>
          <w:sz w:val="18"/>
          <w:szCs w:val="18"/>
          <w:color w:val="auto"/>
        </w:rPr>
        <w:t>On January 1, 2020, we adopted CECL, which changed our accounting policies for Loans. During the first quarter of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forecasted collection rates to reflect the estimated long-term impact of COVID-19 on Consumer Loan performance. For additional information, see Note 5. For the three year period ended December 31, 2021, we did not make any other methodology changes for Loans that had a material impact on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Purchases of property and equipment are recorded at cost. Depreciation is provided on a straight-line basis over the estimated useful life of the asset. Estimated useful lives are generally as follows: buildings – 40 years, building improvements – 10 years, data processing equipment – 3 years, software – 5 years, office furniture and equipment – 7 years, and leasehold improvements – the lesser of the lease term or 7 years. The cost of assets sold or retired and the related accumulated depreciation are removed from the balance sheet at the time of disposition and any resulting gain or loss is included in operations. Maintenance, repairs and minor replacements are charged to operations as incurred; major replacements and improvements are capitalized. We evaluate long-lived assets for impairment whenever events or changes in circumstances indicate that the carrying amount of an asset may not be recoverable.</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Costs incurred during the application development stage of software developed for internal use are capitalized and generally depreciated on a straight-line basis over five years. Costs incurred to maintain existing software are expensed as incurred. For additional information regarding our property and equipment, 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Deferred debt issuance costs associated with secured financings and senior notes are included as a deduction from the carrying amount of the related debt liability, and deferred debt issuance costs associated with our revolving secured line of credit are included in other assets. Expenses associated with the issuance of debt instruments are capitalized and amortized as interest expense over the term of the debt instrument using the effective interest method for asset-backed secured financings (“Term ABS”) and senior notes and the straight-line method for lines of credit and revolving secured warehouse (“Warehouse”) facilities. For additional information regarding deferred debt issuance costs, see Note 9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various sources of financing, some of which contain floating rates of interest and expose us to risks associated with increases in interest rates. We manage such risk primarily by entering into interest rate cap agreements (“derivative instruments”). These derivative instruments are not designated as hedges, and changes in their fair value increase or decrease interest expense.</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derivative instruments as either other assets or accounts payable and accrued liabilities on our consolidated balance sheets. For additional information regarding our derivative instruments, see Note 10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5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i w:val="1"/>
          <w:iCs w:val="1"/>
          <w:color w:val="auto"/>
        </w:rPr>
        <w:t xml:space="preserve">Sources of Revenue. </w:t>
      </w:r>
      <w:r>
        <w:rPr>
          <w:rFonts w:ascii="Arial" w:cs="Arial" w:eastAsia="Arial" w:hAnsi="Arial"/>
          <w:sz w:val="18"/>
          <w:szCs w:val="18"/>
          <w:color w:val="auto"/>
        </w:rPr>
        <w:t>Finance charges is comprised of: (1) interest income earned on Loans; (2) administrative fees earned from ancillary products; (3)</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fees charged to Dealers under the Portfolio Program; (4) Consumer Loan assignment fees charged to Dealers; and (5) direct origination costs incurred on Dealer Loans.</w:t>
      </w:r>
    </w:p>
    <w:p>
      <w:pPr>
        <w:spacing w:after="0" w:line="21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w:t>
      </w:r>
    </w:p>
    <w:p>
      <w:pPr>
        <w:spacing w:after="0" w:line="2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Recognition Policy. </w:t>
      </w:r>
      <w:r>
        <w:rPr>
          <w:rFonts w:ascii="Arial" w:cs="Arial" w:eastAsia="Arial" w:hAnsi="Arial"/>
          <w:sz w:val="18"/>
          <w:szCs w:val="18"/>
          <w:color w:val="auto"/>
        </w:rPr>
        <w:t>We recognize finance charges under the interest method such that revenue is recognized on a level-yield basis over the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We calculate finance charges on a monthly basis by applying the effective interest rate of the Loan to the net carrying amount of the Loan (Loan receivable less the related allowance for credit losses). For Consumer Loans assigned on or subsequent to January 1, 2020, the effective interest rate is based on contractual future net cash flows. For Consumer Loans assigned prior to January 1, 2020, the effective interest rate was determined based on expected future net cash flows.</w:t>
      </w:r>
    </w:p>
    <w:p>
      <w:pPr>
        <w:spacing w:after="0" w:line="22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connection with the adoption of CECL on January 1, 2020, we have elected to report the change in the present value of credit losses attributable to the passage of time as a reduction to finance charges. As a result, for financial statement periods beginning after December 31, 2019, we allocate finance charges recognized on each Loan between the Loan receivable and the related allowance for credit losses. The amount of finance charges allocated to the Loan receivable is equal to the effective interest rate applied to the Loans receivable balance. The reduction of finance charges allocated to the allowance for credit losses is equal to the effective interest rate applied to the allowance for credit losses balance. For financial statement periods beginning prior to January 1, 2020, the entire amount of finance charges recognized on each Loan was allocated to the Loan receivable.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consolidated the trust within our financial statements based on our determination of the following:</w:t>
      </w:r>
    </w:p>
    <w:p>
      <w:pPr>
        <w:spacing w:after="0" w:line="244" w:lineRule="exact"/>
        <w:rPr>
          <w:sz w:val="20"/>
          <w:szCs w:val="20"/>
          <w:color w:val="auto"/>
        </w:rPr>
      </w:pPr>
    </w:p>
    <w:p>
      <w:pPr>
        <w:jc w:val="both"/>
        <w:ind w:left="800" w:hanging="317"/>
        <w:spacing w:after="0" w:line="250"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ind w:left="800" w:hanging="317"/>
        <w:spacing w:after="0" w:line="245"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them with any ownership interest.</w:t>
      </w:r>
    </w:p>
    <w:p>
      <w:pPr>
        <w:spacing w:after="0" w:line="1" w:lineRule="exact"/>
        <w:rPr>
          <w:rFonts w:ascii="Arial" w:cs="Arial" w:eastAsia="Arial" w:hAnsi="Arial"/>
          <w:sz w:val="18"/>
          <w:szCs w:val="18"/>
          <w:color w:val="auto"/>
        </w:rPr>
      </w:pPr>
    </w:p>
    <w:p>
      <w:pPr>
        <w:jc w:val="both"/>
        <w:ind w:left="800" w:hanging="317"/>
        <w:spacing w:after="0" w:line="247"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premiums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stock-based compensation plans for team members and non-employee directors, which are described more fully in Note 14 to the consolidated financial statements. We apply a fair-value-based measurement method in accounting for stock-based compensation plans and recognize stock-based compensation expense over the requisite service period of the grant as salaries and wages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sponsor a 401(k) plan that covers substantially all of our team members. We offer matching contributions to the 401(k) plan based on each enrolled team members’ eligible annual gross pay (subject to statutory limitations). Our matching contribution rate is equal to 100% of the first 4% participants contribute and an additional 50% of the next 2% participants contribute, for a maximum matching contribution of 5% of each participant’s eligible annual gross pay. For the years ended December 31, 2021, 2020 and 2019, we recognized compensation expense of $7.5 million, $7.2 million, and $7.1 million, respectively, for our matching contributions to the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Provisions for federal, state and foreign income taxes are calculated on reported pre-tax earnings based on current tax law and also include, in the current period, the cumulative effect of any changes in tax rates from those used previously in determining deferred tax assets and liabilities. Such provisions differ from the amounts currently receivable or payable because certain items of income and expense are recognized in different time periods for financial reporting purposes than for income tax purposes.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follow a two-step approach for recognizing uncertain tax positions. First, we evaluate the tax position for 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consider many factors when evaluating and estimating our tax positions and tax benefits, which may require periodic adjustments and which may not accurately anticipate actual outcomes. We recognize interest and penalties related to uncertain tax positions in provision for income taxes. For additional information regarding our income taxes, see Note 11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Advertising costs are expensed as incurred. Advertising expenses were $0.3 million for the year ended December 31, 2021, $0.1 million for the year ended December 31, 2020 and $0.3 million for the year ended December 31,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 Adopted During the Current Year</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Simplifying the Accounting for Income Taxes. </w:t>
      </w:r>
      <w:r>
        <w:rPr>
          <w:rFonts w:ascii="Arial" w:cs="Arial" w:eastAsia="Arial" w:hAnsi="Arial"/>
          <w:sz w:val="18"/>
          <w:szCs w:val="18"/>
          <w:color w:val="auto"/>
        </w:rPr>
        <w:t>In December 2019, the FASB issued ASU 2019-12, which intends to enhance and simplify various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income tax accounting guidance, including requirements impacting the allocation of income tax expense to certain legal entities and interim-period accounting for enacted changes in tax law. The adoption of ASU 2019-12 on January 1, 2021 did not have a material impact on our consolidated financial statements and related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December 31, 2021 for items that could potentially be recognized or disclosed in these financial statements. We did not identify any items which would require disclosure in or adjustment to the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ind w:left="620" w:hanging="614"/>
        <w:spacing w:after="0"/>
        <w:tabs>
          <w:tab w:leader="none" w:pos="6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For asset-backed securities, mortgage-backed securities and commercial paper we use model-based valuation techniques for which all significant assumptions are observable in the market.</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expected future net cash flows estimated by us by utilizing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used to calculate the value of our Loans under our non-GAAP floating yield methodology.</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 with</w:t>
      </w:r>
      <w:r>
        <w:rPr>
          <w:rFonts w:ascii="Arial" w:cs="Arial" w:eastAsia="Arial" w:hAnsi="Arial"/>
          <w:sz w:val="18"/>
          <w:szCs w:val="18"/>
          <w:i w:val="1"/>
          <w:iCs w:val="1"/>
          <w:color w:val="auto"/>
        </w:rPr>
        <w:t xml:space="preserve"> </w:t>
      </w:r>
      <w:r>
        <w:rPr>
          <w:rFonts w:ascii="Arial" w:cs="Arial" w:eastAsia="Arial" w:hAnsi="Arial"/>
          <w:sz w:val="18"/>
          <w:szCs w:val="18"/>
          <w:color w:val="auto"/>
        </w:rPr>
        <w:t>a similar risk profile and maturity.</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Term ABS financings is determined using quoted market prices; however, these instruments trade in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low trading volume. For our warehouse facilities, the fair values are determined by calculating the present value of each debt instrument based on current rates for debt with similar risk profiles and maturities.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44" w:lineRule="exact"/>
        <w:rPr>
          <w:sz w:val="20"/>
          <w:szCs w:val="20"/>
          <w:color w:val="auto"/>
        </w:rPr>
      </w:pPr>
    </w:p>
    <w:p>
      <w:pPr>
        <w:ind w:right="2300" w:firstLine="318"/>
        <w:spacing w:after="0" w:line="264" w:lineRule="auto"/>
        <w:rPr>
          <w:sz w:val="20"/>
          <w:szCs w:val="20"/>
          <w:color w:val="auto"/>
        </w:rPr>
      </w:pPr>
      <w:r>
        <w:rPr>
          <w:rFonts w:ascii="Arial" w:cs="Arial" w:eastAsia="Arial" w:hAnsi="Arial"/>
          <w:sz w:val="18"/>
          <w:szCs w:val="18"/>
          <w:i w:val="1"/>
          <w:iCs w:val="1"/>
          <w:color w:val="auto"/>
        </w:rPr>
        <w:t xml:space="preserve">Mortgage Note. </w:t>
      </w:r>
      <w:r>
        <w:rPr>
          <w:rFonts w:ascii="Arial" w:cs="Arial" w:eastAsia="Arial" w:hAnsi="Arial"/>
          <w:sz w:val="18"/>
          <w:szCs w:val="18"/>
          <w:color w:val="auto"/>
        </w:rPr>
        <w:t>The fair value is determined by calculating the present value of the debt instrument based on current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debt with a similar risk profile and maturity.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2"/>
        </w:trPr>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spacing w:after="0"/>
              <w:rPr>
                <w:sz w:val="16"/>
                <w:szCs w:val="16"/>
                <w:color w:val="auto"/>
              </w:rPr>
            </w:pPr>
          </w:p>
        </w:tc>
      </w:tr>
      <w:tr>
        <w:trPr>
          <w:trHeight w:val="133"/>
        </w:trPr>
        <w:tc>
          <w:tcPr>
            <w:tcW w:w="3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1"/>
                <w:szCs w:val="11"/>
                <w:color w:val="auto"/>
              </w:rPr>
            </w:pPr>
          </w:p>
        </w:tc>
        <w:tc>
          <w:tcPr>
            <w:tcW w:w="1420" w:type="dxa"/>
            <w:vAlign w:val="bottom"/>
          </w:tcPr>
          <w:p>
            <w:pPr>
              <w:ind w:left="24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1"/>
                <w:szCs w:val="11"/>
                <w:color w:val="auto"/>
              </w:rPr>
            </w:pPr>
          </w:p>
        </w:tc>
        <w:tc>
          <w:tcPr>
            <w:tcW w:w="1420" w:type="dxa"/>
            <w:vAlign w:val="bottom"/>
          </w:tcPr>
          <w:p>
            <w:pPr>
              <w:jc w:val="right"/>
              <w:ind w:right="495"/>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6"/>
                <w:szCs w:val="16"/>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Restricted cash and cash equivalents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r>
      <w:tr>
        <w:trPr>
          <w:trHeight w:val="226"/>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securities available for sale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Loans receivable,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6,580.4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7,216.4</w:t>
            </w: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Revolving secured line of credit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6"/>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financing</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3,793.9</w:t>
            </w: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842.0</w:t>
            </w:r>
          </w:p>
        </w:tc>
      </w:tr>
      <w:tr>
        <w:trPr>
          <w:trHeight w:val="226"/>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Valuation is based upon quoted prices for identical instruments traded in active markets.</w:t>
      </w:r>
    </w:p>
    <w:p>
      <w:pPr>
        <w:spacing w:after="0" w:line="244"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Level 2</w:t>
        <w:tab/>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207"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8"/>
          <w:szCs w:val="18"/>
          <w:color w:val="auto"/>
        </w:rPr>
        <w:t>Level 3</w:t>
        <w:tab/>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20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rPr>
              <w:t>As of December 31, 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2"/>
        </w:trPr>
        <w:tc>
          <w:tcPr>
            <w:tcW w:w="4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Fair Value</w:t>
            </w: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 (1)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Restricted cash and cash equivalents (1)</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securities available for sale (2)</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Loans receivable, net (1)</w:t>
            </w: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6,580.4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6,580.4</w:t>
            </w: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Revolving secured line of credit (1)</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40" w:type="dxa"/>
            <w:vAlign w:val="bottom"/>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Secured financing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Senior notes (1)</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825.8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825.8</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Mortgage note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78"/>
        </w:trPr>
        <w:tc>
          <w:tcPr>
            <w:tcW w:w="43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rPr>
              <w:t>As of December 31, 2020</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92"/>
        </w:trPr>
        <w:tc>
          <w:tcPr>
            <w:tcW w:w="4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Fair Value</w:t>
            </w: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 (1)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Restricted cash and cash equivalents (1)</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securities available for sale (2)</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Loans receivable, net (1)</w:t>
            </w: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7,216.4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7,216.4</w:t>
            </w: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Revolving secured line of credit (1)</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040" w:type="dxa"/>
            <w:vAlign w:val="bottom"/>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Secured financing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3,793.9</w:t>
            </w:r>
          </w:p>
        </w:tc>
      </w:tr>
      <w:tr>
        <w:trPr>
          <w:trHeight w:val="225"/>
        </w:trPr>
        <w:tc>
          <w:tcPr>
            <w:tcW w:w="4340" w:type="dxa"/>
            <w:vAlign w:val="bottom"/>
          </w:tcPr>
          <w:p>
            <w:pPr>
              <w:ind w:left="460"/>
              <w:spacing w:after="0"/>
              <w:rPr>
                <w:sz w:val="20"/>
                <w:szCs w:val="20"/>
                <w:color w:val="auto"/>
              </w:rPr>
            </w:pPr>
            <w:r>
              <w:rPr>
                <w:rFonts w:ascii="Arial" w:cs="Arial" w:eastAsia="Arial" w:hAnsi="Arial"/>
                <w:sz w:val="18"/>
                <w:szCs w:val="18"/>
                <w:color w:val="auto"/>
              </w:rPr>
              <w:t>Senior notes (1)</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842.0</w:t>
            </w:r>
          </w:p>
        </w:tc>
      </w:tr>
      <w:tr>
        <w:trPr>
          <w:trHeight w:val="226"/>
        </w:trPr>
        <w:tc>
          <w:tcPr>
            <w:tcW w:w="4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Mortgage note (1)</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313" w:lineRule="exact"/>
        <w:rPr>
          <w:sz w:val="20"/>
          <w:szCs w:val="20"/>
          <w:color w:val="auto"/>
        </w:rPr>
      </w:pPr>
    </w:p>
    <w:p>
      <w:pPr>
        <w:ind w:left="480" w:hanging="315"/>
        <w:spacing w:after="0"/>
        <w:tabs>
          <w:tab w:leader="none" w:pos="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0" w:lineRule="exact"/>
        <w:rPr>
          <w:rFonts w:ascii="Arial" w:cs="Arial" w:eastAsia="Arial" w:hAnsi="Arial"/>
          <w:sz w:val="14"/>
          <w:szCs w:val="14"/>
          <w:color w:val="auto"/>
        </w:rPr>
      </w:pPr>
    </w:p>
    <w:p>
      <w:pPr>
        <w:ind w:left="480" w:hanging="315"/>
        <w:spacing w:after="0"/>
        <w:tabs>
          <w:tab w:leader="none" w:pos="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ind w:left="620" w:hanging="614"/>
        <w:spacing w:after="0"/>
        <w:tabs>
          <w:tab w:leader="none" w:pos="6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320" w:type="dxa"/>
            <w:vAlign w:val="bottom"/>
          </w:tcPr>
          <w:p>
            <w:pPr>
              <w:jc w:val="center"/>
              <w:ind w:left="401"/>
              <w:spacing w:after="0" w:line="133" w:lineRule="exact"/>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140" w:type="dxa"/>
            <w:vAlign w:val="bottom"/>
          </w:tcPr>
          <w:p>
            <w:pPr>
              <w:spacing w:after="0"/>
              <w:rPr>
                <w:sz w:val="11"/>
                <w:szCs w:val="11"/>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Unrealized Losses</w:t>
            </w:r>
          </w:p>
        </w:tc>
        <w:tc>
          <w:tcPr>
            <w:tcW w:w="340" w:type="dxa"/>
            <w:vAlign w:val="bottom"/>
          </w:tcPr>
          <w:p>
            <w:pPr>
              <w:spacing w:after="0"/>
              <w:rPr>
                <w:sz w:val="11"/>
                <w:szCs w:val="11"/>
                <w:color w:val="auto"/>
              </w:rPr>
            </w:pPr>
          </w:p>
        </w:tc>
        <w:tc>
          <w:tcPr>
            <w:tcW w:w="148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20" w:type="dxa"/>
            <w:vAlign w:val="bottom"/>
          </w:tcPr>
          <w:p>
            <w:pPr>
              <w:jc w:val="center"/>
              <w:ind w:left="401"/>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320" w:type="dxa"/>
            <w:vAlign w:val="bottom"/>
            <w:tcBorders>
              <w:top w:val="single" w:sz="8" w:color="auto"/>
            </w:tcBorders>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ind w:left="130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2"/>
        </w:trPr>
        <w:tc>
          <w:tcPr>
            <w:tcW w:w="364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3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Total restricted securities available for sale</w:t>
            </w:r>
          </w:p>
        </w:tc>
        <w:tc>
          <w:tcPr>
            <w:tcW w:w="1320" w:type="dxa"/>
            <w:vAlign w:val="bottom"/>
            <w:tcBorders>
              <w:top w:val="single" w:sz="8" w:color="auto"/>
              <w:bottom w:val="single" w:sz="8" w:color="auto"/>
            </w:tcBorders>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7"/>
              </w:rPr>
              <w:t>(0.4)</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gridSpan w:val="5"/>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40" w:type="dxa"/>
            <w:vAlign w:val="bottom"/>
          </w:tcPr>
          <w:p>
            <w:pPr>
              <w:ind w:left="20"/>
              <w:spacing w:after="0" w:line="159" w:lineRule="exact"/>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5"/>
          </w:tcPr>
          <w:p>
            <w:pPr>
              <w:ind w:left="980"/>
              <w:spacing w:after="0" w:line="159" w:lineRule="exact"/>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320" w:type="dxa"/>
            <w:vAlign w:val="bottom"/>
          </w:tcPr>
          <w:p>
            <w:pPr>
              <w:jc w:val="center"/>
              <w:ind w:left="401"/>
              <w:spacing w:after="0" w:line="133" w:lineRule="exact"/>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Gross Unrealized Losses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Mortgage-backed securities</w:t>
            </w:r>
          </w:p>
        </w:tc>
        <w:tc>
          <w:tcPr>
            <w:tcW w:w="1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Total restricted securities available for sale</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2021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20" w:type="dxa"/>
            <w:vAlign w:val="bottom"/>
            <w:gridSpan w:val="3"/>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920" w:type="dxa"/>
            <w:vAlign w:val="bottom"/>
            <w:tcBorders>
              <w:top w:val="single" w:sz="8" w:color="auto"/>
            </w:tcBorders>
          </w:tcPr>
          <w:p>
            <w:pPr>
              <w:jc w:val="center"/>
              <w:ind w:left="182"/>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Estimated</w:t>
            </w:r>
          </w:p>
        </w:tc>
        <w:tc>
          <w:tcPr>
            <w:tcW w:w="180" w:type="dxa"/>
            <w:vAlign w:val="bottom"/>
          </w:tcPr>
          <w:p>
            <w:pPr>
              <w:spacing w:after="0"/>
              <w:rPr>
                <w:sz w:val="11"/>
                <w:szCs w:val="11"/>
                <w:color w:val="auto"/>
              </w:rPr>
            </w:pPr>
          </w:p>
        </w:tc>
        <w:tc>
          <w:tcPr>
            <w:tcW w:w="10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7"/>
              </w:rPr>
              <w:t>Total Gross</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20" w:type="dxa"/>
            <w:vAlign w:val="bottom"/>
          </w:tcPr>
          <w:p>
            <w:pPr>
              <w:jc w:val="center"/>
              <w:ind w:left="182"/>
              <w:spacing w:after="0" w:line="133"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Unrealized Losses</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Mortgage-backed securities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Total restricted securities available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2020</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20" w:type="dxa"/>
            <w:vAlign w:val="bottom"/>
            <w:gridSpan w:val="3"/>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920" w:type="dxa"/>
            <w:vAlign w:val="bottom"/>
            <w:tcBorders>
              <w:top w:val="single" w:sz="8" w:color="auto"/>
            </w:tcBorders>
          </w:tcPr>
          <w:p>
            <w:pPr>
              <w:jc w:val="center"/>
              <w:ind w:left="182"/>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Estimated</w:t>
            </w:r>
          </w:p>
        </w:tc>
        <w:tc>
          <w:tcPr>
            <w:tcW w:w="180" w:type="dxa"/>
            <w:vAlign w:val="bottom"/>
          </w:tcPr>
          <w:p>
            <w:pPr>
              <w:spacing w:after="0"/>
              <w:rPr>
                <w:sz w:val="11"/>
                <w:szCs w:val="11"/>
                <w:color w:val="auto"/>
              </w:rPr>
            </w:pPr>
          </w:p>
        </w:tc>
        <w:tc>
          <w:tcPr>
            <w:tcW w:w="10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7"/>
              </w:rPr>
              <w:t>Total Gross</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20" w:type="dxa"/>
            <w:vAlign w:val="bottom"/>
          </w:tcPr>
          <w:p>
            <w:pPr>
              <w:jc w:val="center"/>
              <w:ind w:left="182"/>
              <w:spacing w:after="0" w:line="133"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Unrealized Losses</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Mortgage-backed securities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Total restricted securities available for 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8"/>
          </w:tcPr>
          <w:p>
            <w:pPr>
              <w:ind w:left="106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Contractual Maturity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Over one year to five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 five years to ten years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Over ten years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5"/>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restricted securities available for sale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LOANS RECEIVABLE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660" w:type="dxa"/>
            <w:vAlign w:val="bottom"/>
            <w:gridSpan w:val="4"/>
          </w:tcPr>
          <w:p>
            <w:pPr>
              <w:ind w:left="320"/>
              <w:spacing w:after="0"/>
              <w:rPr>
                <w:sz w:val="20"/>
                <w:szCs w:val="20"/>
                <w:color w:val="auto"/>
              </w:rPr>
            </w:pPr>
            <w:r>
              <w:rPr>
                <w:rFonts w:ascii="Arial" w:cs="Arial" w:eastAsia="Arial" w:hAnsi="Arial"/>
                <w:sz w:val="18"/>
                <w:szCs w:val="18"/>
                <w:color w:val="auto"/>
                <w:w w:val="91"/>
              </w:rPr>
              <w:t>Loans receivable and allowance for credit losses consist of the following: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As of December 31, 2021</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Dealer Loans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Purchased Loans</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left="796"/>
              <w:spacing w:after="0"/>
              <w:rPr>
                <w:sz w:val="20"/>
                <w:szCs w:val="20"/>
                <w:color w:val="auto"/>
              </w:rPr>
            </w:pPr>
            <w:r>
              <w:rPr>
                <w:rFonts w:ascii="Arial" w:cs="Arial" w:eastAsia="Arial" w:hAnsi="Arial"/>
                <w:sz w:val="18"/>
                <w:szCs w:val="18"/>
                <w:color w:val="auto"/>
                <w:w w:val="86"/>
              </w:rPr>
              <w:t>5,655.1</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89"/>
              </w:rPr>
              <w:t>3,694.7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color w:val="auto"/>
                <w:w w:val="91"/>
              </w:rPr>
              <w:t>(1,767.8)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88"/>
              </w:rPr>
              <w:t>(1,245.7)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(3,013.5)</w:t>
            </w:r>
          </w:p>
        </w:tc>
        <w:tc>
          <w:tcPr>
            <w:tcW w:w="0" w:type="dxa"/>
            <w:vAlign w:val="bottom"/>
          </w:tcPr>
          <w:p>
            <w:pPr>
              <w:spacing w:after="0"/>
              <w:rPr>
                <w:sz w:val="1"/>
                <w:szCs w:val="1"/>
                <w:color w:val="auto"/>
              </w:rPr>
            </w:pPr>
          </w:p>
        </w:tc>
      </w:tr>
      <w:tr>
        <w:trPr>
          <w:trHeight w:val="245"/>
        </w:trPr>
        <w:tc>
          <w:tcPr>
            <w:tcW w:w="3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Loans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center"/>
              <w:ind w:left="796"/>
              <w:spacing w:after="0"/>
              <w:rPr>
                <w:sz w:val="20"/>
                <w:szCs w:val="20"/>
                <w:color w:val="auto"/>
              </w:rPr>
            </w:pPr>
            <w:r>
              <w:rPr>
                <w:rFonts w:ascii="Arial" w:cs="Arial" w:eastAsia="Arial" w:hAnsi="Arial"/>
                <w:sz w:val="18"/>
                <w:szCs w:val="18"/>
                <w:color w:val="auto"/>
                <w:w w:val="86"/>
              </w:rPr>
              <w:t>3,887.3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center"/>
              <w:ind w:left="878"/>
              <w:spacing w:after="0"/>
              <w:rPr>
                <w:sz w:val="20"/>
                <w:szCs w:val="20"/>
                <w:color w:val="auto"/>
              </w:rPr>
            </w:pPr>
            <w:r>
              <w:rPr>
                <w:rFonts w:ascii="Arial" w:cs="Arial" w:eastAsia="Arial" w:hAnsi="Arial"/>
                <w:sz w:val="18"/>
                <w:szCs w:val="18"/>
                <w:color w:val="auto"/>
                <w:w w:val="89"/>
              </w:rPr>
              <w:t>2,449.0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6,336.3</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As of December 31, 2020</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Dealer Loans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Purchased Loans</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left="796"/>
              <w:spacing w:after="0"/>
              <w:rPr>
                <w:sz w:val="20"/>
                <w:szCs w:val="20"/>
                <w:color w:val="auto"/>
              </w:rPr>
            </w:pPr>
            <w:r>
              <w:rPr>
                <w:rFonts w:ascii="Arial" w:cs="Arial" w:eastAsia="Arial" w:hAnsi="Arial"/>
                <w:sz w:val="18"/>
                <w:szCs w:val="18"/>
                <w:color w:val="auto"/>
                <w:w w:val="86"/>
              </w:rPr>
              <w:t>5,869.6</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89"/>
              </w:rPr>
              <w:t>4,255.2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10,124.8</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color w:val="auto"/>
                <w:w w:val="91"/>
              </w:rPr>
              <w:t>(1,702.1)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88"/>
              </w:rPr>
              <w:t>(1,634.8)</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c>
          <w:tcPr>
            <w:tcW w:w="0" w:type="dxa"/>
            <w:vAlign w:val="bottom"/>
          </w:tcPr>
          <w:p>
            <w:pPr>
              <w:spacing w:after="0"/>
              <w:rPr>
                <w:sz w:val="1"/>
                <w:szCs w:val="1"/>
                <w:color w:val="auto"/>
              </w:rPr>
            </w:pPr>
          </w:p>
        </w:tc>
      </w:tr>
      <w:tr>
        <w:trPr>
          <w:trHeight w:val="245"/>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receivable, net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left="796"/>
              <w:spacing w:after="0"/>
              <w:rPr>
                <w:sz w:val="20"/>
                <w:szCs w:val="20"/>
                <w:color w:val="auto"/>
              </w:rPr>
            </w:pPr>
            <w:r>
              <w:rPr>
                <w:rFonts w:ascii="Arial" w:cs="Arial" w:eastAsia="Arial" w:hAnsi="Arial"/>
                <w:sz w:val="18"/>
                <w:szCs w:val="18"/>
                <w:color w:val="auto"/>
                <w:w w:val="86"/>
              </w:rPr>
              <w:t>4,167.5</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89"/>
              </w:rPr>
              <w:t>2,620.4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Loans receivable and allowance for credit losses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For the Year Ended December 31, 2021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Loans Receivable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center"/>
              <w:ind w:left="362"/>
              <w:spacing w:after="0"/>
              <w:rPr>
                <w:sz w:val="20"/>
                <w:szCs w:val="20"/>
                <w:color w:val="auto"/>
              </w:rPr>
            </w:pPr>
            <w:r>
              <w:rPr>
                <w:rFonts w:ascii="Arial" w:cs="Arial" w:eastAsia="Arial" w:hAnsi="Arial"/>
                <w:sz w:val="14"/>
                <w:szCs w:val="14"/>
                <w:b w:val="1"/>
                <w:bCs w:val="1"/>
                <w:color w:val="auto"/>
                <w:w w:val="89"/>
              </w:rPr>
              <w:t>Allowance for Credit Losses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6"/>
          </w:tcPr>
          <w:p>
            <w:pPr>
              <w:jc w:val="center"/>
              <w:ind w:left="441"/>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w w:val="97"/>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7"/>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(1,702.1)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(3,336.9)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6,787.9</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1,385.1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771.3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1,742.6</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assignments (1)</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2,059.0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3,167.8</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(5,559.7)</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Accelerated Dealer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Holdback payments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6"/>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5,655.1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(1,767.8)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(3,013.5)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3,887.3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2,449.0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6,336.3</w:t>
            </w:r>
          </w:p>
        </w:tc>
        <w:tc>
          <w:tcPr>
            <w:tcW w:w="0" w:type="dxa"/>
            <w:vAlign w:val="bottom"/>
          </w:tcPr>
          <w:p>
            <w:pPr>
              <w:spacing w:after="0"/>
              <w:rPr>
                <w:sz w:val="1"/>
                <w:szCs w:val="1"/>
                <w:color w:val="auto"/>
              </w:rPr>
            </w:pPr>
          </w:p>
        </w:tc>
      </w:tr>
      <w:tr>
        <w:trPr>
          <w:trHeight w:val="25"/>
        </w:trPr>
        <w:tc>
          <w:tcPr>
            <w:tcW w:w="1960" w:type="dxa"/>
            <w:vAlign w:val="bottom"/>
            <w:vMerge w:val="restart"/>
          </w:tcPr>
          <w:p>
            <w:pPr>
              <w:ind w:left="6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960" w:type="dxa"/>
            <w:vAlign w:val="bottom"/>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For the Year Ended December 31, 2020</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Loans Receivable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center"/>
              <w:ind w:left="362"/>
              <w:spacing w:after="0"/>
              <w:rPr>
                <w:sz w:val="20"/>
                <w:szCs w:val="20"/>
                <w:color w:val="auto"/>
              </w:rPr>
            </w:pPr>
            <w:r>
              <w:rPr>
                <w:rFonts w:ascii="Arial" w:cs="Arial" w:eastAsia="Arial" w:hAnsi="Arial"/>
                <w:sz w:val="14"/>
                <w:szCs w:val="14"/>
                <w:b w:val="1"/>
                <w:bCs w:val="1"/>
                <w:color w:val="auto"/>
                <w:w w:val="89"/>
              </w:rPr>
              <w:t>Allowance for Credit Losses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6"/>
          </w:tcPr>
          <w:p>
            <w:pPr>
              <w:jc w:val="center"/>
              <w:ind w:left="441"/>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w w:val="97"/>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7"/>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4,623.3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2,489.9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6,685.2</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Adoption of CECL (5)</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940.2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(2,463.6)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charges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1,562.4</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New Consumer Loan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assignments (1)</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3,641.2</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Collections (2)</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(3,059.1)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(4,741.4)</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Accelerated Dealer</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Holdback payments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w w:val="99"/>
              </w:rPr>
              <w:t>Dealer Holdback payments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(3)</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Write-offs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 (4)</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9"/>
              </w:rPr>
              <w:t>Deferral of Loan origination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costs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(3,336.9)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6,787.9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1"/>
              </w:rPr>
              <w:t>For the Year Ended December 31, 2019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Loans Receivable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6"/>
          </w:tcPr>
          <w:p>
            <w:pPr>
              <w:jc w:val="center"/>
              <w:ind w:left="322"/>
              <w:spacing w:after="0"/>
              <w:rPr>
                <w:sz w:val="20"/>
                <w:szCs w:val="20"/>
                <w:color w:val="auto"/>
              </w:rPr>
            </w:pPr>
            <w:r>
              <w:rPr>
                <w:rFonts w:ascii="Arial" w:cs="Arial" w:eastAsia="Arial" w:hAnsi="Arial"/>
                <w:sz w:val="14"/>
                <w:szCs w:val="14"/>
                <w:b w:val="1"/>
                <w:bCs w:val="1"/>
                <w:color w:val="auto"/>
                <w:w w:val="89"/>
              </w:rPr>
              <w:t>Allowance for Credit Losses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6"/>
          </w:tcPr>
          <w:p>
            <w:pPr>
              <w:jc w:val="center"/>
              <w:ind w:left="441"/>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w w:val="97"/>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7"/>
              </w:rPr>
              <w:t>Purchased</w:t>
            </w:r>
          </w:p>
        </w:tc>
        <w:tc>
          <w:tcPr>
            <w:tcW w:w="28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Loans</w:t>
            </w:r>
          </w:p>
        </w:tc>
        <w:tc>
          <w:tcPr>
            <w:tcW w:w="2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beginning of period</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2,000.4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5,763.3</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Finance charges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1,369.4</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New Consumer Loan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assignments (1)</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2,424.5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1,347.7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3,772.2</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(2)</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Accelerated Dealer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60" w:type="dxa"/>
            <w:vAlign w:val="bottom"/>
          </w:tcPr>
          <w:p>
            <w:pPr>
              <w:ind w:left="180"/>
              <w:spacing w:after="0"/>
              <w:rPr>
                <w:sz w:val="20"/>
                <w:szCs w:val="20"/>
                <w:color w:val="auto"/>
              </w:rPr>
            </w:pPr>
            <w:r>
              <w:rPr>
                <w:rFonts w:ascii="Arial" w:cs="Arial" w:eastAsia="Arial" w:hAnsi="Arial"/>
                <w:sz w:val="16"/>
                <w:szCs w:val="16"/>
                <w:color w:val="auto"/>
              </w:rPr>
              <w:t>Holdback payments</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Dealer Holdback payments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Transfers (3)</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Recoveries (4)</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Deferral of Loan origination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4,623.3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2,597.9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7,221.2</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(536.0)</w:t>
            </w:r>
          </w:p>
        </w:tc>
        <w:tc>
          <w:tcPr>
            <w:tcW w:w="12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4,195.3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2,489.9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6,685.2</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 w:right="20" w:hanging="315"/>
        <w:spacing w:after="0" w:line="245" w:lineRule="auto"/>
        <w:tabs>
          <w:tab w:leader="none" w:pos="4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1" w:lineRule="exact"/>
        <w:rPr>
          <w:rFonts w:ascii="Arial" w:cs="Arial" w:eastAsia="Arial" w:hAnsi="Arial"/>
          <w:sz w:val="14"/>
          <w:szCs w:val="14"/>
          <w:color w:val="auto"/>
        </w:rPr>
      </w:pPr>
    </w:p>
    <w:p>
      <w:pPr>
        <w:ind w:left="480" w:hanging="315"/>
        <w:spacing w:after="0" w:line="237" w:lineRule="auto"/>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repayments that we collected on Consumer Loans assigned under our programs.</w:t>
      </w:r>
    </w:p>
    <w:p>
      <w:pPr>
        <w:ind w:left="480" w:hanging="315"/>
        <w:spacing w:after="0" w:line="237" w:lineRule="auto"/>
        <w:tabs>
          <w:tab w:leader="none" w:pos="4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allowance for credit losses balance to Purchased Loans in the period this forfeiture occurs.</w:t>
      </w:r>
    </w:p>
    <w:p>
      <w:pPr>
        <w:ind w:left="480" w:hanging="315"/>
        <w:spacing w:after="0" w:line="237" w:lineRule="auto"/>
        <w:tabs>
          <w:tab w:leader="none" w:pos="4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net cash flows received (collections less any related Dealer Holdback payments) on Dealer Loans that were previously written off in full. The Purchased Loans amount represents collections received on Purchased Loans that were previously written off in full.</w:t>
      </w:r>
    </w:p>
    <w:p>
      <w:pPr>
        <w:ind w:left="480" w:hanging="315"/>
        <w:spacing w:after="0" w:line="247" w:lineRule="auto"/>
        <w:tabs>
          <w:tab w:leader="none" w:pos="4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the gross-up of Loans receivable and allowance for credit losses on January 1, 2020 upon the adoption of CECL for the present value of the difference between contractual future net cash flows and expected future net cash flows discounted at the effective interest rate.</w:t>
      </w:r>
    </w:p>
    <w:p>
      <w:pPr>
        <w:spacing w:after="0" w:line="21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recognize provision for credit losses on new Consumer Loan assignments for contractual net cash flows that were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tbl>
      <w:tblPr>
        <w:tblLayout w:type="fixed"/>
        <w:tblInd w:w="60" w:type="dxa"/>
        <w:tblCellMar>
          <w:top w:w="0" w:type="dxa"/>
          <w:left w:w="0" w:type="dxa"/>
          <w:bottom w:w="0" w:type="dxa"/>
          <w:right w:w="0" w:type="dxa"/>
        </w:tblCellMar>
      </w:tblPr>
      <w:tr>
        <w:trPr>
          <w:trHeight w:val="224"/>
        </w:trPr>
        <w:tc>
          <w:tcPr>
            <w:tcW w:w="5700" w:type="dxa"/>
            <w:vAlign w:val="bottom"/>
          </w:tcPr>
          <w:p>
            <w:pPr>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1"/>
              </w:rPr>
              <w:t>For the Year Ended December 31, 2021</w:t>
            </w:r>
          </w:p>
        </w:tc>
        <w:tc>
          <w:tcPr>
            <w:tcW w:w="1280" w:type="dxa"/>
            <w:vAlign w:val="bottom"/>
            <w:tcBorders>
              <w:bottom w:val="single" w:sz="8" w:color="auto"/>
            </w:tcBorders>
          </w:tcPr>
          <w:p>
            <w:pPr>
              <w:spacing w:after="0"/>
              <w:rPr>
                <w:sz w:val="19"/>
                <w:szCs w:val="19"/>
                <w:color w:val="auto"/>
              </w:rPr>
            </w:pPr>
          </w:p>
        </w:tc>
      </w:tr>
      <w:tr>
        <w:trPr>
          <w:trHeight w:val="184"/>
        </w:trPr>
        <w:tc>
          <w:tcPr>
            <w:tcW w:w="5700" w:type="dxa"/>
            <w:vAlign w:val="bottom"/>
          </w:tcPr>
          <w:p>
            <w:pPr>
              <w:ind w:left="1960"/>
              <w:spacing w:after="0"/>
              <w:rPr>
                <w:sz w:val="20"/>
                <w:szCs w:val="20"/>
                <w:color w:val="auto"/>
              </w:rPr>
            </w:pPr>
            <w:r>
              <w:rPr>
                <w:rFonts w:ascii="Arial" w:cs="Arial" w:eastAsia="Arial" w:hAnsi="Arial"/>
                <w:sz w:val="14"/>
                <w:szCs w:val="14"/>
                <w:b w:val="1"/>
                <w:bCs w:val="1"/>
                <w:color w:val="auto"/>
              </w:rPr>
              <w:t>Provision for Credit Losses</w:t>
            </w:r>
          </w:p>
        </w:tc>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Dealer Loans</w:t>
            </w:r>
          </w:p>
        </w:tc>
        <w:tc>
          <w:tcPr>
            <w:tcW w:w="278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Purchased Loans</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58"/>
        </w:trPr>
        <w:tc>
          <w:tcPr>
            <w:tcW w:w="57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Forecast changes</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76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896"/>
              <w:spacing w:after="0"/>
              <w:rPr>
                <w:sz w:val="20"/>
                <w:szCs w:val="20"/>
                <w:color w:val="auto"/>
              </w:rPr>
            </w:pPr>
            <w:r>
              <w:rPr>
                <w:rFonts w:ascii="Arial" w:cs="Arial" w:eastAsia="Arial" w:hAnsi="Arial"/>
                <w:sz w:val="14"/>
                <w:szCs w:val="14"/>
                <w:b w:val="1"/>
                <w:bCs w:val="1"/>
                <w:color w:val="auto"/>
                <w:w w:val="91"/>
              </w:rPr>
              <w:t>For the Year Ended December 31, 2020</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60" w:type="dxa"/>
            <w:vAlign w:val="bottom"/>
            <w:gridSpan w:val="2"/>
          </w:tcPr>
          <w:p>
            <w:pPr>
              <w:ind w:left="2020"/>
              <w:spacing w:after="0"/>
              <w:rPr>
                <w:sz w:val="20"/>
                <w:szCs w:val="20"/>
                <w:color w:val="auto"/>
              </w:rPr>
            </w:pPr>
            <w:r>
              <w:rPr>
                <w:rFonts w:ascii="Arial" w:cs="Arial" w:eastAsia="Arial" w:hAnsi="Arial"/>
                <w:sz w:val="14"/>
                <w:szCs w:val="14"/>
                <w:b w:val="1"/>
                <w:bCs w:val="1"/>
                <w:color w:val="auto"/>
              </w:rPr>
              <w:t>Provision for Credit Losses</w:t>
            </w:r>
          </w:p>
        </w:tc>
        <w:tc>
          <w:tcPr>
            <w:tcW w:w="30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5"/>
                <w:szCs w:val="15"/>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Purchased Loans</w:t>
            </w:r>
          </w:p>
        </w:tc>
        <w:tc>
          <w:tcPr>
            <w:tcW w:w="460" w:type="dxa"/>
            <w:vAlign w:val="bottom"/>
          </w:tcPr>
          <w:p>
            <w:pPr>
              <w:spacing w:after="0"/>
              <w:rPr>
                <w:sz w:val="15"/>
                <w:szCs w:val="15"/>
                <w:color w:val="auto"/>
              </w:rPr>
            </w:pPr>
          </w:p>
        </w:tc>
        <w:tc>
          <w:tcPr>
            <w:tcW w:w="1280" w:type="dxa"/>
            <w:vAlign w:val="bottom"/>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New Consumer Loan assignments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58"/>
        </w:trPr>
        <w:tc>
          <w:tcPr>
            <w:tcW w:w="57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Forecast changes</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net Loan income (finance charge revenue less provision for credit losses expense) that we will recognize over the life of a Loan equals the cash we collect from the underlying Consumer Loan less the cash we pay to the Dealer. Under CECL, we are required to recognize a significant provision for credit losses expense at the time of assignment for contractual net cash flows we never expect to realize and to recognize in subsequent periods finance charge revenue that is significantly in excess of our expected yields. Additional information related to new Consumer Loan assignments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6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6"/>
          </w:tcPr>
          <w:p>
            <w:pPr>
              <w:jc w:val="center"/>
              <w:ind w:left="916"/>
              <w:spacing w:after="0"/>
              <w:rPr>
                <w:sz w:val="20"/>
                <w:szCs w:val="20"/>
                <w:color w:val="auto"/>
              </w:rPr>
            </w:pPr>
            <w:r>
              <w:rPr>
                <w:rFonts w:ascii="Arial" w:cs="Arial" w:eastAsia="Arial" w:hAnsi="Arial"/>
                <w:sz w:val="14"/>
                <w:szCs w:val="14"/>
                <w:b w:val="1"/>
                <w:bCs w:val="1"/>
                <w:color w:val="auto"/>
                <w:w w:val="91"/>
              </w:rPr>
              <w:t>For the Year Ended December 31, 2021</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760" w:type="dxa"/>
            <w:vAlign w:val="bottom"/>
            <w:gridSpan w:val="2"/>
          </w:tcPr>
          <w:p>
            <w:pPr>
              <w:ind w:left="1800"/>
              <w:spacing w:after="0"/>
              <w:rPr>
                <w:sz w:val="20"/>
                <w:szCs w:val="20"/>
                <w:color w:val="auto"/>
              </w:rPr>
            </w:pPr>
            <w:r>
              <w:rPr>
                <w:rFonts w:ascii="Arial" w:cs="Arial" w:eastAsia="Arial" w:hAnsi="Arial"/>
                <w:sz w:val="14"/>
                <w:szCs w:val="14"/>
                <w:b w:val="1"/>
                <w:bCs w:val="1"/>
                <w:color w:val="auto"/>
              </w:rPr>
              <w:t>New Consumer Loan Assignments</w:t>
            </w:r>
          </w:p>
        </w:tc>
        <w:tc>
          <w:tcPr>
            <w:tcW w:w="30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 Loans</w:t>
            </w:r>
          </w:p>
        </w:tc>
        <w:tc>
          <w:tcPr>
            <w:tcW w:w="460" w:type="dxa"/>
            <w:vAlign w:val="bottom"/>
          </w:tcPr>
          <w:p>
            <w:pPr>
              <w:spacing w:after="0"/>
              <w:rPr>
                <w:sz w:val="15"/>
                <w:szCs w:val="15"/>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Contractual net cash flows at the time of assignment (1)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5,526.6</w:t>
            </w:r>
          </w:p>
        </w:tc>
        <w:tc>
          <w:tcPr>
            <w:tcW w:w="0" w:type="dxa"/>
            <w:vAlign w:val="bottom"/>
          </w:tcPr>
          <w:p>
            <w:pPr>
              <w:spacing w:after="0"/>
              <w:rPr>
                <w:sz w:val="1"/>
                <w:szCs w:val="1"/>
                <w:color w:val="auto"/>
              </w:rPr>
            </w:pPr>
          </w:p>
        </w:tc>
      </w:tr>
      <w:tr>
        <w:trPr>
          <w:trHeight w:val="265"/>
        </w:trPr>
        <w:tc>
          <w:tcPr>
            <w:tcW w:w="5760" w:type="dxa"/>
            <w:vAlign w:val="bottom"/>
            <w:gridSpan w:val="2"/>
          </w:tcPr>
          <w:p>
            <w:pPr>
              <w:ind w:left="60"/>
              <w:spacing w:after="0"/>
              <w:rPr>
                <w:sz w:val="20"/>
                <w:szCs w:val="20"/>
                <w:color w:val="auto"/>
              </w:rPr>
            </w:pPr>
            <w:r>
              <w:rPr>
                <w:rFonts w:ascii="Arial" w:cs="Arial" w:eastAsia="Arial" w:hAnsi="Arial"/>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1,549.1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4,430.0</w:t>
            </w: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0" w:type="dxa"/>
            <w:vAlign w:val="bottom"/>
          </w:tcPr>
          <w:p>
            <w:pPr>
              <w:spacing w:after="0"/>
              <w:rPr>
                <w:sz w:val="1"/>
                <w:szCs w:val="1"/>
                <w:color w:val="auto"/>
              </w:rPr>
            </w:pPr>
          </w:p>
        </w:tc>
      </w:tr>
      <w:tr>
        <w:trPr>
          <w:trHeight w:val="278"/>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for credit losses expense at the time of assignment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58"/>
        </w:trPr>
        <w:tc>
          <w:tcPr>
            <w:tcW w:w="57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76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916"/>
              <w:spacing w:after="0"/>
              <w:rPr>
                <w:sz w:val="20"/>
                <w:szCs w:val="20"/>
                <w:color w:val="auto"/>
              </w:rPr>
            </w:pPr>
            <w:r>
              <w:rPr>
                <w:rFonts w:ascii="Arial" w:cs="Arial" w:eastAsia="Arial" w:hAnsi="Arial"/>
                <w:sz w:val="14"/>
                <w:szCs w:val="14"/>
                <w:b w:val="1"/>
                <w:bCs w:val="1"/>
                <w:color w:val="auto"/>
                <w:w w:val="91"/>
              </w:rPr>
              <w:t>For the Year Ended December 31, 2020</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60" w:type="dxa"/>
            <w:vAlign w:val="bottom"/>
            <w:gridSpan w:val="2"/>
          </w:tcPr>
          <w:p>
            <w:pPr>
              <w:ind w:left="1800"/>
              <w:spacing w:after="0"/>
              <w:rPr>
                <w:sz w:val="20"/>
                <w:szCs w:val="20"/>
                <w:color w:val="auto"/>
              </w:rPr>
            </w:pPr>
            <w:r>
              <w:rPr>
                <w:rFonts w:ascii="Arial" w:cs="Arial" w:eastAsia="Arial" w:hAnsi="Arial"/>
                <w:sz w:val="14"/>
                <w:szCs w:val="14"/>
                <w:b w:val="1"/>
                <w:bCs w:val="1"/>
                <w:color w:val="auto"/>
              </w:rPr>
              <w:t>New Consumer Loan Assignments</w:t>
            </w:r>
          </w:p>
        </w:tc>
        <w:tc>
          <w:tcPr>
            <w:tcW w:w="30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 Loans</w:t>
            </w:r>
          </w:p>
        </w:tc>
        <w:tc>
          <w:tcPr>
            <w:tcW w:w="460" w:type="dxa"/>
            <w:vAlign w:val="bottom"/>
          </w:tcPr>
          <w:p>
            <w:pPr>
              <w:spacing w:after="0"/>
              <w:rPr>
                <w:sz w:val="15"/>
                <w:szCs w:val="15"/>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Contractual net cash flows at the time of assignment (1)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6,658.1</w:t>
            </w:r>
          </w:p>
        </w:tc>
        <w:tc>
          <w:tcPr>
            <w:tcW w:w="0" w:type="dxa"/>
            <w:vAlign w:val="bottom"/>
          </w:tcPr>
          <w:p>
            <w:pPr>
              <w:spacing w:after="0"/>
              <w:rPr>
                <w:sz w:val="1"/>
                <w:szCs w:val="1"/>
                <w:color w:val="auto"/>
              </w:rPr>
            </w:pPr>
          </w:p>
        </w:tc>
      </w:tr>
      <w:tr>
        <w:trPr>
          <w:trHeight w:val="264"/>
        </w:trPr>
        <w:tc>
          <w:tcPr>
            <w:tcW w:w="5760" w:type="dxa"/>
            <w:vAlign w:val="bottom"/>
            <w:gridSpan w:val="2"/>
          </w:tcPr>
          <w:p>
            <w:pPr>
              <w:ind w:left="60"/>
              <w:spacing w:after="0"/>
              <w:rPr>
                <w:sz w:val="20"/>
                <w:szCs w:val="20"/>
                <w:color w:val="auto"/>
              </w:rPr>
            </w:pPr>
            <w:r>
              <w:rPr>
                <w:rFonts w:ascii="Arial" w:cs="Arial" w:eastAsia="Arial" w:hAnsi="Arial"/>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5,131.6</w:t>
            </w: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52"/>
        </w:trPr>
        <w:tc>
          <w:tcPr>
            <w:tcW w:w="576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for credit losses expense at the time of assignment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58"/>
        </w:trPr>
        <w:tc>
          <w:tcPr>
            <w:tcW w:w="57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76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916"/>
              <w:spacing w:after="0"/>
              <w:rPr>
                <w:sz w:val="20"/>
                <w:szCs w:val="20"/>
                <w:color w:val="auto"/>
              </w:rPr>
            </w:pPr>
            <w:r>
              <w:rPr>
                <w:rFonts w:ascii="Arial" w:cs="Arial" w:eastAsia="Arial" w:hAnsi="Arial"/>
                <w:sz w:val="14"/>
                <w:szCs w:val="14"/>
                <w:b w:val="1"/>
                <w:bCs w:val="1"/>
                <w:color w:val="auto"/>
                <w:w w:val="91"/>
              </w:rPr>
              <w:t>For the Year Ended December 31, 2019</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60" w:type="dxa"/>
            <w:vAlign w:val="bottom"/>
            <w:gridSpan w:val="2"/>
          </w:tcPr>
          <w:p>
            <w:pPr>
              <w:ind w:left="1800"/>
              <w:spacing w:after="0"/>
              <w:rPr>
                <w:sz w:val="20"/>
                <w:szCs w:val="20"/>
                <w:color w:val="auto"/>
              </w:rPr>
            </w:pPr>
            <w:r>
              <w:rPr>
                <w:rFonts w:ascii="Arial" w:cs="Arial" w:eastAsia="Arial" w:hAnsi="Arial"/>
                <w:sz w:val="14"/>
                <w:szCs w:val="14"/>
                <w:b w:val="1"/>
                <w:bCs w:val="1"/>
                <w:color w:val="auto"/>
              </w:rPr>
              <w:t>New Consumer Loan Assignments</w:t>
            </w:r>
          </w:p>
        </w:tc>
        <w:tc>
          <w:tcPr>
            <w:tcW w:w="30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 Loans</w:t>
            </w:r>
          </w:p>
        </w:tc>
        <w:tc>
          <w:tcPr>
            <w:tcW w:w="460" w:type="dxa"/>
            <w:vAlign w:val="bottom"/>
          </w:tcPr>
          <w:p>
            <w:pPr>
              <w:spacing w:after="0"/>
              <w:rPr>
                <w:sz w:val="15"/>
                <w:szCs w:val="15"/>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Contractual net cash flows at the time of assignment (1)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6,763.9</w:t>
            </w:r>
          </w:p>
        </w:tc>
        <w:tc>
          <w:tcPr>
            <w:tcW w:w="0" w:type="dxa"/>
            <w:vAlign w:val="bottom"/>
          </w:tcPr>
          <w:p>
            <w:pPr>
              <w:spacing w:after="0"/>
              <w:rPr>
                <w:sz w:val="1"/>
                <w:szCs w:val="1"/>
                <w:color w:val="auto"/>
              </w:rPr>
            </w:pPr>
          </w:p>
        </w:tc>
      </w:tr>
      <w:tr>
        <w:trPr>
          <w:trHeight w:val="265"/>
        </w:trPr>
        <w:tc>
          <w:tcPr>
            <w:tcW w:w="5760" w:type="dxa"/>
            <w:vAlign w:val="bottom"/>
            <w:gridSpan w:val="2"/>
          </w:tcPr>
          <w:p>
            <w:pPr>
              <w:ind w:left="60"/>
              <w:spacing w:after="0"/>
              <w:rPr>
                <w:sz w:val="20"/>
                <w:szCs w:val="20"/>
                <w:color w:val="auto"/>
              </w:rPr>
            </w:pPr>
            <w:r>
              <w:rPr>
                <w:rFonts w:ascii="Arial" w:cs="Arial" w:eastAsia="Arial" w:hAnsi="Arial"/>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5,305.0</w:t>
            </w: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0" w:type="dxa"/>
            <w:vAlign w:val="bottom"/>
          </w:tcPr>
          <w:p>
            <w:pPr>
              <w:spacing w:after="0"/>
              <w:rPr>
                <w:sz w:val="1"/>
                <w:szCs w:val="1"/>
                <w:color w:val="auto"/>
              </w:rPr>
            </w:pPr>
          </w:p>
        </w:tc>
      </w:tr>
      <w:tr>
        <w:trPr>
          <w:trHeight w:val="252"/>
        </w:trPr>
        <w:tc>
          <w:tcPr>
            <w:tcW w:w="576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for credit losses expense at the time of assignment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7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480" w:hanging="315"/>
        <w:spacing w:after="0" w:line="242" w:lineRule="auto"/>
        <w:tabs>
          <w:tab w:leader="none" w:pos="47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480" w:hanging="315"/>
        <w:spacing w:after="0" w:line="237" w:lineRule="auto"/>
        <w:tabs>
          <w:tab w:leader="none" w:pos="47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ind w:left="480" w:right="20" w:hanging="315"/>
        <w:spacing w:after="0" w:line="255" w:lineRule="auto"/>
        <w:tabs>
          <w:tab w:leader="none" w:pos="472"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Dealer Loans amount represents advances paid to Dealers on Consumer Loans assigned under our Portfolio Program. The Purchased Loans amount represents one-time payments made to Dealers to purchase Consumer Loans assigned under our Purchase Program. The Loan amounts also represent the fair value at the time of assignment.</w:t>
      </w:r>
    </w:p>
    <w:p>
      <w:pPr>
        <w:ind w:left="480" w:hanging="315"/>
        <w:spacing w:after="0" w:line="237" w:lineRule="auto"/>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revenue that is expected to be recognized on a level-yield basis over the lives of the Loans.</w:t>
      </w:r>
    </w:p>
    <w:p>
      <w:pPr>
        <w:ind w:left="480" w:hanging="315"/>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amount that expected net cash flows at the time of assignment (2) exceed Loans receivable at the time of assignment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expected future net cash flows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60" w:type="dxa"/>
            <w:vAlign w:val="bottom"/>
            <w:gridSpan w:val="3"/>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center"/>
              <w:ind w:left="936"/>
              <w:spacing w:after="0"/>
              <w:rPr>
                <w:sz w:val="20"/>
                <w:szCs w:val="20"/>
                <w:color w:val="auto"/>
              </w:rPr>
            </w:pPr>
            <w:r>
              <w:rPr>
                <w:rFonts w:ascii="Arial" w:cs="Arial" w:eastAsia="Arial" w:hAnsi="Arial"/>
                <w:sz w:val="14"/>
                <w:szCs w:val="14"/>
                <w:b w:val="1"/>
                <w:bCs w:val="1"/>
                <w:color w:val="auto"/>
                <w:w w:val="91"/>
              </w:rPr>
              <w:t>For the Year Ended December 31, 2021</w:t>
            </w: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760" w:type="dxa"/>
            <w:vAlign w:val="bottom"/>
            <w:gridSpan w:val="3"/>
          </w:tcPr>
          <w:p>
            <w:pPr>
              <w:ind w:left="1840"/>
              <w:spacing w:after="0"/>
              <w:rPr>
                <w:sz w:val="20"/>
                <w:szCs w:val="20"/>
                <w:color w:val="auto"/>
              </w:rPr>
            </w:pPr>
            <w:r>
              <w:rPr>
                <w:rFonts w:ascii="Arial" w:cs="Arial" w:eastAsia="Arial" w:hAnsi="Arial"/>
                <w:sz w:val="14"/>
                <w:szCs w:val="14"/>
                <w:b w:val="1"/>
                <w:bCs w:val="1"/>
                <w:color w:val="auto"/>
              </w:rPr>
              <w:t>Expected Future Net Cash Flows</w:t>
            </w:r>
          </w:p>
        </w:tc>
        <w:tc>
          <w:tcPr>
            <w:tcW w:w="300" w:type="dxa"/>
            <w:vAlign w:val="bottom"/>
          </w:tcPr>
          <w:p>
            <w:pPr>
              <w:spacing w:after="0"/>
              <w:rPr>
                <w:sz w:val="15"/>
                <w:szCs w:val="15"/>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Purchased Loans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9,544.4</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60" w:type="dxa"/>
            <w:vAlign w:val="bottom"/>
            <w:gridSpan w:val="3"/>
          </w:tcPr>
          <w:p>
            <w:pPr>
              <w:ind w:left="6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2,880.9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Realized net cash flows (2)</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(5,362.2)</w:t>
            </w:r>
          </w:p>
        </w:tc>
        <w:tc>
          <w:tcPr>
            <w:tcW w:w="0" w:type="dxa"/>
            <w:vAlign w:val="bottom"/>
          </w:tcPr>
          <w:p>
            <w:pPr>
              <w:spacing w:after="0"/>
              <w:rPr>
                <w:sz w:val="1"/>
                <w:szCs w:val="1"/>
                <w:color w:val="auto"/>
              </w:rPr>
            </w:pPr>
          </w:p>
        </w:tc>
      </w:tr>
      <w:tr>
        <w:trPr>
          <w:trHeight w:val="264"/>
        </w:trPr>
        <w:tc>
          <w:tcPr>
            <w:tcW w:w="5760" w:type="dxa"/>
            <w:vAlign w:val="bottom"/>
            <w:gridSpan w:val="3"/>
          </w:tcPr>
          <w:p>
            <w:pPr>
              <w:ind w:left="6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7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Transfers (3)</w:t>
            </w: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760" w:type="dxa"/>
            <w:vAlign w:val="bottom"/>
            <w:gridSpan w:val="3"/>
          </w:tcPr>
          <w:p>
            <w:pPr>
              <w:ind w:left="380"/>
              <w:spacing w:after="0" w:line="203" w:lineRule="exact"/>
              <w:rPr>
                <w:sz w:val="20"/>
                <w:szCs w:val="20"/>
                <w:color w:val="auto"/>
              </w:rPr>
            </w:pPr>
            <w:r>
              <w:rPr>
                <w:rFonts w:ascii="Arial" w:cs="Arial" w:eastAsia="Arial" w:hAnsi="Arial"/>
                <w:sz w:val="18"/>
                <w:szCs w:val="18"/>
                <w:color w:val="auto"/>
              </w:rPr>
              <w:t>Balance, end of period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60" w:type="dxa"/>
            <w:vAlign w:val="bottom"/>
            <w:gridSpan w:val="3"/>
            <w:vMerge w:val="restart"/>
          </w:tcPr>
          <w:p>
            <w:pPr>
              <w:ind w:left="6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9"/>
        </w:trPr>
        <w:tc>
          <w:tcPr>
            <w:tcW w:w="5760" w:type="dxa"/>
            <w:vAlign w:val="bottom"/>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left="936"/>
              <w:spacing w:after="0"/>
              <w:rPr>
                <w:sz w:val="20"/>
                <w:szCs w:val="20"/>
                <w:color w:val="auto"/>
              </w:rPr>
            </w:pPr>
            <w:r>
              <w:rPr>
                <w:rFonts w:ascii="Arial" w:cs="Arial" w:eastAsia="Arial" w:hAnsi="Arial"/>
                <w:sz w:val="14"/>
                <w:szCs w:val="14"/>
                <w:b w:val="1"/>
                <w:bCs w:val="1"/>
                <w:color w:val="auto"/>
                <w:w w:val="91"/>
              </w:rPr>
              <w:t>For the Year Ended December 31, 2020</w:t>
            </w: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60" w:type="dxa"/>
            <w:vAlign w:val="bottom"/>
            <w:gridSpan w:val="3"/>
          </w:tcPr>
          <w:p>
            <w:pPr>
              <w:ind w:left="1840"/>
              <w:spacing w:after="0"/>
              <w:rPr>
                <w:sz w:val="20"/>
                <w:szCs w:val="20"/>
                <w:color w:val="auto"/>
              </w:rPr>
            </w:pPr>
            <w:r>
              <w:rPr>
                <w:rFonts w:ascii="Arial" w:cs="Arial" w:eastAsia="Arial" w:hAnsi="Arial"/>
                <w:sz w:val="14"/>
                <w:szCs w:val="14"/>
                <w:b w:val="1"/>
                <w:bCs w:val="1"/>
                <w:color w:val="auto"/>
              </w:rPr>
              <w:t>Expected Future Net Cash Flows</w:t>
            </w:r>
          </w:p>
        </w:tc>
        <w:tc>
          <w:tcPr>
            <w:tcW w:w="300" w:type="dxa"/>
            <w:vAlign w:val="bottom"/>
          </w:tcPr>
          <w:p>
            <w:pPr>
              <w:spacing w:after="0"/>
              <w:rPr>
                <w:sz w:val="15"/>
                <w:szCs w:val="15"/>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Purchased Loans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3,428.2</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9,005.2</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60" w:type="dxa"/>
            <w:vAlign w:val="bottom"/>
            <w:gridSpan w:val="3"/>
          </w:tcPr>
          <w:p>
            <w:pPr>
              <w:ind w:left="6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Realized net cash flows (2)</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(4,552.9)</w:t>
            </w:r>
          </w:p>
        </w:tc>
        <w:tc>
          <w:tcPr>
            <w:tcW w:w="0" w:type="dxa"/>
            <w:vAlign w:val="bottom"/>
          </w:tcPr>
          <w:p>
            <w:pPr>
              <w:spacing w:after="0"/>
              <w:rPr>
                <w:sz w:val="1"/>
                <w:szCs w:val="1"/>
                <w:color w:val="auto"/>
              </w:rPr>
            </w:pPr>
          </w:p>
        </w:tc>
      </w:tr>
      <w:tr>
        <w:trPr>
          <w:trHeight w:val="264"/>
        </w:trPr>
        <w:tc>
          <w:tcPr>
            <w:tcW w:w="5760" w:type="dxa"/>
            <w:vAlign w:val="bottom"/>
            <w:gridSpan w:val="3"/>
          </w:tcPr>
          <w:p>
            <w:pPr>
              <w:ind w:left="6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2"/>
        </w:trPr>
        <w:tc>
          <w:tcPr>
            <w:tcW w:w="57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Transfers (3)</w:t>
            </w: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760" w:type="dxa"/>
            <w:vAlign w:val="bottom"/>
            <w:gridSpan w:val="3"/>
          </w:tcPr>
          <w:p>
            <w:pPr>
              <w:ind w:left="380"/>
              <w:spacing w:after="0" w:line="203" w:lineRule="exact"/>
              <w:rPr>
                <w:sz w:val="20"/>
                <w:szCs w:val="20"/>
                <w:color w:val="auto"/>
              </w:rPr>
            </w:pPr>
            <w:r>
              <w:rPr>
                <w:rFonts w:ascii="Arial" w:cs="Arial" w:eastAsia="Arial" w:hAnsi="Arial"/>
                <w:sz w:val="18"/>
                <w:szCs w:val="18"/>
                <w:color w:val="auto"/>
              </w:rPr>
              <w:t>Balance, end of period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9,544.4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left="896"/>
              <w:spacing w:after="0"/>
              <w:rPr>
                <w:sz w:val="20"/>
                <w:szCs w:val="20"/>
                <w:color w:val="auto"/>
              </w:rPr>
            </w:pPr>
            <w:r>
              <w:rPr>
                <w:rFonts w:ascii="Arial" w:cs="Arial" w:eastAsia="Arial" w:hAnsi="Arial"/>
                <w:sz w:val="14"/>
                <w:szCs w:val="14"/>
                <w:b w:val="1"/>
                <w:bCs w:val="1"/>
                <w:color w:val="auto"/>
                <w:w w:val="91"/>
              </w:rPr>
              <w:t>For the Year Ended December 31, 2019</w:t>
            </w: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80" w:type="dxa"/>
            <w:vAlign w:val="bottom"/>
            <w:tcBorders>
              <w:bottom w:val="single" w:sz="8" w:color="auto"/>
            </w:tcBorders>
            <w:gridSpan w:val="2"/>
          </w:tcPr>
          <w:p>
            <w:pPr>
              <w:ind w:left="1860"/>
              <w:spacing w:after="0"/>
              <w:rPr>
                <w:sz w:val="20"/>
                <w:szCs w:val="20"/>
                <w:color w:val="auto"/>
              </w:rPr>
            </w:pPr>
            <w:r>
              <w:rPr>
                <w:rFonts w:ascii="Arial" w:cs="Arial" w:eastAsia="Arial" w:hAnsi="Arial"/>
                <w:sz w:val="14"/>
                <w:szCs w:val="14"/>
                <w:b w:val="1"/>
                <w:bCs w:val="1"/>
                <w:color w:val="auto"/>
              </w:rPr>
              <w:t>Expected Future Net Cash Flows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Purchased Loans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Realized net cash flows (2)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Transfers (3)</w:t>
            </w: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Balance, end of period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5,577.0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3,428.2</w:t>
            </w:r>
          </w:p>
        </w:tc>
        <w:tc>
          <w:tcPr>
            <w:tcW w:w="20" w:type="dxa"/>
            <w:vAlign w:val="bottom"/>
          </w:tcPr>
          <w:p>
            <w:pPr>
              <w:spacing w:after="0"/>
              <w:rPr>
                <w:sz w:val="19"/>
                <w:szCs w:val="19"/>
                <w:color w:val="auto"/>
              </w:rPr>
            </w:pPr>
          </w:p>
        </w:tc>
        <w:tc>
          <w:tcPr>
            <w:tcW w:w="540" w:type="dxa"/>
            <w:vAlign w:val="bottom"/>
            <w:gridSpan w:val="3"/>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480" w:hanging="315"/>
        <w:spacing w:after="0" w:line="242" w:lineRule="auto"/>
        <w:tabs>
          <w:tab w:leader="none" w:pos="4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480" w:hanging="315"/>
        <w:spacing w:after="0" w:line="237" w:lineRule="auto"/>
        <w:tabs>
          <w:tab w:leader="none" w:pos="4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collected on Consumer Loans assigned under our Portfolio Program, less the Dealer Holdback and Accelerated Dealer Holdback payments that we made. Purchased Loans amount represents repayments that we collected on Consumer Loans assigned under our Purchase Program.</w:t>
      </w:r>
    </w:p>
    <w:p>
      <w:pPr>
        <w:ind w:left="480" w:hanging="315"/>
        <w:spacing w:after="0" w:line="247" w:lineRule="auto"/>
        <w:tabs>
          <w:tab w:leader="none" w:pos="4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related allowance for credit losses balance and related expected future net cash flows to Purchased Loans in the period this forfeiture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monitor and evaluate the credit quality of Consumer Loans assigned under our Portfolio and Purchase Programs on a monthly basis by comparing our current forecasted collection rates to our prior forecasted collection rates and our initial expectations. For additional information regarding credit quality, see Note 2 to the consolidated financial statements. The following table compares our forecast of Consumer Loan collection rates as of December 31, 2021, with the forecasts as of December 31, 2020, as of December 31, 2019, and at the time of assignment, segmented by year of assignment: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9"/>
              </w:rPr>
              <w:t>Total Loans as of December 31, 2021</w:t>
            </w: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9"/>
              </w:rPr>
              <w:t>Forecasted Collection Percentage as of (1)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4"/>
                <w:szCs w:val="14"/>
                <w:b w:val="1"/>
                <w:bCs w:val="1"/>
                <w:color w:val="auto"/>
                <w:w w:val="92"/>
              </w:rPr>
              <w:t>Current Forecast Variance from</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vMerge w:val="restart"/>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94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rPr>
              <w:t>Initial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Assignment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Forecast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66.5 %</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9"/>
              </w:rPr>
              <w:t>Dealer Loans as of December 31, 2021</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Forecasted Collection Percentage as of (1) (2)</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4"/>
                <w:szCs w:val="14"/>
                <w:b w:val="1"/>
                <w:bCs w:val="1"/>
                <w:color w:val="auto"/>
                <w:w w:val="92"/>
              </w:rPr>
              <w:t>Current Forecast Variance from</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vMerge w:val="restart"/>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94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rPr>
              <w:t>Initial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Assignment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Forecast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5"/>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8"/>
              </w:rPr>
              <w:t>Purchased Loans as of December 31, 2021</w:t>
            </w: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Forecasted Collection Percentage as of (1) (2)</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Current Forecast Variance from</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Consumer Loan</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vMerge w:val="restart"/>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vMerge w:val="restart"/>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94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Assignment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5"/>
              </w:rPr>
              <w:t>Forecast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65.6 %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480" w:hanging="315"/>
        <w:spacing w:after="0" w:line="242" w:lineRule="auto"/>
        <w:tabs>
          <w:tab w:leader="none" w:pos="4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480" w:hanging="315"/>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31"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We evaluate and adjust the expected collection rate of each Consumer Loan subsequent to assignment primarily through the monitoring of consumer payment behavior. The following table summarizes the past-due status of Consumer Loan assignments as of December 31, 2021 and December 31, 2020, segmented by year of assignment: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0"/>
              </w:rPr>
              <w:t>Total Loans as of December 31, 2021 (1) (2)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0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420"/>
              <w:spacing w:after="0" w:line="159"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56"/>
              <w:spacing w:after="0" w:line="159"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13"/>
                <w:szCs w:val="13"/>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 and prior</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5"/>
        </w:trPr>
        <w:tc>
          <w:tcPr>
            <w:tcW w:w="2900" w:type="dxa"/>
            <w:vAlign w:val="bottom"/>
          </w:tcPr>
          <w:p>
            <w:pPr>
              <w:ind w:left="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25"/>
        </w:trPr>
        <w:tc>
          <w:tcPr>
            <w:tcW w:w="2900" w:type="dxa"/>
            <w:vAlign w:val="bottom"/>
          </w:tcPr>
          <w:p>
            <w:pPr>
              <w:ind w:left="6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32"/>
        </w:trPr>
        <w:tc>
          <w:tcPr>
            <w:tcW w:w="29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9,349.8</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6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000" w:type="dxa"/>
            <w:vAlign w:val="bottom"/>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0"/>
              </w:rPr>
              <w:t>Dealer Loans as of December 31, 2021 (1)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0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 and prior</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5"/>
        </w:trPr>
        <w:tc>
          <w:tcPr>
            <w:tcW w:w="2900" w:type="dxa"/>
            <w:vAlign w:val="bottom"/>
          </w:tcPr>
          <w:p>
            <w:pPr>
              <w:ind w:left="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25"/>
        </w:trPr>
        <w:tc>
          <w:tcPr>
            <w:tcW w:w="2900" w:type="dxa"/>
            <w:vAlign w:val="bottom"/>
          </w:tcPr>
          <w:p>
            <w:pPr>
              <w:ind w:left="6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1,617.4</w:t>
            </w:r>
          </w:p>
        </w:tc>
        <w:tc>
          <w:tcPr>
            <w:tcW w:w="0" w:type="dxa"/>
            <w:vAlign w:val="bottom"/>
          </w:tcPr>
          <w:p>
            <w:pPr>
              <w:spacing w:after="0"/>
              <w:rPr>
                <w:sz w:val="1"/>
                <w:szCs w:val="1"/>
                <w:color w:val="auto"/>
              </w:rPr>
            </w:pPr>
          </w:p>
        </w:tc>
      </w:tr>
      <w:tr>
        <w:trPr>
          <w:trHeight w:val="232"/>
        </w:trPr>
        <w:tc>
          <w:tcPr>
            <w:tcW w:w="29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w:t>
            </w:r>
          </w:p>
        </w:tc>
        <w:tc>
          <w:tcPr>
            <w:tcW w:w="0" w:type="dxa"/>
            <w:vAlign w:val="bottom"/>
          </w:tcPr>
          <w:p>
            <w:pPr>
              <w:spacing w:after="0"/>
              <w:rPr>
                <w:sz w:val="1"/>
                <w:szCs w:val="1"/>
                <w:color w:val="auto"/>
              </w:rPr>
            </w:pPr>
          </w:p>
        </w:tc>
      </w:tr>
      <w:tr>
        <w:trPr>
          <w:trHeight w:val="245"/>
        </w:trPr>
        <w:tc>
          <w:tcPr>
            <w:tcW w:w="2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3,632.8</w:t>
            </w: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43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60"/>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11180"/>
          </w:cols>
          <w:pgMar w:left="380" w:top="360"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Consumer Loan Assignment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2016 and prior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Consumer Loan Assignment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2015 and prior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Consumer Loan Assignment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2015 and prior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Consumer Loan Assignment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2015 and prior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Purchased Loans as of December 31, 2021 (2)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33"/>
        </w:trPr>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0"/>
              </w:rPr>
              <w:t>Total Loans as of December 31, 2020 (1) (2)</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420"/>
              <w:spacing w:after="0" w:line="159"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56"/>
              <w:spacing w:after="0" w:line="159"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13"/>
                <w:szCs w:val="13"/>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3,341.6</w:t>
            </w:r>
          </w:p>
        </w:tc>
        <w:tc>
          <w:tcPr>
            <w:tcW w:w="0" w:type="dxa"/>
            <w:vAlign w:val="bottom"/>
          </w:tcPr>
          <w:p>
            <w:pPr>
              <w:spacing w:after="0"/>
              <w:rPr>
                <w:sz w:val="1"/>
                <w:szCs w:val="1"/>
                <w:color w:val="auto"/>
              </w:rPr>
            </w:pPr>
          </w:p>
        </w:tc>
      </w:tr>
      <w:tr>
        <w:trPr>
          <w:trHeight w:val="233"/>
        </w:trPr>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3,818.6</w:t>
            </w: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10,124.8</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0"/>
              </w:rPr>
              <w:t>Dealer Loans as of December 31, 2020 (1)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1,740.6</w:t>
            </w:r>
          </w:p>
        </w:tc>
        <w:tc>
          <w:tcPr>
            <w:tcW w:w="0" w:type="dxa"/>
            <w:vAlign w:val="bottom"/>
          </w:tcPr>
          <w:p>
            <w:pPr>
              <w:spacing w:after="0"/>
              <w:rPr>
                <w:sz w:val="1"/>
                <w:szCs w:val="1"/>
                <w:color w:val="auto"/>
              </w:rPr>
            </w:pPr>
          </w:p>
        </w:tc>
      </w:tr>
      <w:tr>
        <w:trPr>
          <w:trHeight w:val="233"/>
        </w:trPr>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2,009.5</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2,540.4</w:t>
            </w: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5,869.6</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89"/>
              </w:rPr>
              <w:t>Purchased Loans as of December 31, 2020 (2)</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Pre-term Consumer Loans (3)</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Past Due</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6"/>
              <w:spacing w:after="0" w:line="133" w:lineRule="exact"/>
              <w:rPr>
                <w:sz w:val="20"/>
                <w:szCs w:val="20"/>
                <w:color w:val="auto"/>
              </w:rPr>
            </w:pPr>
            <w:r>
              <w:rPr>
                <w:rFonts w:ascii="Arial" w:cs="Arial" w:eastAsia="Arial" w:hAnsi="Arial"/>
                <w:sz w:val="14"/>
                <w:szCs w:val="14"/>
                <w:b w:val="1"/>
                <w:bCs w:val="1"/>
                <w:color w:val="auto"/>
                <w:w w:val="86"/>
              </w:rPr>
              <w:t>Past Due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11-90 Days</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Over 90 Days</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Loans (4)</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1,601.0</w:t>
            </w:r>
          </w:p>
        </w:tc>
        <w:tc>
          <w:tcPr>
            <w:tcW w:w="0" w:type="dxa"/>
            <w:vAlign w:val="bottom"/>
          </w:tcPr>
          <w:p>
            <w:pPr>
              <w:spacing w:after="0"/>
              <w:rPr>
                <w:sz w:val="1"/>
                <w:szCs w:val="1"/>
                <w:color w:val="auto"/>
              </w:rPr>
            </w:pPr>
          </w:p>
        </w:tc>
      </w:tr>
      <w:tr>
        <w:trPr>
          <w:trHeight w:val="233"/>
        </w:trPr>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25"/>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2,565.0</w:t>
            </w: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4,255.2</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-5821680</wp:posOffset>
            </wp:positionV>
            <wp:extent cx="7134860" cy="142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-5535295</wp:posOffset>
            </wp:positionV>
            <wp:extent cx="7134860" cy="142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-5241290</wp:posOffset>
            </wp:positionV>
            <wp:extent cx="7134860"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-6124575</wp:posOffset>
            </wp:positionV>
            <wp:extent cx="7134860" cy="160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-4121785</wp:posOffset>
            </wp:positionV>
            <wp:extent cx="7134860" cy="142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-3836035</wp:posOffset>
            </wp:positionV>
            <wp:extent cx="7134860"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-3541395</wp:posOffset>
            </wp:positionV>
            <wp:extent cx="7134860"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-4424680</wp:posOffset>
            </wp:positionV>
            <wp:extent cx="7134860" cy="160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-2447925</wp:posOffset>
            </wp:positionV>
            <wp:extent cx="7134860" cy="142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-2161540</wp:posOffset>
            </wp:positionV>
            <wp:extent cx="7134860" cy="142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-1866900</wp:posOffset>
            </wp:positionV>
            <wp:extent cx="7134860" cy="168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-2750820</wp:posOffset>
            </wp:positionV>
            <wp:extent cx="7134860" cy="160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-765175</wp:posOffset>
            </wp:positionV>
            <wp:extent cx="7134860" cy="142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-478790</wp:posOffset>
            </wp:positionV>
            <wp:extent cx="7134860" cy="142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-184785</wp:posOffset>
            </wp:positionV>
            <wp:extent cx="7134860" cy="168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-1068070</wp:posOffset>
            </wp:positionV>
            <wp:extent cx="7134860" cy="160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520"/>
            <w:col w:w="8240"/>
          </w:cols>
          <w:pgMar w:left="380" w:top="360" w:right="339" w:bottom="1440" w:gutter="0" w:footer="0" w:header="0"/>
          <w:type w:val="continuous"/>
        </w:sectPr>
      </w:pPr>
    </w:p>
    <w:p>
      <w:pPr>
        <w:spacing w:after="0" w:line="113" w:lineRule="exact"/>
        <w:rPr>
          <w:sz w:val="20"/>
          <w:szCs w:val="20"/>
          <w:color w:val="auto"/>
        </w:rPr>
      </w:pPr>
    </w:p>
    <w:p>
      <w:pPr>
        <w:ind w:left="420" w:hanging="315"/>
        <w:spacing w:after="0" w:line="245" w:lineRule="auto"/>
        <w:tabs>
          <w:tab w:leader="none" w:pos="4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Consumer Loans are aggregated by Dealer for purposes of recognizing revenue and measuring credit losses, the Dealer Loan amount was estimated by allocating the balance of each Dealer Loan to the underlying Consumer Loans based on the forecasted future collections of each Consumer Loan.</w:t>
      </w:r>
    </w:p>
    <w:p>
      <w:pPr>
        <w:spacing w:after="0" w:line="1" w:lineRule="exact"/>
        <w:rPr>
          <w:rFonts w:ascii="Arial" w:cs="Arial" w:eastAsia="Arial" w:hAnsi="Arial"/>
          <w:sz w:val="14"/>
          <w:szCs w:val="14"/>
          <w:color w:val="auto"/>
        </w:rPr>
      </w:pPr>
    </w:p>
    <w:p>
      <w:pPr>
        <w:ind w:left="420" w:hanging="315"/>
        <w:spacing w:after="0" w:line="237" w:lineRule="auto"/>
        <w:tabs>
          <w:tab w:leader="none" w:pos="4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certain Consumer Loans are aggregated by Dealer or month of purchase for purposes of recognizing revenue and measuring credit losses, the Purchased Loan amount was estimated by allocating the balance of certain Purchased Loans to the underlying Consumer Loans based on the forecasted future collections of each Consumer Loan.</w:t>
      </w:r>
    </w:p>
    <w:p>
      <w:pPr>
        <w:ind w:left="420" w:hanging="315"/>
        <w:spacing w:after="0" w:line="237"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within their initial loan terms.</w:t>
      </w:r>
    </w:p>
    <w:p>
      <w:pPr>
        <w:ind w:left="420" w:hanging="315"/>
        <w:spacing w:after="0" w:line="237"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beyond their initial loan terms.</w:t>
      </w:r>
    </w:p>
    <w:p>
      <w:pPr>
        <w:ind w:left="420" w:hanging="315"/>
        <w:spacing w:after="0"/>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consider a Consumer Loan to be current for purposes of forecasting expected collection rates if contractual repayments are less than 11 days past due.</w:t>
      </w:r>
    </w:p>
    <w:p>
      <w:pPr>
        <w:sectPr>
          <w:pgSz w:w="11900" w:h="16838" w:orient="portrait"/>
          <w:cols w:equalWidth="0" w:num="1">
            <w:col w:w="11180"/>
          </w:cols>
          <w:pgMar w:left="380" w:top="360" w:right="3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87630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80" w:top="360"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first quarter of 2020, we reduced our estimate of future net cash flows from our Loan portfolio by $206.5 million, or 2.3% of the forecasted net cash flows at the start of the period, primarily due to the impact of the COVID-19 pandemic. The reduction was comprised of: (1) $44.3 million calculated by our forecasting model, which reflected lower realized collections during the first quarter of 2020 and (2) an additional $162.2 million, which represented our best estimate of the future impact of the COVID-19 pandemic on future net cash flows. Under CECL, changes in the amount and timing of forecasted net cash flows are recorded as a provision for credit losses in the current period. We have continued to apply this adjustment to our forecast through the end of 2021 as it continues to represent our best estimate of the impact of the COVID-19 pandemic on future net cash flows. The COVID-19 pandemic has created conditions that increase the level of uncertainty associated with our estimate of the amount and timing of future net cash flows from our Loan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Prior Year Loan Disclosure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adoption of CECL on January 1, 2020 eliminated the following disclosure for 2020 and 2021 that was required in prior years.</w:t>
      </w:r>
    </w:p>
    <w:p>
      <w:pPr>
        <w:spacing w:after="0" w:line="244"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5"/>
          <w:szCs w:val="15"/>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6"/>
          </w:tcPr>
          <w:p>
            <w:pPr>
              <w:jc w:val="center"/>
              <w:ind w:left="916"/>
              <w:spacing w:after="0"/>
              <w:rPr>
                <w:sz w:val="20"/>
                <w:szCs w:val="20"/>
                <w:color w:val="auto"/>
              </w:rPr>
            </w:pPr>
            <w:r>
              <w:rPr>
                <w:rFonts w:ascii="Arial" w:cs="Arial" w:eastAsia="Arial" w:hAnsi="Arial"/>
                <w:sz w:val="14"/>
                <w:szCs w:val="14"/>
                <w:b w:val="1"/>
                <w:bCs w:val="1"/>
                <w:color w:val="auto"/>
                <w:w w:val="91"/>
              </w:rPr>
              <w:t>For the Year Ended December 31, 2019</w:t>
            </w:r>
          </w:p>
        </w:tc>
        <w:tc>
          <w:tcPr>
            <w:tcW w:w="1300" w:type="dxa"/>
            <w:vAlign w:val="bottom"/>
            <w:tcBorders>
              <w:bottom w:val="single" w:sz="8" w:color="auto"/>
            </w:tcBorders>
          </w:tcPr>
          <w:p>
            <w:pPr>
              <w:spacing w:after="0"/>
              <w:rPr>
                <w:sz w:val="17"/>
                <w:szCs w:val="17"/>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Purchased Loans</w:t>
            </w:r>
          </w:p>
        </w:tc>
        <w:tc>
          <w:tcPr>
            <w:tcW w:w="460" w:type="dxa"/>
            <w:vAlign w:val="bottom"/>
          </w:tcPr>
          <w:p>
            <w:pPr>
              <w:spacing w:after="0"/>
              <w:rPr>
                <w:sz w:val="16"/>
                <w:szCs w:val="16"/>
                <w:color w:val="auto"/>
              </w:rPr>
            </w:pPr>
          </w:p>
        </w:tc>
        <w:tc>
          <w:tcPr>
            <w:tcW w:w="1300" w:type="dxa"/>
            <w:vAlign w:val="bottom"/>
          </w:tcPr>
          <w:p>
            <w:pPr>
              <w:jc w:val="right"/>
              <w:ind w:right="654"/>
              <w:spacing w:after="0"/>
              <w:rPr>
                <w:sz w:val="20"/>
                <w:szCs w:val="20"/>
                <w:color w:val="auto"/>
              </w:rPr>
            </w:pPr>
            <w:r>
              <w:rPr>
                <w:rFonts w:ascii="Arial" w:cs="Arial" w:eastAsia="Arial" w:hAnsi="Arial"/>
                <w:sz w:val="14"/>
                <w:szCs w:val="14"/>
                <w:b w:val="1"/>
                <w:bCs w:val="1"/>
                <w:color w:val="auto"/>
              </w:rPr>
              <w:t>Total</w:t>
            </w:r>
          </w:p>
        </w:tc>
      </w:tr>
      <w:tr>
        <w:trPr>
          <w:trHeight w:val="225"/>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2,065.5</w:t>
            </w:r>
          </w:p>
        </w:tc>
      </w:tr>
      <w:tr>
        <w:trPr>
          <w:trHeight w:val="225"/>
        </w:trPr>
        <w:tc>
          <w:tcPr>
            <w:tcW w:w="5720" w:type="dxa"/>
            <w:vAlign w:val="bottom"/>
          </w:tcPr>
          <w:p>
            <w:pPr>
              <w:ind w:left="540"/>
              <w:spacing w:after="0"/>
              <w:rPr>
                <w:sz w:val="20"/>
                <w:szCs w:val="20"/>
                <w:color w:val="auto"/>
              </w:rPr>
            </w:pPr>
            <w:r>
              <w:rPr>
                <w:rFonts w:ascii="Arial" w:cs="Arial" w:eastAsia="Arial" w:hAnsi="Arial"/>
                <w:sz w:val="18"/>
                <w:szCs w:val="18"/>
                <w:color w:val="auto"/>
              </w:rPr>
              <w:t>New Consumer Loan assignments (1)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1,532.8</w:t>
            </w:r>
          </w:p>
        </w:tc>
      </w:tr>
      <w:tr>
        <w:trPr>
          <w:trHeight w:val="226"/>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Accretion (2)</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25"/>
        </w:trPr>
        <w:tc>
          <w:tcPr>
            <w:tcW w:w="5720" w:type="dxa"/>
            <w:vAlign w:val="bottom"/>
          </w:tcPr>
          <w:p>
            <w:pPr>
              <w:ind w:left="54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26"/>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Forecast changes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2"/>
        </w:trPr>
        <w:tc>
          <w:tcPr>
            <w:tcW w:w="57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Transfers (3)</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left="480" w:hanging="315"/>
        <w:spacing w:after="0" w:line="242" w:lineRule="auto"/>
        <w:tabs>
          <w:tab w:leader="none" w:pos="472"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Arial" w:cs="Arial" w:eastAsia="Arial" w:hAnsi="Arial"/>
          <w:sz w:val="14"/>
          <w:szCs w:val="14"/>
          <w:color w:val="auto"/>
        </w:rPr>
      </w:pPr>
    </w:p>
    <w:p>
      <w:pPr>
        <w:ind w:left="480" w:hanging="315"/>
        <w:spacing w:after="0" w:line="237" w:lineRule="auto"/>
        <w:tabs>
          <w:tab w:leader="none" w:pos="4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ind w:left="480" w:hanging="315"/>
        <w:spacing w:after="0" w:line="247" w:lineRule="auto"/>
        <w:tabs>
          <w:tab w:leader="none" w:pos="472" w:val="left"/>
        </w:tabs>
        <w:numPr>
          <w:ilvl w:val="1"/>
          <w:numId w:val="66"/>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the related allowance for credit losses balance and related expected future net cash flows to Purchased Loans in the period this forfeiture occurs.</w:t>
      </w:r>
    </w:p>
    <w:p>
      <w:pPr>
        <w:spacing w:after="0" w:line="213" w:lineRule="exact"/>
        <w:rPr>
          <w:rFonts w:ascii="Arial" w:cs="Arial" w:eastAsia="Arial" w:hAnsi="Arial"/>
          <w:sz w:val="14"/>
          <w:szCs w:val="14"/>
          <w:color w:val="auto"/>
        </w:rPr>
      </w:pPr>
    </w:p>
    <w:p>
      <w:pPr>
        <w:ind w:left="320" w:hanging="314"/>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4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5"/>
              </w:rPr>
              <w:t>As of December 31,</w:t>
            </w:r>
          </w:p>
        </w:tc>
        <w:tc>
          <w:tcPr>
            <w:tcW w:w="1140" w:type="dxa"/>
            <w:vAlign w:val="bottom"/>
            <w:tcBorders>
              <w:bottom w:val="single" w:sz="8" w:color="auto"/>
            </w:tcBorders>
          </w:tcPr>
          <w:p>
            <w:pPr>
              <w:spacing w:after="0"/>
              <w:rPr>
                <w:sz w:val="17"/>
                <w:szCs w:val="17"/>
                <w:color w:val="auto"/>
              </w:rPr>
            </w:pPr>
          </w:p>
        </w:tc>
      </w:tr>
      <w:tr>
        <w:trPr>
          <w:trHeight w:val="192"/>
        </w:trPr>
        <w:tc>
          <w:tcPr>
            <w:tcW w:w="75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14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processing equipment and software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2"/>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property and equipment</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on property and equipment</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5"/>
        </w:trPr>
        <w:tc>
          <w:tcPr>
            <w:tcW w:w="7580" w:type="dxa"/>
            <w:vAlign w:val="bottom"/>
          </w:tcPr>
          <w:p>
            <w:pPr>
              <w:ind w:left="460"/>
              <w:spacing w:after="0"/>
              <w:rPr>
                <w:sz w:val="20"/>
                <w:szCs w:val="20"/>
                <w:color w:val="auto"/>
              </w:rPr>
            </w:pPr>
            <w:r>
              <w:rPr>
                <w:rFonts w:ascii="Arial" w:cs="Arial" w:eastAsia="Arial" w:hAnsi="Arial"/>
                <w:sz w:val="18"/>
                <w:szCs w:val="18"/>
                <w:color w:val="auto"/>
              </w:rPr>
              <w:t>Total property and equipment, net</w:t>
            </w:r>
          </w:p>
        </w:tc>
        <w:tc>
          <w:tcPr>
            <w:tcW w:w="11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0"/>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on property and equipment was $9.7 million, $8.8 million and $7.3 million for the years ended December 31, 2021, 2020 and 2019,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REINSURANCE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reinsurance activity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4"/>
                <w:szCs w:val="14"/>
                <w:b w:val="1"/>
                <w:bCs w:val="1"/>
                <w:color w:val="auto"/>
                <w:w w:val="90"/>
              </w:rPr>
              <w:t>For the Years Ended December 31,</w:t>
            </w:r>
          </w:p>
        </w:tc>
        <w:tc>
          <w:tcPr>
            <w:tcW w:w="1340" w:type="dxa"/>
            <w:vAlign w:val="bottom"/>
            <w:tcBorders>
              <w:bottom w:val="single" w:sz="8" w:color="auto"/>
            </w:tcBorders>
          </w:tcPr>
          <w:p>
            <w:pPr>
              <w:spacing w:after="0"/>
              <w:rPr>
                <w:sz w:val="17"/>
                <w:szCs w:val="17"/>
                <w:color w:val="auto"/>
              </w:rPr>
            </w:pPr>
          </w:p>
        </w:tc>
      </w:tr>
      <w:tr>
        <w:trPr>
          <w:trHeight w:val="192"/>
        </w:trPr>
        <w:tc>
          <w:tcPr>
            <w:tcW w:w="57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assumed written premiums</w:t>
            </w: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claims</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Amortization of capitalized acquisition costs</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trust assets and related reinsurance liabilities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8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192"/>
        </w:trPr>
        <w:tc>
          <w:tcPr>
            <w:tcW w:w="2780" w:type="dxa"/>
            <w:vAlign w:val="bottom"/>
            <w:tcBorders>
              <w:bottom w:val="single" w:sz="8" w:color="CCEEFF"/>
            </w:tcBorders>
          </w:tcPr>
          <w:p>
            <w:pPr>
              <w:spacing w:after="0"/>
              <w:rPr>
                <w:sz w:val="16"/>
                <w:szCs w:val="16"/>
                <w:color w:val="auto"/>
              </w:rPr>
            </w:pPr>
          </w:p>
        </w:tc>
        <w:tc>
          <w:tcPr>
            <w:tcW w:w="42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5"/>
        </w:trPr>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Trust assets</w:t>
            </w: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 and cash equivalents</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2780" w:type="dxa"/>
            <w:vAlign w:val="bottom"/>
          </w:tcPr>
          <w:p>
            <w:pPr>
              <w:ind w:left="340"/>
              <w:spacing w:after="0"/>
              <w:rPr>
                <w:sz w:val="20"/>
                <w:szCs w:val="20"/>
                <w:color w:val="auto"/>
              </w:rPr>
            </w:pPr>
            <w:r>
              <w:rPr>
                <w:rFonts w:ascii="Arial" w:cs="Arial" w:eastAsia="Arial" w:hAnsi="Arial"/>
                <w:sz w:val="18"/>
                <w:szCs w:val="18"/>
                <w:color w:val="auto"/>
              </w:rPr>
              <w:t>Trust assets</w:t>
            </w: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Restricted securities available for sale</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26"/>
        </w:trPr>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premium</w:t>
            </w: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4"/>
        </w:trPr>
        <w:tc>
          <w:tcPr>
            <w:tcW w:w="2780" w:type="dxa"/>
            <w:vAlign w:val="bottom"/>
          </w:tcPr>
          <w:p>
            <w:pPr>
              <w:ind w:left="340"/>
              <w:spacing w:after="0"/>
              <w:rPr>
                <w:sz w:val="20"/>
                <w:szCs w:val="20"/>
                <w:color w:val="auto"/>
              </w:rPr>
            </w:pPr>
            <w:r>
              <w:rPr>
                <w:rFonts w:ascii="Arial" w:cs="Arial" w:eastAsia="Arial" w:hAnsi="Arial"/>
                <w:sz w:val="18"/>
                <w:szCs w:val="18"/>
                <w:color w:val="auto"/>
              </w:rPr>
              <w:t>Claims reserve (1)</w:t>
            </w: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300"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claims reserve represents our liability for incurred-but-not-reported claims and is estimated based on historical claims experience.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present information about incurred and paid claims development for the five-year period ended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jc w:val="center"/>
              <w:ind w:left="621"/>
              <w:spacing w:after="0"/>
              <w:rPr>
                <w:sz w:val="20"/>
                <w:szCs w:val="20"/>
                <w:color w:val="auto"/>
              </w:rPr>
            </w:pPr>
            <w:r>
              <w:rPr>
                <w:rFonts w:ascii="Arial" w:cs="Arial" w:eastAsia="Arial" w:hAnsi="Arial"/>
                <w:sz w:val="14"/>
                <w:szCs w:val="14"/>
                <w:b w:val="1"/>
                <w:bCs w:val="1"/>
                <w:color w:val="auto"/>
                <w:w w:val="93"/>
              </w:rPr>
              <w:t>Cumulative Incurred Claims</w:t>
            </w: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80" w:type="dxa"/>
            <w:vAlign w:val="bottom"/>
            <w:gridSpan w:val="2"/>
            <w:vMerge w:val="restart"/>
          </w:tcPr>
          <w:p>
            <w:pPr>
              <w:jc w:val="right"/>
              <w:ind w:right="458"/>
              <w:spacing w:after="0"/>
              <w:rPr>
                <w:sz w:val="20"/>
                <w:szCs w:val="20"/>
                <w:color w:val="auto"/>
              </w:rPr>
            </w:pPr>
            <w:r>
              <w:rPr>
                <w:rFonts w:ascii="Arial" w:cs="Arial" w:eastAsia="Arial" w:hAnsi="Arial"/>
                <w:sz w:val="14"/>
                <w:szCs w:val="14"/>
                <w:b w:val="1"/>
                <w:bCs w:val="1"/>
                <w:color w:val="auto"/>
                <w:w w:val="93"/>
              </w:rPr>
              <w:t>Incident Year</w:t>
            </w:r>
          </w:p>
        </w:tc>
        <w:tc>
          <w:tcPr>
            <w:tcW w:w="10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Claims Reserve</w:t>
            </w:r>
          </w:p>
        </w:tc>
        <w:tc>
          <w:tcPr>
            <w:tcW w:w="10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Cumulative Number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of Reported Claims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38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20" w:type="dxa"/>
            <w:vAlign w:val="bottom"/>
            <w:gridSpan w:val="4"/>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right"/>
              <w:ind w:right="798"/>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8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right"/>
              <w:ind w:right="798"/>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380" w:type="dxa"/>
            <w:vAlign w:val="bottom"/>
            <w:tcBorders>
              <w:bottom w:val="single" w:sz="8" w:color="CCEEFF"/>
            </w:tcBorders>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4"/>
          </w:tcPr>
          <w:p>
            <w:pPr>
              <w:jc w:val="right"/>
              <w:ind w:right="12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Cumulative Paid Claims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9"/>
              </w:rPr>
              <w:t>As of December 31,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Incident Year</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3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gridSpan w:val="4"/>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right"/>
              <w:ind w:right="778"/>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right"/>
              <w:ind w:right="778"/>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Average Annual Percentage Payout of Incurred Claims by Age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Claim Age (Years)</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3</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4</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5</w:t>
            </w:r>
          </w:p>
        </w:tc>
      </w:tr>
      <w:tr>
        <w:trPr>
          <w:trHeight w:val="225"/>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Payout Percentage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OTHER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w w:val="89"/>
              </w:rPr>
              <w:t>For the Years Ended December 31,</w:t>
            </w:r>
          </w:p>
        </w:tc>
        <w:tc>
          <w:tcPr>
            <w:tcW w:w="1340" w:type="dxa"/>
            <w:vAlign w:val="bottom"/>
            <w:tcBorders>
              <w:bottom w:val="single" w:sz="8" w:color="auto"/>
            </w:tcBorders>
          </w:tcPr>
          <w:p>
            <w:pPr>
              <w:spacing w:after="0"/>
              <w:rPr>
                <w:sz w:val="17"/>
                <w:szCs w:val="17"/>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product profit sharing</w:t>
            </w:r>
          </w:p>
        </w:tc>
        <w:tc>
          <w:tcPr>
            <w:tcW w:w="120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Remarketing fees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enrollment fees</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Dealer support products and services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GPS-SID fees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998"/>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0"/>
        </w:trPr>
        <w:tc>
          <w:tcPr>
            <w:tcW w:w="5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Ancillary product profit sharing consists of payments received from TPPs based upon the performance of vehicle service contracts and GAP contracts, and is recognized as income over the life of the vehicle service contracts and GAP contracts.</w:t>
      </w: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Remarketing fees consist of fees retained from the sale of repossessed vehicles by Vehicle Remarketing Services, Inc. (“VRS”), our wholly-owned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1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Dealer enrollment fees include fees from Dealers that enrolled in our Portfolio Program prior to August 5, 2019. Depending on the enrollment option selected by the Dealer, Dealers may have enrolled by paying us an upfront, one-time fee, or by agreeing to allow us to retain 50% of their accelerated Dealer Holdback payment(s) on the first 100 Consumer Loan assignments. For additional information regarding program enrollment, see Note 1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accelerated Dealer Holdback payment(s) on the first 100 Consumer Loan assignments is also considered to be a Dealer enrollment fee. We do not recognize any of this Dealer enrollment fee until the Dealer has met the eligibility requirements to receive the accelerated Dealer Holdback payment(s) and the amount(s) of the payment(s), if any, have been calculated. Once the accelerated Dealer Holdback payment(s) have been calculated, we defer the 50% portion that we keep and recognize it on a straight-line basis over the remaining estimated life of the Dealer relationship. Beginning August 5, 2019, Dealers may enroll in our Portfolio Program without incurring an enrollment fee.</w:t>
      </w:r>
    </w:p>
    <w:p>
      <w:pPr>
        <w:spacing w:after="0" w:line="39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GPS-SID fees consist of fees we received from a TPP for providing Dealers in certain states the ability to purchase GPS Starter Interrupt Devices (“GPS-SID”). Through this program, Dealers could install GPS-SID on vehicles financed by us that can be activated if the consumer fails to make payments on their account, and can result in the prompt repossession of the vehicle. Dealers purchased GPS-SID directly from the TPP and the TPP paid us a vendor fee for each device sold. GPS-SID fee income was recognized when the units were sold. Effective during the second quarter of 2019, we no longer provide Dealers the ability to purchase GPS-SID through this program. We allowed Dealers to install previously purchased GPS-SID on vehicles financed by us until September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80" w:type="dxa"/>
            <w:vAlign w:val="bottom"/>
            <w:gridSpan w:val="20"/>
          </w:tcPr>
          <w:p>
            <w:pPr>
              <w:ind w:left="4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The  following</w:t>
            </w:r>
          </w:p>
        </w:tc>
        <w:tc>
          <w:tcPr>
            <w:tcW w:w="520" w:type="dxa"/>
            <w:vAlign w:val="bottom"/>
          </w:tcPr>
          <w:p>
            <w:pPr>
              <w:jc w:val="right"/>
              <w:ind w:right="97"/>
              <w:spacing w:after="0"/>
              <w:rPr>
                <w:sz w:val="20"/>
                <w:szCs w:val="20"/>
                <w:color w:val="auto"/>
              </w:rPr>
            </w:pPr>
            <w:r>
              <w:rPr>
                <w:rFonts w:ascii="Arial" w:cs="Arial" w:eastAsia="Arial" w:hAnsi="Arial"/>
                <w:sz w:val="18"/>
                <w:szCs w:val="18"/>
                <w:color w:val="auto"/>
                <w:w w:val="81"/>
              </w:rPr>
              <w:t>table</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1"/>
              </w:rPr>
              <w:t>disaggregates</w:t>
            </w:r>
          </w:p>
        </w:tc>
        <w:tc>
          <w:tcPr>
            <w:tcW w:w="420" w:type="dxa"/>
            <w:vAlign w:val="bottom"/>
          </w:tcPr>
          <w:p>
            <w:pPr>
              <w:ind w:left="100"/>
              <w:spacing w:after="0"/>
              <w:rPr>
                <w:sz w:val="20"/>
                <w:szCs w:val="20"/>
                <w:color w:val="auto"/>
              </w:rPr>
            </w:pPr>
            <w:r>
              <w:rPr>
                <w:rFonts w:ascii="Arial" w:cs="Arial" w:eastAsia="Arial" w:hAnsi="Arial"/>
                <w:sz w:val="18"/>
                <w:szCs w:val="18"/>
                <w:color w:val="auto"/>
              </w:rPr>
              <w:t>our</w:t>
            </w:r>
          </w:p>
        </w:tc>
        <w:tc>
          <w:tcPr>
            <w:tcW w:w="1360" w:type="dxa"/>
            <w:vAlign w:val="bottom"/>
            <w:gridSpan w:val="3"/>
          </w:tcPr>
          <w:p>
            <w:pPr>
              <w:jc w:val="right"/>
              <w:ind w:right="95"/>
              <w:spacing w:after="0"/>
              <w:rPr>
                <w:sz w:val="20"/>
                <w:szCs w:val="20"/>
                <w:color w:val="auto"/>
              </w:rPr>
            </w:pPr>
            <w:r>
              <w:rPr>
                <w:rFonts w:ascii="Arial" w:cs="Arial" w:eastAsia="Arial" w:hAnsi="Arial"/>
                <w:sz w:val="18"/>
                <w:szCs w:val="18"/>
                <w:color w:val="auto"/>
              </w:rPr>
              <w:t>other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by  major</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9"/>
              </w:rPr>
              <w:t>source</w:t>
            </w:r>
          </w:p>
        </w:tc>
        <w:tc>
          <w:tcPr>
            <w:tcW w:w="1080" w:type="dxa"/>
            <w:vAlign w:val="bottom"/>
            <w:gridSpan w:val="5"/>
          </w:tcPr>
          <w:p>
            <w:pPr>
              <w:ind w:left="200"/>
              <w:spacing w:after="0"/>
              <w:rPr>
                <w:sz w:val="20"/>
                <w:szCs w:val="20"/>
                <w:color w:val="auto"/>
              </w:rPr>
            </w:pPr>
            <w:r>
              <w:rPr>
                <w:rFonts w:ascii="Arial" w:cs="Arial" w:eastAsia="Arial" w:hAnsi="Arial"/>
                <w:sz w:val="18"/>
                <w:szCs w:val="18"/>
                <w:color w:val="auto"/>
              </w:rPr>
              <w:t>of  income</w:t>
            </w:r>
          </w:p>
        </w:tc>
        <w:tc>
          <w:tcPr>
            <w:tcW w:w="14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and  timing</w:t>
            </w:r>
          </w:p>
        </w:tc>
        <w:tc>
          <w:tcPr>
            <w:tcW w:w="700" w:type="dxa"/>
            <w:vAlign w:val="bottom"/>
          </w:tcPr>
          <w:p>
            <w:pPr>
              <w:jc w:val="right"/>
              <w:spacing w:after="0"/>
              <w:rPr>
                <w:sz w:val="20"/>
                <w:szCs w:val="20"/>
                <w:color w:val="auto"/>
              </w:rPr>
            </w:pPr>
            <w:r>
              <w:rPr>
                <w:rFonts w:ascii="Arial" w:cs="Arial" w:eastAsia="Arial" w:hAnsi="Arial"/>
                <w:sz w:val="18"/>
                <w:szCs w:val="18"/>
                <w:color w:val="auto"/>
              </w:rPr>
              <w:t>of  the</w:t>
            </w:r>
          </w:p>
        </w:tc>
        <w:tc>
          <w:tcPr>
            <w:tcW w:w="10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revenue</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recognition:</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3"/>
          </w:tcPr>
          <w:p>
            <w:pPr>
              <w:ind w:left="360"/>
              <w:spacing w:after="0"/>
              <w:rPr>
                <w:sz w:val="20"/>
                <w:szCs w:val="20"/>
                <w:color w:val="auto"/>
              </w:rPr>
            </w:pPr>
            <w:r>
              <w:rPr>
                <w:rFonts w:ascii="Arial" w:cs="Arial" w:eastAsia="Arial" w:hAnsi="Arial"/>
                <w:sz w:val="14"/>
                <w:szCs w:val="14"/>
                <w:b w:val="1"/>
                <w:bCs w:val="1"/>
                <w:color w:val="auto"/>
              </w:rPr>
              <w:t>For the Year Ended December 31, 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Ancillary</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Dealer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4"/>
                <w:szCs w:val="14"/>
                <w:b w:val="1"/>
                <w:bCs w:val="1"/>
                <w:color w:val="auto"/>
              </w:rPr>
              <w:t>Dealer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0" w:type="dxa"/>
            <w:vAlign w:val="bottom"/>
            <w:gridSpan w:val="4"/>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product profit</w:t>
            </w:r>
          </w:p>
        </w:tc>
        <w:tc>
          <w:tcPr>
            <w:tcW w:w="13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Remarketing fees</w:t>
            </w:r>
          </w:p>
        </w:tc>
        <w:tc>
          <w:tcPr>
            <w:tcW w:w="4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420"/>
              <w:spacing w:after="0" w:line="133" w:lineRule="exact"/>
              <w:rPr>
                <w:sz w:val="20"/>
                <w:szCs w:val="20"/>
                <w:color w:val="auto"/>
              </w:rPr>
            </w:pPr>
            <w:r>
              <w:rPr>
                <w:rFonts w:ascii="Arial" w:cs="Arial" w:eastAsia="Arial" w:hAnsi="Arial"/>
                <w:sz w:val="14"/>
                <w:szCs w:val="14"/>
                <w:b w:val="1"/>
                <w:bCs w:val="1"/>
                <w:color w:val="auto"/>
                <w:w w:val="87"/>
              </w:rPr>
              <w:t>support products</w:t>
            </w:r>
          </w:p>
        </w:tc>
        <w:tc>
          <w:tcPr>
            <w:tcW w:w="14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14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sharing</w:t>
            </w:r>
          </w:p>
        </w:tc>
        <w:tc>
          <w:tcPr>
            <w:tcW w:w="1360" w:type="dxa"/>
            <w:vAlign w:val="bottom"/>
            <w:gridSpan w:val="3"/>
            <w:vMerge w:val="continue"/>
          </w:tcPr>
          <w:p>
            <w:pPr>
              <w:spacing w:after="0"/>
              <w:rPr>
                <w:sz w:val="16"/>
                <w:szCs w:val="16"/>
                <w:color w:val="auto"/>
              </w:rPr>
            </w:pPr>
          </w:p>
        </w:tc>
        <w:tc>
          <w:tcPr>
            <w:tcW w:w="12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enrollment fees</w:t>
            </w:r>
          </w:p>
        </w:tc>
        <w:tc>
          <w:tcPr>
            <w:tcW w:w="100" w:type="dxa"/>
            <w:vAlign w:val="bottom"/>
          </w:tcPr>
          <w:p>
            <w:pPr>
              <w:spacing w:after="0"/>
              <w:rPr>
                <w:sz w:val="16"/>
                <w:szCs w:val="16"/>
                <w:color w:val="auto"/>
              </w:rPr>
            </w:pPr>
          </w:p>
        </w:tc>
        <w:tc>
          <w:tcPr>
            <w:tcW w:w="16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7"/>
              </w:rPr>
              <w:t>and services</w:t>
            </w:r>
          </w:p>
        </w:tc>
        <w:tc>
          <w:tcPr>
            <w:tcW w:w="1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40" w:type="dxa"/>
            <w:vAlign w:val="bottom"/>
            <w:gridSpan w:val="5"/>
            <w:vMerge w:val="continue"/>
          </w:tcPr>
          <w:p>
            <w:pPr>
              <w:spacing w:after="0"/>
              <w:rPr>
                <w:sz w:val="16"/>
                <w:szCs w:val="16"/>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9"/>
        </w:trPr>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Source of income</w:t>
            </w:r>
          </w:p>
        </w:tc>
        <w:tc>
          <w:tcPr>
            <w:tcW w:w="520" w:type="dxa"/>
            <w:vAlign w:val="bottom"/>
            <w:tcBorders>
              <w:top w:val="single" w:sz="8" w:color="auto"/>
              <w:bottom w:val="single" w:sz="8" w:color="CCEEFF"/>
            </w:tcBorders>
          </w:tcPr>
          <w:p>
            <w:pPr>
              <w:spacing w:after="0"/>
              <w:rPr>
                <w:sz w:val="15"/>
                <w:szCs w:val="15"/>
                <w:color w:val="auto"/>
              </w:rPr>
            </w:pPr>
          </w:p>
        </w:tc>
        <w:tc>
          <w:tcPr>
            <w:tcW w:w="7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Third Party</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80" w:type="dxa"/>
            <w:vAlign w:val="bottom"/>
            <w:gridSpan w:val="5"/>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Providers</w:t>
            </w:r>
          </w:p>
        </w:tc>
        <w:tc>
          <w:tcPr>
            <w:tcW w:w="5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80" w:type="dxa"/>
            <w:vAlign w:val="bottom"/>
            <w:gridSpan w:val="5"/>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Dealers</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Timing of revenue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recognition</w:t>
            </w:r>
          </w:p>
        </w:tc>
        <w:tc>
          <w:tcPr>
            <w:tcW w:w="5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At a point in time</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9.  DEBT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6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4"/>
                <w:szCs w:val="24"/>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Debt consists of the following:</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89"/>
              </w:rPr>
              <w:t>As of December 31, 2021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2"/>
              </w:rPr>
              <w:t>Principal Outstanding</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center"/>
              <w:ind w:left="19"/>
              <w:spacing w:after="0" w:line="133" w:lineRule="exact"/>
              <w:rPr>
                <w:sz w:val="20"/>
                <w:szCs w:val="20"/>
                <w:color w:val="auto"/>
              </w:rPr>
            </w:pPr>
            <w:r>
              <w:rPr>
                <w:rFonts w:ascii="Arial" w:cs="Arial" w:eastAsia="Arial" w:hAnsi="Arial"/>
                <w:sz w:val="14"/>
                <w:szCs w:val="14"/>
                <w:b w:val="1"/>
                <w:bCs w:val="1"/>
                <w:color w:val="auto"/>
                <w:w w:val="93"/>
              </w:rPr>
              <w:t>Unamortized Debt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Issuance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3"/>
              </w:rPr>
              <w:t>Revolving secured line of credit (1)</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80" w:type="dxa"/>
            <w:vAlign w:val="bottom"/>
            <w:gridSpan w:val="2"/>
          </w:tcPr>
          <w:p>
            <w:pPr>
              <w:ind w:left="340"/>
              <w:spacing w:after="0"/>
              <w:rPr>
                <w:sz w:val="20"/>
                <w:szCs w:val="20"/>
                <w:color w:val="auto"/>
              </w:rPr>
            </w:pPr>
            <w:r>
              <w:rPr>
                <w:rFonts w:ascii="Arial" w:cs="Arial" w:eastAsia="Arial" w:hAnsi="Arial"/>
                <w:sz w:val="18"/>
                <w:szCs w:val="18"/>
                <w:color w:val="auto"/>
                <w:w w:val="88"/>
              </w:rPr>
              <w:t>Secured financing (2)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3,830.4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Senior notes</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Mortgage note</w:t>
            </w: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4,642.7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2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89"/>
              </w:rPr>
              <w:t>As of December 31, 2020</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2"/>
              </w:rPr>
              <w:t>Principal Outstanding</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center"/>
              <w:ind w:left="19"/>
              <w:spacing w:after="0" w:line="133" w:lineRule="exact"/>
              <w:rPr>
                <w:sz w:val="20"/>
                <w:szCs w:val="20"/>
                <w:color w:val="auto"/>
              </w:rPr>
            </w:pPr>
            <w:r>
              <w:rPr>
                <w:rFonts w:ascii="Arial" w:cs="Arial" w:eastAsia="Arial" w:hAnsi="Arial"/>
                <w:sz w:val="14"/>
                <w:szCs w:val="14"/>
                <w:b w:val="1"/>
                <w:bCs w:val="1"/>
                <w:color w:val="auto"/>
                <w:w w:val="93"/>
              </w:rPr>
              <w:t>Unamortized Debt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Issuance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3"/>
              </w:rPr>
              <w:t>Revolving secured line of credit (1)</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80" w:type="dxa"/>
            <w:vAlign w:val="bottom"/>
            <w:gridSpan w:val="2"/>
          </w:tcPr>
          <w:p>
            <w:pPr>
              <w:ind w:left="340"/>
              <w:spacing w:after="0"/>
              <w:rPr>
                <w:sz w:val="20"/>
                <w:szCs w:val="20"/>
                <w:color w:val="auto"/>
              </w:rPr>
            </w:pPr>
            <w:r>
              <w:rPr>
                <w:rFonts w:ascii="Arial" w:cs="Arial" w:eastAsia="Arial" w:hAnsi="Arial"/>
                <w:sz w:val="18"/>
                <w:szCs w:val="18"/>
                <w:color w:val="auto"/>
                <w:w w:val="88"/>
              </w:rPr>
              <w:t>Secured financing (2)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Senior notes</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Mortgage note</w:t>
            </w: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4,635.1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480" w:hanging="315"/>
        <w:spacing w:after="0"/>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deferred debt issuance costs of $3.6 million and $3.2 million as of December 31, 2021 and December 31, 2020, respectively, which are included in other assets.</w:t>
      </w:r>
    </w:p>
    <w:p>
      <w:pPr>
        <w:spacing w:after="0" w:line="10" w:lineRule="exact"/>
        <w:rPr>
          <w:rFonts w:ascii="Arial" w:cs="Arial" w:eastAsia="Arial" w:hAnsi="Arial"/>
          <w:sz w:val="14"/>
          <w:szCs w:val="14"/>
          <w:color w:val="auto"/>
        </w:rPr>
      </w:pPr>
    </w:p>
    <w:p>
      <w:pPr>
        <w:ind w:left="480" w:hanging="315"/>
        <w:spacing w:after="0"/>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Warehouse facilities and Term ABS.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information for each of our financing transactions in place as of December 31, 2021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gridSpan w:val="2"/>
          </w:tcPr>
          <w:p>
            <w:pPr>
              <w:ind w:left="60"/>
              <w:spacing w:after="0"/>
              <w:rPr>
                <w:sz w:val="20"/>
                <w:szCs w:val="20"/>
                <w:color w:val="auto"/>
              </w:rPr>
            </w:pPr>
            <w:r>
              <w:rPr>
                <w:rFonts w:ascii="Arial" w:cs="Arial" w:eastAsia="Arial" w:hAnsi="Arial"/>
                <w:sz w:val="14"/>
                <w:szCs w:val="14"/>
                <w:color w:val="auto"/>
              </w:rPr>
              <w:t>(Dollars in millions)</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Financings</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Wholly-owned Subsidiary</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Financing Amount</w:t>
            </w:r>
          </w:p>
        </w:tc>
        <w:tc>
          <w:tcPr>
            <w:tcW w:w="100" w:type="dxa"/>
            <w:vAlign w:val="bottom"/>
            <w:tcBorders>
              <w:bottom w:val="single" w:sz="8" w:color="CCEEFF"/>
            </w:tcBorders>
          </w:tcPr>
          <w:p>
            <w:pPr>
              <w:spacing w:after="0"/>
              <w:rPr>
                <w:sz w:val="17"/>
                <w:szCs w:val="17"/>
                <w:color w:val="auto"/>
              </w:rPr>
            </w:pPr>
          </w:p>
        </w:tc>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5"/>
              </w:rPr>
              <w:t>Interest Rate Basis as of December 31, 2021</w:t>
            </w:r>
          </w:p>
        </w:tc>
        <w:tc>
          <w:tcPr>
            <w:tcW w:w="0" w:type="dxa"/>
            <w:vAlign w:val="bottom"/>
          </w:tcPr>
          <w:p>
            <w:pPr>
              <w:spacing w:after="0"/>
              <w:rPr>
                <w:sz w:val="1"/>
                <w:szCs w:val="1"/>
                <w:color w:val="auto"/>
              </w:rPr>
            </w:pPr>
          </w:p>
        </w:tc>
      </w:tr>
      <w:tr>
        <w:trPr>
          <w:trHeight w:val="173"/>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Revolving Secured</w:t>
            </w:r>
          </w:p>
        </w:tc>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At our option, either LIBOR plus 187.5</w:t>
            </w:r>
          </w:p>
        </w:tc>
        <w:tc>
          <w:tcPr>
            <w:tcW w:w="0" w:type="dxa"/>
            <w:vAlign w:val="bottom"/>
          </w:tcPr>
          <w:p>
            <w:pPr>
              <w:spacing w:after="0"/>
              <w:rPr>
                <w:sz w:val="1"/>
                <w:szCs w:val="1"/>
                <w:color w:val="auto"/>
              </w:rPr>
            </w:pPr>
          </w:p>
        </w:tc>
      </w:tr>
      <w:tr>
        <w:trPr>
          <w:trHeight w:val="172"/>
        </w:trPr>
        <w:tc>
          <w:tcPr>
            <w:tcW w:w="2720" w:type="dxa"/>
            <w:vAlign w:val="bottom"/>
            <w:gridSpan w:val="2"/>
            <w:vMerge w:val="continue"/>
            <w:shd w:val="clear" w:color="auto" w:fill="CCEEFF"/>
          </w:tcPr>
          <w:p>
            <w:pPr>
              <w:spacing w:after="0"/>
              <w:rPr>
                <w:sz w:val="14"/>
                <w:szCs w:val="14"/>
                <w:color w:val="auto"/>
              </w:rPr>
            </w:pPr>
          </w:p>
        </w:tc>
        <w:tc>
          <w:tcPr>
            <w:tcW w:w="25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06/22/24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4"/>
              </w:rPr>
              <w:t>basis points or the prime rate plus 87.5</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258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 points</w:t>
            </w:r>
          </w:p>
        </w:tc>
        <w:tc>
          <w:tcPr>
            <w:tcW w:w="0" w:type="dxa"/>
            <w:vAlign w:val="bottom"/>
          </w:tcPr>
          <w:p>
            <w:pPr>
              <w:spacing w:after="0"/>
              <w:rPr>
                <w:sz w:val="1"/>
                <w:szCs w:val="1"/>
                <w:color w:val="auto"/>
              </w:rPr>
            </w:pP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Warehouse Facility II (2)</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CAC Warehouse Funding LLC II</w:t>
            </w:r>
          </w:p>
        </w:tc>
        <w:tc>
          <w:tcPr>
            <w:tcW w:w="1040" w:type="dxa"/>
            <w:vAlign w:val="bottom"/>
          </w:tcPr>
          <w:p>
            <w:pPr>
              <w:jc w:val="right"/>
              <w:spacing w:after="0"/>
              <w:rPr>
                <w:sz w:val="20"/>
                <w:szCs w:val="20"/>
                <w:color w:val="auto"/>
              </w:rPr>
            </w:pPr>
            <w:r>
              <w:rPr>
                <w:rFonts w:ascii="Arial" w:cs="Arial" w:eastAsia="Arial" w:hAnsi="Arial"/>
                <w:sz w:val="18"/>
                <w:szCs w:val="18"/>
                <w:color w:val="auto"/>
              </w:rPr>
              <w:t>04/30/24</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LIBOR plus 175 basis points (4)</w:t>
            </w:r>
          </w:p>
        </w:tc>
        <w:tc>
          <w:tcPr>
            <w:tcW w:w="0" w:type="dxa"/>
            <w:vAlign w:val="bottom"/>
          </w:tcPr>
          <w:p>
            <w:pPr>
              <w:spacing w:after="0"/>
              <w:rPr>
                <w:sz w:val="1"/>
                <w:szCs w:val="1"/>
                <w:color w:val="auto"/>
              </w:rPr>
            </w:pP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Facility IV (2)</w:t>
            </w: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CAC Warehouse Funding LLC IV</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11/17/23</w:t>
            </w: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210 basis points (4)</w:t>
            </w:r>
          </w:p>
        </w:tc>
        <w:tc>
          <w:tcPr>
            <w:tcW w:w="0" w:type="dxa"/>
            <w:vAlign w:val="bottom"/>
          </w:tcPr>
          <w:p>
            <w:pPr>
              <w:spacing w:after="0"/>
              <w:rPr>
                <w:sz w:val="1"/>
                <w:szCs w:val="1"/>
                <w:color w:val="auto"/>
              </w:rPr>
            </w:pP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Warehouse Facility V (2)</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CAC Warehouse Funding LLC V</w:t>
            </w:r>
          </w:p>
        </w:tc>
        <w:tc>
          <w:tcPr>
            <w:tcW w:w="1040" w:type="dxa"/>
            <w:vAlign w:val="bottom"/>
          </w:tcPr>
          <w:p>
            <w:pPr>
              <w:jc w:val="right"/>
              <w:spacing w:after="0"/>
              <w:rPr>
                <w:sz w:val="20"/>
                <w:szCs w:val="20"/>
                <w:color w:val="auto"/>
              </w:rPr>
            </w:pPr>
            <w:r>
              <w:rPr>
                <w:rFonts w:ascii="Arial" w:cs="Arial" w:eastAsia="Arial" w:hAnsi="Arial"/>
                <w:sz w:val="18"/>
                <w:szCs w:val="18"/>
                <w:color w:val="auto"/>
              </w:rPr>
              <w:t>12/18/23</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LIBOR plus 225 basis points (4)</w:t>
            </w:r>
          </w:p>
        </w:tc>
        <w:tc>
          <w:tcPr>
            <w:tcW w:w="0" w:type="dxa"/>
            <w:vAlign w:val="bottom"/>
          </w:tcPr>
          <w:p>
            <w:pPr>
              <w:spacing w:after="0"/>
              <w:rPr>
                <w:sz w:val="1"/>
                <w:szCs w:val="1"/>
                <w:color w:val="auto"/>
              </w:rPr>
            </w:pP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Facility VI (2)</w:t>
            </w: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CAC Warehouse Funding LLC VI</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09/30/24</w:t>
            </w: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Warehouse Facility VIII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CAC Warehouse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09/01/24</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LIBOR plus 190 basis points (4)</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rPr>
              <w:t>VIII</w:t>
            </w: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2019-1 (2)</w:t>
            </w:r>
          </w:p>
        </w:tc>
        <w:tc>
          <w:tcPr>
            <w:tcW w:w="25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02/15/21</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2019-1</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2019-2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08/15/22</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2019-2</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2019-3 (2)</w:t>
            </w:r>
          </w:p>
        </w:tc>
        <w:tc>
          <w:tcPr>
            <w:tcW w:w="25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11/15/21</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2019-3</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2020-1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02/15/22</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2020-1</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2020-2 (2)</w:t>
            </w:r>
          </w:p>
        </w:tc>
        <w:tc>
          <w:tcPr>
            <w:tcW w:w="25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07/15/22</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2020-2</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2020-3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10/17/22</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2020-3</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2021-1 (2)</w:t>
            </w:r>
          </w:p>
        </w:tc>
        <w:tc>
          <w:tcPr>
            <w:tcW w:w="25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02/15/23</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LIBOR plus 198.5 basis points (4)</w:t>
            </w:r>
          </w:p>
        </w:tc>
        <w:tc>
          <w:tcPr>
            <w:tcW w:w="0" w:type="dxa"/>
            <w:vAlign w:val="bottom"/>
          </w:tcPr>
          <w:p>
            <w:pPr>
              <w:spacing w:after="0"/>
              <w:rPr>
                <w:sz w:val="1"/>
                <w:szCs w:val="1"/>
                <w:color w:val="auto"/>
              </w:rPr>
            </w:pPr>
          </w:p>
        </w:tc>
      </w:tr>
      <w:tr>
        <w:trPr>
          <w:trHeight w:val="224"/>
        </w:trPr>
        <w:tc>
          <w:tcPr>
            <w:tcW w:w="272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2021-1</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2021-2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02/15/23</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2021-2</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 ABS 2021-3 (2)</w:t>
            </w:r>
          </w:p>
        </w:tc>
        <w:tc>
          <w:tcPr>
            <w:tcW w:w="25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05/15/23</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2021-3</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 ABS 2021-4 (2)</w:t>
            </w:r>
          </w:p>
        </w:tc>
        <w:tc>
          <w:tcPr>
            <w:tcW w:w="258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Credit Acceptance Funding LLC</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10/16/23</w:t>
            </w:r>
          </w:p>
        </w:tc>
        <w:tc>
          <w:tcPr>
            <w:tcW w:w="44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250.1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4"/>
        </w:trPr>
        <w:tc>
          <w:tcPr>
            <w:tcW w:w="2720" w:type="dxa"/>
            <w:vAlign w:val="bottom"/>
            <w:gridSpan w:val="2"/>
            <w:vMerge w:val="continue"/>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2021-4</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 Senior Notes</w:t>
            </w: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12/31/24</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2026 Senior Notes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03/15/26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Note (2)</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Chapter 4 Properties,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08/06/23</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150 basis points</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80" w:hanging="315"/>
        <w:spacing w:after="0"/>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of the facility will decrease by $35.0 million on June 22, 2022, and will further decrease by $25.0 million on June 22, 2023.</w:t>
      </w:r>
    </w:p>
    <w:p>
      <w:pPr>
        <w:spacing w:after="0" w:line="10" w:lineRule="exact"/>
        <w:rPr>
          <w:rFonts w:ascii="Arial" w:cs="Arial" w:eastAsia="Arial" w:hAnsi="Arial"/>
          <w:sz w:val="14"/>
          <w:szCs w:val="14"/>
          <w:color w:val="auto"/>
        </w:rPr>
      </w:pPr>
    </w:p>
    <w:p>
      <w:pPr>
        <w:ind w:left="480" w:hanging="315"/>
        <w:spacing w:after="0" w:line="237"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ind w:left="480" w:hanging="315"/>
        <w:spacing w:after="0" w:line="237"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ind w:left="480" w:hanging="315"/>
        <w:spacing w:after="0" w:line="237"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ind w:left="480" w:hanging="315"/>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December 16, 2025 will be due on that date.</w:t>
      </w:r>
    </w:p>
    <w:p>
      <w:pPr>
        <w:spacing w:after="0" w:line="9" w:lineRule="exact"/>
        <w:rPr>
          <w:rFonts w:ascii="Arial" w:cs="Arial" w:eastAsia="Arial" w:hAnsi="Arial"/>
          <w:sz w:val="13"/>
          <w:szCs w:val="13"/>
          <w:color w:val="auto"/>
        </w:rPr>
      </w:pPr>
    </w:p>
    <w:p>
      <w:pPr>
        <w:ind w:left="480" w:hanging="315"/>
        <w:spacing w:after="0" w:line="247" w:lineRule="auto"/>
        <w:tabs>
          <w:tab w:leader="none" w:pos="472"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revolving maturity date. The Company has the option to redeem and retire the indebtedness after the revolving maturity date. If we do not elect this option, the outstanding balance will amortize based on the cash flows of the pledged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For the Years Ended December 31,</w:t>
            </w:r>
          </w:p>
        </w:tc>
      </w:tr>
      <w:tr>
        <w:trPr>
          <w:trHeight w:val="192"/>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Revolving Secured Line of Credit</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II</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IV</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V</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Warehouse Facility VII</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VIII</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Maximum outstanding principal balance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Average outstanding principal balance</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8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auto"/>
            </w:tcBorders>
          </w:tcPr>
          <w:p>
            <w:pPr>
              <w:spacing w:after="0"/>
              <w:rPr>
                <w:sz w:val="17"/>
                <w:szCs w:val="17"/>
                <w:color w:val="auto"/>
              </w:rPr>
            </w:pPr>
          </w:p>
        </w:tc>
      </w:tr>
      <w:tr>
        <w:trPr>
          <w:trHeight w:val="192"/>
        </w:trPr>
        <w:tc>
          <w:tcPr>
            <w:tcW w:w="25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w w:val="89"/>
              </w:rPr>
              <w:t>Revolving Secured Line of Credit</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95.9</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244.1</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75.0</w:t>
            </w:r>
          </w:p>
        </w:tc>
      </w:tr>
      <w:tr>
        <w:trPr>
          <w:trHeight w:val="225"/>
        </w:trPr>
        <w:tc>
          <w:tcPr>
            <w:tcW w:w="2560" w:type="dxa"/>
            <w:vAlign w:val="bottom"/>
          </w:tcPr>
          <w:p>
            <w:pPr>
              <w:ind w:left="220"/>
              <w:spacing w:after="0"/>
              <w:rPr>
                <w:sz w:val="20"/>
                <w:szCs w:val="20"/>
                <w:color w:val="auto"/>
              </w:rPr>
            </w:pPr>
            <w:r>
              <w:rPr>
                <w:rFonts w:ascii="Arial" w:cs="Arial" w:eastAsia="Arial" w:hAnsi="Arial"/>
                <w:sz w:val="18"/>
                <w:szCs w:val="18"/>
                <w:color w:val="auto"/>
                <w:w w:val="93"/>
              </w:rPr>
              <w:t>Amount available for borrowing</w:t>
            </w:r>
          </w:p>
        </w:tc>
        <w:tc>
          <w:tcPr>
            <w:tcW w:w="4820" w:type="dxa"/>
            <w:vAlign w:val="bottom"/>
          </w:tcPr>
          <w:p>
            <w:pPr>
              <w:jc w:val="right"/>
              <w:ind w:right="4492"/>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325.0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91.8</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IV</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300.0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125.0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75.0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150.0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Warehouse Facility VIII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200.0</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Term ABS 2017-3</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70.9</w:t>
            </w:r>
          </w:p>
        </w:tc>
      </w:tr>
      <w:tr>
        <w:trPr>
          <w:trHeight w:val="225"/>
        </w:trPr>
        <w:tc>
          <w:tcPr>
            <w:tcW w:w="256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215.8</w:t>
            </w:r>
          </w:p>
        </w:tc>
      </w:tr>
      <w:tr>
        <w:trPr>
          <w:trHeight w:val="226"/>
        </w:trPr>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w:t>
            </w:r>
          </w:p>
        </w:tc>
      </w:tr>
      <w:tr>
        <w:trPr>
          <w:trHeight w:val="225"/>
        </w:trPr>
        <w:tc>
          <w:tcPr>
            <w:tcW w:w="256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3.41 %</w:t>
            </w:r>
          </w:p>
        </w:tc>
      </w:tr>
      <w:tr>
        <w:trPr>
          <w:trHeight w:val="22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2018-1</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2560" w:type="dxa"/>
            <w:vAlign w:val="bottom"/>
          </w:tcPr>
          <w:p>
            <w:pPr>
              <w:ind w:left="220"/>
              <w:spacing w:after="0"/>
              <w:rPr>
                <w:sz w:val="20"/>
                <w:szCs w:val="20"/>
                <w:color w:val="auto"/>
              </w:rPr>
            </w:pPr>
            <w:r>
              <w:rPr>
                <w:rFonts w:ascii="Arial" w:cs="Arial" w:eastAsia="Arial" w:hAnsi="Arial"/>
                <w:sz w:val="18"/>
                <w:szCs w:val="18"/>
                <w:color w:val="auto"/>
                <w:w w:val="98"/>
              </w:rPr>
              <w:t>Principal balance outstanding</w:t>
            </w:r>
          </w:p>
        </w:tc>
        <w:tc>
          <w:tcPr>
            <w:tcW w:w="5980" w:type="dxa"/>
            <w:vAlign w:val="bottom"/>
            <w:gridSpan w:val="2"/>
          </w:tcPr>
          <w:p>
            <w:pPr>
              <w:jc w:val="right"/>
              <w:ind w:right="98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196.4</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394.1</w:t>
            </w:r>
          </w:p>
        </w:tc>
      </w:tr>
      <w:tr>
        <w:trPr>
          <w:trHeight w:val="225"/>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36.2</w:t>
            </w:r>
          </w:p>
        </w:tc>
      </w:tr>
      <w:tr>
        <w:trPr>
          <w:trHeight w:val="226"/>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r>
    </w:tbl>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 Availability may be limited by the amount of assets pledged as collateral.</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auto"/>
            </w:tcBorders>
          </w:tcPr>
          <w:p>
            <w:pPr>
              <w:spacing w:after="0"/>
              <w:rPr>
                <w:sz w:val="17"/>
                <w:szCs w:val="17"/>
                <w:color w:val="auto"/>
              </w:rPr>
            </w:pPr>
          </w:p>
        </w:tc>
      </w:tr>
      <w:tr>
        <w:trPr>
          <w:trHeight w:val="192"/>
        </w:trPr>
        <w:tc>
          <w:tcPr>
            <w:tcW w:w="7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2018-2</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254.3</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410.0</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34.6</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Term ABS 2018-3</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296.1</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408.8</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32.9</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3.78 %</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2019-1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402.5</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482.3</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35.4</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Term ABS 2019-2</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575.4</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41.2</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2019-3</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351.7</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420.9</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30.8</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Term ABS 2020-1</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749.3</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48.8</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2020-2</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481.8</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606.6</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41.1</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Term ABS 2020-3</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600.0</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759.1</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49.3</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2021-1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2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7"/>
                <w:szCs w:val="17"/>
                <w:color w:val="auto"/>
              </w:rPr>
            </w:pPr>
          </w:p>
        </w:tc>
      </w:tr>
      <w:tr>
        <w:trPr>
          <w:trHeight w:val="192"/>
        </w:trPr>
        <w:tc>
          <w:tcPr>
            <w:tcW w:w="7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2021-2</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618.7</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Term ABS 2021-3</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619.8</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Term ABS 2021-4</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2024 Senior Notes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400.0</w:t>
            </w: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5.125 %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5.125 %</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2026 Senior Notes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280" w:type="dxa"/>
            <w:vAlign w:val="bottom"/>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400.0</w:t>
            </w:r>
          </w:p>
        </w:tc>
      </w:tr>
      <w:tr>
        <w:trPr>
          <w:trHeight w:val="22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6.625 %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6.625 %</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Mortgage Note</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balance outstanding</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10.5</w:t>
            </w:r>
          </w:p>
        </w:tc>
      </w:tr>
      <w:tr>
        <w:trPr>
          <w:trHeight w:val="224"/>
        </w:trPr>
        <w:tc>
          <w:tcPr>
            <w:tcW w:w="7280" w:type="dxa"/>
            <w:vAlign w:val="bottom"/>
          </w:tcPr>
          <w:p>
            <w:pPr>
              <w:ind w:left="220"/>
              <w:spacing w:after="0"/>
              <w:rPr>
                <w:sz w:val="20"/>
                <w:szCs w:val="20"/>
                <w:color w:val="auto"/>
              </w:rPr>
            </w:pPr>
            <w:r>
              <w:rPr>
                <w:rFonts w:ascii="Arial" w:cs="Arial" w:eastAsia="Arial" w:hAnsi="Arial"/>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We have a $435.0 million revolving secured line of credit facility with a commercial bank syndicate. The amount of the facility will decrease by $35.0 million on June 22, 2022, and will further decrease by $25.0 million on June 22, 2023. Borrowings under the revolving secured line of credit facility, including any letters of credit issued under the facility, are subject to a borrowing-base limitation. This limitation equals 80% of the value of Loans, as defined in the agreement,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five Warehouse facilities with total borrowing capacity of $1,100.0 million. Each of the facilities is with a different lender or group of lenders. Under each Warehouse facility, we can contribute Loans to our wholly-owned subsidiaries in return for cash and an increase in the value of our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value of the contributed Loans, as defined in the agreements, plus the restricted cash and cash equivalents pledged as collateral on such Loans or the facility limit.</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subsidiaries pay us a monthly servicing fee equal to 6% (4% for Warehouse Facility II and Warehouse Facility VIII) of the collections received with respect to the contributed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is entitled to any collections remaining after the payment of interest, certain other transaction expenses and any amounts necessary to satisfy the borrowing base requirements of the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those of Term ABS 2019-2 and 2021-1, contributed the Loans to the respective trusts that issued notes to qualified institutional investors. The Funding LLCs for the Term ABS 2019-2 and 2021-1 transactions pledged the Loans to their respective lenders. The Term ABS 2019-1, 2019-3, 2020-1, 2020-2, 2020-3, 2021-2, 2021-3 and 2021-4 transactions each consist of three classes of notes.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Each financing at the time of issuance has a specified revolving period during which we are likely to contribute additional Loans to each Funding LLC. Each Funding LLC (other than those of Term ABS 2019-2 and 2021-1) will then contribute the Loans to its respective trust. At the end of the applicable revolving period, the debt outstanding under each financing will begin to amortize.</w:t>
      </w:r>
    </w:p>
    <w:p>
      <w:pPr>
        <w:spacing w:after="0" w:line="21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financings create indebtedness for which the trusts or Funding LLCs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(4% for Term ABS 2021-2, 2021-3, and 2021-4)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any collections remaining after payment of interest, certain other transaction expenses and any amounts necessary to satisfy the borrowing base requirements of the facility.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Term ABS Financings</w:t>
            </w:r>
          </w:p>
        </w:tc>
        <w:tc>
          <w:tcPr>
            <w:tcW w:w="100" w:type="dxa"/>
            <w:vAlign w:val="bottom"/>
            <w:vMerge w:val="restart"/>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Close Date</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Net Book Value of Loans</w:t>
            </w:r>
          </w:p>
        </w:tc>
        <w:tc>
          <w:tcPr>
            <w:tcW w:w="3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Revolving Period</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Contributed at Closing</w:t>
            </w:r>
          </w:p>
        </w:tc>
        <w:tc>
          <w:tcPr>
            <w:tcW w:w="100" w:type="dxa"/>
            <w:vAlign w:val="bottom"/>
            <w:tcBorders>
              <w:bottom w:val="single" w:sz="8" w:color="CCEEFF"/>
            </w:tcBorders>
          </w:tcPr>
          <w:p>
            <w:pPr>
              <w:spacing w:after="0"/>
              <w:rPr>
                <w:sz w:val="16"/>
                <w:szCs w:val="16"/>
                <w:color w:val="auto"/>
              </w:rPr>
            </w:pPr>
          </w:p>
        </w:tc>
        <w:tc>
          <w:tcPr>
            <w:tcW w:w="3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2019-1</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21, 2019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Through February 15, 2021</w:t>
            </w:r>
          </w:p>
        </w:tc>
        <w:tc>
          <w:tcPr>
            <w:tcW w:w="0" w:type="dxa"/>
            <w:vAlign w:val="bottom"/>
          </w:tcPr>
          <w:p>
            <w:pPr>
              <w:spacing w:after="0"/>
              <w:rPr>
                <w:sz w:val="1"/>
                <w:szCs w:val="1"/>
                <w:color w:val="auto"/>
              </w:rPr>
            </w:pPr>
          </w:p>
        </w:tc>
      </w:tr>
      <w:tr>
        <w:trPr>
          <w:trHeight w:val="225"/>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Term ABS 2019-2</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August 28, 2019</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Through August 15, 2022</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2019-3</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November 21, 2019</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Through November 15, 2021</w:t>
            </w:r>
          </w:p>
        </w:tc>
        <w:tc>
          <w:tcPr>
            <w:tcW w:w="0" w:type="dxa"/>
            <w:vAlign w:val="bottom"/>
          </w:tcPr>
          <w:p>
            <w:pPr>
              <w:spacing w:after="0"/>
              <w:rPr>
                <w:sz w:val="1"/>
                <w:szCs w:val="1"/>
                <w:color w:val="auto"/>
              </w:rPr>
            </w:pPr>
          </w:p>
        </w:tc>
      </w:tr>
      <w:tr>
        <w:trPr>
          <w:trHeight w:val="225"/>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Term ABS 2020-1</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20, 2020</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8"/>
              </w:rPr>
              <w:t>Through February 15, 2022</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2020-2</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23, 2020</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Through July 15, 2022</w:t>
            </w:r>
          </w:p>
        </w:tc>
        <w:tc>
          <w:tcPr>
            <w:tcW w:w="0" w:type="dxa"/>
            <w:vAlign w:val="bottom"/>
          </w:tcPr>
          <w:p>
            <w:pPr>
              <w:spacing w:after="0"/>
              <w:rPr>
                <w:sz w:val="1"/>
                <w:szCs w:val="1"/>
                <w:color w:val="auto"/>
              </w:rPr>
            </w:pPr>
          </w:p>
        </w:tc>
      </w:tr>
      <w:tr>
        <w:trPr>
          <w:trHeight w:val="225"/>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Term ABS 2020-3</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22, 2020</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Through October 17, 2022</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2021-1</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January 29, 2021</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Through February 15, 2023</w:t>
            </w:r>
          </w:p>
        </w:tc>
        <w:tc>
          <w:tcPr>
            <w:tcW w:w="0" w:type="dxa"/>
            <w:vAlign w:val="bottom"/>
          </w:tcPr>
          <w:p>
            <w:pPr>
              <w:spacing w:after="0"/>
              <w:rPr>
                <w:sz w:val="1"/>
                <w:szCs w:val="1"/>
                <w:color w:val="auto"/>
              </w:rPr>
            </w:pPr>
          </w:p>
        </w:tc>
      </w:tr>
      <w:tr>
        <w:trPr>
          <w:trHeight w:val="225"/>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Term ABS 2021-2</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18, 2021</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8"/>
              </w:rPr>
              <w:t>Through February 15, 2023</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ABS 2021-3</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 2021</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Through May 15, 2023</w:t>
            </w:r>
          </w:p>
        </w:tc>
        <w:tc>
          <w:tcPr>
            <w:tcW w:w="0" w:type="dxa"/>
            <w:vAlign w:val="bottom"/>
          </w:tcPr>
          <w:p>
            <w:pPr>
              <w:spacing w:after="0"/>
              <w:rPr>
                <w:sz w:val="1"/>
                <w:szCs w:val="1"/>
                <w:color w:val="auto"/>
              </w:rPr>
            </w:pPr>
          </w:p>
        </w:tc>
      </w:tr>
      <w:tr>
        <w:trPr>
          <w:trHeight w:val="224"/>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Term ABS 2021-4</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28, 2021</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Through October 16,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December 18, 2019, we issued $400.0 million aggregate principal amount of 5.125% senior notes due 2024 (the “2024 senior notes”). The 2024 senior notes were issued pursuant to an indenture, dated as of December 18, 2019, among the Company, as issuer, the Company’s subsidiaries Buyers Vehicle Protection Plan, Inc. and Vehicle Remarketing Services, Inc., as guarantors (collectively, the “Guarantors”), and U.S. Bank National Association, as trustee.</w:t>
      </w:r>
    </w:p>
    <w:p>
      <w:pPr>
        <w:spacing w:after="0" w:line="16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The 2024 senior notes mature on December 31, 2024 and bear interest at a rate of 5.125% per annum, computed on the basis of a 360-day year composed of twelve 30-day months and payable semi-annually on June 30 and December 31 of each year, beginning on June 30, 2020.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used the remaining net proceeds from the 2024 senior notes, together with borrowings under our revolving credit facility and cash on hand to the extent available, to redeem in full the $250.0 million outstanding principal amount of our 7.375% senior notes due 2023 (the “2023 senior notes”) on March 15, 2020. During the fourth quarter of 2019, we recognized a pre-tax loss on extinguishment of debt of $1.8 million related to the repurchase of the 2021 senior notes in the fourth quarter of 2019 and the irrevocable notice given in December 2019 for the redemption of the remaining 2021 senior notes in the first quarter of 2020. During the first quarter of 2020, we recognized a pre-tax loss on extinguishment of debt of $7.4 million related to the redemption of the 2023 senior notes.</w:t>
      </w:r>
    </w:p>
    <w:p>
      <w:pPr>
        <w:spacing w:after="0" w:line="2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7, 2019, we issued $400.0 million aggregate principal amount of 6.625% senior notes due 2026 (the “2026 senior notes”). The 2026 senior notes were issued pursuant to an indenture, dated as of March 7, 2019, among the Company, as issuer, the Guarantors, and U.S. Bank National Association, as trustee.</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2026 senior notes mature on March 15, 2026 and bear interest at a rate of 6.625% per annum, computed on the basis of a 360-day year composed of twelve 30-day months and payable semi-annually on March 15 and September 15 of each year, beginning on September 15, 2019. We used the net proceeds from the offering of the 2026 senior notes for general corporate purposes, including repayment of outstanding borrowings under our revolving secured line of credit facility.</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2024 senior notes and 2026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Debt Maturities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scheduled principal maturities of our debt as of December 31, 2021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Revolving Secured</w:t>
            </w: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Warehouse Facilities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Term ABS</w:t>
            </w:r>
          </w:p>
        </w:tc>
        <w:tc>
          <w:tcPr>
            <w:tcW w:w="220" w:type="dxa"/>
            <w:vAlign w:val="bottom"/>
          </w:tcPr>
          <w:p>
            <w:pPr>
              <w:spacing w:after="0"/>
              <w:rPr>
                <w:sz w:val="12"/>
                <w:szCs w:val="12"/>
                <w:color w:val="auto"/>
              </w:rPr>
            </w:pPr>
          </w:p>
        </w:tc>
        <w:tc>
          <w:tcPr>
            <w:tcW w:w="12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99"/>
              </w:rPr>
              <w:t>Senior Notes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9"/>
              </w:rPr>
              <w:t>Mortgage Note</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Line of Credit Facility</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Financings (1)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25"/>
        </w:trPr>
        <w:tc>
          <w:tcPr>
            <w:tcW w:w="1840" w:type="dxa"/>
            <w:vAlign w:val="bottom"/>
          </w:tcPr>
          <w:p>
            <w:pPr>
              <w:ind w:left="1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26"/>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25"/>
        </w:trPr>
        <w:tc>
          <w:tcPr>
            <w:tcW w:w="1840" w:type="dxa"/>
            <w:vAlign w:val="bottom"/>
          </w:tcPr>
          <w:p>
            <w:pPr>
              <w:ind w:left="1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6"/>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2"/>
        </w:trPr>
        <w:tc>
          <w:tcPr>
            <w:tcW w:w="1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80" w:hanging="315"/>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principal maturities of the Term ABS transactions are estimated based on forecasted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2021, we were in compliance with our covenants under the revolving secured line of credit facility and our Warehouse facilities,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as defined in the agreements. These covenants also limit the maximum ratio of our funded debt less unrestricted cash and cash equivalents to tangible net worth. Additionally, we must maintain consolidated net income, as defined in the agreements, of not less than $1 for the two most recently ended fiscal quarters. Some of these covenants may indirectly limit the repurchase of common stock or payment of dividends on common stock. Our Warehouse facilities also contain covenants that measure the performance of the contributed assets.</w:t>
      </w:r>
    </w:p>
    <w:p>
      <w:pPr>
        <w:spacing w:after="0" w:line="212"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Our Term ABS financings also contain covenants that measure the performance of the contributed assets. As of December 31, 2021, we were in compliance with all such covenants. As of the end of the year, we were also in compliance with our covenants under the senior notes indentures.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 AND HEDGING INSTRUMENTS</w:t>
      </w: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our interest rate cap agreements that were in effect as of December 31, 2021 and 2020:</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Facility Amount</w:t>
            </w:r>
          </w:p>
        </w:tc>
        <w:tc>
          <w:tcPr>
            <w:tcW w:w="100" w:type="dxa"/>
            <w:vAlign w:val="bottom"/>
            <w:tcBorders>
              <w:top w:val="single" w:sz="8" w:color="auto"/>
              <w:bottom w:val="single" w:sz="8" w:color="CCEEFF"/>
            </w:tcBorders>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Facility Name</w:t>
            </w:r>
          </w:p>
        </w:tc>
        <w:tc>
          <w:tcPr>
            <w:tcW w:w="12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Purpose</w:t>
            </w:r>
          </w:p>
        </w:tc>
        <w:tc>
          <w:tcPr>
            <w:tcW w:w="1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Start</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End</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Cap Interest Rate (1)</w:t>
            </w:r>
          </w:p>
        </w:tc>
      </w:tr>
      <w:tr>
        <w:trPr>
          <w:trHeight w:val="225"/>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Warehouse Facility II</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12/2020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25"/>
        </w:trPr>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Warehouse Facility IV</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07/2019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07/2023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26"/>
        </w:trPr>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Warehouse Facility V</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12/2020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25"/>
        </w:trPr>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Warehouse Facility VIII</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08/2019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08/2023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5.50 %</w:t>
            </w:r>
          </w:p>
        </w:tc>
      </w:tr>
      <w:tr>
        <w:trPr>
          <w:trHeight w:val="226"/>
        </w:trPr>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Term ABS 2021-1</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02/2021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94"/>
        </w:trPr>
        <w:tc>
          <w:tcPr>
            <w:tcW w:w="1420" w:type="dxa"/>
            <w:vAlign w:val="bottom"/>
            <w:gridSpan w:val="4"/>
          </w:tcPr>
          <w:p>
            <w:pPr>
              <w:ind w:left="20"/>
              <w:spacing w:after="0"/>
              <w:rPr>
                <w:sz w:val="20"/>
                <w:szCs w:val="20"/>
                <w:color w:val="auto"/>
              </w:rPr>
            </w:pPr>
            <w:r>
              <w:rPr>
                <w:rFonts w:ascii="Arial" w:cs="Arial" w:eastAsia="Arial" w:hAnsi="Arial"/>
                <w:sz w:val="14"/>
                <w:szCs w:val="14"/>
                <w:color w:val="auto"/>
              </w:rPr>
              <w:t>(Dollars in millions)</w:t>
            </w: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As of December 31, 2020</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Facility 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Purpose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Start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End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Cap Interest Rate (1)</w:t>
            </w:r>
          </w:p>
        </w:tc>
      </w:tr>
      <w:tr>
        <w:trPr>
          <w:trHeight w:val="225"/>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Warehouse Facility II</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12/2020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65"/>
        </w:trPr>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00" w:type="dxa"/>
            <w:vAlign w:val="bottom"/>
            <w:gridSpan w:val="2"/>
          </w:tcPr>
          <w:p>
            <w:pPr>
              <w:spacing w:after="0"/>
              <w:rPr>
                <w:sz w:val="23"/>
                <w:szCs w:val="23"/>
                <w:color w:val="auto"/>
              </w:rPr>
            </w:pPr>
          </w:p>
        </w:tc>
        <w:tc>
          <w:tcPr>
            <w:tcW w:w="1880" w:type="dxa"/>
            <w:vAlign w:val="bottom"/>
            <w:gridSpan w:val="2"/>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5"/>
        </w:trPr>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Warehouse Facility IV</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05/2017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25"/>
        </w:trPr>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05/2018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04/2021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2"/>
        </w:trPr>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07/2019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07/2023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25"/>
        </w:trPr>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65"/>
        </w:trPr>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500" w:type="dxa"/>
            <w:vAlign w:val="bottom"/>
            <w:gridSpan w:val="2"/>
            <w:shd w:val="clear" w:color="auto" w:fill="CCEEFF"/>
          </w:tcPr>
          <w:p>
            <w:pPr>
              <w:spacing w:after="0"/>
              <w:rPr>
                <w:sz w:val="23"/>
                <w:szCs w:val="23"/>
                <w:color w:val="auto"/>
              </w:rPr>
            </w:pPr>
          </w:p>
        </w:tc>
        <w:tc>
          <w:tcPr>
            <w:tcW w:w="1880" w:type="dxa"/>
            <w:vAlign w:val="bottom"/>
            <w:gridSpan w:val="2"/>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5"/>
        </w:trPr>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Warehouse Facility V</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12/2020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01/2026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5.50 %</w:t>
            </w:r>
          </w:p>
        </w:tc>
      </w:tr>
      <w:tr>
        <w:trPr>
          <w:trHeight w:val="265"/>
        </w:trPr>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500" w:type="dxa"/>
            <w:vAlign w:val="bottom"/>
            <w:gridSpan w:val="2"/>
            <w:shd w:val="clear" w:color="auto" w:fill="CCEEFF"/>
          </w:tcPr>
          <w:p>
            <w:pPr>
              <w:spacing w:after="0"/>
              <w:rPr>
                <w:sz w:val="23"/>
                <w:szCs w:val="23"/>
                <w:color w:val="auto"/>
              </w:rPr>
            </w:pPr>
          </w:p>
        </w:tc>
        <w:tc>
          <w:tcPr>
            <w:tcW w:w="1880" w:type="dxa"/>
            <w:vAlign w:val="bottom"/>
            <w:gridSpan w:val="2"/>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5"/>
        </w:trPr>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Warehouse Facility VII</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12/2017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5.50 %</w:t>
            </w:r>
          </w:p>
        </w:tc>
      </w:tr>
      <w:tr>
        <w:trPr>
          <w:trHeight w:val="232"/>
        </w:trPr>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01/2020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12/2023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25"/>
        </w:trPr>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65"/>
        </w:trPr>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500" w:type="dxa"/>
            <w:vAlign w:val="bottom"/>
            <w:gridSpan w:val="2"/>
            <w:shd w:val="clear" w:color="auto" w:fill="CCEEFF"/>
          </w:tcPr>
          <w:p>
            <w:pPr>
              <w:spacing w:after="0"/>
              <w:rPr>
                <w:sz w:val="23"/>
                <w:szCs w:val="23"/>
                <w:color w:val="auto"/>
              </w:rPr>
            </w:pPr>
          </w:p>
        </w:tc>
        <w:tc>
          <w:tcPr>
            <w:tcW w:w="1880" w:type="dxa"/>
            <w:vAlign w:val="bottom"/>
            <w:gridSpan w:val="2"/>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4"/>
        </w:trPr>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Warehouse Facility VIII</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Cap Floating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08/2019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08/2023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5.50 %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(1) Rate excludes the spread over the corresponding LIBOR or commercial paper rate.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interest rate caps have not been designated as hedging instruments. As of December 31, 2021 and 2020, the interest rate caps had a fair value of $0.2 million and $0.1 million, respectively, as the capped rates were significantly above market rates.</w:t>
      </w:r>
    </w:p>
    <w:p>
      <w:pPr>
        <w:spacing w:after="0" w:line="207" w:lineRule="exact"/>
        <w:rPr>
          <w:sz w:val="20"/>
          <w:szCs w:val="20"/>
          <w:color w:val="auto"/>
        </w:rPr>
      </w:pPr>
    </w:p>
    <w:p>
      <w:pPr>
        <w:ind w:firstLine="318"/>
        <w:spacing w:after="0" w:line="262"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statements of income for the years ended December 31, 2021, 2020 and 2019 is as follows:</w:t>
      </w:r>
    </w:p>
    <w:tbl>
      <w:tblPr>
        <w:tblLayout w:type="fixed"/>
        <w:tblInd w:w="0" w:type="dxa"/>
        <w:tblCellMar>
          <w:top w:w="0" w:type="dxa"/>
          <w:left w:w="0" w:type="dxa"/>
          <w:bottom w:w="0" w:type="dxa"/>
          <w:right w:w="0" w:type="dxa"/>
        </w:tblCellMar>
      </w:tblPr>
      <w:tr>
        <w:trPr>
          <w:trHeight w:val="143"/>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Amount of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4"/>
                <w:szCs w:val="14"/>
                <w:b w:val="1"/>
                <w:bCs w:val="1"/>
                <w:color w:val="auto"/>
                <w:w w:val="90"/>
              </w:rPr>
              <w:t>Recognized in Income on Derivatives</w:t>
            </w: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6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Derivatives Not Designated as</w:t>
            </w:r>
          </w:p>
        </w:tc>
        <w:tc>
          <w:tcPr>
            <w:tcW w:w="2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0"/>
              </w:rPr>
              <w:t>For the Years Ended December 31,</w:t>
            </w:r>
          </w:p>
        </w:tc>
        <w:tc>
          <w:tcPr>
            <w:tcW w:w="11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80" w:type="dxa"/>
            <w:vAlign w:val="bottom"/>
            <w:gridSpan w:val="2"/>
            <w:vMerge w:val="continue"/>
          </w:tcPr>
          <w:p>
            <w:pPr>
              <w:spacing w:after="0"/>
              <w:rPr>
                <w:sz w:val="3"/>
                <w:szCs w:val="3"/>
                <w:color w:val="auto"/>
              </w:rPr>
            </w:pPr>
          </w:p>
        </w:tc>
        <w:tc>
          <w:tcPr>
            <w:tcW w:w="20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5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caps</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11.  INCOME TAXES</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20" w:type="dxa"/>
            <w:vAlign w:val="bottom"/>
            <w:gridSpan w:val="3"/>
          </w:tcPr>
          <w:p>
            <w:pPr>
              <w:ind w:left="320"/>
              <w:spacing w:after="0"/>
              <w:rPr>
                <w:sz w:val="20"/>
                <w:szCs w:val="20"/>
                <w:color w:val="auto"/>
              </w:rPr>
            </w:pPr>
            <w:r>
              <w:rPr>
                <w:rFonts w:ascii="Arial" w:cs="Arial" w:eastAsia="Arial" w:hAnsi="Arial"/>
                <w:sz w:val="18"/>
                <w:szCs w:val="18"/>
                <w:color w:val="auto"/>
              </w:rPr>
              <w:t>The income tax provision consists of the following: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6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w w:val="89"/>
              </w:rPr>
              <w:t>For the Years Ended December 31,</w:t>
            </w: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1,260.9</w:t>
            </w:r>
          </w:p>
        </w:tc>
        <w:tc>
          <w:tcPr>
            <w:tcW w:w="3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Current provision for income taxes:</w:t>
            </w:r>
          </w:p>
        </w:tc>
        <w:tc>
          <w:tcPr>
            <w:tcW w:w="2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State</w:t>
            </w:r>
          </w:p>
        </w:tc>
        <w:tc>
          <w:tcPr>
            <w:tcW w:w="20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Deferred provision for income taxes:</w:t>
            </w: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State</w:t>
            </w:r>
          </w:p>
        </w:tc>
        <w:tc>
          <w:tcPr>
            <w:tcW w:w="20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Interest and penalties expense:</w:t>
            </w: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Penalties</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04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302.6</w:t>
            </w:r>
          </w:p>
        </w:tc>
        <w:tc>
          <w:tcPr>
            <w:tcW w:w="3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tax effects of temporary differences that give rise to significant portions of the deferred tax assets and deferred tax liabilities consist of the following: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8"/>
              </w:rPr>
              <w:t>As of December 31,</w:t>
            </w:r>
          </w:p>
        </w:tc>
        <w:tc>
          <w:tcPr>
            <w:tcW w:w="1140" w:type="dxa"/>
            <w:vAlign w:val="bottom"/>
            <w:tcBorders>
              <w:bottom w:val="single" w:sz="8" w:color="auto"/>
            </w:tcBorders>
          </w:tcPr>
          <w:p>
            <w:pPr>
              <w:spacing w:after="0"/>
              <w:rPr>
                <w:sz w:val="17"/>
                <w:szCs w:val="17"/>
                <w:color w:val="auto"/>
              </w:rPr>
            </w:pPr>
          </w:p>
        </w:tc>
      </w:tr>
      <w:tr>
        <w:trPr>
          <w:trHeight w:val="192"/>
        </w:trPr>
        <w:tc>
          <w:tcPr>
            <w:tcW w:w="75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credit losses</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state net operating loss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5"/>
        </w:trPr>
        <w:tc>
          <w:tcPr>
            <w:tcW w:w="7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w:t>
            </w:r>
          </w:p>
        </w:tc>
      </w:tr>
      <w:tr>
        <w:trPr>
          <w:trHeight w:val="211"/>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of Loans receivable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1,169.6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Deferred Loan origination costs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2"/>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2"/>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1,186.3</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0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The deferred state net operating loss tax asset arising from the operating loss carryforward for state income tax purposes is expected to expire at various times beginning in 2031, if not utilized. We do not anticipate expiration of the net operating loss carryforwards prior to their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35"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r>
      <w:tr>
        <w:trPr>
          <w:trHeight w:val="225"/>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680" w:type="dxa"/>
            <w:vAlign w:val="bottom"/>
            <w:gridSpan w:val="2"/>
          </w:tcPr>
          <w:p>
            <w:pPr>
              <w:ind w:left="340"/>
              <w:spacing w:after="0"/>
              <w:rPr>
                <w:sz w:val="20"/>
                <w:szCs w:val="20"/>
                <w:color w:val="auto"/>
              </w:rPr>
            </w:pPr>
            <w:r>
              <w:rPr>
                <w:rFonts w:ascii="Arial" w:cs="Arial" w:eastAsia="Arial" w:hAnsi="Arial"/>
                <w:sz w:val="18"/>
                <w:szCs w:val="18"/>
                <w:color w:val="auto"/>
              </w:rPr>
              <w:t>State income taxes</w:t>
            </w: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6"/>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compensation plans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2"/>
        </w:trPr>
        <w:tc>
          <w:tcPr>
            <w:tcW w:w="5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45"/>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State income taxes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increase in our state income tax rate from 2020 to 2021 and the decrease in our state income tax rate from 2019 to 2020 were primarily the result of the settlement of an uncertain tax position for state income taxes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Excess tax benefits from stock-based compensation plans</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the first quarter of each year, we receive a tax benefit upon the vesting of restricted stock and the conversion of restricted stock units to common stock based on the fair value of the shares. In addition, we receive a tax benefit upon the exercise of stock options. The amount by which this tax benefit exceeds the grant-date fair value that was recognized as stock-based compensation expense is referred to as an excess tax benefit. Excess tax benefits are recognized in provision for income taxes and reduce our effective income tax rate. The impact of excess tax benefits on our effective income tax rate decreased from 2020 to 2021 primarily due to an increase in pre-tax income. The impact of excess tax benefits on our effective income tax rate decreased from 2019 to 2020, primarily due to a decrease in the number of restricted stock units that were converted to common stock during 2020 due to the timing of our long-term stock award grants.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is a summary of changes in gross unrecognized tax benefits: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w w:val="89"/>
              </w:rPr>
              <w:t>For the Years Ended December 31,</w:t>
            </w:r>
          </w:p>
        </w:tc>
        <w:tc>
          <w:tcPr>
            <w:tcW w:w="1340" w:type="dxa"/>
            <w:vAlign w:val="bottom"/>
            <w:tcBorders>
              <w:bottom w:val="single" w:sz="8" w:color="auto"/>
            </w:tcBorders>
          </w:tcPr>
          <w:p>
            <w:pPr>
              <w:spacing w:after="0"/>
              <w:rPr>
                <w:sz w:val="17"/>
                <w:szCs w:val="17"/>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January 1,</w:t>
            </w:r>
          </w:p>
        </w:tc>
        <w:tc>
          <w:tcPr>
            <w:tcW w:w="120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Additions for tax positions of the current year</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Settlements</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2"/>
        </w:trPr>
        <w:tc>
          <w:tcPr>
            <w:tcW w:w="5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Reductions as a result of a lapse of the statute of limitations</w:t>
            </w: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December 31,</w:t>
            </w:r>
          </w:p>
        </w:tc>
        <w:tc>
          <w:tcPr>
            <w:tcW w:w="120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The total amount of gross unrecognized tax benefits that, if recognized, would favorably affect our effective income tax rate in future periods was $49.4 million as of December 31, 2021. As of December 31, 2021, it is not possible to reasonably estimate the expected change to the total amount of unrecognized tax benefits in the next twelve months. Accrued interest related to uncertain tax positions was $10.8 million and $9.2 million as of December 31, 2021 and 2020, respectively.</w:t>
      </w:r>
    </w:p>
    <w:p>
      <w:pPr>
        <w:spacing w:after="0" w:line="21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subject to income tax in federal and state jurisdictions. We are generally no longer subject to tax examinations on federal returns filed for years prior to 2018 and state returns filed for years prior to 2014.</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NET INCOME PER SHARE</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0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7"/>
                <w:szCs w:val="17"/>
                <w:color w:val="auto"/>
              </w:rPr>
            </w:pPr>
          </w:p>
        </w:tc>
      </w:tr>
      <w:tr>
        <w:trPr>
          <w:trHeight w:val="192"/>
        </w:trPr>
        <w:tc>
          <w:tcPr>
            <w:tcW w:w="5700" w:type="dxa"/>
            <w:vAlign w:val="bottom"/>
          </w:tcPr>
          <w:p>
            <w:pPr>
              <w:spacing w:after="0"/>
              <w:rPr>
                <w:sz w:val="16"/>
                <w:szCs w:val="16"/>
                <w:color w:val="auto"/>
              </w:rPr>
            </w:pPr>
          </w:p>
        </w:tc>
        <w:tc>
          <w:tcPr>
            <w:tcW w:w="170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94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5"/>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2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15,727,140</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17,544,837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18,614,719</w:t>
            </w:r>
          </w:p>
        </w:tc>
      </w:tr>
      <w:tr>
        <w:trPr>
          <w:trHeight w:val="232"/>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Vested restricted stock units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358,683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314,098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285,537</w:t>
            </w: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number of weighted average shares outstanding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16,085,823</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17,858,935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18,900,256</w:t>
            </w:r>
          </w:p>
        </w:tc>
      </w:tr>
      <w:tr>
        <w:trPr>
          <w:trHeight w:val="232"/>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3"/>
              </w:rPr>
              <w:t>Dilutive effect of restricted stock, restricted stock units and stock options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76,304</w:t>
            </w:r>
          </w:p>
        </w:tc>
      </w:tr>
      <w:tr>
        <w:trPr>
          <w:trHeight w:val="24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number of weighted average shares outstanding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16,100,552</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17,935,779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18,976,560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the year ended December 31, 2021, there were 349,222 stock options outstanding that were excluded from the computation of diluted net income per share because their inclusion would have been anti-dilutive. For the year ended December 31, 2021, there were no shares of restricted stock or restricted stock units outstanding that were excluded from the computation of diluted net income per share because their inclusion would have been anti-dilutive. For the years ended December 31, 2020 and 2019, there were no stock options, shares of restricted stock, or restricted stock units outstanding that were excluded from the computation of diluted net income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 REPURCHASES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stock repurchases for the years ended December 31, 2021, 2020, and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(Dollars in millions)</w:t>
            </w: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Stock Repurchases</w:t>
            </w:r>
          </w:p>
        </w:tc>
        <w:tc>
          <w:tcPr>
            <w:tcW w:w="100" w:type="dxa"/>
            <w:vAlign w:val="bottom"/>
            <w:vMerge w:val="restart"/>
          </w:tcPr>
          <w:p>
            <w:pPr>
              <w:spacing w:after="0"/>
              <w:rPr>
                <w:sz w:val="11"/>
                <w:szCs w:val="11"/>
                <w:color w:val="auto"/>
              </w:rPr>
            </w:pPr>
          </w:p>
        </w:tc>
        <w:tc>
          <w:tcPr>
            <w:tcW w:w="152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1"/>
                <w:szCs w:val="11"/>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1"/>
                <w:szCs w:val="11"/>
                <w:color w:val="auto"/>
              </w:rPr>
            </w:pPr>
          </w:p>
        </w:tc>
        <w:tc>
          <w:tcPr>
            <w:tcW w:w="15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1"/>
                <w:szCs w:val="11"/>
                <w:color w:val="auto"/>
              </w:rPr>
            </w:pPr>
          </w:p>
        </w:tc>
        <w:tc>
          <w:tcPr>
            <w:tcW w:w="10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1"/>
                <w:szCs w:val="11"/>
                <w:color w:val="auto"/>
              </w:rPr>
            </w:pPr>
          </w:p>
        </w:tc>
        <w:tc>
          <w:tcPr>
            <w:tcW w:w="15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1"/>
                <w:szCs w:val="11"/>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Open Market (1)</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2,877,060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1,267,103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669,752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32"/>
        </w:trPr>
        <w:tc>
          <w:tcPr>
            <w:tcW w:w="2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(2)</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15,063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42,696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2,884,126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1,282,166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712,448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480" w:hanging="315"/>
        <w:spacing w:after="0" w:line="241" w:lineRule="auto"/>
        <w:tabs>
          <w:tab w:leader="none" w:pos="472"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through privately negotiated transactions, through block trades, pursuant to trading plans adopted in accordance with Rule 10b5-1 under the Securities Exchange Act of 1934 or otherwise. On September 28, 2021, the board of directors authorized the repurchase of up to two million shares of our common stock in addition to the board’s prior authorizations. As of December 31, 2021, we had authorization to repurchase 1,625,550 shares of our common stock.</w:t>
      </w:r>
    </w:p>
    <w:p>
      <w:pPr>
        <w:spacing w:after="0" w:line="1" w:lineRule="exact"/>
        <w:rPr>
          <w:rFonts w:ascii="Arial" w:cs="Arial" w:eastAsia="Arial" w:hAnsi="Arial"/>
          <w:sz w:val="14"/>
          <w:szCs w:val="14"/>
          <w:color w:val="auto"/>
        </w:rPr>
      </w:pPr>
    </w:p>
    <w:p>
      <w:pPr>
        <w:ind w:left="480" w:hanging="315"/>
        <w:spacing w:after="0" w:line="247" w:lineRule="auto"/>
        <w:tabs>
          <w:tab w:leader="none" w:pos="472"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 and the conversion of restricted stock units to common stock.</w:t>
      </w:r>
    </w:p>
    <w:p>
      <w:pPr>
        <w:spacing w:after="0" w:line="213" w:lineRule="exact"/>
        <w:rPr>
          <w:rFonts w:ascii="Arial" w:cs="Arial" w:eastAsia="Arial" w:hAnsi="Arial"/>
          <w:sz w:val="14"/>
          <w:szCs w:val="14"/>
          <w:color w:val="auto"/>
        </w:rPr>
      </w:pPr>
    </w:p>
    <w:p>
      <w:pPr>
        <w:ind w:left="720" w:hanging="714"/>
        <w:spacing w:after="0"/>
        <w:tabs>
          <w:tab w:leader="none" w:pos="7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our Amended and Restated Incentive Compensation Plan (the “Incentive Plan”), at any time prior to April 12, 2031, we can grant stock-based awards in the form of restricted stock, restricted stock units and stock options to team members, officers, directors, and contractors. On April 12, 2021, our board of directors approved an amendment to the Incentive Plan, subject to shareholder approval, increasing the number of shares authorized for issuance by 750,000 shares, to 2,750,000 shares. Shareholder approval was received at our annual meeting of shareholders on July 21, 2021. The shares available for future grants under the Incentive Plan totaled 258,467 as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grant time-based stock options to team members and directors in accordance with the Incentive Plan. Based on the terms of individual stock option grant agreements, the stock options:</w:t>
      </w:r>
    </w:p>
    <w:p>
      <w:pPr>
        <w:spacing w:after="0" w:line="207" w:lineRule="exact"/>
        <w:rPr>
          <w:sz w:val="20"/>
          <w:szCs w:val="20"/>
          <w:color w:val="auto"/>
        </w:rPr>
      </w:pPr>
    </w:p>
    <w:p>
      <w:pPr>
        <w:ind w:left="800" w:hanging="317"/>
        <w:spacing w:after="0" w:line="252" w:lineRule="auto"/>
        <w:tabs>
          <w:tab w:leader="none" w:pos="7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vest and become exercisable in four equal annual installments beginning on the first anniversary of the date on which the options were granted, based on continuous employment or service, and</w:t>
      </w:r>
    </w:p>
    <w:p>
      <w:pPr>
        <w:ind w:left="800" w:hanging="317"/>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expire either six or ten years from the date of the grant.</w:t>
      </w:r>
    </w:p>
    <w:p>
      <w:pPr>
        <w:spacing w:after="0" w:line="2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December 2020 through June 2021, we granted 770,500 stock options, subject to shareholder approval of an amendment to the Incentive Plan (“Shareholder Approval”). Under GAAP, if a stock award is subject to shareholder approval, it is not considered granted for accounting purposes until that approval is received. Shareholder Approval was received at our annual meeting of shareholders on July 21, 2021. Accordingly, the accounting grant date of the 770,500 previously-awarded stock options is July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stock option activity under the Incentive Plan for the year ended December 31, 2021, is presented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Weighted Average Exercise</w:t>
            </w:r>
          </w:p>
        </w:tc>
        <w:tc>
          <w:tcPr>
            <w:tcW w:w="1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 Intrinsic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382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vMerge w:val="restart"/>
          </w:tcPr>
          <w:p>
            <w:pPr>
              <w:spacing w:after="0"/>
              <w:rPr>
                <w:sz w:val="11"/>
                <w:szCs w:val="11"/>
                <w:color w:val="auto"/>
              </w:rPr>
            </w:pPr>
          </w:p>
        </w:tc>
        <w:tc>
          <w:tcPr>
            <w:tcW w:w="17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7"/>
              </w:rPr>
              <w:t>Number of Stock Options</w:t>
            </w:r>
          </w:p>
        </w:tc>
        <w:tc>
          <w:tcPr>
            <w:tcW w:w="10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Value (1)</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2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2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778,500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333.94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705,749</w:t>
            </w:r>
          </w:p>
        </w:tc>
        <w:tc>
          <w:tcPr>
            <w:tcW w:w="360" w:type="dxa"/>
            <w:vAlign w:val="bottom"/>
            <w:tcBorders>
              <w:bottom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2"/>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Exercisable as of December 31, 2021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120,251</w:t>
            </w:r>
          </w:p>
        </w:tc>
        <w:tc>
          <w:tcPr>
            <w:tcW w:w="36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333.94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as of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585,498</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 w:hanging="315"/>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intrinsic value of stock options is the amount by which the market price of the stock as of December 31, 2021 exceeded the exercise price of the options.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grant-date weighted average fair value of stock options granted in 2021 was $188.43 per share. The total intrinsic value of stock options exercised during 2021 was $11.6 million. Net cash proceeds from the exercise of stock options in 2021 was $11.8 million.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estimated the fair value of each stock option on the date of grant using a Black-Scholes valuation model with the following assumptions: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0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Valuation Assumptions</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25"/>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r>
      <w:tr>
        <w:trPr>
          <w:trHeight w:val="225"/>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37.0%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39.0%</w:t>
            </w:r>
          </w:p>
        </w:tc>
        <w:tc>
          <w:tcPr>
            <w:tcW w:w="100" w:type="dxa"/>
            <w:vAlign w:val="bottom"/>
          </w:tcPr>
          <w:p>
            <w:pPr>
              <w:spacing w:after="0"/>
              <w:rPr>
                <w:sz w:val="19"/>
                <w:szCs w:val="19"/>
                <w:color w:val="auto"/>
              </w:rPr>
            </w:pPr>
          </w:p>
        </w:tc>
      </w:tr>
      <w:tr>
        <w:trPr>
          <w:trHeight w:val="226"/>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of stock options (in years)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Restricted Stock Units</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grant performance-based and time-based restricted stock units to team members and directors in accordance with the Incentive Plan. The grant-date fair value per share is estimated to equal the market price of our common stock on the date of grant. Each restricted stock unit represents and has a value equal to one share of common stock. Based on the terms of individual restricted stock unit grant agreements, restricted stock units vest under one of the following methods:</w:t>
      </w:r>
    </w:p>
    <w:p>
      <w:pPr>
        <w:spacing w:after="0" w:line="217" w:lineRule="exact"/>
        <w:rPr>
          <w:sz w:val="20"/>
          <w:szCs w:val="20"/>
          <w:color w:val="auto"/>
        </w:rPr>
      </w:pPr>
    </w:p>
    <w:p>
      <w:pPr>
        <w:ind w:left="800" w:hanging="317"/>
        <w:spacing w:after="0" w:line="252" w:lineRule="auto"/>
        <w:tabs>
          <w:tab w:leader="none" w:pos="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our former Chief Executive Officer, over a period of ten years, based on continuous employment and the cumulative improvement in our annual adjusted economic profit.</w:t>
      </w:r>
    </w:p>
    <w:p>
      <w:pPr>
        <w:ind w:left="800" w:hanging="317"/>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certain team members, over a period of three years, based on continuous employment.</w:t>
      </w:r>
    </w:p>
    <w:p>
      <w:pPr>
        <w:spacing w:after="0" w:line="5" w:lineRule="exact"/>
        <w:rPr>
          <w:rFonts w:ascii="Arial" w:cs="Arial" w:eastAsia="Arial" w:hAnsi="Arial"/>
          <w:sz w:val="18"/>
          <w:szCs w:val="18"/>
          <w:color w:val="auto"/>
        </w:rPr>
      </w:pPr>
    </w:p>
    <w:p>
      <w:pPr>
        <w:ind w:left="800" w:hanging="317"/>
        <w:spacing w:after="0" w:line="245" w:lineRule="auto"/>
        <w:tabs>
          <w:tab w:leader="none" w:pos="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certain team members, over a period of one to four years, based on continuous employment and the compounded annual growth rate in our adjusted net income per diluted share, a non-GAAP financial measure.</w:t>
      </w:r>
    </w:p>
    <w:p>
      <w:pPr>
        <w:spacing w:after="0" w:line="1" w:lineRule="exact"/>
        <w:rPr>
          <w:rFonts w:ascii="Arial" w:cs="Arial" w:eastAsia="Arial" w:hAnsi="Arial"/>
          <w:sz w:val="18"/>
          <w:szCs w:val="18"/>
          <w:color w:val="auto"/>
        </w:rPr>
      </w:pPr>
    </w:p>
    <w:p>
      <w:pPr>
        <w:ind w:left="800" w:hanging="317"/>
        <w:spacing w:after="0" w:line="251" w:lineRule="auto"/>
        <w:tabs>
          <w:tab w:leader="none" w:pos="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certain directors, over a period of five years, based upon the compounded annual growth rate in our adjusted net income per diluted share,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restricted stock unit (“RSU”) activity under the Incentive Plan for the year ended December 31, 2021, is presented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Restricted Stock</w:t>
            </w:r>
          </w:p>
        </w:tc>
        <w:tc>
          <w:tcPr>
            <w:tcW w:w="100" w:type="dxa"/>
            <w:vAlign w:val="bottom"/>
          </w:tcPr>
          <w:p>
            <w:pPr>
              <w:spacing w:after="0"/>
              <w:rPr>
                <w:sz w:val="14"/>
                <w:szCs w:val="14"/>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Weighted Average Grant-</w:t>
            </w:r>
          </w:p>
        </w:tc>
        <w:tc>
          <w:tcPr>
            <w:tcW w:w="18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 Intrinsic</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380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vMerge w:val="restart"/>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Value (2)</w:t>
            </w: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Date Fair Value Per Share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(in years)</w:t>
            </w:r>
          </w:p>
        </w:tc>
        <w:tc>
          <w:tcPr>
            <w:tcW w:w="0" w:type="dxa"/>
            <w:vAlign w:val="bottom"/>
          </w:tcPr>
          <w:p>
            <w:pPr>
              <w:spacing w:after="0"/>
              <w:rPr>
                <w:sz w:val="1"/>
                <w:szCs w:val="1"/>
                <w:color w:val="auto"/>
              </w:rPr>
            </w:pPr>
          </w:p>
        </w:tc>
      </w:tr>
      <w:tr>
        <w:trPr>
          <w:trHeight w:val="22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412,602</w:t>
            </w:r>
          </w:p>
        </w:tc>
        <w:tc>
          <w:tcPr>
            <w:tcW w:w="7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Converted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 (1)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376,835</w:t>
            </w:r>
          </w:p>
        </w:tc>
        <w:tc>
          <w:tcPr>
            <w:tcW w:w="740" w:type="dxa"/>
            <w:vAlign w:val="bottom"/>
            <w:tcBorders>
              <w:bottom w:val="single" w:sz="8" w:color="CCEEFF"/>
            </w:tcBorders>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1"/>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Vested as of December 31, 2021</w:t>
            </w:r>
          </w:p>
        </w:tc>
        <w:tc>
          <w:tcPr>
            <w:tcW w:w="1760" w:type="dxa"/>
            <w:vAlign w:val="bottom"/>
          </w:tcPr>
          <w:p>
            <w:pPr>
              <w:jc w:val="right"/>
              <w:spacing w:after="0"/>
              <w:rPr>
                <w:sz w:val="20"/>
                <w:szCs w:val="20"/>
                <w:color w:val="auto"/>
              </w:rPr>
            </w:pPr>
            <w:r>
              <w:rPr>
                <w:rFonts w:ascii="Arial" w:cs="Arial" w:eastAsia="Arial" w:hAnsi="Arial"/>
                <w:sz w:val="18"/>
                <w:szCs w:val="18"/>
                <w:color w:val="auto"/>
              </w:rPr>
              <w:t>366,683</w:t>
            </w:r>
          </w:p>
        </w:tc>
        <w:tc>
          <w:tcPr>
            <w:tcW w:w="74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hanging="315"/>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 RSUs outstanding at December 31, 2021 were convertible to shares of common stock.</w:t>
      </w:r>
    </w:p>
    <w:p>
      <w:pPr>
        <w:spacing w:after="0" w:line="10" w:lineRule="exact"/>
        <w:rPr>
          <w:rFonts w:ascii="Arial" w:cs="Arial" w:eastAsia="Arial" w:hAnsi="Arial"/>
          <w:sz w:val="14"/>
          <w:szCs w:val="14"/>
          <w:color w:val="auto"/>
        </w:rPr>
      </w:pPr>
    </w:p>
    <w:p>
      <w:pPr>
        <w:ind w:left="480" w:hanging="315"/>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intrinsic value of RSUs is measured by applying the closing stock price as of December 31, 2021 to the applicable number of units.</w:t>
      </w:r>
    </w:p>
    <w:p>
      <w:pPr>
        <w:spacing w:after="0" w:line="2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grant-date weighted average fair value of RSUs granted in 2021, 2020 and 2019 was $366.07, $436.89, and $453.64, respectively. The total intrinsic value of RSUs converted to common stock during 2021, 2020 and 2019 was $7.9 million, $7.6 million, and $36.9 million, respectively. During 2021, we recognized a $3.0 million reversal of stock-based compensation expense due to the forfeiture of 31,000 unvested RSUs upon the retirement of our former Chief Executive Officer in May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Prior to 2020, we granted performance-based and time-based shares of restricted stock to team members in accordance with the Incentive Plan. The grant-date fair value per share was estimated to equal the market price of our common stock on the date of grant. Based on the terms of individual restricted stock grant agreements, shares vest under one of the following methods:</w:t>
      </w:r>
    </w:p>
    <w:p>
      <w:pPr>
        <w:spacing w:after="0" w:line="215" w:lineRule="exact"/>
        <w:rPr>
          <w:sz w:val="20"/>
          <w:szCs w:val="20"/>
          <w:color w:val="auto"/>
        </w:rPr>
      </w:pPr>
    </w:p>
    <w:p>
      <w:pPr>
        <w:jc w:val="both"/>
        <w:ind w:left="800" w:hanging="317"/>
        <w:spacing w:after="0" w:line="250" w:lineRule="auto"/>
        <w:tabs>
          <w:tab w:leader="none" w:pos="7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our former Chief Executive Officer, over a period of 15 years, based on continuous employment and a combination of the cumulative improvement in our annual adjusted economic profit, a non-GAAP financial measure, and the attainment of annual adjusted economic profit targets.</w:t>
      </w:r>
    </w:p>
    <w:p>
      <w:pPr>
        <w:ind w:left="800" w:hanging="317"/>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all other team members, over a period of three years, based on continuous employment.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non-vested restricted stock activity under the Incentive Plan for the year ended December 31, 2021 is presented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vMerge w:val="restart"/>
          </w:tcPr>
          <w:p>
            <w:pPr>
              <w:spacing w:after="0"/>
              <w:rPr>
                <w:sz w:val="14"/>
                <w:szCs w:val="14"/>
                <w:color w:val="auto"/>
              </w:rPr>
            </w:pPr>
          </w:p>
        </w:tc>
        <w:tc>
          <w:tcPr>
            <w:tcW w:w="1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Weighted Average Grant-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25"/>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25"/>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Vested</w:t>
            </w:r>
          </w:p>
        </w:tc>
        <w:tc>
          <w:tcPr>
            <w:tcW w:w="1760" w:type="dxa"/>
            <w:vAlign w:val="bottom"/>
          </w:tcPr>
          <w:p>
            <w:pPr>
              <w:jc w:val="right"/>
              <w:spacing w:after="0"/>
              <w:rPr>
                <w:sz w:val="20"/>
                <w:szCs w:val="20"/>
                <w:color w:val="auto"/>
              </w:rPr>
            </w:pPr>
            <w:r>
              <w:rPr>
                <w:rFonts w:ascii="Arial" w:cs="Arial" w:eastAsia="Arial" w:hAnsi="Arial"/>
                <w:sz w:val="18"/>
                <w:szCs w:val="18"/>
                <w:color w:val="auto"/>
              </w:rPr>
              <w:t>(12,130)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177.77</w:t>
            </w: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25"/>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Non-vested as of December 31, 2021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441.54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shares of restricted stock were granted in 2020 and 2021. The grant-date weighted average fair value of shares granted in 2019 was $441.54. The total fair value of shares vested was $8.3 million in 2021, $5.1 million in 2020 and $7.9 million in 2019. During 2021, we recognized an $8.5 million reversal of stock-based compensation expense due to the forfeiture of 109,000 shares of unvested restricted stock upon the retirement of our former Chief Executive Officer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Borders>
              <w:bottom w:val="single" w:sz="8" w:color="auto"/>
            </w:tcBorders>
          </w:tcPr>
          <w:p>
            <w:pPr>
              <w:spacing w:after="0"/>
              <w:rPr>
                <w:sz w:val="17"/>
                <w:szCs w:val="17"/>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tcPr>
          <w:p>
            <w:pPr>
              <w:spacing w:after="0"/>
              <w:rPr>
                <w:sz w:val="19"/>
                <w:szCs w:val="19"/>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While the stock-based awards are often expected to vest in equal, annual installments over the corresponding requisite service periods of the grants, for certain grants the related stock-based compensation expense is not recognized on a straight-line basis over the same periods. For restricted stock and restricted stock units granted prior to 2021, each installment was accounted for as a separate award and, as a result, the fair value of each installment is being recognized as stock-based compensation expense on a straight-line basis over the related expected vesting period. Assuming performance targets are achieved in the periods currently estimated, we expect to recognize the remaining expense for stock-based awards outstanding as of December 31, 2021 over a weighted average period of 1.5 years,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ind w:left="240"/>
              <w:spacing w:after="0" w:line="143" w:lineRule="exact"/>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Total Projected Expense</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0" w:lineRule="exact"/>
        <w:rPr>
          <w:sz w:val="20"/>
          <w:szCs w:val="20"/>
          <w:color w:val="auto"/>
        </w:rPr>
      </w:pPr>
    </w:p>
    <w:p>
      <w:pPr>
        <w:ind w:right="6600" w:firstLine="6"/>
        <w:spacing w:after="0" w:line="525" w:lineRule="auto"/>
        <w:tabs>
          <w:tab w:leader="none" w:pos="397"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OTHER INFORMATION Business Segment Overview</w:t>
      </w:r>
    </w:p>
    <w:p>
      <w:pPr>
        <w:spacing w:after="0" w:line="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identify operating segments as components of our business for which separate financial information is regularly evaluated by the chief operating decision-maker (“CODM”) in making decisions regarding resource allocation and assessing performance. We periodically review and redefine our segment reporting as internal management reporting practices evolve and the components of our business change. Currently, the CODM reviews consolidated financial statements and metrics to allocate resources and assess performance. Thus, we have determined that we operate in one reportable operating segment. The consolidated financial statements reflect the financial results of our one reportable operating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three years ended December 31, 2021, 2020 and 2019, all of our revenues were derived from the United States. As of December 31, 2021 and 2020, all of our long-lived assets were located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 Information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primary product consists of financing programs that enable Dealers to sell vehicles to consumers, regardless of their credit history. We also provide Dealers the ability to offer or purchase ancillary products on vehicles financed by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 Information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did not have any Dealers that provided 10% or more of our revenue during 2021, 2020, or 2019. Additionally, no single Dealer’s Loans receivable balance accounted for more than 10% of total Loans receivable as of December 31, 2021 or 2020.</w:t>
      </w:r>
    </w:p>
    <w:p>
      <w:pPr>
        <w:spacing w:after="0" w:line="201" w:lineRule="exact"/>
        <w:rPr>
          <w:sz w:val="20"/>
          <w:szCs w:val="20"/>
          <w:color w:val="auto"/>
        </w:rPr>
      </w:pPr>
    </w:p>
    <w:p>
      <w:pPr>
        <w:ind w:right="7460" w:firstLine="6"/>
        <w:spacing w:after="0" w:line="525" w:lineRule="auto"/>
        <w:tabs>
          <w:tab w:leader="none" w:pos="39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spacing w:after="0" w:line="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Current actions to which we are a party include the following matters.</w:t>
      </w:r>
    </w:p>
    <w:p>
      <w:pPr>
        <w:spacing w:after="0" w:line="40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December 1, 2021, we received a subpoena from the Office of the Attorney General for the State of California seeking documents and information regarding GAP products, GAP product administration and refunds. We are cooperating with this inquiry and cannot predict the eventual scope, duration or outcome at this time. As a result, we are unable to estimate the reasonably possible loss or range of reasonably possible loss arising from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35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October 2, 2020, a shareholder filed a putative class action complaint against the Company, its Chief Executive Officer and its Chief Financial Officer in the United States District Court for the Eastern District of Michigan, Southern Division, alleging violations of Sections 10(b) and 20(a) of the Securities Exchange Act of 1934 and Rule 10b-5, promulgated thereunder, based on alleged false and/or misleading statements or omissions regarding the Company and its business, and seeking class certification, unspecified damages plus interest and attorney and expert witness fees and other costs on behalf of a purported class consisting of all persons and entities (subject to specified exceptions) that purchased or otherwise acquired Credit Acceptance common stock from November 1, 2019 through August 28, 2020. On May 28, 2021, the court issued an opinion and order appointing lead plaintiff and lead counsel. On July 22, 2021, the lead plaintiffs filed an amended complaint asserting similar violations, seeking similar relief and expanding the putative class to include all persons and entities (subject to specified exceptions) that purchased or otherwise acquired Credit Acceptance common stock from May 4, 2018 through August 28, 2020. We cannot predict the duration or outcome of this lawsuit at this time. As a result, we are unable to estimate the reasonably possible loss or range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reasonably possible loss arising from this lawsuit. The Company intends to vigorously defend itself in this matter.</w:t>
      </w:r>
    </w:p>
    <w:p>
      <w:pPr>
        <w:spacing w:after="0" w:line="2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May 7, 2019, we received a subpoena from the Consumer Frauds and Protection Bureau of the Office of the New York State Attorney General, relating to the Company’s origination and collection policies and procedures in the state of New York. On July 30, 2020, we received two additional subpoenas from the Office of the New York State Attorney General, both from the Consumer Frauds and Protection Bureau and the Investor Protection Bureau, relating to the Company’s origination and collection policies and procedures in the state of New York and its securitizations. On August 28, 2020, we were informed that one of the two additional subpoenas was being withdrawn. On November 16, 2020, we received an additional subpoena for documents from the Office of the New York State Attorney General. On November 19, 2020, the Company received a letter from the Office of the New York State Attorney General stating that the New York State Attorney General is considering bringing claims against the Company under the Dodd-Frank Wall Street Reform and Consumer Protection Act, New York Executive Law § 63(12), the New York Martin Act and New York General Business Law § 349 in connection with the Company’s origination and securitization practices. On December 9, 2020, we responded to the New York State Attorney General’s letter disputing the assertions contained therein. On December 21, 2020, we received two additional subpoenas from the Office of the New York State Attorney General, one relating to data and the other seeking testimony. On February 24 and April 30, 2021, we received additional subpoenas from the Office of the New York State Attorney General seeking information relating to its investigation. We are cooperating with the investigation and cannot predict its eventual scope, duration or outcome at this time. As a result, we are unable to estimate the reasonably possible loss or range of reasonably possible loss arising from this investigation.</w:t>
      </w:r>
    </w:p>
    <w:p>
      <w:pPr>
        <w:spacing w:after="0" w:line="21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formally petitioned the Bureau to modify the June 1, 2020 civil investigative demand. On September 3, 2020, the Director of the Bureau denied our petition to modify the June 1, 2020 civil investigative demand. On December 23, 2020, we received a civil investigative demand for investigational hearings in connection with the Bureau’s investigation. The Company objected to certain portions of the civil investigative demands for hearings and, on January 19, 2021, the Bureau notified the Company that it had withdrawn such portions from the December 23, 2020 civil investigative demands. On March 11, 2021, we received another civil investigative demand from the Bureau seeking additional information relating to its investigation and an investigational hearing. On June 3, 2021, we received another civil investigative demand from the Bureau seeking additional information relating to its investigation. On December 6, 2021, we received a Notice and Opportunity to Respond and Advise (“NORA”) letter from the Staff of the Office of Enforcement (“Staff”) of the Bureau, stating that Staff is considering whether to recommend that the Bureau take legal action against the Company for alleged violations of the Consumer Financial Protection Act (the “CFPA”) in connection with the Company’s consumer loan origination practices. The NORA letter states that the Bureau may allege that the Company (i) committed abusive and unfair acts or practices in violation of 12 U.S.C. § 5531(c) and (d) and 12 U.S.C. § 5536(a)(1)(B) and (ii) substantially assisted the deceptive acts of others in violation of 12 U.S.C. § 5536 (a)(3). The NORA letter also states that, in connection with any action, the Bureau may seek all remedies available under the CFPA, including civil money penalties, consumer redress and injunctive relief. On January 18, 2022, the Company responded to the NORA letter disputing that it had committed any violations. We cannot predict the eventual scope, duration or outcome of the investigation at this time. As a result, we are unable to estimate the reasonably possible loss or range of reasonably possible loss arising from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40 other states (Alabama, Alaska, Arizona, Arkansas, California,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 We are cooperating with these investigations and cannot predict their eventual scope, duration or outcome at this time. As a result, we are unable to estimate the reasonably possible loss or range of reasonably possible loss arising from these investigations.</w:t>
      </w:r>
    </w:p>
    <w:p>
      <w:pPr>
        <w:spacing w:after="0" w:line="4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Other Legal Matters Resolved during 2021</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investigative demand from the Office of the Attorney General seeking updated information on its original civil investigative demand, additional information related to the Company's origination and collection of Consumer Loans, and information regarding securitization activities. In connection with this inquiry, we were informed by representatives of the Office of the Attorney General that it believed that the Company may have engaged in unfair and deceptive acts or practices related to the origination and collection of auto loans, which may have caused some of the Company’s representations and warranties contained in securitization documents to be inaccurate. On July 22, 2020, we received a third civil investigative demand from the Office of the Attorney General seeking updates on previously produced data and additional information related to the Company's origination of Consumer Loans. On August 30, 2020, we were served with a complaint, filed by the Attorney General in Massachusetts Superior Court in Suffolk County, alleging that the Company engaged in unfair and deceptive trade practices in subprime auto lending, debt collection and asset-backed securitizations in the Commonwealth of Massachusetts, in violation of the Massachusetts</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Consumer Protection Law, M.G.L. c. 93A. The complaint sought injunctive relief, restitution, disgorgement, civil penalties and payment of the Commonwealth’s attorney’s fees and costs. On March 15, 2021, the court entered an order denying a motion by the Company to dismiss four of the Commonwealth’s seven claims and granting in part and denying in part a motion by the Commonwealth for partial summary judgment on three of its claims. On April 27, 2021, the Company and the Commonwealth reached an agreement in principle to settle this lawsuit, and, as a result, we estimated a probable loss of $27.2 million, all of which was recognized as a contingent loss during the first quarter of 2021. On September 1, 2021, we entered into a settlement agreement with the Office of the Attorney General, reflecting the parties’ agreement to settle and fully resolve the claims asserted against us. We agreed to make a payment in the total amount of $27.2 million to an independent trust for purposes of making payments to provide relief for eligible Massachusetts consumers, paying costs of implementation of the agreement and paying the Attorney General’s costs of investigation, and to pay up to $95,000 to cover costs and expenses incurred by an independent trustee for management of the independent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35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August 14, 2017, we received a subpoena from the Attorney General of the State of Mississippi, relating to the origination and collection of non-prime auto loans in the state of Mississippi. The Company cooperated with the inquiry. On April 23, 2019, the Attorney General of the State of Mississippi, on behalf of the State of Mississippi, filed a complaint in the Chancery Court of the First Judicial District of Hinds County, Mississippi, alleging that the Company engaged in unfair and deceptive trade practices in subprime auto lending, loan servicing, vehicle repossession and debt collection in the State of Mississippi in violation of the Mississippi Consumer Protection Act. On December 15, 2021, the Company announced its settlement of litigation with the Mississippi Attorney General. As part of the settlement, the Company made a charitable donation of $125,000, paid $325,000 to the State of Mississippi, inclusive of attorney’s fees and expenses, and provided certain assurances relating to, among other things, continued compliance with laws applicable to</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indirect auto finance operations in Mississippi and disclosures to consumers purchasing an optional vehicle service contract. The Attorney General agreed to dismiss the litigation, and Credit Acceptance made no admission of liability or wrongdoing as part of the settlement.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50"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We lease office space and office equipment. We expect that in the normal course of business, leases will be renewed or replaced by other leases. Total rental expense on all operating leases was $1.4 million for 2021, $1.7 million for 2020, and $1.8 million for 2019. Contingent rentals under the operating leases were insignificant. Our total minimum future lease commitments under operating leases as of December 31, 2021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9460" w:type="dxa"/>
            <w:vAlign w:val="bottom"/>
            <w:gridSpan w:val="2"/>
            <w:vMerge w:val="restart"/>
          </w:tcPr>
          <w:p>
            <w:pPr>
              <w:ind w:left="45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1580" w:type="dxa"/>
            <w:vAlign w:val="bottom"/>
          </w:tcPr>
          <w:p>
            <w:pPr>
              <w:jc w:val="right"/>
              <w:ind w:right="276"/>
              <w:spacing w:after="0" w:line="143" w:lineRule="exact"/>
              <w:rPr>
                <w:sz w:val="20"/>
                <w:szCs w:val="20"/>
                <w:color w:val="auto"/>
              </w:rPr>
            </w:pPr>
            <w:r>
              <w:rPr>
                <w:rFonts w:ascii="Arial" w:cs="Arial" w:eastAsia="Arial" w:hAnsi="Arial"/>
                <w:sz w:val="14"/>
                <w:szCs w:val="14"/>
                <w:b w:val="1"/>
                <w:bCs w:val="1"/>
                <w:color w:val="auto"/>
              </w:rPr>
              <w:t>Minimum Future</w:t>
            </w:r>
          </w:p>
        </w:tc>
        <w:tc>
          <w:tcPr>
            <w:tcW w:w="0" w:type="dxa"/>
            <w:vAlign w:val="bottom"/>
          </w:tcPr>
          <w:p>
            <w:pPr>
              <w:spacing w:after="0"/>
              <w:rPr>
                <w:sz w:val="1"/>
                <w:szCs w:val="1"/>
                <w:color w:val="auto"/>
              </w:rPr>
            </w:pPr>
          </w:p>
        </w:tc>
      </w:tr>
      <w:tr>
        <w:trPr>
          <w:trHeight w:val="192"/>
        </w:trPr>
        <w:tc>
          <w:tcPr>
            <w:tcW w:w="9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Lease Commitments</w:t>
            </w:r>
          </w:p>
        </w:tc>
        <w:tc>
          <w:tcPr>
            <w:tcW w:w="0" w:type="dxa"/>
            <w:vAlign w:val="bottom"/>
          </w:tcPr>
          <w:p>
            <w:pPr>
              <w:spacing w:after="0"/>
              <w:rPr>
                <w:sz w:val="1"/>
                <w:szCs w:val="1"/>
                <w:color w:val="auto"/>
              </w:rPr>
            </w:pPr>
          </w:p>
        </w:tc>
      </w:tr>
      <w:tr>
        <w:trPr>
          <w:trHeight w:val="225"/>
        </w:trPr>
        <w:tc>
          <w:tcPr>
            <w:tcW w:w="9340" w:type="dxa"/>
            <w:vAlign w:val="bottom"/>
            <w:tcBorders>
              <w:top w:val="single" w:sz="8" w:color="auto"/>
            </w:tcBorders>
            <w:shd w:val="clear" w:color="auto" w:fill="CCEEFF"/>
          </w:tcPr>
          <w:p>
            <w:pPr>
              <w:jc w:val="right"/>
              <w:ind w:right="8756"/>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9340" w:type="dxa"/>
            <w:vAlign w:val="bottom"/>
          </w:tcPr>
          <w:p>
            <w:pPr>
              <w:jc w:val="right"/>
              <w:ind w:right="8756"/>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6"/>
        </w:trPr>
        <w:tc>
          <w:tcPr>
            <w:tcW w:w="9340" w:type="dxa"/>
            <w:vAlign w:val="bottom"/>
            <w:shd w:val="clear" w:color="auto" w:fill="CCEEFF"/>
          </w:tcPr>
          <w:p>
            <w:pPr>
              <w:jc w:val="right"/>
              <w:ind w:right="8756"/>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5"/>
        </w:trPr>
        <w:tc>
          <w:tcPr>
            <w:tcW w:w="9340" w:type="dxa"/>
            <w:vAlign w:val="bottom"/>
          </w:tcPr>
          <w:p>
            <w:pPr>
              <w:jc w:val="right"/>
              <w:ind w:right="8756"/>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2"/>
        </w:trPr>
        <w:tc>
          <w:tcPr>
            <w:tcW w:w="9340" w:type="dxa"/>
            <w:vAlign w:val="bottom"/>
            <w:tcBorders>
              <w:bottom w:val="single" w:sz="8" w:color="CCEEFF"/>
            </w:tcBorders>
            <w:shd w:val="clear" w:color="auto" w:fill="CCEEFF"/>
          </w:tcPr>
          <w:p>
            <w:pPr>
              <w:jc w:val="right"/>
              <w:ind w:right="8756"/>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4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4" w:lineRule="exact"/>
        <w:rPr>
          <w:sz w:val="20"/>
          <w:szCs w:val="20"/>
          <w:color w:val="auto"/>
        </w:rPr>
      </w:pPr>
    </w:p>
    <w:p>
      <w:pPr>
        <w:jc w:val="both"/>
        <w:ind w:firstLine="324"/>
        <w:spacing w:after="0" w:line="306" w:lineRule="auto"/>
        <w:tabs>
          <w:tab w:leader="none" w:pos="558"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and principal financial officer, has evaluated</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effectiveness of our disclosure controls and procedures (as such term is defined in Rules 13a-15(e) and 15d-15(e) under the Securities Exchange Act of 1934, as amended (the “Exchange Act”)) as of the end of the period covered by this report. Based on such evaluation, our principal executive and principal financial officer has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183" w:lineRule="exact"/>
        <w:rPr>
          <w:rFonts w:ascii="Arial" w:cs="Arial" w:eastAsia="Arial" w:hAnsi="Arial"/>
          <w:sz w:val="15"/>
          <w:szCs w:val="15"/>
          <w:color w:val="auto"/>
        </w:rPr>
      </w:pPr>
    </w:p>
    <w:p>
      <w:pPr>
        <w:jc w:val="both"/>
        <w:ind w:firstLine="324"/>
        <w:spacing w:after="0" w:line="255" w:lineRule="auto"/>
        <w:tabs>
          <w:tab w:leader="none" w:pos="568"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ended December 31, 2021 that have materially affected, or are reasonably likely to materially affect, our internal control over financial reporting.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217" w:lineRule="exact"/>
        <w:rPr>
          <w:sz w:val="20"/>
          <w:szCs w:val="20"/>
          <w:color w:val="auto"/>
        </w:rPr>
      </w:pPr>
    </w:p>
    <w:p>
      <w:pPr>
        <w:ind w:left="1120" w:hanging="319"/>
        <w:spacing w:after="0"/>
        <w:tabs>
          <w:tab w:leader="none" w:pos="11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our assets;</w:t>
      </w:r>
    </w:p>
    <w:p>
      <w:pPr>
        <w:spacing w:after="0" w:line="50" w:lineRule="exact"/>
        <w:rPr>
          <w:rFonts w:ascii="Arial" w:cs="Arial" w:eastAsia="Arial" w:hAnsi="Arial"/>
          <w:sz w:val="15"/>
          <w:szCs w:val="15"/>
          <w:color w:val="auto"/>
        </w:rPr>
      </w:pPr>
    </w:p>
    <w:p>
      <w:pPr>
        <w:jc w:val="both"/>
        <w:ind w:left="1120" w:hanging="319"/>
        <w:spacing w:after="0" w:line="245" w:lineRule="auto"/>
        <w:tabs>
          <w:tab w:leader="none" w:pos="11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 w:lineRule="exact"/>
        <w:rPr>
          <w:rFonts w:ascii="Arial" w:cs="Arial" w:eastAsia="Arial" w:hAnsi="Arial"/>
          <w:sz w:val="18"/>
          <w:szCs w:val="18"/>
          <w:color w:val="auto"/>
        </w:rPr>
      </w:pPr>
    </w:p>
    <w:p>
      <w:pPr>
        <w:ind w:left="1120" w:hanging="319"/>
        <w:spacing w:after="0" w:line="251" w:lineRule="auto"/>
        <w:tabs>
          <w:tab w:leader="none" w:pos="11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assessed the effectiveness of our internal control over financial reporting as of December 31, 2021. In making this assessment, we used the criteria set forth in the 2013 Internal Control-Integrated Framework issued by the Committee of Sponsoring Organizations of the Treadway Commission (COSO). Based on our assessment, we believe that as of December 31, 2021, our internal control over financial reporting is effective based on those criteria.</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independent registered public accounting firm, Grant Thornton LLP, audited our internal control over financial reporting as of December 31, 2021 and their attestation report dated February 11, 2022 expressed an unqualified opinion on our internal control over financial reporting and is included in this Item 9A.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We have audited the internal control over financial reporting of Credit Acceptance Corporation (a Michigan corporation) and subsidiaries (the “Company”) as of December 31, 2021, based on criteria established in the 2013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COSO.</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February 11, 2022 expressed an unqualified opinion on those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7" w:name="page98"/>
    <w:bookmarkEnd w:id="97"/>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color w:val="auto"/>
        </w:rPr>
        <w:t xml:space="preserve">Information is contained under the captions “Proposal #1 </w:t>
      </w:r>
      <w:r>
        <w:rPr>
          <w:rFonts w:ascii="Arial" w:cs="Arial" w:eastAsia="Arial" w:hAnsi="Arial"/>
          <w:sz w:val="21"/>
          <w:szCs w:val="21"/>
          <w:color w:val="auto"/>
        </w:rPr>
        <w:t>–</w:t>
      </w:r>
      <w:r>
        <w:rPr>
          <w:rFonts w:ascii="Arial" w:cs="Arial" w:eastAsia="Arial" w:hAnsi="Arial"/>
          <w:sz w:val="18"/>
          <w:szCs w:val="18"/>
          <w:color w:val="auto"/>
        </w:rPr>
        <w:t xml:space="preserve"> Election of Directors” (excluding the “Report of the Audit Committee”) and, if required, “Delinquent Section 16(a) Reports” in the Proxy Statement and is incorporated herein by reference.</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Information is contained under the caption “Compensation of Executive Officers and Directors” in the Proxy Statement and is incorporated herein by reference.</w:t>
      </w:r>
    </w:p>
    <w:p>
      <w:pPr>
        <w:spacing w:after="0" w:line="201" w:lineRule="exact"/>
        <w:rPr>
          <w:sz w:val="20"/>
          <w:szCs w:val="20"/>
          <w:color w:val="auto"/>
        </w:rPr>
      </w:pPr>
    </w:p>
    <w:p>
      <w:pPr>
        <w:ind w:left="920" w:right="620" w:hanging="1271"/>
        <w:spacing w:after="0" w:line="271"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Information is contained under the caption “Common Stock Ownership of Certain Beneficial Owners and Management” in the Proxy Statement and is incorporated herein by reference.</w:t>
      </w:r>
    </w:p>
    <w:p>
      <w:pPr>
        <w:spacing w:after="0" w:line="20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Amended and Restated Incentive Compensation Plan (the “Incentive Plan”), which was approved by shareholders on July 21, 2021, provides for the granting of restricted stock, restricted stock units and stock options to team members, officers, and directors.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sets forth (1) the number of shares of common stock to be issued upon the exercise of outstanding stock options or restricted stock units, (2) the weighted average exercise price of outstanding options, if applicable, and (3) the number of shares remaining available for future issuance, as of December 31, 2021: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 shares to be issued upon</w:t>
            </w: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Weighted-average exercise price of</w:t>
            </w:r>
          </w:p>
        </w:tc>
        <w:tc>
          <w:tcPr>
            <w:tcW w:w="2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available for future</w:t>
            </w:r>
          </w:p>
        </w:tc>
        <w:tc>
          <w:tcPr>
            <w:tcW w:w="0" w:type="dxa"/>
            <w:vAlign w:val="bottom"/>
          </w:tcPr>
          <w:p>
            <w:pPr>
              <w:spacing w:after="0"/>
              <w:rPr>
                <w:sz w:val="1"/>
                <w:szCs w:val="1"/>
                <w:color w:val="auto"/>
              </w:rPr>
            </w:pPr>
          </w:p>
        </w:tc>
      </w:tr>
      <w:tr>
        <w:trPr>
          <w:trHeight w:val="133"/>
        </w:trPr>
        <w:tc>
          <w:tcPr>
            <w:tcW w:w="35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24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exercise of outstanding options,</w:t>
            </w:r>
          </w:p>
        </w:tc>
        <w:tc>
          <w:tcPr>
            <w:tcW w:w="18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2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issuance under equity compensation</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 and rights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9"/>
              </w:rPr>
              <w:t>outstanding options (a)</w:t>
            </w:r>
          </w:p>
        </w:tc>
        <w:tc>
          <w:tcPr>
            <w:tcW w:w="1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(b)</w:t>
            </w:r>
          </w:p>
        </w:tc>
        <w:tc>
          <w:tcPr>
            <w:tcW w:w="0" w:type="dxa"/>
            <w:vAlign w:val="bottom"/>
          </w:tcPr>
          <w:p>
            <w:pPr>
              <w:spacing w:after="0"/>
              <w:rPr>
                <w:sz w:val="1"/>
                <w:szCs w:val="1"/>
                <w:color w:val="auto"/>
              </w:rPr>
            </w:pPr>
          </w:p>
        </w:tc>
      </w:tr>
      <w:tr>
        <w:trPr>
          <w:trHeight w:val="173"/>
        </w:trPr>
        <w:tc>
          <w:tcPr>
            <w:tcW w:w="362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Equity compensation plan approved by</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2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Incentive Plan</w:t>
            </w:r>
          </w:p>
        </w:tc>
        <w:tc>
          <w:tcPr>
            <w:tcW w:w="23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1,082,584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350.74</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258,467</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 w:hanging="315"/>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weighted average exercise price in this column does not take into account restricted stock units that are outstanding under the Incentive Plan, which have no exercise price.</w:t>
      </w:r>
    </w:p>
    <w:p>
      <w:pPr>
        <w:spacing w:after="0" w:line="21" w:lineRule="exact"/>
        <w:rPr>
          <w:rFonts w:ascii="Arial" w:cs="Arial" w:eastAsia="Arial" w:hAnsi="Arial"/>
          <w:sz w:val="13"/>
          <w:szCs w:val="13"/>
          <w:color w:val="auto"/>
        </w:rPr>
      </w:pPr>
    </w:p>
    <w:p>
      <w:pPr>
        <w:ind w:left="480" w:right="20" w:hanging="315"/>
        <w:spacing w:after="0" w:line="247" w:lineRule="auto"/>
        <w:tabs>
          <w:tab w:leader="none" w:pos="472" w:val="left"/>
        </w:tabs>
        <w:numPr>
          <w:ilvl w:val="0"/>
          <w:numId w:val="82"/>
        </w:numPr>
        <w:rPr>
          <w:rFonts w:ascii="Arial" w:cs="Arial" w:eastAsia="Arial" w:hAnsi="Arial"/>
          <w:sz w:val="14"/>
          <w:szCs w:val="14"/>
          <w:color w:val="auto"/>
        </w:rPr>
      </w:pPr>
      <w:r>
        <w:rPr>
          <w:rFonts w:ascii="Arial" w:cs="Arial" w:eastAsia="Arial" w:hAnsi="Arial"/>
          <w:sz w:val="14"/>
          <w:szCs w:val="14"/>
          <w:color w:val="auto"/>
        </w:rPr>
        <w:t>For additional information regarding our equity compensation plans, including grants of restricted stock units, see Note 14 to the consolidated financial statements contained in Item 8 of this Form 10-K, which is incorporated herein by reference.</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8"/>
          <w:szCs w:val="18"/>
          <w:color w:val="auto"/>
        </w:rPr>
        <w:t xml:space="preserve">Information is contained under the caption “Certain Relationships and Transactions” and “Proposal #1 </w:t>
      </w:r>
      <w:r>
        <w:rPr>
          <w:rFonts w:ascii="Arial" w:cs="Arial" w:eastAsia="Arial" w:hAnsi="Arial"/>
          <w:sz w:val="21"/>
          <w:szCs w:val="21"/>
          <w:color w:val="auto"/>
        </w:rPr>
        <w:t>–</w:t>
      </w:r>
      <w:r>
        <w:rPr>
          <w:rFonts w:ascii="Arial" w:cs="Arial" w:eastAsia="Arial" w:hAnsi="Arial"/>
          <w:sz w:val="18"/>
          <w:szCs w:val="18"/>
          <w:color w:val="auto"/>
        </w:rPr>
        <w:t xml:space="preserve"> Election of Directors – Meetings and Committees of the Board of Directors” in the Proxy Statement and is incorporated herein by reference.</w:t>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is contained under the caption “Independent Accountants” in the Proxy Statement and is incorporated herein by reference.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51" w:lineRule="exact"/>
        <w:rPr>
          <w:sz w:val="20"/>
          <w:szCs w:val="20"/>
          <w:color w:val="auto"/>
        </w:rPr>
      </w:pPr>
    </w:p>
    <w:p>
      <w:pPr>
        <w:jc w:val="both"/>
        <w:ind w:left="1260" w:hanging="1239"/>
        <w:spacing w:after="0" w:line="219" w:lineRule="auto"/>
        <w:tabs>
          <w:tab w:leader="none" w:pos="12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of the Company and notes thereto and the Report of Independent Registered Public Accounting Firm are contained in Item 8 — Financial Statements and Supplementary Data of this Form 10-K, which is incorporated herein by reference.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Financial Statements:</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Consolidated Balance Sheets as of December 31, 2021 and 2020</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Consolidated Statements of Income for the years ended December 31, 2021, 2020 and 2019</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Consolidated Statements of Comprehensive Income for the years ended December 31, 2021, 2020 and 2019</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Consolidated Statements of Shareholders’ Equity for the years ended December 31, 2021, 2020 and 2019</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Consolidated Statements of Cash Flows for the years ended December 31, 2021, 2020 and 2019</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Notes to Consolidated Financial Statements</w:t>
      </w:r>
    </w:p>
    <w:p>
      <w:pPr>
        <w:spacing w:after="0" w:line="18" w:lineRule="exact"/>
        <w:rPr>
          <w:sz w:val="20"/>
          <w:szCs w:val="20"/>
          <w:color w:val="auto"/>
        </w:rPr>
      </w:pPr>
    </w:p>
    <w:p>
      <w:pPr>
        <w:ind w:left="1260" w:hanging="1236"/>
        <w:spacing w:after="0" w:line="229"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2" w:lineRule="exact"/>
        <w:rPr>
          <w:rFonts w:ascii="Arial" w:cs="Arial" w:eastAsia="Arial" w:hAnsi="Arial"/>
          <w:sz w:val="18"/>
          <w:szCs w:val="18"/>
          <w:color w:val="auto"/>
        </w:rPr>
      </w:pPr>
    </w:p>
    <w:p>
      <w:pPr>
        <w:ind w:left="1260" w:hanging="1236"/>
        <w:spacing w:after="0"/>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exhibits filed in response to Item 601 of Regulation S-K are listed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99" w:name="page100"/>
    <w:bookmarkEnd w:id="99"/>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Exhibit No.</w:t>
      </w:r>
    </w:p>
    <w:p>
      <w:pPr>
        <w:spacing w:after="0" w:line="138" w:lineRule="exact"/>
        <w:rPr>
          <w:sz w:val="20"/>
          <w:szCs w:val="20"/>
          <w:color w:val="auto"/>
        </w:rPr>
      </w:pPr>
    </w:p>
    <w:p>
      <w:pPr>
        <w:ind w:left="50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3.1</w:t>
        </w:r>
      </w:hyperlink>
    </w:p>
    <w:p>
      <w:pPr>
        <w:spacing w:after="0" w:line="191" w:lineRule="exact"/>
        <w:rPr>
          <w:sz w:val="20"/>
          <w:szCs w:val="20"/>
          <w:color w:val="auto"/>
        </w:rPr>
      </w:pPr>
    </w:p>
    <w:p>
      <w:pPr>
        <w:ind w:left="50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3.2</w:t>
        </w:r>
      </w:hyperlink>
    </w:p>
    <w:p>
      <w:pPr>
        <w:spacing w:after="0" w:line="111" w:lineRule="exact"/>
        <w:rPr>
          <w:sz w:val="20"/>
          <w:szCs w:val="20"/>
          <w:color w:val="auto"/>
        </w:rPr>
      </w:pPr>
    </w:p>
    <w:p>
      <w:pPr>
        <w:ind w:left="50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4.1</w:t>
        </w:r>
      </w:hyperlink>
    </w:p>
    <w:p>
      <w:pPr>
        <w:spacing w:after="0" w:line="270" w:lineRule="exact"/>
        <w:rPr>
          <w:sz w:val="20"/>
          <w:szCs w:val="20"/>
          <w:color w:val="auto"/>
        </w:rPr>
      </w:pPr>
    </w:p>
    <w:p>
      <w:pPr>
        <w:ind w:left="50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4.2</w:t>
        </w:r>
      </w:hyperlink>
    </w:p>
    <w:p>
      <w:pPr>
        <w:spacing w:after="0" w:line="363" w:lineRule="exact"/>
        <w:rPr>
          <w:sz w:val="20"/>
          <w:szCs w:val="20"/>
          <w:color w:val="auto"/>
        </w:rPr>
      </w:pPr>
    </w:p>
    <w:p>
      <w:pPr>
        <w:ind w:left="50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4.3</w:t>
        </w:r>
      </w:hyperlink>
    </w:p>
    <w:p>
      <w:pPr>
        <w:spacing w:after="0" w:line="283" w:lineRule="exact"/>
        <w:rPr>
          <w:sz w:val="20"/>
          <w:szCs w:val="20"/>
          <w:color w:val="auto"/>
        </w:rPr>
      </w:pPr>
    </w:p>
    <w:p>
      <w:pPr>
        <w:ind w:left="50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4.4</w:t>
        </w:r>
      </w:hyperlink>
    </w:p>
    <w:p>
      <w:pPr>
        <w:spacing w:after="0" w:line="363" w:lineRule="exact"/>
        <w:rPr>
          <w:sz w:val="20"/>
          <w:szCs w:val="20"/>
          <w:color w:val="auto"/>
        </w:rPr>
      </w:pPr>
    </w:p>
    <w:p>
      <w:pPr>
        <w:ind w:left="500"/>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4.5</w:t>
        </w:r>
      </w:hyperlink>
    </w:p>
    <w:p>
      <w:pPr>
        <w:spacing w:after="0" w:line="363" w:lineRule="exact"/>
        <w:rPr>
          <w:sz w:val="20"/>
          <w:szCs w:val="20"/>
          <w:color w:val="auto"/>
        </w:rPr>
      </w:pPr>
    </w:p>
    <w:p>
      <w:pPr>
        <w:ind w:left="50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4.6</w:t>
        </w:r>
      </w:hyperlink>
    </w:p>
    <w:p>
      <w:pPr>
        <w:spacing w:after="0" w:line="363" w:lineRule="exact"/>
        <w:rPr>
          <w:sz w:val="20"/>
          <w:szCs w:val="20"/>
          <w:color w:val="auto"/>
        </w:rPr>
      </w:pPr>
    </w:p>
    <w:p>
      <w:pPr>
        <w:ind w:left="50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4.7</w:t>
        </w:r>
      </w:hyperlink>
    </w:p>
    <w:p>
      <w:pPr>
        <w:spacing w:after="0" w:line="270" w:lineRule="exact"/>
        <w:rPr>
          <w:sz w:val="20"/>
          <w:szCs w:val="20"/>
          <w:color w:val="auto"/>
        </w:rPr>
      </w:pPr>
    </w:p>
    <w:p>
      <w:pPr>
        <w:ind w:left="50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4.8</w:t>
        </w:r>
      </w:hyperlink>
    </w:p>
    <w:p>
      <w:pPr>
        <w:spacing w:after="0" w:line="191" w:lineRule="exact"/>
        <w:rPr>
          <w:sz w:val="20"/>
          <w:szCs w:val="20"/>
          <w:color w:val="auto"/>
        </w:rPr>
      </w:pPr>
    </w:p>
    <w:p>
      <w:pPr>
        <w:ind w:left="50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4.9</w:t>
        </w:r>
      </w:hyperlink>
    </w:p>
    <w:p>
      <w:pPr>
        <w:spacing w:after="0" w:line="20" w:lineRule="exact"/>
        <w:rPr>
          <w:sz w:val="20"/>
          <w:szCs w:val="20"/>
          <w:color w:val="auto"/>
        </w:rPr>
      </w:pPr>
      <w:r>
        <w:rPr>
          <w:sz w:val="20"/>
          <w:szCs w:val="20"/>
          <w:color w:val="auto"/>
        </w:rPr>
        <w:br w:type="column"/>
      </w:r>
    </w:p>
    <w:p>
      <w:pPr>
        <w:ind w:left="348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7117715" cy="2527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spacing w:after="0" w:line="4"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Articles of Incorporation, as amended July 1, 1997 (incorporated by reference to Exhibit 3(a)(1) to the Company's Quarterly Report on Form 10-Q for the quarterly period ended June 30, 1997).</w:t>
      </w:r>
    </w:p>
    <w:p>
      <w:pPr>
        <w:spacing w:after="0" w:line="3"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Amended and Restated Bylaws, as amended (incorporated by reference to Exhibit 3.2 to the Company’s Current Report on Form 8-K filed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142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Description of Common Stock of Credit Acceptance Corporation.</w:t>
      </w:r>
    </w:p>
    <w:p>
      <w:pPr>
        <w:spacing w:after="0" w:line="18" w:lineRule="exact"/>
        <w:rPr>
          <w:sz w:val="20"/>
          <w:szCs w:val="20"/>
          <w:color w:val="auto"/>
        </w:rPr>
      </w:pPr>
    </w:p>
    <w:p>
      <w:pPr>
        <w:jc w:val="both"/>
        <w:ind w:right="40"/>
        <w:spacing w:after="0" w:line="214" w:lineRule="auto"/>
        <w:rPr>
          <w:sz w:val="20"/>
          <w:szCs w:val="20"/>
          <w:color w:val="auto"/>
        </w:rPr>
      </w:pPr>
      <w:r>
        <w:rPr>
          <w:rFonts w:ascii="Arial" w:cs="Arial" w:eastAsia="Arial" w:hAnsi="Arial"/>
          <w:sz w:val="18"/>
          <w:szCs w:val="18"/>
          <w:color w:val="auto"/>
        </w:rPr>
        <w:t>Amended and Restated Intercreditor Agreement, dated as of February 1, 2010, among Credit Acceptance Corporation, the other Grantors party thereto, representatives of the Secured Parties thereunder and Comerica Bank, as administrative agent under the Original Credit Agreement (as defined therein) and as collateral agent (incorporated by reference to Exhibit 4(g)(6) to the Company’s Current Report on Form 8-K filed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7117715" cy="252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40"/>
        <w:spacing w:after="0" w:line="244" w:lineRule="auto"/>
        <w:rPr>
          <w:sz w:val="20"/>
          <w:szCs w:val="20"/>
          <w:color w:val="auto"/>
        </w:rPr>
      </w:pPr>
      <w:r>
        <w:rPr>
          <w:rFonts w:ascii="Arial" w:cs="Arial" w:eastAsia="Arial" w:hAnsi="Arial"/>
          <w:sz w:val="17"/>
          <w:szCs w:val="17"/>
          <w:color w:val="auto"/>
        </w:rPr>
        <w:t>Amended and Restated Sale and Contribution Agreement dated as of April 5, 2013, between the Company and CAC Warehouse Funding LLC IV (incorporated by reference to Exhibit 4.85 to the Company’s Current Report on Form 8-K filed April 5, 2013).</w:t>
      </w:r>
    </w:p>
    <w:p>
      <w:pPr>
        <w:jc w:val="both"/>
        <w:ind w:right="40"/>
        <w:spacing w:after="0" w:line="219" w:lineRule="auto"/>
        <w:rPr>
          <w:sz w:val="20"/>
          <w:szCs w:val="20"/>
          <w:color w:val="auto"/>
        </w:rPr>
      </w:pPr>
      <w:r>
        <w:rPr>
          <w:rFonts w:ascii="Arial" w:cs="Arial" w:eastAsia="Arial" w:hAnsi="Arial"/>
          <w:sz w:val="18"/>
          <w:szCs w:val="18"/>
          <w:color w:val="auto"/>
        </w:rPr>
        <w:t>First Amendment to Amended and Restated Sale and Contribution Agreement, dated as of December 4, 2013, between the Company and CAC Warehouse Funding LLC IV (incorporated by reference to Exhibit 4.107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Sixth Amended and Restated Credit Agreement, dated as of June 23, 2014, among the Company, the Banks signatory thereto and Comerica Bank, as agent for the Banks (incorporated by reference to Exhibit 4.124 to the Company’s Current Report on Form 8-K filed June 25, 2014).</w:t>
      </w:r>
    </w:p>
    <w:p>
      <w:pPr>
        <w:spacing w:after="0" w:line="3"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Loan and Security Agreement, dated as of September 15, 2014, among the Company, CAC Warehouse Funding LLC V, Fifth Third Bank and Systems &amp; Services Technologies, Inc. (incorporated by reference to Exhibit 4.127 to the Company’s Current Report on Form 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40"/>
        <w:spacing w:after="0" w:line="219" w:lineRule="auto"/>
        <w:rPr>
          <w:sz w:val="20"/>
          <w:szCs w:val="20"/>
          <w:color w:val="auto"/>
        </w:rPr>
      </w:pPr>
      <w:r>
        <w:rPr>
          <w:rFonts w:ascii="Arial" w:cs="Arial" w:eastAsia="Arial" w:hAnsi="Arial"/>
          <w:sz w:val="18"/>
          <w:szCs w:val="18"/>
          <w:color w:val="auto"/>
        </w:rPr>
        <w:t>Backup Servicing Agreement, dated as of September 15, 2014, among the Company, CAC Warehouse Funding LLC V, Fifth Third Bank and Systems &amp; Services Technologies, Inc. (incorporated by reference to Exhibit 4.128 to the Company’s Current Report on Form 8-K filed September 18, 2014).</w:t>
      </w:r>
    </w:p>
    <w:p>
      <w:pPr>
        <w:spacing w:after="0" w:line="3"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Contribution Agreement, dated as of September 15, 2014, between the Company and CAC Warehouse Funding LLC V (incorporated by reference to Exhibit 4.129 to the Company’s Current Report on Form 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17715" cy="252095"/>
                    </a:xfrm>
                    <a:prstGeom prst="rect">
                      <a:avLst/>
                    </a:prstGeom>
                    <a:noFill/>
                  </pic:spPr>
                </pic:pic>
              </a:graphicData>
            </a:graphic>
          </wp:anchor>
        </w:drawing>
      </w:r>
    </w:p>
    <w:p>
      <w:pPr>
        <w:jc w:val="both"/>
        <w:ind w:right="40"/>
        <w:spacing w:after="0" w:line="244" w:lineRule="auto"/>
        <w:rPr>
          <w:sz w:val="20"/>
          <w:szCs w:val="20"/>
          <w:color w:val="auto"/>
        </w:rPr>
      </w:pPr>
      <w:r>
        <w:rPr>
          <w:rFonts w:ascii="Arial" w:cs="Arial" w:eastAsia="Arial" w:hAnsi="Arial"/>
          <w:sz w:val="17"/>
          <w:szCs w:val="17"/>
          <w:color w:val="auto"/>
        </w:rPr>
        <w:t>Indenture dated as of March 30, 2015, among the Company, the Guarantors named therein and U.S. Bank National Association, as trustee (incorporated by reference to Exhibit 4.1 to the Company’s Current Report on Form 8-K filed March 31, 2015).</w:t>
      </w:r>
    </w:p>
    <w:p>
      <w:pPr>
        <w:spacing w:after="0" w:line="1" w:lineRule="exact"/>
        <w:rPr>
          <w:sz w:val="20"/>
          <w:szCs w:val="20"/>
          <w:color w:val="auto"/>
        </w:rPr>
      </w:pPr>
    </w:p>
    <w:p>
      <w:pPr>
        <w:sectPr>
          <w:pgSz w:w="11900" w:h="16838" w:orient="portrait"/>
          <w:cols w:equalWidth="0" w:num="2">
            <w:col w:w="900" w:space="560"/>
            <w:col w:w="9780"/>
          </w:cols>
          <w:pgMar w:left="320" w:top="916" w:right="339" w:bottom="1440" w:gutter="0" w:footer="0" w:header="0"/>
        </w:sectPr>
      </w:pPr>
    </w:p>
    <w:p>
      <w:pPr>
        <w:ind w:left="1460"/>
        <w:spacing w:after="0"/>
        <w:rPr>
          <w:sz w:val="20"/>
          <w:szCs w:val="20"/>
          <w:color w:val="auto"/>
        </w:rPr>
      </w:pPr>
      <w:r>
        <w:rPr>
          <w:rFonts w:ascii="Arial" w:cs="Arial" w:eastAsia="Arial" w:hAnsi="Arial"/>
          <w:sz w:val="15"/>
          <w:szCs w:val="15"/>
          <w:color w:val="auto"/>
        </w:rPr>
        <w:t>First Amendment to the Sixth Amended and Restated Credit Agreement, dated as of June 11, 2015, among the Company, the Banks</w:t>
      </w:r>
    </w:p>
    <w:p>
      <w:pPr>
        <w:spacing w:after="0" w:line="14" w:lineRule="exact"/>
        <w:rPr>
          <w:sz w:val="20"/>
          <w:szCs w:val="20"/>
          <w:color w:val="auto"/>
        </w:rPr>
      </w:pPr>
    </w:p>
    <w:p>
      <w:pPr>
        <w:ind w:left="1460" w:right="40" w:hanging="1019"/>
        <w:spacing w:after="0" w:line="221" w:lineRule="auto"/>
        <w:tabs>
          <w:tab w:leader="none" w:pos="144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4.10</w:t>
        </w:r>
      </w:hyperlink>
      <w:r>
        <w:rPr>
          <w:rFonts w:ascii="Arial" w:cs="Arial" w:eastAsia="Arial" w:hAnsi="Arial"/>
          <w:sz w:val="18"/>
          <w:szCs w:val="18"/>
          <w:color w:val="0000FF"/>
        </w:rPr>
        <w:tab/>
        <w:t>which are parties thereto from time to time, and Comerica Bank (incorporated by reference to Exhibit 4.74 to the Company’s Current Report on Form 8-K filed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7117715" cy="3619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5"/>
          <w:szCs w:val="15"/>
          <w:color w:val="auto"/>
        </w:rPr>
        <w:t>First Amendment to Loan and Security Agreement, dated as of June 11, 2015, among the Company, CAC Warehouse Funding LLC V,</w:t>
      </w:r>
    </w:p>
    <w:p>
      <w:pPr>
        <w:spacing w:after="0" w:line="14" w:lineRule="exact"/>
        <w:rPr>
          <w:sz w:val="20"/>
          <w:szCs w:val="20"/>
          <w:color w:val="auto"/>
        </w:rPr>
      </w:pPr>
    </w:p>
    <w:p>
      <w:pPr>
        <w:ind w:left="1460" w:right="40" w:hanging="1016"/>
        <w:spacing w:after="0" w:line="221" w:lineRule="auto"/>
        <w:tabs>
          <w:tab w:leader="none" w:pos="1440" w:val="left"/>
        </w:tabs>
        <w:rPr>
          <w:rFonts w:ascii="Arial" w:cs="Arial" w:eastAsia="Arial" w:hAnsi="Arial"/>
          <w:sz w:val="18"/>
          <w:szCs w:val="18"/>
          <w:color w:val="0000FF"/>
        </w:rPr>
      </w:pPr>
      <w:hyperlink r:id="rId150">
        <w:r>
          <w:rPr>
            <w:rFonts w:ascii="Arial" w:cs="Arial" w:eastAsia="Arial" w:hAnsi="Arial"/>
            <w:sz w:val="18"/>
            <w:szCs w:val="18"/>
            <w:u w:val="single" w:color="auto"/>
            <w:color w:val="0000FF"/>
          </w:rPr>
          <w:t>4.11</w:t>
        </w:r>
      </w:hyperlink>
      <w:r>
        <w:rPr>
          <w:rFonts w:ascii="Arial" w:cs="Arial" w:eastAsia="Arial" w:hAnsi="Arial"/>
          <w:sz w:val="18"/>
          <w:szCs w:val="18"/>
          <w:color w:val="0000FF"/>
        </w:rPr>
        <w:tab/>
        <w:t>Fifth Third Bank, and Systems &amp; Services Technologies, Inc. (incorporated by reference to Exhibit 4.75 to the Company’s Current Report on Form 8-K filed June 16, 2015).</w:t>
      </w:r>
    </w:p>
    <w:p>
      <w:pPr>
        <w:sectPr>
          <w:pgSz w:w="11900" w:h="16838" w:orient="portrait"/>
          <w:cols w:equalWidth="0" w:num="1">
            <w:col w:w="11240"/>
          </w:cols>
          <w:pgMar w:left="320" w:top="916" w:right="339" w:bottom="1440" w:gutter="0" w:footer="0" w:header="0"/>
          <w:type w:val="continuous"/>
        </w:sectPr>
      </w:pPr>
    </w:p>
    <w:p>
      <w:pPr>
        <w:spacing w:after="0" w:line="82" w:lineRule="exact"/>
        <w:rPr>
          <w:sz w:val="20"/>
          <w:szCs w:val="20"/>
          <w:color w:val="auto"/>
        </w:rPr>
      </w:pPr>
    </w:p>
    <w:p>
      <w:pPr>
        <w:ind w:left="440"/>
        <w:spacing w:after="0"/>
        <w:rPr>
          <w:rFonts w:ascii="Arial" w:cs="Arial" w:eastAsia="Arial" w:hAnsi="Arial"/>
          <w:sz w:val="15"/>
          <w:szCs w:val="15"/>
          <w:u w:val="single" w:color="auto"/>
          <w:color w:val="0000FF"/>
        </w:rPr>
      </w:pPr>
      <w:hyperlink r:id="rId151">
        <w:r>
          <w:rPr>
            <w:rFonts w:ascii="Arial" w:cs="Arial" w:eastAsia="Arial" w:hAnsi="Arial"/>
            <w:sz w:val="15"/>
            <w:szCs w:val="15"/>
            <w:u w:val="single" w:color="auto"/>
            <w:color w:val="0000FF"/>
          </w:rPr>
          <w:t>4.12</w:t>
        </w:r>
      </w:hyperlink>
    </w:p>
    <w:p>
      <w:pPr>
        <w:spacing w:after="0" w:line="225" w:lineRule="exact"/>
        <w:rPr>
          <w:sz w:val="20"/>
          <w:szCs w:val="20"/>
          <w:color w:val="auto"/>
        </w:rPr>
      </w:pPr>
    </w:p>
    <w:p>
      <w:pPr>
        <w:ind w:left="440"/>
        <w:spacing w:after="0"/>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4.13</w:t>
        </w:r>
      </w:hyperlink>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5"/>
          <w:szCs w:val="15"/>
          <w:color w:val="auto"/>
        </w:rPr>
        <w:t>Loan and Security Agreement dated as of September 30, 2015, among the Company, CAC Warehouse Funding LLC VI, and Flagstar Bank, FSB (incorporated by reference to Exhibit 4.82 to the Company’s Current Report on Form 8-K filed October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2527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ind w:right="40"/>
        <w:spacing w:after="0" w:line="229" w:lineRule="auto"/>
        <w:rPr>
          <w:sz w:val="20"/>
          <w:szCs w:val="20"/>
          <w:color w:val="auto"/>
        </w:rPr>
      </w:pPr>
      <w:r>
        <w:rPr>
          <w:rFonts w:ascii="Arial" w:cs="Arial" w:eastAsia="Arial" w:hAnsi="Arial"/>
          <w:sz w:val="18"/>
          <w:szCs w:val="18"/>
          <w:color w:val="auto"/>
        </w:rPr>
        <w:t>Contribution Agreement, dated as of September 30, 2015, between the Company and CAC Warehouse Funding LLC VI (incorporated by reference to Exhibit 4.83 to the Company’s Current Report on Form 8-K filed October 5, 2015).</w:t>
      </w:r>
    </w:p>
    <w:p>
      <w:pPr>
        <w:spacing w:after="0" w:line="1" w:lineRule="exact"/>
        <w:rPr>
          <w:sz w:val="20"/>
          <w:szCs w:val="20"/>
          <w:color w:val="auto"/>
        </w:rPr>
      </w:pPr>
    </w:p>
    <w:p>
      <w:pPr>
        <w:sectPr>
          <w:pgSz w:w="11900" w:h="16838" w:orient="portrait"/>
          <w:cols w:equalWidth="0" w:num="2">
            <w:col w:w="760" w:space="700"/>
            <w:col w:w="9780"/>
          </w:cols>
          <w:pgMar w:left="320" w:top="916"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120" w:type="dxa"/>
            <w:vAlign w:val="bottom"/>
            <w:gridSpan w:val="4"/>
            <w:vMerge w:val="restart"/>
          </w:tcPr>
          <w:p>
            <w:pPr>
              <w:jc w:val="right"/>
              <w:ind w:right="360"/>
              <w:spacing w:after="0"/>
              <w:rPr>
                <w:rFonts w:ascii="Arial" w:cs="Arial" w:eastAsia="Arial" w:hAnsi="Arial"/>
                <w:sz w:val="18"/>
                <w:szCs w:val="18"/>
                <w:color w:val="0000FF"/>
              </w:rPr>
            </w:pPr>
            <w:hyperlink r:id="rId154">
              <w:r>
                <w:rPr>
                  <w:rFonts w:ascii="Arial" w:cs="Arial" w:eastAsia="Arial" w:hAnsi="Arial"/>
                  <w:sz w:val="18"/>
                  <w:szCs w:val="18"/>
                  <w:color w:val="0000FF"/>
                </w:rPr>
                <w:t>4.</w:t>
              </w:r>
              <w:r>
                <w:rPr>
                  <w:rFonts w:ascii="Arial" w:cs="Arial" w:eastAsia="Arial" w:hAnsi="Arial"/>
                  <w:sz w:val="18"/>
                  <w:szCs w:val="18"/>
                  <w:u w:val="single" w:color="auto"/>
                  <w:color w:val="0000FF"/>
                </w:rPr>
                <w:t>14</w:t>
              </w:r>
            </w:hyperlink>
          </w:p>
        </w:tc>
        <w:tc>
          <w:tcPr>
            <w:tcW w:w="10120" w:type="dxa"/>
            <w:vAlign w:val="bottom"/>
            <w:gridSpan w:val="2"/>
          </w:tcPr>
          <w:p>
            <w:pPr>
              <w:ind w:left="340"/>
              <w:spacing w:after="0" w:line="175" w:lineRule="exact"/>
              <w:rPr>
                <w:sz w:val="20"/>
                <w:szCs w:val="20"/>
                <w:color w:val="auto"/>
              </w:rPr>
            </w:pPr>
            <w:r>
              <w:rPr>
                <w:rFonts w:ascii="Arial" w:cs="Arial" w:eastAsia="Arial" w:hAnsi="Arial"/>
                <w:sz w:val="18"/>
                <w:szCs w:val="18"/>
                <w:color w:val="auto"/>
                <w:w w:val="90"/>
              </w:rPr>
              <w:t>Second Amendment to the Sixth Amended and Restated Credit Agreement, dated as of June 15, 2016, among the Company, the Banks</w:t>
            </w:r>
          </w:p>
        </w:tc>
        <w:tc>
          <w:tcPr>
            <w:tcW w:w="0" w:type="dxa"/>
            <w:vAlign w:val="bottom"/>
          </w:tcPr>
          <w:p>
            <w:pPr>
              <w:spacing w:after="0"/>
              <w:rPr>
                <w:sz w:val="1"/>
                <w:szCs w:val="1"/>
                <w:color w:val="auto"/>
              </w:rPr>
            </w:pPr>
          </w:p>
        </w:tc>
      </w:tr>
      <w:tr>
        <w:trPr>
          <w:trHeight w:val="185"/>
        </w:trPr>
        <w:tc>
          <w:tcPr>
            <w:tcW w:w="1120" w:type="dxa"/>
            <w:vAlign w:val="bottom"/>
            <w:gridSpan w:val="4"/>
            <w:vMerge w:val="continue"/>
          </w:tcPr>
          <w:p>
            <w:pPr>
              <w:spacing w:after="0"/>
              <w:rPr>
                <w:sz w:val="16"/>
                <w:szCs w:val="16"/>
                <w:color w:val="auto"/>
              </w:rPr>
            </w:pPr>
          </w:p>
        </w:tc>
        <w:tc>
          <w:tcPr>
            <w:tcW w:w="10120" w:type="dxa"/>
            <w:vAlign w:val="bottom"/>
            <w:gridSpan w:val="2"/>
          </w:tcPr>
          <w:p>
            <w:pPr>
              <w:ind w:left="340"/>
              <w:spacing w:after="0" w:line="185" w:lineRule="exact"/>
              <w:rPr>
                <w:sz w:val="20"/>
                <w:szCs w:val="20"/>
                <w:color w:val="auto"/>
              </w:rPr>
            </w:pPr>
            <w:r>
              <w:rPr>
                <w:rFonts w:ascii="Arial" w:cs="Arial" w:eastAsia="Arial" w:hAnsi="Arial"/>
                <w:sz w:val="18"/>
                <w:szCs w:val="18"/>
                <w:color w:val="auto"/>
                <w:w w:val="89"/>
              </w:rPr>
              <w:t>signatory thereto and Comerica Bank, as agent for the Banks (incorporated by reference to Exhibit 4.76 to the Company’s Current Report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10120" w:type="dxa"/>
            <w:vAlign w:val="bottom"/>
            <w:gridSpan w:val="2"/>
          </w:tcPr>
          <w:p>
            <w:pPr>
              <w:ind w:left="340"/>
              <w:spacing w:after="0" w:line="192" w:lineRule="exact"/>
              <w:rPr>
                <w:sz w:val="20"/>
                <w:szCs w:val="20"/>
                <w:color w:val="auto"/>
              </w:rPr>
            </w:pPr>
            <w:r>
              <w:rPr>
                <w:rFonts w:ascii="Arial" w:cs="Arial" w:eastAsia="Arial" w:hAnsi="Arial"/>
                <w:sz w:val="18"/>
                <w:szCs w:val="18"/>
                <w:color w:val="auto"/>
              </w:rPr>
              <w:t>on Form 8-K filed June 20, 2016).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gridSpan w:val="3"/>
            <w:vMerge w:val="restart"/>
            <w:shd w:val="clear" w:color="auto" w:fill="CCEEFF"/>
          </w:tcPr>
          <w:p>
            <w:pPr>
              <w:jc w:val="right"/>
              <w:ind w:right="360"/>
              <w:spacing w:after="0"/>
              <w:rPr>
                <w:rFonts w:ascii="Arial" w:cs="Arial" w:eastAsia="Arial" w:hAnsi="Arial"/>
                <w:sz w:val="18"/>
                <w:szCs w:val="18"/>
                <w:color w:val="0000FF"/>
              </w:rPr>
            </w:pPr>
            <w:hyperlink r:id="rId155">
              <w:r>
                <w:rPr>
                  <w:rFonts w:ascii="Arial" w:cs="Arial" w:eastAsia="Arial" w:hAnsi="Arial"/>
                  <w:sz w:val="18"/>
                  <w:szCs w:val="18"/>
                  <w:color w:val="0000FF"/>
                </w:rPr>
                <w:t>4.</w:t>
              </w:r>
              <w:r>
                <w:rPr>
                  <w:rFonts w:ascii="Arial" w:cs="Arial" w:eastAsia="Arial" w:hAnsi="Arial"/>
                  <w:sz w:val="18"/>
                  <w:szCs w:val="18"/>
                  <w:u w:val="single" w:color="auto"/>
                  <w:color w:val="0000FF"/>
                </w:rPr>
                <w:t>15</w:t>
              </w:r>
            </w:hyperlink>
          </w:p>
        </w:tc>
        <w:tc>
          <w:tcPr>
            <w:tcW w:w="1010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w w:val="89"/>
              </w:rPr>
              <w:t>Second Amendment to Loan and Security Agreement, dated as of August 18, 2016, among the Company, CAC Warehouse Funding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1010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w w:val="93"/>
              </w:rPr>
              <w:t>V, Fifth Third Bank and Systems &amp; Services Technologies, Inc. (incorporated by reference to Exhibit 4.79 to the Company’s Current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CCEEFF"/>
            </w:tcBorders>
            <w:shd w:val="clear" w:color="auto" w:fill="CCEEFF"/>
          </w:tcPr>
          <w:p>
            <w:pPr>
              <w:ind w:left="340"/>
              <w:spacing w:after="0" w:line="192" w:lineRule="exact"/>
              <w:rPr>
                <w:sz w:val="20"/>
                <w:szCs w:val="20"/>
                <w:color w:val="auto"/>
              </w:rPr>
            </w:pPr>
            <w:r>
              <w:rPr>
                <w:rFonts w:ascii="Arial" w:cs="Arial" w:eastAsia="Arial" w:hAnsi="Arial"/>
                <w:sz w:val="18"/>
                <w:szCs w:val="18"/>
                <w:color w:val="auto"/>
              </w:rPr>
              <w:t>Report on Form 8-K filed August 23,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20" w:type="dxa"/>
            <w:vAlign w:val="bottom"/>
            <w:gridSpan w:val="4"/>
            <w:vMerge w:val="restart"/>
          </w:tcPr>
          <w:p>
            <w:pPr>
              <w:jc w:val="right"/>
              <w:ind w:right="360"/>
              <w:spacing w:after="0"/>
              <w:rPr>
                <w:rFonts w:ascii="Arial" w:cs="Arial" w:eastAsia="Arial" w:hAnsi="Arial"/>
                <w:sz w:val="18"/>
                <w:szCs w:val="18"/>
                <w:color w:val="0000FF"/>
              </w:rPr>
            </w:pPr>
            <w:hyperlink r:id="rId156">
              <w:r>
                <w:rPr>
                  <w:rFonts w:ascii="Arial" w:cs="Arial" w:eastAsia="Arial" w:hAnsi="Arial"/>
                  <w:sz w:val="18"/>
                  <w:szCs w:val="18"/>
                  <w:color w:val="0000FF"/>
                </w:rPr>
                <w:t>4.</w:t>
              </w:r>
              <w:r>
                <w:rPr>
                  <w:rFonts w:ascii="Arial" w:cs="Arial" w:eastAsia="Arial" w:hAnsi="Arial"/>
                  <w:sz w:val="18"/>
                  <w:szCs w:val="18"/>
                  <w:u w:val="single" w:color="auto"/>
                  <w:color w:val="0000FF"/>
                </w:rPr>
                <w:t>16</w:t>
              </w:r>
            </w:hyperlink>
          </w:p>
        </w:tc>
        <w:tc>
          <w:tcPr>
            <w:tcW w:w="10120" w:type="dxa"/>
            <w:vAlign w:val="bottom"/>
            <w:gridSpan w:val="2"/>
          </w:tcPr>
          <w:p>
            <w:pPr>
              <w:ind w:left="340"/>
              <w:spacing w:after="0" w:line="173" w:lineRule="exact"/>
              <w:rPr>
                <w:sz w:val="20"/>
                <w:szCs w:val="20"/>
                <w:color w:val="auto"/>
              </w:rPr>
            </w:pPr>
            <w:r>
              <w:rPr>
                <w:rFonts w:ascii="Arial" w:cs="Arial" w:eastAsia="Arial" w:hAnsi="Arial"/>
                <w:sz w:val="18"/>
                <w:szCs w:val="18"/>
                <w:color w:val="auto"/>
                <w:w w:val="90"/>
              </w:rPr>
              <w:t>First Amendment to Contribution Agreement, dated as of August 18, 2016, between the Company and CAC Warehouse Funding LLC V</w:t>
            </w:r>
          </w:p>
        </w:tc>
        <w:tc>
          <w:tcPr>
            <w:tcW w:w="0" w:type="dxa"/>
            <w:vAlign w:val="bottom"/>
          </w:tcPr>
          <w:p>
            <w:pPr>
              <w:spacing w:after="0"/>
              <w:rPr>
                <w:sz w:val="1"/>
                <w:szCs w:val="1"/>
                <w:color w:val="auto"/>
              </w:rPr>
            </w:pPr>
          </w:p>
        </w:tc>
      </w:tr>
      <w:tr>
        <w:trPr>
          <w:trHeight w:val="92"/>
        </w:trPr>
        <w:tc>
          <w:tcPr>
            <w:tcW w:w="1120" w:type="dxa"/>
            <w:vAlign w:val="bottom"/>
            <w:gridSpan w:val="4"/>
            <w:vMerge w:val="continue"/>
          </w:tcPr>
          <w:p>
            <w:pPr>
              <w:spacing w:after="0"/>
              <w:rPr>
                <w:sz w:val="7"/>
                <w:szCs w:val="7"/>
                <w:color w:val="auto"/>
              </w:rPr>
            </w:pPr>
          </w:p>
        </w:tc>
        <w:tc>
          <w:tcPr>
            <w:tcW w:w="10120" w:type="dxa"/>
            <w:vAlign w:val="bottom"/>
            <w:gridSpan w:val="2"/>
            <w:vMerge w:val="restart"/>
          </w:tcPr>
          <w:p>
            <w:pPr>
              <w:ind w:left="340"/>
              <w:spacing w:after="0"/>
              <w:rPr>
                <w:sz w:val="20"/>
                <w:szCs w:val="20"/>
                <w:color w:val="auto"/>
              </w:rPr>
            </w:pPr>
            <w:r>
              <w:rPr>
                <w:rFonts w:ascii="Arial" w:cs="Arial" w:eastAsia="Arial" w:hAnsi="Arial"/>
                <w:sz w:val="18"/>
                <w:szCs w:val="18"/>
                <w:color w:val="auto"/>
              </w:rPr>
              <w:t>(incorporated by reference to Exhibit 4.80 to the Company’s Current Report on Form 8-K filed August 23, 2016).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gridSpan w:val="3"/>
            <w:vMerge w:val="restart"/>
            <w:shd w:val="clear" w:color="auto" w:fill="CCEEFF"/>
          </w:tcPr>
          <w:p>
            <w:pPr>
              <w:jc w:val="right"/>
              <w:ind w:right="360"/>
              <w:spacing w:after="0"/>
              <w:rPr>
                <w:rFonts w:ascii="Arial" w:cs="Arial" w:eastAsia="Arial" w:hAnsi="Arial"/>
                <w:sz w:val="18"/>
                <w:szCs w:val="18"/>
                <w:color w:val="0000FF"/>
              </w:rPr>
            </w:pPr>
            <w:hyperlink r:id="rId157">
              <w:r>
                <w:rPr>
                  <w:rFonts w:ascii="Arial" w:cs="Arial" w:eastAsia="Arial" w:hAnsi="Arial"/>
                  <w:sz w:val="18"/>
                  <w:szCs w:val="18"/>
                  <w:color w:val="0000FF"/>
                </w:rPr>
                <w:t>4.</w:t>
              </w:r>
              <w:r>
                <w:rPr>
                  <w:rFonts w:ascii="Arial" w:cs="Arial" w:eastAsia="Arial" w:hAnsi="Arial"/>
                  <w:sz w:val="18"/>
                  <w:szCs w:val="18"/>
                  <w:u w:val="single" w:color="auto"/>
                  <w:color w:val="0000FF"/>
                </w:rPr>
                <w:t>17</w:t>
              </w:r>
            </w:hyperlink>
          </w:p>
        </w:tc>
        <w:tc>
          <w:tcPr>
            <w:tcW w:w="10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0"/>
              </w:rPr>
              <w:t>Third Amendment to Sixth Amended and Restated Credit Agreement and Extension Agreement, dated as of June 28, 2017, among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1010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w w:val="93"/>
              </w:rPr>
              <w:t>Company, the Banks signatory thereto and Comerica Bank, as agent for the Banks (incorporated by reference to Exhibit 4.80 to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CCEEFF"/>
            </w:tcBorders>
            <w:shd w:val="clear" w:color="auto" w:fill="CCEEFF"/>
          </w:tcPr>
          <w:p>
            <w:pPr>
              <w:ind w:left="340"/>
              <w:spacing w:after="0" w:line="192" w:lineRule="exact"/>
              <w:rPr>
                <w:sz w:val="20"/>
                <w:szCs w:val="20"/>
                <w:color w:val="auto"/>
              </w:rPr>
            </w:pPr>
            <w:r>
              <w:rPr>
                <w:rFonts w:ascii="Arial" w:cs="Arial" w:eastAsia="Arial" w:hAnsi="Arial"/>
                <w:sz w:val="18"/>
                <w:szCs w:val="18"/>
                <w:color w:val="auto"/>
              </w:rPr>
              <w:t>Company’s Current Report on Form 8-K filed June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00" w:type="dxa"/>
            <w:vAlign w:val="bottom"/>
          </w:tcPr>
          <w:p>
            <w:pPr>
              <w:ind w:left="43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100" w:name="page101"/>
    <w:bookmarkEnd w:id="100"/>
    <w:p>
      <w:pPr>
        <w:spacing w:after="0" w:line="79" w:lineRule="exact"/>
        <w:rPr>
          <w:sz w:val="20"/>
          <w:szCs w:val="20"/>
          <w:color w:val="auto"/>
        </w:rPr>
      </w:pPr>
    </w:p>
    <w:p>
      <w:pPr>
        <w:spacing w:after="0"/>
        <w:rPr>
          <w:rFonts w:ascii="Arial" w:cs="Arial" w:eastAsia="Arial" w:hAnsi="Arial"/>
          <w:sz w:val="15"/>
          <w:szCs w:val="15"/>
          <w:u w:val="single" w:color="auto"/>
          <w:color w:val="0000FF"/>
        </w:rPr>
      </w:pPr>
      <w:hyperlink r:id="rId160">
        <w:r>
          <w:rPr>
            <w:rFonts w:ascii="Arial" w:cs="Arial" w:eastAsia="Arial" w:hAnsi="Arial"/>
            <w:sz w:val="15"/>
            <w:szCs w:val="15"/>
            <w:u w:val="single" w:color="auto"/>
            <w:color w:val="0000FF"/>
          </w:rPr>
          <w:t>4.18</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1">
        <w:r>
          <w:rPr>
            <w:rFonts w:ascii="Arial" w:cs="Arial" w:eastAsia="Arial" w:hAnsi="Arial"/>
            <w:sz w:val="15"/>
            <w:szCs w:val="15"/>
            <w:u w:val="single" w:color="auto"/>
            <w:color w:val="0000FF"/>
          </w:rPr>
          <w:t>4.19</w:t>
        </w:r>
      </w:hyperlink>
    </w:p>
    <w:p>
      <w:pPr>
        <w:spacing w:after="0" w:line="200" w:lineRule="exact"/>
        <w:rPr>
          <w:sz w:val="20"/>
          <w:szCs w:val="20"/>
          <w:color w:val="auto"/>
        </w:rPr>
      </w:pPr>
    </w:p>
    <w:p>
      <w:pPr>
        <w:spacing w:after="0" w:line="290" w:lineRule="exact"/>
        <w:rPr>
          <w:sz w:val="20"/>
          <w:szCs w:val="20"/>
          <w:color w:val="auto"/>
        </w:rPr>
      </w:pPr>
    </w:p>
    <w:p>
      <w:pPr>
        <w:spacing w:after="0"/>
        <w:rPr>
          <w:rFonts w:ascii="Arial" w:cs="Arial" w:eastAsia="Arial" w:hAnsi="Arial"/>
          <w:sz w:val="15"/>
          <w:szCs w:val="15"/>
          <w:u w:val="single" w:color="auto"/>
          <w:color w:val="0000FF"/>
        </w:rPr>
      </w:pPr>
      <w:hyperlink r:id="rId162">
        <w:r>
          <w:rPr>
            <w:rFonts w:ascii="Arial" w:cs="Arial" w:eastAsia="Arial" w:hAnsi="Arial"/>
            <w:sz w:val="15"/>
            <w:szCs w:val="15"/>
            <w:u w:val="single" w:color="auto"/>
            <w:color w:val="0000FF"/>
          </w:rPr>
          <w:t>4.20</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3">
        <w:r>
          <w:rPr>
            <w:rFonts w:ascii="Arial" w:cs="Arial" w:eastAsia="Arial" w:hAnsi="Arial"/>
            <w:sz w:val="15"/>
            <w:szCs w:val="15"/>
            <w:u w:val="single" w:color="auto"/>
            <w:color w:val="0000FF"/>
          </w:rPr>
          <w:t>4.21</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4">
        <w:r>
          <w:rPr>
            <w:rFonts w:ascii="Arial" w:cs="Arial" w:eastAsia="Arial" w:hAnsi="Arial"/>
            <w:sz w:val="15"/>
            <w:szCs w:val="15"/>
            <w:u w:val="single" w:color="auto"/>
            <w:color w:val="0000FF"/>
          </w:rPr>
          <w:t>4.22</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5">
        <w:r>
          <w:rPr>
            <w:rFonts w:ascii="Arial" w:cs="Arial" w:eastAsia="Arial" w:hAnsi="Arial"/>
            <w:sz w:val="15"/>
            <w:szCs w:val="15"/>
            <w:u w:val="single" w:color="auto"/>
            <w:color w:val="0000FF"/>
          </w:rPr>
          <w:t>4.23</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66">
        <w:r>
          <w:rPr>
            <w:rFonts w:ascii="Arial" w:cs="Arial" w:eastAsia="Arial" w:hAnsi="Arial"/>
            <w:sz w:val="15"/>
            <w:szCs w:val="15"/>
            <w:u w:val="single" w:color="auto"/>
            <w:color w:val="0000FF"/>
          </w:rPr>
          <w:t>4.24</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67">
        <w:r>
          <w:rPr>
            <w:rFonts w:ascii="Arial" w:cs="Arial" w:eastAsia="Arial" w:hAnsi="Arial"/>
            <w:sz w:val="15"/>
            <w:szCs w:val="15"/>
            <w:u w:val="single" w:color="auto"/>
            <w:color w:val="0000FF"/>
          </w:rPr>
          <w:t>4.25</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8">
        <w:r>
          <w:rPr>
            <w:rFonts w:ascii="Arial" w:cs="Arial" w:eastAsia="Arial" w:hAnsi="Arial"/>
            <w:sz w:val="15"/>
            <w:szCs w:val="15"/>
            <w:u w:val="single" w:color="auto"/>
            <w:color w:val="0000FF"/>
          </w:rPr>
          <w:t>4.26</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69">
        <w:r>
          <w:rPr>
            <w:rFonts w:ascii="Arial" w:cs="Arial" w:eastAsia="Arial" w:hAnsi="Arial"/>
            <w:sz w:val="15"/>
            <w:szCs w:val="15"/>
            <w:u w:val="single" w:color="auto"/>
            <w:color w:val="0000FF"/>
          </w:rPr>
          <w:t>4.27</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70">
        <w:r>
          <w:rPr>
            <w:rFonts w:ascii="Arial" w:cs="Arial" w:eastAsia="Arial" w:hAnsi="Arial"/>
            <w:sz w:val="15"/>
            <w:szCs w:val="15"/>
            <w:u w:val="single" w:color="auto"/>
            <w:color w:val="0000FF"/>
          </w:rPr>
          <w:t>4.28</w:t>
        </w:r>
      </w:hyperlink>
    </w:p>
    <w:p>
      <w:pPr>
        <w:spacing w:after="0" w:line="225" w:lineRule="exact"/>
        <w:rPr>
          <w:sz w:val="20"/>
          <w:szCs w:val="20"/>
          <w:color w:val="auto"/>
        </w:rPr>
      </w:pPr>
    </w:p>
    <w:p>
      <w:pPr>
        <w:spacing w:after="0"/>
        <w:rPr>
          <w:rFonts w:ascii="Arial" w:cs="Arial" w:eastAsia="Arial" w:hAnsi="Arial"/>
          <w:sz w:val="15"/>
          <w:szCs w:val="15"/>
          <w:u w:val="single" w:color="auto"/>
          <w:color w:val="0000FF"/>
        </w:rPr>
      </w:pPr>
      <w:hyperlink r:id="rId171">
        <w:r>
          <w:rPr>
            <w:rFonts w:ascii="Arial" w:cs="Arial" w:eastAsia="Arial" w:hAnsi="Arial"/>
            <w:sz w:val="15"/>
            <w:szCs w:val="15"/>
            <w:u w:val="single" w:color="auto"/>
            <w:color w:val="0000FF"/>
          </w:rPr>
          <w:t>4.29</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72">
        <w:r>
          <w:rPr>
            <w:rFonts w:ascii="Arial" w:cs="Arial" w:eastAsia="Arial" w:hAnsi="Arial"/>
            <w:sz w:val="15"/>
            <w:szCs w:val="15"/>
            <w:u w:val="single" w:color="auto"/>
            <w:color w:val="0000FF"/>
          </w:rPr>
          <w:t>4.30</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73">
        <w:r>
          <w:rPr>
            <w:rFonts w:ascii="Arial" w:cs="Arial" w:eastAsia="Arial" w:hAnsi="Arial"/>
            <w:sz w:val="15"/>
            <w:szCs w:val="15"/>
            <w:u w:val="single" w:color="auto"/>
            <w:color w:val="0000FF"/>
          </w:rPr>
          <w:t>4.31</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74">
        <w:r>
          <w:rPr>
            <w:rFonts w:ascii="Arial" w:cs="Arial" w:eastAsia="Arial" w:hAnsi="Arial"/>
            <w:sz w:val="15"/>
            <w:szCs w:val="15"/>
            <w:u w:val="single" w:color="auto"/>
            <w:color w:val="0000FF"/>
          </w:rPr>
          <w:t>4.32</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75">
        <w:r>
          <w:rPr>
            <w:rFonts w:ascii="Arial" w:cs="Arial" w:eastAsia="Arial" w:hAnsi="Arial"/>
            <w:sz w:val="15"/>
            <w:szCs w:val="15"/>
            <w:u w:val="single" w:color="auto"/>
            <w:color w:val="0000FF"/>
          </w:rPr>
          <w:t>4.33</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76">
        <w:r>
          <w:rPr>
            <w:rFonts w:ascii="Arial" w:cs="Arial" w:eastAsia="Arial" w:hAnsi="Arial"/>
            <w:sz w:val="15"/>
            <w:szCs w:val="15"/>
            <w:u w:val="single" w:color="auto"/>
            <w:color w:val="0000FF"/>
          </w:rPr>
          <w:t>4.34</w:t>
        </w:r>
      </w:hyperlink>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5"/>
          <w:szCs w:val="15"/>
          <w:color w:val="auto"/>
        </w:rPr>
        <w:t>First Amendment to Loan and Security Agreement, dated as of July 18, 2017, among the Company, CAC Warehouse Funding LLC VI and Flagstar Bank, fsb (incorporated by reference to Exhibit 4.87 to the Company’s Current Report on Form 8-K filed July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471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17715" cy="471170"/>
                    </a:xfrm>
                    <a:prstGeom prst="rect">
                      <a:avLst/>
                    </a:prstGeom>
                    <a:noFill/>
                  </pic:spPr>
                </pic:pic>
              </a:graphicData>
            </a:graphic>
          </wp:anchor>
        </w:drawing>
      </w:r>
    </w:p>
    <w:p>
      <w:pPr>
        <w:jc w:val="both"/>
        <w:ind w:right="20"/>
        <w:spacing w:after="0" w:line="214" w:lineRule="auto"/>
        <w:rPr>
          <w:sz w:val="20"/>
          <w:szCs w:val="20"/>
          <w:color w:val="auto"/>
        </w:rPr>
      </w:pPr>
      <w:r>
        <w:rPr>
          <w:rFonts w:ascii="Arial" w:cs="Arial" w:eastAsia="Arial" w:hAnsi="Arial"/>
          <w:sz w:val="18"/>
          <w:szCs w:val="18"/>
          <w:color w:val="auto"/>
        </w:rPr>
        <w:t>New Bank Addendum, dated October 19, 2017 to the Sixth Amended and Restated Credit Acceptance Corporation Credit Agreement dated as of October 19, 2017, among the Company, each of the financial institutions parties thereto and Comerica Bank, as agent (incorporated by reference to Exhibit 4.94 to the Company’s Quarterly Report on Form 10-Q for the quarterly period ended September 30, 2017).</w:t>
      </w:r>
    </w:p>
    <w:p>
      <w:pPr>
        <w:spacing w:after="0" w:line="4"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Assignment Agreement, dated October 19, 2017, among the Company, the Banks signatory thereto and Comerica Bank, as agent, under the Sixth Amended and Restated Credit Acceptance Corporation Credit Agreement dated as of June 23, 2014 (incorporated by reference to Exhibit 4.95 to the Company’s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361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5"/>
          <w:szCs w:val="15"/>
          <w:color w:val="auto"/>
        </w:rPr>
        <w:t>Amended and Restated Loan and Security Agreement dated as of May 10, 2018 among the Company, CAC Warehouse Funding LLC IV, the lenders from time to time party thereto, Bank of Montreal, BMO Capital Markets Corp., and Wells Fargo Bank, National Association (incorporated by reference to Exhibit 4.86 to the Company’s Current Report on Form 8-K filed May 15, 2018).</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Fourth Amendment to Sixth Amended and Restated Credit Agreement dated as of June 27, 2018 among the Company, the Banks which are parties thereto from time to time, and Comerica Bank as Administrative Agent and Collateral Agent for the Banks (incorporated by reference to Exhibit 4.94 to the Company’s Current Report on Form 8-K filed June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Third Amendment to Loan and Security Agreement, dated as of August 15, 2018, among the Company, CAC Warehouse Funding LLC V, Fifth Third Bank and Systems &amp; Services Technologies, Inc. (incorporated by reference to Exhibit 4.95 to the Company’s Current Report on Form 8-K filed August 17, 2018).</w:t>
      </w:r>
    </w:p>
    <w:p>
      <w:pPr>
        <w:spacing w:after="0" w:line="3"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Indenture dated as of February 21, 2019, between Credit Acceptance Auto Loan Trust 2019-1 and Wells Fargo Bank, National Association (incorporated by reference to Exhibit 4.93 to the Company’s Current Report on Form 8-K filed 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361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Sale and Servicing Agreement, dated as of February 21, 2019, among the Company, Credit Acceptance Auto Loan Trust 2019-1, Credit Acceptance Funding LLC 2019-1 and Wells Fargo Bank, National Association (incorporated by reference to Exhibit 4.94 to the Company’s Current Report on Form 8-K filed February 26, 2019).</w:t>
      </w:r>
    </w:p>
    <w:p>
      <w:pPr>
        <w:spacing w:after="0" w:line="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Backup Servicing Agreement, dated as of February 21, 2019, among the Company, Credit Acceptance Funding LLC 2019-1, Credit Acceptance Auto Loan Trust 2019-1 and Wells Fargo Bank, National Association (incorporated by reference to Exhibit 4.95 to the Company’s Current Report on Form 8-K filed 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Amended and Restated Trust Agreement, dated as of February 21, 2019, among Credit Acceptance Funding LLC 2019-1, each of the initial members of the Board of Trustees of the Trust and U.S. Bank Trust National Association (incorporated by reference to Exhibit 4.96 to the Company’s Current Report on Form 8-K filed February 26, 2019).</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Sale and Contribution Agreement, dated as of February 21, 2019, between the Company and Credit Acceptance Funding LLC 2019-1 (incorporated by reference to Exhibit 4.97 to the Company’s Current Report on Form 8-K filed 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2527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76" w:lineRule="auto"/>
        <w:rPr>
          <w:sz w:val="20"/>
          <w:szCs w:val="20"/>
          <w:color w:val="auto"/>
        </w:rPr>
      </w:pPr>
      <w:r>
        <w:rPr>
          <w:rFonts w:ascii="Arial" w:cs="Arial" w:eastAsia="Arial" w:hAnsi="Arial"/>
          <w:sz w:val="15"/>
          <w:szCs w:val="15"/>
          <w:color w:val="auto"/>
        </w:rPr>
        <w:t>Indenture, dated as of March 7, 2019, among Credit Acceptance Corporation, the Guarantors named therein and U.S. Bank National Association, as trustee (incorporated by reference to Exhibit 4.99 to the Company’s Current Report on Form 8-K filed March 8, 2019).</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Registration Rights Agreement, dated March 7, 2019, among Credit Acceptance Corporation, Buyers Vehicle Protection Plan, Inc., Vehicle Remarketing Services, Inc. and the representative of the initial purchasers of Credit Acceptance Corporation’s 6.625% Senior Notes due 2026 (incorporated by reference to Exhibit 4.100 to the Company’s Current Report on Form 8-K filed 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361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Fifth Amendment to Sixth Amended and Restated Credit Agreement, dated as of June 24, 2019, among the Company, Comerica Bank and the other banks signatory thereto and Comerica Bank, as administrative agent for the banks (incorporated by reference to Exhibit 4.101 to the Company’s Current Report on Form 8-K filed June 26, 2019).</w:t>
      </w:r>
    </w:p>
    <w:p>
      <w:pPr>
        <w:spacing w:after="0" w:line="219" w:lineRule="auto"/>
        <w:rPr>
          <w:sz w:val="20"/>
          <w:szCs w:val="20"/>
          <w:color w:val="auto"/>
        </w:rPr>
      </w:pPr>
      <w:r>
        <w:rPr>
          <w:rFonts w:ascii="Arial" w:cs="Arial" w:eastAsia="Arial" w:hAnsi="Arial"/>
          <w:sz w:val="18"/>
          <w:szCs w:val="18"/>
          <w:color w:val="auto"/>
        </w:rPr>
        <w:t>Fourth Amendment to Loan Security Agreement, dated as of July 16, 2019, among the Company, CAC</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Warehouse Funding LLC V and Fifth Third Bank (incorporated by reference to Exhibit 4.103 to the Company’s Quarterly Report on Form 10-Q for the quarterly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635</wp:posOffset>
            </wp:positionV>
            <wp:extent cx="7117715" cy="252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76" w:lineRule="auto"/>
        <w:rPr>
          <w:sz w:val="20"/>
          <w:szCs w:val="20"/>
          <w:color w:val="auto"/>
        </w:rPr>
      </w:pPr>
      <w:r>
        <w:rPr>
          <w:rFonts w:ascii="Arial" w:cs="Arial" w:eastAsia="Arial" w:hAnsi="Arial"/>
          <w:sz w:val="15"/>
          <w:szCs w:val="15"/>
          <w:color w:val="auto"/>
        </w:rPr>
        <w:t>Second Amendment to Loan and Security Agreement, dated as of July 25, 2019, among the Company, CAC Warehouse Funding LLC VI and Flagstar Bank, FSB (incorporated by reference to Exhibit 4.105 to the Company’s Current Report on Form 8-K filed July 26, 2019).</w:t>
      </w:r>
    </w:p>
    <w:p>
      <w:pPr>
        <w:spacing w:after="0" w:line="1"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Loan and Security Agreement, dated as of July 26, 2019, among the Company, CAC Warehouse Funding LLC VIII, the lenders from time to time party thereto, Citizens Bank N.A. and Wells Fargo Bank, National Association (incorporated by reference to Exhibit 4.106 to the Company’s Current Report on Form 8-K filed July 29,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65405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20" w:space="700"/>
            <w:col w:w="9760"/>
          </w:cols>
          <w:pgMar w:left="760" w:top="962" w:right="359" w:bottom="1440" w:gutter="0" w:footer="0" w:header="0"/>
        </w:sectPr>
      </w:pPr>
    </w:p>
    <w:bookmarkStart w:id="101" w:name="page102"/>
    <w:bookmarkEnd w:id="101"/>
    <w:p>
      <w:pPr>
        <w:spacing w:after="0" w:line="93" w:lineRule="exact"/>
        <w:rPr>
          <w:sz w:val="20"/>
          <w:szCs w:val="20"/>
          <w:color w:val="auto"/>
        </w:rPr>
      </w:pPr>
    </w:p>
    <w:p>
      <w:pPr>
        <w:spacing w:after="0"/>
        <w:rPr>
          <w:rFonts w:ascii="Arial" w:cs="Arial" w:eastAsia="Arial" w:hAnsi="Arial"/>
          <w:sz w:val="15"/>
          <w:szCs w:val="15"/>
          <w:u w:val="single" w:color="auto"/>
          <w:color w:val="0000FF"/>
        </w:rPr>
      </w:pPr>
      <w:hyperlink r:id="rId186">
        <w:r>
          <w:rPr>
            <w:rFonts w:ascii="Arial" w:cs="Arial" w:eastAsia="Arial" w:hAnsi="Arial"/>
            <w:sz w:val="15"/>
            <w:szCs w:val="15"/>
            <w:u w:val="single" w:color="auto"/>
            <w:color w:val="0000FF"/>
          </w:rPr>
          <w:t>4.35</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87">
        <w:r>
          <w:rPr>
            <w:rFonts w:ascii="Arial" w:cs="Arial" w:eastAsia="Arial" w:hAnsi="Arial"/>
            <w:sz w:val="15"/>
            <w:szCs w:val="15"/>
            <w:u w:val="single" w:color="auto"/>
            <w:color w:val="0000FF"/>
          </w:rPr>
          <w:t>4.36</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88">
        <w:r>
          <w:rPr>
            <w:rFonts w:ascii="Arial" w:cs="Arial" w:eastAsia="Arial" w:hAnsi="Arial"/>
            <w:sz w:val="15"/>
            <w:szCs w:val="15"/>
            <w:u w:val="single" w:color="auto"/>
            <w:color w:val="0000FF"/>
          </w:rPr>
          <w:t>4.37</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89">
        <w:r>
          <w:rPr>
            <w:rFonts w:ascii="Arial" w:cs="Arial" w:eastAsia="Arial" w:hAnsi="Arial"/>
            <w:sz w:val="15"/>
            <w:szCs w:val="15"/>
            <w:u w:val="single" w:color="auto"/>
            <w:color w:val="0000FF"/>
          </w:rPr>
          <w:t>4.38</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90">
        <w:r>
          <w:rPr>
            <w:rFonts w:ascii="Arial" w:cs="Arial" w:eastAsia="Arial" w:hAnsi="Arial"/>
            <w:sz w:val="15"/>
            <w:szCs w:val="15"/>
            <w:u w:val="single" w:color="auto"/>
            <w:color w:val="0000FF"/>
          </w:rPr>
          <w:t>4.39</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91">
        <w:r>
          <w:rPr>
            <w:rFonts w:ascii="Arial" w:cs="Arial" w:eastAsia="Arial" w:hAnsi="Arial"/>
            <w:sz w:val="15"/>
            <w:szCs w:val="15"/>
            <w:u w:val="single" w:color="auto"/>
            <w:color w:val="0000FF"/>
          </w:rPr>
          <w:t>4.40</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92">
        <w:r>
          <w:rPr>
            <w:rFonts w:ascii="Arial" w:cs="Arial" w:eastAsia="Arial" w:hAnsi="Arial"/>
            <w:sz w:val="15"/>
            <w:szCs w:val="15"/>
            <w:u w:val="single" w:color="auto"/>
            <w:color w:val="0000FF"/>
          </w:rPr>
          <w:t>4.41</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93">
        <w:r>
          <w:rPr>
            <w:rFonts w:ascii="Arial" w:cs="Arial" w:eastAsia="Arial" w:hAnsi="Arial"/>
            <w:sz w:val="15"/>
            <w:szCs w:val="15"/>
            <w:u w:val="single" w:color="auto"/>
            <w:color w:val="0000FF"/>
          </w:rPr>
          <w:t>4.42</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94">
        <w:r>
          <w:rPr>
            <w:rFonts w:ascii="Arial" w:cs="Arial" w:eastAsia="Arial" w:hAnsi="Arial"/>
            <w:sz w:val="15"/>
            <w:szCs w:val="15"/>
            <w:u w:val="single" w:color="auto"/>
            <w:color w:val="0000FF"/>
          </w:rPr>
          <w:t>4.43</w:t>
        </w:r>
      </w:hyperlink>
    </w:p>
    <w:p>
      <w:pPr>
        <w:spacing w:after="0" w:line="305" w:lineRule="exact"/>
        <w:rPr>
          <w:sz w:val="20"/>
          <w:szCs w:val="20"/>
          <w:color w:val="auto"/>
        </w:rPr>
      </w:pPr>
    </w:p>
    <w:p>
      <w:pPr>
        <w:spacing w:after="0"/>
        <w:rPr>
          <w:rFonts w:ascii="Arial" w:cs="Arial" w:eastAsia="Arial" w:hAnsi="Arial"/>
          <w:sz w:val="15"/>
          <w:szCs w:val="15"/>
          <w:u w:val="single" w:color="auto"/>
          <w:color w:val="0000FF"/>
        </w:rPr>
      </w:pPr>
      <w:hyperlink r:id="rId195">
        <w:r>
          <w:rPr>
            <w:rFonts w:ascii="Arial" w:cs="Arial" w:eastAsia="Arial" w:hAnsi="Arial"/>
            <w:sz w:val="15"/>
            <w:szCs w:val="15"/>
            <w:u w:val="single" w:color="auto"/>
            <w:color w:val="0000FF"/>
          </w:rPr>
          <w:t>4.44</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96">
        <w:r>
          <w:rPr>
            <w:rFonts w:ascii="Arial" w:cs="Arial" w:eastAsia="Arial" w:hAnsi="Arial"/>
            <w:sz w:val="15"/>
            <w:szCs w:val="15"/>
            <w:u w:val="single" w:color="auto"/>
            <w:color w:val="0000FF"/>
          </w:rPr>
          <w:t>4.45</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197">
        <w:r>
          <w:rPr>
            <w:rFonts w:ascii="Arial" w:cs="Arial" w:eastAsia="Arial" w:hAnsi="Arial"/>
            <w:sz w:val="15"/>
            <w:szCs w:val="15"/>
            <w:u w:val="single" w:color="auto"/>
            <w:color w:val="0000FF"/>
          </w:rPr>
          <w:t>4.46</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198">
        <w:r>
          <w:rPr>
            <w:rFonts w:ascii="Arial" w:cs="Arial" w:eastAsia="Arial" w:hAnsi="Arial"/>
            <w:sz w:val="15"/>
            <w:szCs w:val="15"/>
            <w:u w:val="single" w:color="auto"/>
            <w:color w:val="0000FF"/>
          </w:rPr>
          <w:t>4.47</w:t>
        </w:r>
      </w:hyperlink>
    </w:p>
    <w:p>
      <w:pPr>
        <w:spacing w:after="0" w:line="225" w:lineRule="exact"/>
        <w:rPr>
          <w:sz w:val="20"/>
          <w:szCs w:val="20"/>
          <w:color w:val="auto"/>
        </w:rPr>
      </w:pPr>
    </w:p>
    <w:p>
      <w:pPr>
        <w:spacing w:after="0"/>
        <w:rPr>
          <w:rFonts w:ascii="Arial" w:cs="Arial" w:eastAsia="Arial" w:hAnsi="Arial"/>
          <w:sz w:val="15"/>
          <w:szCs w:val="15"/>
          <w:u w:val="single" w:color="auto"/>
          <w:color w:val="0000FF"/>
        </w:rPr>
      </w:pPr>
      <w:hyperlink r:id="rId199">
        <w:r>
          <w:rPr>
            <w:rFonts w:ascii="Arial" w:cs="Arial" w:eastAsia="Arial" w:hAnsi="Arial"/>
            <w:sz w:val="15"/>
            <w:szCs w:val="15"/>
            <w:u w:val="single" w:color="auto"/>
            <w:color w:val="0000FF"/>
          </w:rPr>
          <w:t>4.48</w:t>
        </w:r>
      </w:hyperlink>
    </w:p>
    <w:p>
      <w:pPr>
        <w:spacing w:after="0" w:line="212" w:lineRule="exact"/>
        <w:rPr>
          <w:sz w:val="20"/>
          <w:szCs w:val="20"/>
          <w:color w:val="auto"/>
        </w:rPr>
      </w:pPr>
    </w:p>
    <w:p>
      <w:pPr>
        <w:spacing w:after="0"/>
        <w:rPr>
          <w:rFonts w:ascii="Arial" w:cs="Arial" w:eastAsia="Arial" w:hAnsi="Arial"/>
          <w:sz w:val="15"/>
          <w:szCs w:val="15"/>
          <w:u w:val="single" w:color="auto"/>
          <w:color w:val="0000FF"/>
        </w:rPr>
      </w:pPr>
      <w:hyperlink r:id="rId200">
        <w:r>
          <w:rPr>
            <w:rFonts w:ascii="Arial" w:cs="Arial" w:eastAsia="Arial" w:hAnsi="Arial"/>
            <w:sz w:val="15"/>
            <w:szCs w:val="15"/>
            <w:u w:val="single" w:color="auto"/>
            <w:color w:val="0000FF"/>
          </w:rPr>
          <w:t>4.49</w:t>
        </w:r>
      </w:hyperlink>
    </w:p>
    <w:p>
      <w:pPr>
        <w:spacing w:after="0" w:line="358" w:lineRule="exact"/>
        <w:rPr>
          <w:sz w:val="20"/>
          <w:szCs w:val="20"/>
          <w:color w:val="auto"/>
        </w:rPr>
      </w:pPr>
    </w:p>
    <w:p>
      <w:pPr>
        <w:spacing w:after="0"/>
        <w:rPr>
          <w:rFonts w:ascii="Arial" w:cs="Arial" w:eastAsia="Arial" w:hAnsi="Arial"/>
          <w:sz w:val="15"/>
          <w:szCs w:val="15"/>
          <w:u w:val="single" w:color="auto"/>
          <w:color w:val="0000FF"/>
        </w:rPr>
      </w:pPr>
      <w:hyperlink r:id="rId201">
        <w:r>
          <w:rPr>
            <w:rFonts w:ascii="Arial" w:cs="Arial" w:eastAsia="Arial" w:hAnsi="Arial"/>
            <w:sz w:val="15"/>
            <w:szCs w:val="15"/>
            <w:u w:val="single" w:color="auto"/>
            <w:color w:val="0000FF"/>
          </w:rPr>
          <w:t>4.50</w:t>
        </w:r>
      </w:hyperlink>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5"/>
          <w:szCs w:val="15"/>
          <w:u w:val="single" w:color="auto"/>
          <w:color w:val="0000FF"/>
        </w:rPr>
      </w:pPr>
      <w:hyperlink r:id="rId202">
        <w:r>
          <w:rPr>
            <w:rFonts w:ascii="Arial" w:cs="Arial" w:eastAsia="Arial" w:hAnsi="Arial"/>
            <w:sz w:val="15"/>
            <w:szCs w:val="15"/>
            <w:u w:val="single" w:color="auto"/>
            <w:color w:val="0000FF"/>
          </w:rPr>
          <w:t>4.51</w:t>
        </w:r>
      </w:hyperlink>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8"/>
          <w:szCs w:val="18"/>
          <w:color w:val="auto"/>
        </w:rPr>
        <w:t>Sale and Contribution Agreement, dated as of July 26, 2019, between the Company and CAC Warehouse Funding LLC VIII (incorporated by reference to Exhibit 4.107 to the Company’s Current Report on Form 8-K filed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-250825</wp:posOffset>
            </wp:positionV>
            <wp:extent cx="7117715" cy="2527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spacing w:after="0" w:line="219" w:lineRule="auto"/>
        <w:rPr>
          <w:sz w:val="20"/>
          <w:szCs w:val="20"/>
          <w:color w:val="auto"/>
        </w:rPr>
      </w:pPr>
      <w:r>
        <w:rPr>
          <w:rFonts w:ascii="Arial" w:cs="Arial" w:eastAsia="Arial" w:hAnsi="Arial"/>
          <w:sz w:val="18"/>
          <w:szCs w:val="18"/>
          <w:color w:val="auto"/>
        </w:rPr>
        <w:t>Backup Servicing Agreement, dated as of July 26, 2019, among the Company, CAC Warehouse Funding LLC VIII, Citizens Bank, N.A. and Wells Fargo Bank, National Association (incorporated by reference to Exhibit 4.108 to the Company’s Current Report on Form 8-K filed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32" w:lineRule="auto"/>
        <w:rPr>
          <w:sz w:val="20"/>
          <w:szCs w:val="20"/>
          <w:color w:val="auto"/>
        </w:rPr>
      </w:pPr>
      <w:r>
        <w:rPr>
          <w:rFonts w:ascii="Arial" w:cs="Arial" w:eastAsia="Arial" w:hAnsi="Arial"/>
          <w:sz w:val="17"/>
          <w:szCs w:val="17"/>
          <w:color w:val="auto"/>
        </w:rPr>
        <w:t>First Amendment to Amended and Restated Loan and Security Agreement, dated as of July 26, 2019, among the Company, CAC Warehouse Funding LLC IV, Bank of Montreal, Citizens Bank, N.A., BMO Capital Markets Corp. and Wells Fargo Bank, National Association (incorporated by reference to Exhibit 4.110 to the Company’s Current Report on Form 8-K filed July 29, 2019).</w:t>
      </w:r>
    </w:p>
    <w:p>
      <w:pPr>
        <w:spacing w:after="0" w:line="3"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Amended and Restated Backup Servicing Agreement, dated as of July 26, 2019, among the Company, CAC Warehouse Funding LLC IV, Bank of Montreal, BMO Capital Markets Corp. and Wells Fargo Bank, National Association (incorporated by reference to Exhibit 4.111 to the Company’s Current Report on Form 8-K filed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Loan and Security Agreement, dated as of August 28, 2019, among the Company, Credit Acceptance Funding LLC 2019-2 and Wells Fargo Bank, National Association (incorporated by reference to Exhibit 4.112 to the Company’s Current Report on Form 8-K filed September 4, 2019).</w:t>
      </w:r>
    </w:p>
    <w:p>
      <w:pPr>
        <w:spacing w:after="0" w:line="3"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Backup Servicing Agreement, dated as of August 28, 2019, among the Company, Credit Acceptance Funding LLC 2019-2 and Wells Fargo Bank, National Association (incorporated by reference to Exhibit 4.113 to the Company’s Current Report on Form 8-K filed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7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44" w:lineRule="auto"/>
        <w:rPr>
          <w:sz w:val="20"/>
          <w:szCs w:val="20"/>
          <w:color w:val="auto"/>
        </w:rPr>
      </w:pPr>
      <w:r>
        <w:rPr>
          <w:rFonts w:ascii="Arial" w:cs="Arial" w:eastAsia="Arial" w:hAnsi="Arial"/>
          <w:sz w:val="17"/>
          <w:szCs w:val="17"/>
          <w:color w:val="auto"/>
        </w:rPr>
        <w:t>Sale and Contribution Agreement, dated as of August 28, 2019, between the Company and Credit Acceptance Funding LLC 2019-2 (incorporated by reference to Exhibit 4.114 to the Company’s Current Report on Form 8-K filed September 4, 2019).</w:t>
      </w:r>
    </w:p>
    <w:p>
      <w:pPr>
        <w:jc w:val="both"/>
        <w:ind w:right="20"/>
        <w:spacing w:after="0" w:line="219" w:lineRule="auto"/>
        <w:rPr>
          <w:sz w:val="20"/>
          <w:szCs w:val="20"/>
          <w:color w:val="auto"/>
        </w:rPr>
      </w:pPr>
      <w:r>
        <w:rPr>
          <w:rFonts w:ascii="Arial" w:cs="Arial" w:eastAsia="Arial" w:hAnsi="Arial"/>
          <w:sz w:val="18"/>
          <w:szCs w:val="18"/>
          <w:color w:val="auto"/>
        </w:rPr>
        <w:t>Second Amended and Restated Backup Servicing Agreement, dated as of August 16, 2019, among the Company, CAC Warehouse Funding LLC II and Wells Fargo Bank, National Association (incorporated by reference to Exhibit 4.117 to the Company’s Quarterly Report on Form 10-Q for the quarterly period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7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44" w:lineRule="auto"/>
        <w:rPr>
          <w:sz w:val="20"/>
          <w:szCs w:val="20"/>
          <w:color w:val="auto"/>
        </w:rPr>
      </w:pPr>
      <w:r>
        <w:rPr>
          <w:rFonts w:ascii="Arial" w:cs="Arial" w:eastAsia="Arial" w:hAnsi="Arial"/>
          <w:sz w:val="17"/>
          <w:szCs w:val="17"/>
          <w:color w:val="auto"/>
        </w:rPr>
        <w:t>Indenture dated as of November 21, 2019, between Credit Acceptance Auto Loan Trust 2019-3 and Wells Fargo Bank, National Association (incorporated by reference to Exhibit 4.118 to the Company’s Current Report on Form 8-K filed November 26, 2019).</w:t>
      </w:r>
    </w:p>
    <w:p>
      <w:pPr>
        <w:jc w:val="both"/>
        <w:ind w:right="20"/>
        <w:spacing w:after="0" w:line="219" w:lineRule="auto"/>
        <w:rPr>
          <w:sz w:val="20"/>
          <w:szCs w:val="20"/>
          <w:color w:val="auto"/>
        </w:rPr>
      </w:pPr>
      <w:r>
        <w:rPr>
          <w:rFonts w:ascii="Arial" w:cs="Arial" w:eastAsia="Arial" w:hAnsi="Arial"/>
          <w:sz w:val="18"/>
          <w:szCs w:val="18"/>
          <w:color w:val="auto"/>
        </w:rPr>
        <w:t>Sale and Servicing Agreement, dated as of November 21, 2019, among the Company, Credit Acceptance Auto Loan Trust 2019-3, Credit Acceptance Funding LLC 2019-3 and Wells Fargo Bank, National Association (incorporated by reference to Exhibit 4.119 to the Company’s Current Report on Form 8-K filed November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spacing w:after="0" w:line="219" w:lineRule="auto"/>
        <w:rPr>
          <w:sz w:val="20"/>
          <w:szCs w:val="20"/>
          <w:color w:val="auto"/>
        </w:rPr>
      </w:pPr>
      <w:r>
        <w:rPr>
          <w:rFonts w:ascii="Arial" w:cs="Arial" w:eastAsia="Arial" w:hAnsi="Arial"/>
          <w:sz w:val="18"/>
          <w:szCs w:val="18"/>
          <w:color w:val="auto"/>
        </w:rPr>
        <w:t>Backup Servicing Agreement, dated as of November 21, 2019, among the Company, Credit Acceptance Funding LLC 2019-3, Credit Acceptance Auto Loan Trust 2019-3 and Wells Fargo Bank, National Association (incorporated by reference to Exhibit 4.120 to the Company’s Current Report on Form 8-K filed November 26, 2019).</w:t>
      </w:r>
    </w:p>
    <w:p>
      <w:pPr>
        <w:spacing w:after="0" w:line="3"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Amended and Restated Trust Agreement, dated as of November 21, 2019, among Credit Acceptance Funding LLC 2019-3 and U.S. Bank Trust National Association (incorporated by reference to Exhibit 4.121 to the Company’s Current Report on Form 8-K filed November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44" w:lineRule="auto"/>
        <w:rPr>
          <w:sz w:val="20"/>
          <w:szCs w:val="20"/>
          <w:color w:val="auto"/>
        </w:rPr>
      </w:pPr>
      <w:r>
        <w:rPr>
          <w:rFonts w:ascii="Arial" w:cs="Arial" w:eastAsia="Arial" w:hAnsi="Arial"/>
          <w:sz w:val="17"/>
          <w:szCs w:val="17"/>
          <w:color w:val="auto"/>
        </w:rPr>
        <w:t>Sale and Contribution Agreement, dated as of November 21, 2019, between the Company and Credit Acceptance Funding LLC 2019-3 (incorporated by reference to Exhibit 4.122 to the Company’s Current Report on Form 8-K filed November 26, 2019).</w:t>
      </w:r>
    </w:p>
    <w:p>
      <w:pPr>
        <w:jc w:val="both"/>
        <w:ind w:right="20"/>
        <w:spacing w:after="0" w:line="276" w:lineRule="auto"/>
        <w:rPr>
          <w:sz w:val="20"/>
          <w:szCs w:val="20"/>
          <w:color w:val="auto"/>
        </w:rPr>
      </w:pPr>
      <w:r>
        <w:rPr>
          <w:rFonts w:ascii="Arial" w:cs="Arial" w:eastAsia="Arial" w:hAnsi="Arial"/>
          <w:sz w:val="15"/>
          <w:szCs w:val="15"/>
          <w:color w:val="auto"/>
        </w:rPr>
        <w:t>Indenture, dated as of December 18, 2019, among the Company, the Guarantors named therein and U.S. Bank National Association, as trustee (incorporated by reference to Exhibit 4.124 to the Company’s Current Report on Form 8-K filed 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2527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jc w:val="both"/>
        <w:ind w:right="20"/>
        <w:spacing w:after="0" w:line="245" w:lineRule="auto"/>
        <w:rPr>
          <w:sz w:val="20"/>
          <w:szCs w:val="20"/>
          <w:color w:val="auto"/>
        </w:rPr>
      </w:pPr>
      <w:r>
        <w:rPr>
          <w:rFonts w:ascii="Arial" w:cs="Arial" w:eastAsia="Arial" w:hAnsi="Arial"/>
          <w:sz w:val="17"/>
          <w:szCs w:val="17"/>
          <w:color w:val="auto"/>
        </w:rPr>
        <w:t>Indenture, dated as of February 20, 2020, between Credit Acceptance Auto Loan Trust 2020-1 and Wells Fargo Bank, National Association (incorporated by reference to Exhibit 4.107 to the Company’s Current Report on Form 8-K filed February 24, 2020).</w:t>
      </w:r>
    </w:p>
    <w:p>
      <w:pPr>
        <w:spacing w:after="0" w:line="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Sale and Servicing Agreement, dated as of February 20, 2020, among the Company, Credit Acceptance Auto Loan Trust 2020-1, Credit Acceptance Funding LLC 2020-1 and Wells Fargo Bank, National Association (incorporated by reference to Exhibit 4.108 to the Company’s Current Report on Form 8-K filed 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412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17715" cy="412115"/>
                    </a:xfrm>
                    <a:prstGeom prst="rect">
                      <a:avLst/>
                    </a:prstGeom>
                    <a:noFill/>
                  </pic:spPr>
                </pic:pic>
              </a:graphicData>
            </a:graphic>
          </wp:anchor>
        </w:drawing>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Backup Servicing Agreement, dated as of February 20, 2020, among the Company, Credit Acceptance Funding LLC 2020-1, Credit Acceptance Auto Loan Trust 2020-1 and Wells Fargo Bank, National Association (incorporated by reference to Exhibit 4.109 to the Company’s Current Report on Form 8-K filed February 24,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65405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20" w:space="700"/>
            <w:col w:w="9760"/>
          </w:cols>
          <w:pgMar w:left="760" w:top="962" w:right="359" w:bottom="1440" w:gutter="0" w:footer="0" w:header="0"/>
        </w:sectPr>
      </w:pPr>
    </w:p>
    <w:bookmarkStart w:id="102" w:name="page103"/>
    <w:bookmarkEnd w:id="102"/>
    <w:p>
      <w:pPr>
        <w:spacing w:after="0" w:line="199" w:lineRule="exact"/>
        <w:rPr>
          <w:sz w:val="20"/>
          <w:szCs w:val="20"/>
          <w:color w:val="auto"/>
        </w:rPr>
      </w:pPr>
    </w:p>
    <w:p>
      <w:pPr>
        <w:spacing w:after="0"/>
        <w:rPr>
          <w:rFonts w:ascii="Arial" w:cs="Arial" w:eastAsia="Arial" w:hAnsi="Arial"/>
          <w:sz w:val="15"/>
          <w:szCs w:val="15"/>
          <w:u w:val="single" w:color="auto"/>
          <w:color w:val="0000FF"/>
        </w:rPr>
      </w:pPr>
      <w:hyperlink r:id="rId213">
        <w:r>
          <w:rPr>
            <w:rFonts w:ascii="Arial" w:cs="Arial" w:eastAsia="Arial" w:hAnsi="Arial"/>
            <w:sz w:val="15"/>
            <w:szCs w:val="15"/>
            <w:u w:val="single" w:color="auto"/>
            <w:color w:val="0000FF"/>
          </w:rPr>
          <w:t>4.52</w:t>
        </w:r>
      </w:hyperlink>
    </w:p>
    <w:p>
      <w:pPr>
        <w:spacing w:after="0" w:line="371" w:lineRule="exact"/>
        <w:rPr>
          <w:sz w:val="20"/>
          <w:szCs w:val="20"/>
          <w:color w:val="auto"/>
        </w:rPr>
      </w:pPr>
    </w:p>
    <w:p>
      <w:pPr>
        <w:spacing w:after="0"/>
        <w:rPr>
          <w:rFonts w:ascii="Arial" w:cs="Arial" w:eastAsia="Arial" w:hAnsi="Arial"/>
          <w:sz w:val="15"/>
          <w:szCs w:val="15"/>
          <w:u w:val="single" w:color="auto"/>
          <w:color w:val="0000FF"/>
        </w:rPr>
      </w:pPr>
      <w:hyperlink r:id="rId214">
        <w:r>
          <w:rPr>
            <w:rFonts w:ascii="Arial" w:cs="Arial" w:eastAsia="Arial" w:hAnsi="Arial"/>
            <w:sz w:val="15"/>
            <w:szCs w:val="15"/>
            <w:u w:val="single" w:color="auto"/>
            <w:color w:val="0000FF"/>
          </w:rPr>
          <w:t>4.53</w:t>
        </w:r>
      </w:hyperlink>
    </w:p>
    <w:p>
      <w:pPr>
        <w:spacing w:after="0" w:line="384" w:lineRule="exact"/>
        <w:rPr>
          <w:sz w:val="20"/>
          <w:szCs w:val="20"/>
          <w:color w:val="auto"/>
        </w:rPr>
      </w:pPr>
    </w:p>
    <w:p>
      <w:pPr>
        <w:spacing w:after="0"/>
        <w:rPr>
          <w:rFonts w:ascii="Arial" w:cs="Arial" w:eastAsia="Arial" w:hAnsi="Arial"/>
          <w:sz w:val="15"/>
          <w:szCs w:val="15"/>
          <w:u w:val="single" w:color="auto"/>
          <w:color w:val="0000FF"/>
        </w:rPr>
      </w:pPr>
      <w:hyperlink r:id="rId215">
        <w:r>
          <w:rPr>
            <w:rFonts w:ascii="Arial" w:cs="Arial" w:eastAsia="Arial" w:hAnsi="Arial"/>
            <w:sz w:val="15"/>
            <w:szCs w:val="15"/>
            <w:u w:val="single" w:color="auto"/>
            <w:color w:val="0000FF"/>
          </w:rPr>
          <w:t>4.54</w:t>
        </w:r>
      </w:hyperlink>
    </w:p>
    <w:p>
      <w:pPr>
        <w:spacing w:after="0" w:line="371" w:lineRule="exact"/>
        <w:rPr>
          <w:sz w:val="20"/>
          <w:szCs w:val="20"/>
          <w:color w:val="auto"/>
        </w:rPr>
      </w:pPr>
    </w:p>
    <w:p>
      <w:pPr>
        <w:spacing w:after="0"/>
        <w:rPr>
          <w:rFonts w:ascii="Arial" w:cs="Arial" w:eastAsia="Arial" w:hAnsi="Arial"/>
          <w:sz w:val="15"/>
          <w:szCs w:val="15"/>
          <w:u w:val="single" w:color="auto"/>
          <w:color w:val="0000FF"/>
        </w:rPr>
      </w:pPr>
      <w:hyperlink r:id="rId216">
        <w:r>
          <w:rPr>
            <w:rFonts w:ascii="Arial" w:cs="Arial" w:eastAsia="Arial" w:hAnsi="Arial"/>
            <w:sz w:val="15"/>
            <w:szCs w:val="15"/>
            <w:u w:val="single" w:color="auto"/>
            <w:color w:val="0000FF"/>
          </w:rPr>
          <w:t>4.55</w:t>
        </w:r>
      </w:hyperlink>
    </w:p>
    <w:p>
      <w:pPr>
        <w:spacing w:after="0" w:line="384" w:lineRule="exact"/>
        <w:rPr>
          <w:sz w:val="20"/>
          <w:szCs w:val="20"/>
          <w:color w:val="auto"/>
        </w:rPr>
      </w:pPr>
    </w:p>
    <w:p>
      <w:pPr>
        <w:spacing w:after="0"/>
        <w:rPr>
          <w:rFonts w:ascii="Arial" w:cs="Arial" w:eastAsia="Arial" w:hAnsi="Arial"/>
          <w:sz w:val="15"/>
          <w:szCs w:val="15"/>
          <w:u w:val="single" w:color="auto"/>
          <w:color w:val="0000FF"/>
        </w:rPr>
      </w:pPr>
      <w:hyperlink r:id="rId217">
        <w:r>
          <w:rPr>
            <w:rFonts w:ascii="Arial" w:cs="Arial" w:eastAsia="Arial" w:hAnsi="Arial"/>
            <w:sz w:val="15"/>
            <w:szCs w:val="15"/>
            <w:u w:val="single" w:color="auto"/>
            <w:color w:val="0000FF"/>
          </w:rPr>
          <w:t>4.56</w:t>
        </w:r>
      </w:hyperlink>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5"/>
          <w:szCs w:val="15"/>
          <w:u w:val="single" w:color="auto"/>
          <w:color w:val="0000FF"/>
        </w:rPr>
      </w:pPr>
      <w:hyperlink r:id="rId218">
        <w:r>
          <w:rPr>
            <w:rFonts w:ascii="Arial" w:cs="Arial" w:eastAsia="Arial" w:hAnsi="Arial"/>
            <w:sz w:val="15"/>
            <w:szCs w:val="15"/>
            <w:u w:val="single" w:color="auto"/>
            <w:color w:val="0000FF"/>
          </w:rPr>
          <w:t>4.57</w:t>
        </w:r>
      </w:hyperlink>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5"/>
          <w:szCs w:val="15"/>
          <w:u w:val="single" w:color="auto"/>
          <w:color w:val="0000FF"/>
        </w:rPr>
      </w:pPr>
      <w:hyperlink r:id="rId219">
        <w:r>
          <w:rPr>
            <w:rFonts w:ascii="Arial" w:cs="Arial" w:eastAsia="Arial" w:hAnsi="Arial"/>
            <w:sz w:val="15"/>
            <w:szCs w:val="15"/>
            <w:u w:val="single" w:color="auto"/>
            <w:color w:val="0000FF"/>
          </w:rPr>
          <w:t>4.58</w:t>
        </w:r>
      </w:hyperlink>
    </w:p>
    <w:p>
      <w:pPr>
        <w:spacing w:after="0" w:line="371" w:lineRule="exact"/>
        <w:rPr>
          <w:sz w:val="20"/>
          <w:szCs w:val="20"/>
          <w:color w:val="auto"/>
        </w:rPr>
      </w:pPr>
    </w:p>
    <w:p>
      <w:pPr>
        <w:spacing w:after="0"/>
        <w:rPr>
          <w:rFonts w:ascii="Arial" w:cs="Arial" w:eastAsia="Arial" w:hAnsi="Arial"/>
          <w:sz w:val="15"/>
          <w:szCs w:val="15"/>
          <w:u w:val="single" w:color="auto"/>
          <w:color w:val="0000FF"/>
        </w:rPr>
      </w:pPr>
      <w:hyperlink r:id="rId220">
        <w:r>
          <w:rPr>
            <w:rFonts w:ascii="Arial" w:cs="Arial" w:eastAsia="Arial" w:hAnsi="Arial"/>
            <w:sz w:val="15"/>
            <w:szCs w:val="15"/>
            <w:u w:val="single" w:color="auto"/>
            <w:color w:val="0000FF"/>
          </w:rPr>
          <w:t>4.59</w:t>
        </w:r>
      </w:hyperlink>
    </w:p>
    <w:p>
      <w:pPr>
        <w:spacing w:after="0" w:line="278" w:lineRule="exact"/>
        <w:rPr>
          <w:sz w:val="20"/>
          <w:szCs w:val="20"/>
          <w:color w:val="auto"/>
        </w:rPr>
      </w:pPr>
    </w:p>
    <w:p>
      <w:pPr>
        <w:spacing w:after="0"/>
        <w:rPr>
          <w:rFonts w:ascii="Arial" w:cs="Arial" w:eastAsia="Arial" w:hAnsi="Arial"/>
          <w:sz w:val="15"/>
          <w:szCs w:val="15"/>
          <w:u w:val="single" w:color="auto"/>
          <w:color w:val="0000FF"/>
        </w:rPr>
      </w:pPr>
      <w:hyperlink r:id="rId221">
        <w:r>
          <w:rPr>
            <w:rFonts w:ascii="Arial" w:cs="Arial" w:eastAsia="Arial" w:hAnsi="Arial"/>
            <w:sz w:val="15"/>
            <w:szCs w:val="15"/>
            <w:u w:val="single" w:color="auto"/>
            <w:color w:val="0000FF"/>
          </w:rPr>
          <w:t>4.60</w:t>
        </w:r>
      </w:hyperlink>
    </w:p>
    <w:p>
      <w:pPr>
        <w:spacing w:after="0" w:line="344" w:lineRule="exact"/>
        <w:rPr>
          <w:sz w:val="20"/>
          <w:szCs w:val="20"/>
          <w:color w:val="auto"/>
        </w:rPr>
      </w:pPr>
    </w:p>
    <w:p>
      <w:pPr>
        <w:spacing w:after="0"/>
        <w:rPr>
          <w:rFonts w:ascii="Arial" w:cs="Arial" w:eastAsia="Arial" w:hAnsi="Arial"/>
          <w:sz w:val="15"/>
          <w:szCs w:val="15"/>
          <w:u w:val="single" w:color="auto"/>
          <w:color w:val="0000FF"/>
        </w:rPr>
      </w:pPr>
      <w:hyperlink r:id="rId222">
        <w:r>
          <w:rPr>
            <w:rFonts w:ascii="Arial" w:cs="Arial" w:eastAsia="Arial" w:hAnsi="Arial"/>
            <w:sz w:val="15"/>
            <w:szCs w:val="15"/>
            <w:u w:val="single" w:color="auto"/>
            <w:color w:val="0000FF"/>
          </w:rPr>
          <w:t>4.61</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5"/>
          <w:szCs w:val="15"/>
          <w:u w:val="single" w:color="auto"/>
          <w:color w:val="0000FF"/>
        </w:rPr>
      </w:pPr>
      <w:hyperlink r:id="rId223">
        <w:r>
          <w:rPr>
            <w:rFonts w:ascii="Arial" w:cs="Arial" w:eastAsia="Arial" w:hAnsi="Arial"/>
            <w:sz w:val="15"/>
            <w:szCs w:val="15"/>
            <w:u w:val="single" w:color="auto"/>
            <w:color w:val="0000FF"/>
          </w:rPr>
          <w:t>4.62</w:t>
        </w:r>
      </w:hyperlink>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5"/>
          <w:szCs w:val="15"/>
          <w:u w:val="single" w:color="auto"/>
          <w:color w:val="0000FF"/>
        </w:rPr>
      </w:pPr>
      <w:hyperlink r:id="rId224">
        <w:r>
          <w:rPr>
            <w:rFonts w:ascii="Arial" w:cs="Arial" w:eastAsia="Arial" w:hAnsi="Arial"/>
            <w:sz w:val="15"/>
            <w:szCs w:val="15"/>
            <w:u w:val="single" w:color="auto"/>
            <w:color w:val="0000FF"/>
          </w:rPr>
          <w:t>4.63</w:t>
        </w:r>
      </w:hyperlink>
    </w:p>
    <w:p>
      <w:pPr>
        <w:spacing w:after="0" w:line="371" w:lineRule="exact"/>
        <w:rPr>
          <w:sz w:val="20"/>
          <w:szCs w:val="20"/>
          <w:color w:val="auto"/>
        </w:rPr>
      </w:pPr>
    </w:p>
    <w:p>
      <w:pPr>
        <w:spacing w:after="0"/>
        <w:rPr>
          <w:rFonts w:ascii="Arial" w:cs="Arial" w:eastAsia="Arial" w:hAnsi="Arial"/>
          <w:sz w:val="15"/>
          <w:szCs w:val="15"/>
          <w:u w:val="single" w:color="auto"/>
          <w:color w:val="0000FF"/>
        </w:rPr>
      </w:pPr>
      <w:hyperlink r:id="rId225">
        <w:r>
          <w:rPr>
            <w:rFonts w:ascii="Arial" w:cs="Arial" w:eastAsia="Arial" w:hAnsi="Arial"/>
            <w:sz w:val="15"/>
            <w:szCs w:val="15"/>
            <w:u w:val="single" w:color="auto"/>
            <w:color w:val="0000FF"/>
          </w:rPr>
          <w:t>4.64</w:t>
        </w:r>
      </w:hyperlink>
    </w:p>
    <w:p>
      <w:pPr>
        <w:spacing w:after="0" w:line="384" w:lineRule="exact"/>
        <w:rPr>
          <w:sz w:val="20"/>
          <w:szCs w:val="20"/>
          <w:color w:val="auto"/>
        </w:rPr>
      </w:pPr>
    </w:p>
    <w:p>
      <w:pPr>
        <w:spacing w:after="0"/>
        <w:rPr>
          <w:rFonts w:ascii="Arial" w:cs="Arial" w:eastAsia="Arial" w:hAnsi="Arial"/>
          <w:sz w:val="15"/>
          <w:szCs w:val="15"/>
          <w:u w:val="single" w:color="auto"/>
          <w:color w:val="0000FF"/>
        </w:rPr>
      </w:pPr>
      <w:hyperlink r:id="rId226">
        <w:r>
          <w:rPr>
            <w:rFonts w:ascii="Arial" w:cs="Arial" w:eastAsia="Arial" w:hAnsi="Arial"/>
            <w:sz w:val="15"/>
            <w:szCs w:val="15"/>
            <w:u w:val="single" w:color="auto"/>
            <w:color w:val="0000FF"/>
          </w:rPr>
          <w:t>4.65</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5"/>
          <w:szCs w:val="15"/>
          <w:u w:val="single" w:color="auto"/>
          <w:color w:val="0000FF"/>
        </w:rPr>
      </w:pPr>
      <w:hyperlink r:id="rId227">
        <w:r>
          <w:rPr>
            <w:rFonts w:ascii="Arial" w:cs="Arial" w:eastAsia="Arial" w:hAnsi="Arial"/>
            <w:sz w:val="15"/>
            <w:szCs w:val="15"/>
            <w:u w:val="single" w:color="auto"/>
            <w:color w:val="0000FF"/>
          </w:rPr>
          <w:t>4.66</w:t>
        </w:r>
      </w:hyperlink>
    </w:p>
    <w:p>
      <w:pPr>
        <w:spacing w:after="0" w:line="20" w:lineRule="exact"/>
        <w:rPr>
          <w:sz w:val="20"/>
          <w:szCs w:val="20"/>
          <w:color w:val="auto"/>
        </w:rPr>
      </w:pPr>
      <w:r>
        <w:rPr>
          <w:sz w:val="20"/>
          <w:szCs w:val="20"/>
          <w:color w:val="auto"/>
        </w:rPr>
        <w:br w:type="column"/>
      </w:r>
    </w:p>
    <w:p>
      <w:pPr>
        <w:jc w:val="both"/>
        <w:ind w:right="20"/>
        <w:spacing w:after="0" w:line="239" w:lineRule="auto"/>
        <w:rPr>
          <w:sz w:val="20"/>
          <w:szCs w:val="20"/>
          <w:color w:val="auto"/>
        </w:rPr>
      </w:pPr>
      <w:r>
        <w:rPr>
          <w:rFonts w:ascii="Arial" w:cs="Arial" w:eastAsia="Arial" w:hAnsi="Arial"/>
          <w:sz w:val="18"/>
          <w:szCs w:val="18"/>
          <w:color w:val="auto"/>
        </w:rPr>
        <w:t>Amended and Restated Trust Agreement, dated as of February 20, 2020, among Credit Acceptance Funding LLC 2020-1, each of the initial members of the Board of Trustees of the Trust and U.S. Bank Trust National Association (incorporated by reference to Exhibit 4.110 to the Company’s Current Report on Form 8-K filed 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285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8">
                      <a:extLst>
                        <a:ext uri="{28A0092B-C50C-407E-A947-70E740481C1C}"/>
                      </a:extLst>
                    </a:blip>
                    <a:srcRect/>
                    <a:stretch>
                      <a:fillRect/>
                    </a:stretch>
                  </pic:blipFill>
                  <pic:spPr bwMode="auto">
                    <a:xfrm>
                      <a:off x="0" y="0"/>
                      <a:ext cx="7117715" cy="285750"/>
                    </a:xfrm>
                    <a:prstGeom prst="rect">
                      <a:avLst/>
                    </a:prstGeom>
                    <a:noFill/>
                  </pic:spPr>
                </pic:pic>
              </a:graphicData>
            </a:graphic>
          </wp:anchor>
        </w:drawing>
      </w:r>
    </w:p>
    <w:p>
      <w:pPr>
        <w:spacing w:after="0" w:line="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 and Contribution Agreement, dated as of February 20, 2020, between the Company and Credit Acceptance Funding LLC 2020-1 (incorporated by reference to Exhibit 4.111 to the Company’s Current Report on Form 8-K filed February 24, 2020).</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Sixth Amendment to Sixth Amended and Restated Credit Agreement, dated as of June 30, 2020, by and among the Company, Comerica Bank and the other banks signatory thereto and Comerica Bank, as administrative agent for the banks (incorporated by reference to Exhibit 4.115 to the Company’s Current Report on Form 8-K filed July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2857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9">
                      <a:extLst>
                        <a:ext uri="{28A0092B-C50C-407E-A947-70E740481C1C}"/>
                      </a:extLst>
                    </a:blip>
                    <a:srcRect/>
                    <a:stretch>
                      <a:fillRect/>
                    </a:stretch>
                  </pic:blipFill>
                  <pic:spPr bwMode="auto">
                    <a:xfrm>
                      <a:off x="0" y="0"/>
                      <a:ext cx="7117715" cy="285750"/>
                    </a:xfrm>
                    <a:prstGeom prst="rect">
                      <a:avLst/>
                    </a:prstGeom>
                    <a:noFill/>
                  </pic:spPr>
                </pic:pic>
              </a:graphicData>
            </a:graphic>
          </wp:anchor>
        </w:drawing>
      </w:r>
    </w:p>
    <w:p>
      <w:pPr>
        <w:spacing w:after="0" w:line="1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Indenture, dated as of July 23, 2020, between Credit Acceptance Auto Loan Trust 2020-2 and Wells Fargo Bank, National Association (incorporated by reference to Exhibit 4.116 to the Company’s Current Report on Form 8-K filed July 28, 2020).</w:t>
      </w:r>
    </w:p>
    <w:p>
      <w:pPr>
        <w:spacing w:after="0" w:line="2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Sale and Servicing Agreement, dated as of July 23, 2020, among the Company, Credit Acceptance Auto Loan Trust 2020-2, Credit Acceptance Funding LLC 2020-2 and Wells Fargo Bank, National Association (incorporated by reference to Exhibit 4.117 to the Company’s Current Report on Form 8-K filed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412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0">
                      <a:extLst>
                        <a:ext uri="{28A0092B-C50C-407E-A947-70E740481C1C}"/>
                      </a:extLst>
                    </a:blip>
                    <a:srcRect/>
                    <a:stretch>
                      <a:fillRect/>
                    </a:stretch>
                  </pic:blipFill>
                  <pic:spPr bwMode="auto">
                    <a:xfrm>
                      <a:off x="0" y="0"/>
                      <a:ext cx="7117715" cy="412115"/>
                    </a:xfrm>
                    <a:prstGeom prst="rect">
                      <a:avLst/>
                    </a:prstGeom>
                    <a:noFill/>
                  </pic:spPr>
                </pic:pic>
              </a:graphicData>
            </a:graphic>
          </wp:anchor>
        </w:drawing>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Backup Servicing Agreement, dated as of July 23, 2020, among the Company, Credit Acceptance Funding LLC 2020-2, Credit Acceptance Auto Loan Trust 2020-2 and Wells Fargo Bank, National Association (incorporated by reference to Exhibit 4.118 to the Company’s Current Report on Form 8-K filed July 28, 2020).</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Amended and Restated Trust Agreement, dated as of July 23, 2020, among Credit Acceptance Funding LLC 2020-2, each of the members of the Board of Trustees of the Trust and U.S. Bank Trust National Association (incorporated by reference to Exhibit 4.119 to the Company’s Current Report on Form 8-K filed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2857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1">
                      <a:extLst>
                        <a:ext uri="{28A0092B-C50C-407E-A947-70E740481C1C}"/>
                      </a:extLst>
                    </a:blip>
                    <a:srcRect/>
                    <a:stretch>
                      <a:fillRect/>
                    </a:stretch>
                  </pic:blipFill>
                  <pic:spPr bwMode="auto">
                    <a:xfrm>
                      <a:off x="0" y="0"/>
                      <a:ext cx="7117715" cy="285750"/>
                    </a:xfrm>
                    <a:prstGeom prst="rect">
                      <a:avLst/>
                    </a:prstGeom>
                    <a:noFill/>
                  </pic:spPr>
                </pic:pic>
              </a:graphicData>
            </a:graphic>
          </wp:anchor>
        </w:drawing>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Sale and Contribution Agreement, dated as of July 23, 2020, between the Company and Credit Acceptance Funding LLC 2020-2 (incorporated by reference to Exhibit 4.120 to the Company’s Current Report on Form 8-K filed July 28, 2020).</w:t>
      </w:r>
    </w:p>
    <w:p>
      <w:pPr>
        <w:spacing w:after="0" w:line="2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Indenture, dated as of October 22, 2020, between Credit Acceptance Auto Loan Trust 2020-3 and Wells Fargo Bank, National Association (incorporated by reference to Exhibit 4.122 to the Company’s Current Report on Form 8-K filed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7117715" cy="361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2">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Sale and Servicing Agreement, dated as of October 22, 2020, among the Company, Credit Acceptance Auto Loan Trust 2020-3, Credit Acceptance Funding LLC 2020-3 and Wells Fargo Bank, National Association (incorporated by reference to Exhibit 4.123 to the Company’s Current Report on Form 8-K filed October 27, 2020).</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Backup Servicing Agreement, dated as of October 22, 2020, among the Company, Credit Acceptance Funding LLC 2020-3, Credit Acceptance Auto Loan Trust 2020-3 and Wells Fargo Bank, National Association (incorporated by reference to Exhibit 4.124 to the Company’s Current Report on Form 8-K filed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10795</wp:posOffset>
            </wp:positionV>
            <wp:extent cx="7117715" cy="412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3">
                      <a:extLst>
                        <a:ext uri="{28A0092B-C50C-407E-A947-70E740481C1C}"/>
                      </a:extLst>
                    </a:blip>
                    <a:srcRect/>
                    <a:stretch>
                      <a:fillRect/>
                    </a:stretch>
                  </pic:blipFill>
                  <pic:spPr bwMode="auto">
                    <a:xfrm>
                      <a:off x="0" y="0"/>
                      <a:ext cx="7117715" cy="412115"/>
                    </a:xfrm>
                    <a:prstGeom prst="rect">
                      <a:avLst/>
                    </a:prstGeom>
                    <a:noFill/>
                  </pic:spPr>
                </pic:pic>
              </a:graphicData>
            </a:graphic>
          </wp:anchor>
        </w:drawing>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Amended and Restated Trust Agreement, dated as of October 22, 2020, among Credit Acceptance Funding LLC 2020-3, each of the members of the Board of Trustees of the Trust and U.S. Bank Trust National Association (incorporated by reference to Exhibit 4.125 to the Company’s Current Report on Form 8-K filed October 27, 2020).</w:t>
      </w:r>
    </w:p>
    <w:p>
      <w:pPr>
        <w:spacing w:after="0" w:line="31"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Sale and Contribution Agreement, dated as of October 22, 2020, between the Company and Credit Acceptance Funding LLC 2020-3 (incorporated by reference to Exhibit 4.126 to the Company’s Current Report on Form 8-K filed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-7620</wp:posOffset>
            </wp:positionV>
            <wp:extent cx="7117715" cy="412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4">
                      <a:extLst>
                        <a:ext uri="{28A0092B-C50C-407E-A947-70E740481C1C}"/>
                      </a:extLst>
                    </a:blip>
                    <a:srcRect/>
                    <a:stretch>
                      <a:fillRect/>
                    </a:stretch>
                  </pic:blipFill>
                  <pic:spPr bwMode="auto">
                    <a:xfrm>
                      <a:off x="0" y="0"/>
                      <a:ext cx="7117715" cy="412115"/>
                    </a:xfrm>
                    <a:prstGeom prst="rect">
                      <a:avLst/>
                    </a:prstGeom>
                    <a:noFill/>
                  </pic:spPr>
                </pic:pic>
              </a:graphicData>
            </a:graphic>
          </wp:anchor>
        </w:drawing>
      </w:r>
    </w:p>
    <w:p>
      <w:pPr>
        <w:jc w:val="both"/>
        <w:ind w:right="20"/>
        <w:spacing w:after="0" w:line="239" w:lineRule="auto"/>
        <w:rPr>
          <w:sz w:val="20"/>
          <w:szCs w:val="20"/>
          <w:color w:val="auto"/>
        </w:rPr>
      </w:pPr>
      <w:r>
        <w:rPr>
          <w:rFonts w:ascii="Arial" w:cs="Arial" w:eastAsia="Arial" w:hAnsi="Arial"/>
          <w:sz w:val="18"/>
          <w:szCs w:val="18"/>
          <w:color w:val="auto"/>
        </w:rPr>
        <w:t>Fifth Amendment to Loan and Security Agreement, dated as of December 16, 2020 among the Company, CAC Warehouse Funding LLC V, and Fifth Third Bank, National Association (incorporated by reference to Exhibit 4.129 to the Company’s Current Report on Form 8-K filed December 18, 2020).</w:t>
      </w:r>
    </w:p>
    <w:p>
      <w:pPr>
        <w:spacing w:after="0" w:line="18"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Seventh Amendment to Sixth Amended and Restated Credit Agreement and Extension Agreement, dated as of December 15, 2020, by and among the Company, Comerica Bank and the other banks signatory thereto and Comerica Bank, as administrative agent for the banks (incorporated by reference to Exhibit 4.128 to the Company’s Current Report on Form 8-K filed December 18,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65405</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20" w:space="700"/>
            <w:col w:w="9760"/>
          </w:cols>
          <w:pgMar w:left="760" w:top="975" w:right="359" w:bottom="1440" w:gutter="0" w:footer="0" w:header="0"/>
        </w:sectPr>
      </w:pPr>
    </w:p>
    <w:bookmarkStart w:id="103" w:name="page104"/>
    <w:bookmarkEnd w:id="103"/>
    <w:p>
      <w:pPr>
        <w:spacing w:after="0" w:line="186" w:lineRule="exact"/>
        <w:rPr>
          <w:sz w:val="20"/>
          <w:szCs w:val="20"/>
          <w:color w:val="auto"/>
        </w:rPr>
      </w:pPr>
    </w:p>
    <w:p>
      <w:pPr>
        <w:spacing w:after="0"/>
        <w:rPr>
          <w:rFonts w:ascii="Arial" w:cs="Arial" w:eastAsia="Arial" w:hAnsi="Arial"/>
          <w:sz w:val="15"/>
          <w:szCs w:val="15"/>
          <w:u w:val="single" w:color="auto"/>
          <w:color w:val="0000FF"/>
        </w:rPr>
      </w:pPr>
      <w:hyperlink r:id="rId236">
        <w:r>
          <w:rPr>
            <w:rFonts w:ascii="Arial" w:cs="Arial" w:eastAsia="Arial" w:hAnsi="Arial"/>
            <w:sz w:val="15"/>
            <w:szCs w:val="15"/>
            <w:u w:val="single" w:color="auto"/>
            <w:color w:val="0000FF"/>
          </w:rPr>
          <w:t>4.67</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5"/>
          <w:szCs w:val="15"/>
          <w:u w:val="single" w:color="auto"/>
          <w:color w:val="0000FF"/>
        </w:rPr>
      </w:pPr>
      <w:hyperlink r:id="rId237">
        <w:r>
          <w:rPr>
            <w:rFonts w:ascii="Arial" w:cs="Arial" w:eastAsia="Arial" w:hAnsi="Arial"/>
            <w:sz w:val="15"/>
            <w:szCs w:val="15"/>
            <w:u w:val="single" w:color="auto"/>
            <w:color w:val="0000FF"/>
          </w:rPr>
          <w:t>4.68</w:t>
        </w:r>
      </w:hyperlink>
    </w:p>
    <w:p>
      <w:pPr>
        <w:spacing w:after="0" w:line="344" w:lineRule="exact"/>
        <w:rPr>
          <w:sz w:val="20"/>
          <w:szCs w:val="20"/>
          <w:color w:val="auto"/>
        </w:rPr>
      </w:pPr>
    </w:p>
    <w:p>
      <w:pPr>
        <w:spacing w:after="0"/>
        <w:rPr>
          <w:rFonts w:ascii="Arial" w:cs="Arial" w:eastAsia="Arial" w:hAnsi="Arial"/>
          <w:sz w:val="15"/>
          <w:szCs w:val="15"/>
          <w:u w:val="single" w:color="auto"/>
          <w:color w:val="0000FF"/>
        </w:rPr>
      </w:pPr>
      <w:hyperlink r:id="rId238">
        <w:r>
          <w:rPr>
            <w:rFonts w:ascii="Arial" w:cs="Arial" w:eastAsia="Arial" w:hAnsi="Arial"/>
            <w:sz w:val="15"/>
            <w:szCs w:val="15"/>
            <w:u w:val="single" w:color="auto"/>
            <w:color w:val="0000FF"/>
          </w:rPr>
          <w:t>4.69</w:t>
        </w:r>
      </w:hyperlink>
    </w:p>
    <w:p>
      <w:pPr>
        <w:spacing w:after="0" w:line="344" w:lineRule="exact"/>
        <w:rPr>
          <w:sz w:val="20"/>
          <w:szCs w:val="20"/>
          <w:color w:val="auto"/>
        </w:rPr>
      </w:pPr>
    </w:p>
    <w:p>
      <w:pPr>
        <w:spacing w:after="0"/>
        <w:rPr>
          <w:rFonts w:ascii="Arial" w:cs="Arial" w:eastAsia="Arial" w:hAnsi="Arial"/>
          <w:sz w:val="15"/>
          <w:szCs w:val="15"/>
          <w:u w:val="single" w:color="auto"/>
          <w:color w:val="0000FF"/>
        </w:rPr>
      </w:pPr>
      <w:hyperlink r:id="rId239">
        <w:r>
          <w:rPr>
            <w:rFonts w:ascii="Arial" w:cs="Arial" w:eastAsia="Arial" w:hAnsi="Arial"/>
            <w:sz w:val="15"/>
            <w:szCs w:val="15"/>
            <w:u w:val="single" w:color="auto"/>
            <w:color w:val="0000FF"/>
          </w:rPr>
          <w:t>4.70</w:t>
        </w:r>
      </w:hyperlink>
    </w:p>
    <w:p>
      <w:pPr>
        <w:spacing w:after="0" w:line="344" w:lineRule="exact"/>
        <w:rPr>
          <w:sz w:val="20"/>
          <w:szCs w:val="20"/>
          <w:color w:val="auto"/>
        </w:rPr>
      </w:pPr>
    </w:p>
    <w:p>
      <w:pPr>
        <w:spacing w:after="0"/>
        <w:rPr>
          <w:rFonts w:ascii="Arial" w:cs="Arial" w:eastAsia="Arial" w:hAnsi="Arial"/>
          <w:sz w:val="15"/>
          <w:szCs w:val="15"/>
          <w:u w:val="single" w:color="auto"/>
          <w:color w:val="0000FF"/>
        </w:rPr>
      </w:pPr>
      <w:hyperlink r:id="rId240">
        <w:r>
          <w:rPr>
            <w:rFonts w:ascii="Arial" w:cs="Arial" w:eastAsia="Arial" w:hAnsi="Arial"/>
            <w:sz w:val="15"/>
            <w:szCs w:val="15"/>
            <w:u w:val="single" w:color="auto"/>
            <w:color w:val="0000FF"/>
          </w:rPr>
          <w:t>4.71</w:t>
        </w:r>
      </w:hyperlink>
    </w:p>
    <w:p>
      <w:pPr>
        <w:spacing w:after="0" w:line="344" w:lineRule="exact"/>
        <w:rPr>
          <w:sz w:val="20"/>
          <w:szCs w:val="20"/>
          <w:color w:val="auto"/>
        </w:rPr>
      </w:pPr>
    </w:p>
    <w:p>
      <w:pPr>
        <w:spacing w:after="0"/>
        <w:rPr>
          <w:rFonts w:ascii="Arial" w:cs="Arial" w:eastAsia="Arial" w:hAnsi="Arial"/>
          <w:sz w:val="15"/>
          <w:szCs w:val="15"/>
          <w:u w:val="single" w:color="auto"/>
          <w:color w:val="0000FF"/>
        </w:rPr>
      </w:pPr>
      <w:hyperlink r:id="rId241">
        <w:r>
          <w:rPr>
            <w:rFonts w:ascii="Arial" w:cs="Arial" w:eastAsia="Arial" w:hAnsi="Arial"/>
            <w:sz w:val="15"/>
            <w:szCs w:val="15"/>
            <w:u w:val="single" w:color="auto"/>
            <w:color w:val="0000FF"/>
          </w:rPr>
          <w:t>4.72</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5"/>
          <w:szCs w:val="15"/>
          <w:u w:val="single" w:color="auto"/>
          <w:color w:val="0000FF"/>
        </w:rPr>
      </w:pPr>
      <w:hyperlink r:id="rId242">
        <w:r>
          <w:rPr>
            <w:rFonts w:ascii="Arial" w:cs="Arial" w:eastAsia="Arial" w:hAnsi="Arial"/>
            <w:sz w:val="15"/>
            <w:szCs w:val="15"/>
            <w:u w:val="single" w:color="auto"/>
            <w:color w:val="0000FF"/>
          </w:rPr>
          <w:t>4.73</w:t>
        </w:r>
      </w:hyperlink>
    </w:p>
    <w:p>
      <w:pPr>
        <w:spacing w:after="0" w:line="200" w:lineRule="exact"/>
        <w:rPr>
          <w:sz w:val="20"/>
          <w:szCs w:val="20"/>
          <w:color w:val="auto"/>
        </w:rPr>
      </w:pPr>
    </w:p>
    <w:p>
      <w:pPr>
        <w:spacing w:after="0" w:line="224" w:lineRule="exact"/>
        <w:rPr>
          <w:sz w:val="20"/>
          <w:szCs w:val="20"/>
          <w:color w:val="auto"/>
        </w:rPr>
      </w:pPr>
    </w:p>
    <w:p>
      <w:pPr>
        <w:spacing w:after="0"/>
        <w:rPr>
          <w:rFonts w:ascii="Arial" w:cs="Arial" w:eastAsia="Arial" w:hAnsi="Arial"/>
          <w:sz w:val="15"/>
          <w:szCs w:val="15"/>
          <w:u w:val="single" w:color="auto"/>
          <w:color w:val="0000FF"/>
        </w:rPr>
      </w:pPr>
      <w:hyperlink r:id="rId243">
        <w:r>
          <w:rPr>
            <w:rFonts w:ascii="Arial" w:cs="Arial" w:eastAsia="Arial" w:hAnsi="Arial"/>
            <w:sz w:val="15"/>
            <w:szCs w:val="15"/>
            <w:u w:val="single" w:color="auto"/>
            <w:color w:val="0000FF"/>
          </w:rPr>
          <w:t>4.74</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244">
        <w:r>
          <w:rPr>
            <w:rFonts w:ascii="Arial" w:cs="Arial" w:eastAsia="Arial" w:hAnsi="Arial"/>
            <w:sz w:val="15"/>
            <w:szCs w:val="15"/>
            <w:u w:val="single" w:color="auto"/>
            <w:color w:val="0000FF"/>
          </w:rPr>
          <w:t>4.75</w:t>
        </w:r>
      </w:hyperlink>
    </w:p>
    <w:p>
      <w:pPr>
        <w:spacing w:after="0" w:line="331" w:lineRule="exact"/>
        <w:rPr>
          <w:sz w:val="20"/>
          <w:szCs w:val="20"/>
          <w:color w:val="auto"/>
        </w:rPr>
      </w:pPr>
    </w:p>
    <w:p>
      <w:pPr>
        <w:spacing w:after="0"/>
        <w:rPr>
          <w:rFonts w:ascii="Arial" w:cs="Arial" w:eastAsia="Arial" w:hAnsi="Arial"/>
          <w:sz w:val="15"/>
          <w:szCs w:val="15"/>
          <w:u w:val="single" w:color="auto"/>
          <w:color w:val="0000FF"/>
        </w:rPr>
      </w:pPr>
      <w:hyperlink r:id="rId245">
        <w:r>
          <w:rPr>
            <w:rFonts w:ascii="Arial" w:cs="Arial" w:eastAsia="Arial" w:hAnsi="Arial"/>
            <w:sz w:val="15"/>
            <w:szCs w:val="15"/>
            <w:u w:val="single" w:color="auto"/>
            <w:color w:val="0000FF"/>
          </w:rPr>
          <w:t>4.76</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245">
        <w:r>
          <w:rPr>
            <w:rFonts w:ascii="Arial" w:cs="Arial" w:eastAsia="Arial" w:hAnsi="Arial"/>
            <w:sz w:val="15"/>
            <w:szCs w:val="15"/>
            <w:u w:val="single" w:color="auto"/>
            <w:color w:val="0000FF"/>
          </w:rPr>
          <w:t>4.77</w:t>
        </w:r>
      </w:hyperlink>
    </w:p>
    <w:p>
      <w:pPr>
        <w:spacing w:after="0" w:line="397" w:lineRule="exact"/>
        <w:rPr>
          <w:sz w:val="20"/>
          <w:szCs w:val="20"/>
          <w:color w:val="auto"/>
        </w:rPr>
      </w:pPr>
    </w:p>
    <w:p>
      <w:pPr>
        <w:spacing w:after="0"/>
        <w:rPr>
          <w:rFonts w:ascii="Arial" w:cs="Arial" w:eastAsia="Arial" w:hAnsi="Arial"/>
          <w:sz w:val="15"/>
          <w:szCs w:val="15"/>
          <w:u w:val="single" w:color="auto"/>
          <w:color w:val="0000FF"/>
        </w:rPr>
      </w:pPr>
      <w:hyperlink r:id="rId246">
        <w:r>
          <w:rPr>
            <w:rFonts w:ascii="Arial" w:cs="Arial" w:eastAsia="Arial" w:hAnsi="Arial"/>
            <w:sz w:val="15"/>
            <w:szCs w:val="15"/>
            <w:u w:val="single" w:color="auto"/>
            <w:color w:val="0000FF"/>
          </w:rPr>
          <w:t>4.78</w:t>
        </w:r>
      </w:hyperlink>
    </w:p>
    <w:p>
      <w:pPr>
        <w:spacing w:after="0" w:line="200" w:lineRule="exact"/>
        <w:rPr>
          <w:sz w:val="20"/>
          <w:szCs w:val="20"/>
          <w:color w:val="auto"/>
        </w:rPr>
      </w:pPr>
    </w:p>
    <w:p>
      <w:pPr>
        <w:spacing w:after="0" w:line="211" w:lineRule="exact"/>
        <w:rPr>
          <w:sz w:val="20"/>
          <w:szCs w:val="20"/>
          <w:color w:val="auto"/>
        </w:rPr>
      </w:pPr>
    </w:p>
    <w:p>
      <w:pPr>
        <w:spacing w:after="0"/>
        <w:rPr>
          <w:rFonts w:ascii="Arial" w:cs="Arial" w:eastAsia="Arial" w:hAnsi="Arial"/>
          <w:sz w:val="15"/>
          <w:szCs w:val="15"/>
          <w:u w:val="single" w:color="auto"/>
          <w:color w:val="0000FF"/>
        </w:rPr>
      </w:pPr>
      <w:hyperlink r:id="rId247">
        <w:r>
          <w:rPr>
            <w:rFonts w:ascii="Arial" w:cs="Arial" w:eastAsia="Arial" w:hAnsi="Arial"/>
            <w:sz w:val="15"/>
            <w:szCs w:val="15"/>
            <w:u w:val="single" w:color="auto"/>
            <w:color w:val="0000FF"/>
          </w:rPr>
          <w:t>4.79</w:t>
        </w:r>
      </w:hyperlink>
    </w:p>
    <w:p>
      <w:pPr>
        <w:spacing w:after="0" w:line="200" w:lineRule="exact"/>
        <w:rPr>
          <w:sz w:val="20"/>
          <w:szCs w:val="20"/>
          <w:color w:val="auto"/>
        </w:rPr>
      </w:pPr>
    </w:p>
    <w:p>
      <w:pPr>
        <w:spacing w:after="0" w:line="224" w:lineRule="exact"/>
        <w:rPr>
          <w:sz w:val="20"/>
          <w:szCs w:val="20"/>
          <w:color w:val="auto"/>
        </w:rPr>
      </w:pPr>
    </w:p>
    <w:p>
      <w:pPr>
        <w:spacing w:after="0"/>
        <w:rPr>
          <w:rFonts w:ascii="Arial" w:cs="Arial" w:eastAsia="Arial" w:hAnsi="Arial"/>
          <w:sz w:val="15"/>
          <w:szCs w:val="15"/>
          <w:u w:val="single" w:color="auto"/>
          <w:color w:val="0000FF"/>
        </w:rPr>
      </w:pPr>
      <w:hyperlink r:id="rId248">
        <w:r>
          <w:rPr>
            <w:rFonts w:ascii="Arial" w:cs="Arial" w:eastAsia="Arial" w:hAnsi="Arial"/>
            <w:sz w:val="15"/>
            <w:szCs w:val="15"/>
            <w:u w:val="single" w:color="auto"/>
            <w:color w:val="0000FF"/>
          </w:rPr>
          <w:t>4.80</w:t>
        </w:r>
      </w:hyperlink>
    </w:p>
    <w:p>
      <w:pPr>
        <w:spacing w:after="0" w:line="318" w:lineRule="exact"/>
        <w:rPr>
          <w:sz w:val="20"/>
          <w:szCs w:val="20"/>
          <w:color w:val="auto"/>
        </w:rPr>
      </w:pPr>
    </w:p>
    <w:p>
      <w:pPr>
        <w:spacing w:after="0"/>
        <w:rPr>
          <w:rFonts w:ascii="Arial" w:cs="Arial" w:eastAsia="Arial" w:hAnsi="Arial"/>
          <w:sz w:val="15"/>
          <w:szCs w:val="15"/>
          <w:u w:val="single" w:color="auto"/>
          <w:color w:val="0000FF"/>
        </w:rPr>
      </w:pPr>
      <w:hyperlink r:id="rId249">
        <w:r>
          <w:rPr>
            <w:rFonts w:ascii="Arial" w:cs="Arial" w:eastAsia="Arial" w:hAnsi="Arial"/>
            <w:sz w:val="15"/>
            <w:szCs w:val="15"/>
            <w:u w:val="single" w:color="auto"/>
            <w:color w:val="0000FF"/>
          </w:rPr>
          <w:t>4.81</w:t>
        </w:r>
      </w:hyperlink>
    </w:p>
    <w:p>
      <w:pPr>
        <w:spacing w:after="0" w:line="331" w:lineRule="exact"/>
        <w:rPr>
          <w:sz w:val="20"/>
          <w:szCs w:val="20"/>
          <w:color w:val="auto"/>
        </w:rPr>
      </w:pPr>
    </w:p>
    <w:p>
      <w:pPr>
        <w:spacing w:after="0"/>
        <w:rPr>
          <w:rFonts w:ascii="Arial" w:cs="Arial" w:eastAsia="Arial" w:hAnsi="Arial"/>
          <w:sz w:val="15"/>
          <w:szCs w:val="15"/>
          <w:u w:val="single" w:color="auto"/>
          <w:color w:val="0000FF"/>
        </w:rPr>
      </w:pPr>
      <w:hyperlink r:id="rId250">
        <w:r>
          <w:rPr>
            <w:rFonts w:ascii="Arial" w:cs="Arial" w:eastAsia="Arial" w:hAnsi="Arial"/>
            <w:sz w:val="15"/>
            <w:szCs w:val="15"/>
            <w:u w:val="single" w:color="auto"/>
            <w:color w:val="0000FF"/>
          </w:rPr>
          <w:t>4.82</w:t>
        </w:r>
      </w:hyperlink>
    </w:p>
    <w:p>
      <w:pPr>
        <w:spacing w:after="0" w:line="20" w:lineRule="exact"/>
        <w:rPr>
          <w:sz w:val="20"/>
          <w:szCs w:val="20"/>
          <w:color w:val="auto"/>
        </w:rPr>
      </w:pPr>
      <w:r>
        <w:rPr>
          <w:sz w:val="20"/>
          <w:szCs w:val="20"/>
          <w:color w:val="auto"/>
        </w:rPr>
        <w:br w:type="column"/>
      </w:r>
    </w:p>
    <w:p>
      <w:pPr>
        <w:jc w:val="both"/>
        <w:ind w:right="200"/>
        <w:spacing w:after="0" w:line="229" w:lineRule="auto"/>
        <w:rPr>
          <w:sz w:val="20"/>
          <w:szCs w:val="20"/>
          <w:color w:val="auto"/>
        </w:rPr>
      </w:pPr>
      <w:r>
        <w:rPr>
          <w:rFonts w:ascii="Arial" w:cs="Arial" w:eastAsia="Arial" w:hAnsi="Arial"/>
          <w:sz w:val="18"/>
          <w:szCs w:val="18"/>
          <w:color w:val="auto"/>
        </w:rPr>
        <w:t>Loan and Security Agreement dated as of January 29, 2021 among the Company, Credit Acceptance Funding LLC 2021-1, Fifth Third Bank, National Association and Systems and Services Technologies, Inc. (incorporated by reference to Exhibit 4.130 to the Company’s Current Report on Form 8-K filed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-375920</wp:posOffset>
            </wp:positionV>
            <wp:extent cx="7117715" cy="387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1">
                      <a:extLst>
                        <a:ext uri="{28A0092B-C50C-407E-A947-70E740481C1C}"/>
                      </a:extLst>
                    </a:blip>
                    <a:srcRect/>
                    <a:stretch>
                      <a:fillRect/>
                    </a:stretch>
                  </pic:blipFill>
                  <pic:spPr bwMode="auto">
                    <a:xfrm>
                      <a:off x="0" y="0"/>
                      <a:ext cx="7117715" cy="387350"/>
                    </a:xfrm>
                    <a:prstGeom prst="rect">
                      <a:avLst/>
                    </a:prstGeom>
                    <a:noFill/>
                  </pic:spPr>
                </pic:pic>
              </a:graphicData>
            </a:graphic>
          </wp:anchor>
        </w:drawing>
      </w:r>
    </w:p>
    <w:p>
      <w:pPr>
        <w:jc w:val="both"/>
        <w:ind w:right="200"/>
        <w:spacing w:after="0" w:line="229" w:lineRule="auto"/>
        <w:rPr>
          <w:sz w:val="20"/>
          <w:szCs w:val="20"/>
          <w:color w:val="auto"/>
        </w:rPr>
      </w:pPr>
      <w:r>
        <w:rPr>
          <w:rFonts w:ascii="Arial" w:cs="Arial" w:eastAsia="Arial" w:hAnsi="Arial"/>
          <w:sz w:val="18"/>
          <w:szCs w:val="18"/>
          <w:color w:val="auto"/>
        </w:rPr>
        <w:t>Backup Servicing Agreement dated as of January 29, 2021, among the Company, Credit Acceptance Funding LLC 2021-1, Fifth Third Bank, National Association and Systems and Services Technologies, Inc. (incorporated by reference to Exhibit 4.131 to the Company’s Current Report on Form 8-K filed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10160</wp:posOffset>
            </wp:positionV>
            <wp:extent cx="7117715" cy="269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2">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440"/>
        <w:spacing w:after="0" w:line="294" w:lineRule="auto"/>
        <w:rPr>
          <w:sz w:val="20"/>
          <w:szCs w:val="20"/>
          <w:color w:val="auto"/>
        </w:rPr>
      </w:pPr>
      <w:r>
        <w:rPr>
          <w:rFonts w:ascii="Arial" w:cs="Arial" w:eastAsia="Arial" w:hAnsi="Arial"/>
          <w:sz w:val="15"/>
          <w:szCs w:val="15"/>
          <w:color w:val="auto"/>
        </w:rPr>
        <w:t>Sale and Contribution Agreement dated as of January 29, 2021, between the Company and Credit Acceptance Funding LLC 2021-1 (incorporated by reference to Exhibit 4.132 to the Company’s Current Report on Form 8-K filed February 4, 2021).</w:t>
      </w:r>
    </w:p>
    <w:p>
      <w:pPr>
        <w:spacing w:after="0" w:line="1"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Second Amendment to Amended and Restated Loan and Security Agreement dated as of January 29, 2021, among the Company, CAC Warehouse Funding LLC IV and Bank of Montreal (incorporated by reference to Exhibit 4.134 to the Company’s Current Report on Form 8-K filed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10160</wp:posOffset>
            </wp:positionV>
            <wp:extent cx="7117715" cy="269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3">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640"/>
        <w:spacing w:after="0" w:line="294" w:lineRule="auto"/>
        <w:rPr>
          <w:sz w:val="20"/>
          <w:szCs w:val="20"/>
          <w:color w:val="auto"/>
        </w:rPr>
      </w:pPr>
      <w:r>
        <w:rPr>
          <w:rFonts w:ascii="Arial" w:cs="Arial" w:eastAsia="Arial" w:hAnsi="Arial"/>
          <w:sz w:val="15"/>
          <w:szCs w:val="15"/>
          <w:color w:val="auto"/>
        </w:rPr>
        <w:t>Indenture dated as of February 18, 2021, between Credit Acceptance Auto Loan Trust 2021-2 and Wells Fargo Bank, National Association (incorporated by reference to Exhibit 4.103 to the Company’s Current Report on Form 8-K filed February 24, 2021).</w:t>
      </w:r>
    </w:p>
    <w:p>
      <w:pPr>
        <w:spacing w:after="0" w:line="1"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Sale and Servicing Agreement dated as of February 18, 2021 among the Company, Credit Acceptance Auto Loan Trust 2021-2, Credit Acceptance Funding LLC 2021-2, and Wells Fargo Bank, National Association (incorporated by reference to Exhibit 4.104 to the Company’s Current Report on Form 8-K filed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10160</wp:posOffset>
            </wp:positionV>
            <wp:extent cx="7117715" cy="386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4">
                      <a:extLst>
                        <a:ext uri="{28A0092B-C50C-407E-A947-70E740481C1C}"/>
                      </a:extLst>
                    </a:blip>
                    <a:srcRect/>
                    <a:stretch>
                      <a:fillRect/>
                    </a:stretch>
                  </pic:blipFill>
                  <pic:spPr bwMode="auto">
                    <a:xfrm>
                      <a:off x="0" y="0"/>
                      <a:ext cx="7117715" cy="386715"/>
                    </a:xfrm>
                    <a:prstGeom prst="rect">
                      <a:avLst/>
                    </a:prstGeom>
                    <a:noFill/>
                  </pic:spPr>
                </pic:pic>
              </a:graphicData>
            </a:graphic>
          </wp:anchor>
        </w:drawing>
      </w:r>
    </w:p>
    <w:p>
      <w:pPr>
        <w:jc w:val="both"/>
        <w:ind w:right="400"/>
        <w:spacing w:after="0" w:line="229" w:lineRule="auto"/>
        <w:rPr>
          <w:sz w:val="20"/>
          <w:szCs w:val="20"/>
          <w:color w:val="auto"/>
        </w:rPr>
      </w:pPr>
      <w:r>
        <w:rPr>
          <w:rFonts w:ascii="Arial" w:cs="Arial" w:eastAsia="Arial" w:hAnsi="Arial"/>
          <w:sz w:val="18"/>
          <w:szCs w:val="18"/>
          <w:color w:val="auto"/>
        </w:rPr>
        <w:t>Backup Servicing Agreement dated as of February 18, 2021, among the Company, Credit Acceptance Funding LLC 2021-2, Credit Acceptance Auto Loan Trust 2021-2, and Wells Fargo Bank, National Association (incorporated by reference to Exhibit 4.105 to the Company’s Current Report on Form 8-K filed February 24, 2021).</w:t>
      </w:r>
    </w:p>
    <w:p>
      <w:pPr>
        <w:spacing w:after="0" w:line="1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Amended and Restated Trust Agreement dated as of February 18, 2021, between Credit Acceptance Funding LLC 2021-2 and U.S. Bank Trust National Association (incorporated by reference to Exhibit 4.106 to the Company’s Current Report on Form 8-K filed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69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5">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340"/>
        <w:spacing w:after="0" w:line="294" w:lineRule="auto"/>
        <w:rPr>
          <w:sz w:val="20"/>
          <w:szCs w:val="20"/>
          <w:color w:val="auto"/>
        </w:rPr>
      </w:pPr>
      <w:r>
        <w:rPr>
          <w:rFonts w:ascii="Arial" w:cs="Arial" w:eastAsia="Arial" w:hAnsi="Arial"/>
          <w:sz w:val="15"/>
          <w:szCs w:val="15"/>
          <w:color w:val="auto"/>
        </w:rPr>
        <w:t>Sale and Contribution Agreement dated as of February 18, 2021, between the Company and Credit Acceptance Funding LLC 2021-2 (incorporated by reference to Exhibit 4.107 to the Company’s Current Report on Form 8-K filed February 24, 2021).</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Sixth Amendment to Loan and Security Agreement, dated as of March 22, 2021, by and among the Company, CAC Warehouse Funding LLC V and Fifth Third Bank, National Association (incorporated by reference to Exhibit 4.109 to the Company’s Quarterly Report on 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619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6">
                      <a:extLst>
                        <a:ext uri="{28A0092B-C50C-407E-A947-70E740481C1C}"/>
                      </a:extLst>
                    </a:blip>
                    <a:srcRect/>
                    <a:stretch>
                      <a:fillRect/>
                    </a:stretch>
                  </pic:blipFill>
                  <pic:spPr bwMode="auto">
                    <a:xfrm>
                      <a:off x="0" y="0"/>
                      <a:ext cx="7117715" cy="361950"/>
                    </a:xfrm>
                    <a:prstGeom prst="rect">
                      <a:avLst/>
                    </a:prstGeom>
                    <a:noFill/>
                  </pic:spPr>
                </pic:pic>
              </a:graphicData>
            </a:graphic>
          </wp:anchor>
        </w:drawing>
      </w:r>
    </w:p>
    <w:p>
      <w:pPr>
        <w:jc w:val="both"/>
        <w:ind w:right="20"/>
        <w:spacing w:after="0" w:line="219" w:lineRule="auto"/>
        <w:rPr>
          <w:sz w:val="20"/>
          <w:szCs w:val="20"/>
          <w:color w:val="auto"/>
        </w:rPr>
      </w:pPr>
      <w:r>
        <w:rPr>
          <w:rFonts w:ascii="Arial" w:cs="Arial" w:eastAsia="Arial" w:hAnsi="Arial"/>
          <w:sz w:val="18"/>
          <w:szCs w:val="18"/>
          <w:color w:val="auto"/>
        </w:rPr>
        <w:t>First Amendment to Loan and Security Agreement, dated as of March 22, 2021, by and among the Company, Credit Acceptance Funding LLC 2021-1 and Fifth Third Bank, National Association (incorporated by reference to Exhibit 4.109 to the Company’s Quarterly Report on Form 10-Q for the quarterly period ended March 31, 2021).</w:t>
      </w:r>
    </w:p>
    <w:p>
      <w:pPr>
        <w:spacing w:after="0" w:line="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 and Servicing Agreement dated as of May 20, 2021 among the Company, Credit Acceptance Auto Loan Trust 2021-3, Credit Acceptance Funding LLC 2021-3, and Wells Fargo Bank, National Association (incorporated by reference to Exhibit 4.112 to the Company’s Current Report on Form 8-K filed 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386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7">
                      <a:extLst>
                        <a:ext uri="{28A0092B-C50C-407E-A947-70E740481C1C}"/>
                      </a:extLst>
                    </a:blip>
                    <a:srcRect/>
                    <a:stretch>
                      <a:fillRect/>
                    </a:stretch>
                  </pic:blipFill>
                  <pic:spPr bwMode="auto">
                    <a:xfrm>
                      <a:off x="0" y="0"/>
                      <a:ext cx="7117715" cy="386715"/>
                    </a:xfrm>
                    <a:prstGeom prst="rect">
                      <a:avLst/>
                    </a:prstGeom>
                    <a:noFill/>
                  </pic:spPr>
                </pic:pic>
              </a:graphicData>
            </a:graphic>
          </wp:anchor>
        </w:drawing>
      </w:r>
    </w:p>
    <w:p>
      <w:pPr>
        <w:ind w:right="400"/>
        <w:spacing w:after="0" w:line="229" w:lineRule="auto"/>
        <w:rPr>
          <w:sz w:val="20"/>
          <w:szCs w:val="20"/>
          <w:color w:val="auto"/>
        </w:rPr>
      </w:pPr>
      <w:r>
        <w:rPr>
          <w:rFonts w:ascii="Arial" w:cs="Arial" w:eastAsia="Arial" w:hAnsi="Arial"/>
          <w:sz w:val="18"/>
          <w:szCs w:val="18"/>
          <w:color w:val="auto"/>
        </w:rPr>
        <w:t>Backup Servicing Agreement dated as of May 20, 2021, among the Company, Credit Acceptance Funding LLC 2021-3, Credit Acceptance Auto Loan Trust 2021-3, and Wells Fargo Bank, National Association (incorporated by reference to Exhibit 4.113 to the Company’s Current Report on Form 8-K filed May 26, 2021).</w:t>
      </w:r>
    </w:p>
    <w:p>
      <w:pPr>
        <w:spacing w:after="0" w:line="17"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Amended and Restated Trust Agreement dated as of May 20, 2021, between Credit Acceptance Funding LLC 2021-3 and U.S. Bank Trust National Association (incorporated by reference to Exhibit 4.114 to the Company’s Current Report on Form 8-K filed 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69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8">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660"/>
        <w:spacing w:after="0" w:line="260" w:lineRule="auto"/>
        <w:rPr>
          <w:sz w:val="20"/>
          <w:szCs w:val="20"/>
          <w:color w:val="auto"/>
        </w:rPr>
      </w:pPr>
      <w:r>
        <w:rPr>
          <w:rFonts w:ascii="Arial" w:cs="Arial" w:eastAsia="Arial" w:hAnsi="Arial"/>
          <w:sz w:val="17"/>
          <w:szCs w:val="17"/>
          <w:color w:val="auto"/>
        </w:rPr>
        <w:t>Sale and Contribution Agreement dated as of May 20, 2021, between the Company and Credit Acceptance Funding LLC 2021-3 (incorporated by reference to Exhibit 4.115 to the Company’s Current Report on Form 8-K filed May 26, 2021).</w:t>
      </w:r>
    </w:p>
    <w:p>
      <w:pPr>
        <w:jc w:val="both"/>
        <w:ind w:right="20"/>
        <w:spacing w:after="0" w:line="232" w:lineRule="auto"/>
        <w:rPr>
          <w:sz w:val="20"/>
          <w:szCs w:val="20"/>
          <w:color w:val="auto"/>
        </w:rPr>
      </w:pPr>
      <w:r>
        <w:rPr>
          <w:rFonts w:ascii="Arial" w:cs="Arial" w:eastAsia="Arial" w:hAnsi="Arial"/>
          <w:sz w:val="17"/>
          <w:szCs w:val="17"/>
          <w:color w:val="auto"/>
        </w:rPr>
        <w:t>Seventh Amended and Restated Loan and Security Agreement, dated as of April 30, 2021, among the Company, CAC Warehouse Funding LLC II, the lenders from time to time party thereto and Wells Fargo Bank, National Association (incorporated by reference to Exhibit 4.117 to the Company’s Quarterly Report on Form 10-Q for the quarterly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65405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20" w:space="700"/>
            <w:col w:w="9760"/>
          </w:cols>
          <w:pgMar w:left="760" w:top="962"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0"/>
              </w:rPr>
              <w:t>Fifth Amended and Restated Sale and Contribution Agreement, dated as of April 30, 2021, between the Company and CAC Warehouse</w:t>
            </w:r>
          </w:p>
        </w:tc>
        <w:tc>
          <w:tcPr>
            <w:tcW w:w="0" w:type="dxa"/>
            <w:vAlign w:val="bottom"/>
          </w:tcPr>
          <w:p>
            <w:pPr>
              <w:spacing w:after="0"/>
              <w:rPr>
                <w:sz w:val="1"/>
                <w:szCs w:val="1"/>
                <w:color w:val="auto"/>
              </w:rPr>
            </w:pPr>
          </w:p>
        </w:tc>
      </w:tr>
      <w:tr>
        <w:trPr>
          <w:trHeight w:val="185"/>
        </w:trPr>
        <w:tc>
          <w:tcPr>
            <w:tcW w:w="740" w:type="dxa"/>
            <w:vAlign w:val="bottom"/>
            <w:gridSpan w:val="2"/>
            <w:shd w:val="clear" w:color="auto" w:fill="CCEEFF"/>
          </w:tcPr>
          <w:p>
            <w:pPr>
              <w:jc w:val="right"/>
              <w:spacing w:after="0" w:line="185" w:lineRule="exact"/>
              <w:rPr>
                <w:rFonts w:ascii="Arial" w:cs="Arial" w:eastAsia="Arial" w:hAnsi="Arial"/>
                <w:sz w:val="18"/>
                <w:szCs w:val="18"/>
                <w:color w:val="0000FF"/>
              </w:rPr>
            </w:pPr>
            <w:hyperlink r:id="rId260">
              <w:r>
                <w:rPr>
                  <w:rFonts w:ascii="Arial" w:cs="Arial" w:eastAsia="Arial" w:hAnsi="Arial"/>
                  <w:sz w:val="18"/>
                  <w:szCs w:val="18"/>
                  <w:color w:val="0000FF"/>
                </w:rPr>
                <w:t>4.</w:t>
              </w:r>
              <w:r>
                <w:rPr>
                  <w:rFonts w:ascii="Arial" w:cs="Arial" w:eastAsia="Arial" w:hAnsi="Arial"/>
                  <w:sz w:val="18"/>
                  <w:szCs w:val="18"/>
                  <w:u w:val="single" w:color="auto"/>
                  <w:color w:val="0000FF"/>
                </w:rPr>
                <w:t>83</w:t>
              </w:r>
            </w:hyperlink>
          </w:p>
        </w:tc>
        <w:tc>
          <w:tcPr>
            <w:tcW w:w="10460" w:type="dxa"/>
            <w:vAlign w:val="bottom"/>
            <w:shd w:val="clear" w:color="auto" w:fill="CCEEFF"/>
          </w:tcPr>
          <w:p>
            <w:pPr>
              <w:ind w:left="700"/>
              <w:spacing w:after="0" w:line="185" w:lineRule="exact"/>
              <w:rPr>
                <w:sz w:val="20"/>
                <w:szCs w:val="20"/>
                <w:color w:val="auto"/>
              </w:rPr>
            </w:pPr>
            <w:r>
              <w:rPr>
                <w:rFonts w:ascii="Arial" w:cs="Arial" w:eastAsia="Arial" w:hAnsi="Arial"/>
                <w:sz w:val="18"/>
                <w:szCs w:val="18"/>
                <w:color w:val="auto"/>
                <w:w w:val="92"/>
              </w:rPr>
              <w:t>Funding LLC II (incorporated by reference to Exhibit 4.118 to the Company’s Quarterly Report on Form 10-Q for the quarterly period</w:t>
            </w:r>
          </w:p>
        </w:tc>
        <w:tc>
          <w:tcPr>
            <w:tcW w:w="0" w:type="dxa"/>
            <w:vAlign w:val="bottom"/>
          </w:tcPr>
          <w:p>
            <w:pPr>
              <w:spacing w:after="0"/>
              <w:rPr>
                <w:sz w:val="1"/>
                <w:szCs w:val="1"/>
                <w:color w:val="auto"/>
              </w:rPr>
            </w:pPr>
          </w:p>
        </w:tc>
      </w:tr>
      <w:tr>
        <w:trPr>
          <w:trHeight w:val="219"/>
        </w:trPr>
        <w:tc>
          <w:tcPr>
            <w:tcW w:w="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700"/>
              <w:spacing w:after="0" w:line="204" w:lineRule="exact"/>
              <w:rPr>
                <w:sz w:val="20"/>
                <w:szCs w:val="20"/>
                <w:color w:val="auto"/>
              </w:rPr>
            </w:pPr>
            <w:r>
              <w:rPr>
                <w:rFonts w:ascii="Arial" w:cs="Arial" w:eastAsia="Arial" w:hAnsi="Arial"/>
                <w:sz w:val="18"/>
                <w:szCs w:val="18"/>
                <w:color w:val="auto"/>
              </w:rPr>
              <w:t>ended June 30, 2021).</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Arial" w:cs="Arial" w:eastAsia="Arial" w:hAnsi="Arial"/>
                <w:sz w:val="18"/>
                <w:szCs w:val="18"/>
                <w:color w:val="0000FF"/>
              </w:rPr>
            </w:pPr>
            <w:hyperlink r:id="rId261">
              <w:r>
                <w:rPr>
                  <w:rFonts w:ascii="Arial" w:cs="Arial" w:eastAsia="Arial" w:hAnsi="Arial"/>
                  <w:sz w:val="18"/>
                  <w:szCs w:val="18"/>
                  <w:color w:val="0000FF"/>
                </w:rPr>
                <w:t>4.</w:t>
              </w:r>
              <w:r>
                <w:rPr>
                  <w:rFonts w:ascii="Arial" w:cs="Arial" w:eastAsia="Arial" w:hAnsi="Arial"/>
                  <w:sz w:val="18"/>
                  <w:szCs w:val="18"/>
                  <w:u w:val="single" w:color="auto"/>
                  <w:color w:val="0000FF"/>
                </w:rPr>
                <w:t>84</w:t>
              </w:r>
            </w:hyperlink>
          </w:p>
        </w:tc>
        <w:tc>
          <w:tcPr>
            <w:tcW w:w="10460" w:type="dxa"/>
            <w:vAlign w:val="bottom"/>
          </w:tcPr>
          <w:p>
            <w:pPr>
              <w:ind w:left="700"/>
              <w:spacing w:after="0" w:line="173" w:lineRule="exact"/>
              <w:rPr>
                <w:sz w:val="20"/>
                <w:szCs w:val="20"/>
                <w:color w:val="auto"/>
              </w:rPr>
            </w:pPr>
            <w:r>
              <w:rPr>
                <w:rFonts w:ascii="Arial" w:cs="Arial" w:eastAsia="Arial" w:hAnsi="Arial"/>
                <w:sz w:val="18"/>
                <w:szCs w:val="18"/>
                <w:color w:val="auto"/>
                <w:w w:val="90"/>
              </w:rPr>
              <w:t>First Amendment to the Loan and Security Agreement, dated as of September 1, 2021, among the Company, CAC Warehouse Funding</w:t>
            </w:r>
          </w:p>
        </w:tc>
        <w:tc>
          <w:tcPr>
            <w:tcW w:w="0" w:type="dxa"/>
            <w:vAlign w:val="bottom"/>
          </w:tcPr>
          <w:p>
            <w:pPr>
              <w:spacing w:after="0"/>
              <w:rPr>
                <w:sz w:val="1"/>
                <w:szCs w:val="1"/>
                <w:color w:val="auto"/>
              </w:rPr>
            </w:pPr>
          </w:p>
        </w:tc>
      </w:tr>
      <w:tr>
        <w:trPr>
          <w:trHeight w:val="185"/>
        </w:trPr>
        <w:tc>
          <w:tcPr>
            <w:tcW w:w="740" w:type="dxa"/>
            <w:vAlign w:val="bottom"/>
            <w:gridSpan w:val="2"/>
            <w:vMerge w:val="continue"/>
          </w:tcPr>
          <w:p>
            <w:pPr>
              <w:spacing w:after="0"/>
              <w:rPr>
                <w:sz w:val="16"/>
                <w:szCs w:val="16"/>
                <w:color w:val="auto"/>
              </w:rPr>
            </w:pPr>
          </w:p>
        </w:tc>
        <w:tc>
          <w:tcPr>
            <w:tcW w:w="10460" w:type="dxa"/>
            <w:vAlign w:val="bottom"/>
          </w:tcPr>
          <w:p>
            <w:pPr>
              <w:ind w:left="700"/>
              <w:spacing w:after="0" w:line="185" w:lineRule="exact"/>
              <w:rPr>
                <w:sz w:val="20"/>
                <w:szCs w:val="20"/>
                <w:color w:val="auto"/>
              </w:rPr>
            </w:pPr>
            <w:r>
              <w:rPr>
                <w:rFonts w:ascii="Arial" w:cs="Arial" w:eastAsia="Arial" w:hAnsi="Arial"/>
                <w:sz w:val="18"/>
                <w:szCs w:val="18"/>
                <w:color w:val="auto"/>
                <w:w w:val="90"/>
              </w:rPr>
              <w:t>LLC VIII, Citizens Bank N.A. and Wells Fargo Bank, National Association (incorporated by reference to Exhibit 4.119 to the Company’s</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460" w:type="dxa"/>
            <w:vAlign w:val="bottom"/>
          </w:tcPr>
          <w:p>
            <w:pPr>
              <w:ind w:left="700"/>
              <w:spacing w:after="0" w:line="192" w:lineRule="exact"/>
              <w:rPr>
                <w:sz w:val="20"/>
                <w:szCs w:val="20"/>
                <w:color w:val="auto"/>
              </w:rPr>
            </w:pPr>
            <w:r>
              <w:rPr>
                <w:rFonts w:ascii="Arial" w:cs="Arial" w:eastAsia="Arial" w:hAnsi="Arial"/>
                <w:sz w:val="18"/>
                <w:szCs w:val="18"/>
                <w:color w:val="auto"/>
              </w:rPr>
              <w:t>Current Report on Form 8-K filed September 8, 2021).</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Arial" w:cs="Arial" w:eastAsia="Arial" w:hAnsi="Arial"/>
                <w:sz w:val="18"/>
                <w:szCs w:val="18"/>
                <w:color w:val="0000FF"/>
              </w:rPr>
            </w:pPr>
            <w:hyperlink r:id="rId262">
              <w:r>
                <w:rPr>
                  <w:rFonts w:ascii="Arial" w:cs="Arial" w:eastAsia="Arial" w:hAnsi="Arial"/>
                  <w:sz w:val="18"/>
                  <w:szCs w:val="18"/>
                  <w:color w:val="0000FF"/>
                </w:rPr>
                <w:t>4.</w:t>
              </w:r>
              <w:r>
                <w:rPr>
                  <w:rFonts w:ascii="Arial" w:cs="Arial" w:eastAsia="Arial" w:hAnsi="Arial"/>
                  <w:sz w:val="18"/>
                  <w:szCs w:val="18"/>
                  <w:u w:val="single" w:color="auto"/>
                  <w:color w:val="0000FF"/>
                </w:rPr>
                <w:t>85</w:t>
              </w:r>
            </w:hyperlink>
          </w:p>
        </w:tc>
        <w:tc>
          <w:tcPr>
            <w:tcW w:w="10460" w:type="dxa"/>
            <w:vAlign w:val="bottom"/>
            <w:shd w:val="clear" w:color="auto" w:fill="CCEEFF"/>
          </w:tcPr>
          <w:p>
            <w:pPr>
              <w:ind w:left="700"/>
              <w:spacing w:after="0" w:line="173" w:lineRule="exact"/>
              <w:rPr>
                <w:sz w:val="20"/>
                <w:szCs w:val="20"/>
                <w:color w:val="auto"/>
              </w:rPr>
            </w:pPr>
            <w:r>
              <w:rPr>
                <w:rFonts w:ascii="Arial" w:cs="Arial" w:eastAsia="Arial" w:hAnsi="Arial"/>
                <w:sz w:val="18"/>
                <w:szCs w:val="18"/>
                <w:color w:val="auto"/>
                <w:w w:val="91"/>
              </w:rPr>
              <w:t>Eighth Amendment to Sixth Amended and Restated Credit Agreement and Extension Agreement, dated as of October 6, 2021, by and</w:t>
            </w:r>
          </w:p>
        </w:tc>
        <w:tc>
          <w:tcPr>
            <w:tcW w:w="0" w:type="dxa"/>
            <w:vAlign w:val="bottom"/>
          </w:tcPr>
          <w:p>
            <w:pPr>
              <w:spacing w:after="0"/>
              <w:rPr>
                <w:sz w:val="1"/>
                <w:szCs w:val="1"/>
                <w:color w:val="auto"/>
              </w:rPr>
            </w:pPr>
          </w:p>
        </w:tc>
      </w:tr>
      <w:tr>
        <w:trPr>
          <w:trHeight w:val="185"/>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00"/>
              <w:spacing w:after="0" w:line="185" w:lineRule="exact"/>
              <w:rPr>
                <w:sz w:val="20"/>
                <w:szCs w:val="20"/>
                <w:color w:val="auto"/>
              </w:rPr>
            </w:pPr>
            <w:r>
              <w:rPr>
                <w:rFonts w:ascii="Arial" w:cs="Arial" w:eastAsia="Arial" w:hAnsi="Arial"/>
                <w:sz w:val="18"/>
                <w:szCs w:val="18"/>
                <w:color w:val="auto"/>
                <w:w w:val="90"/>
              </w:rPr>
              <w:t>among the Company, Comerica Bank and the other banks signatory thereto and Comerica Bank, as administrative agent for the banks</w:t>
            </w:r>
          </w:p>
        </w:tc>
        <w:tc>
          <w:tcPr>
            <w:tcW w:w="0" w:type="dxa"/>
            <w:vAlign w:val="bottom"/>
          </w:tcPr>
          <w:p>
            <w:pPr>
              <w:spacing w:after="0"/>
              <w:rPr>
                <w:sz w:val="1"/>
                <w:szCs w:val="1"/>
                <w:color w:val="auto"/>
              </w:rPr>
            </w:pPr>
          </w:p>
        </w:tc>
      </w:tr>
      <w:tr>
        <w:trPr>
          <w:trHeight w:val="192"/>
        </w:trPr>
        <w:tc>
          <w:tcPr>
            <w:tcW w:w="4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10460" w:type="dxa"/>
            <w:vAlign w:val="bottom"/>
            <w:tcBorders>
              <w:top w:val="single" w:sz="8" w:color="CCEEFF"/>
            </w:tcBorders>
            <w:shd w:val="clear" w:color="auto" w:fill="CCEEFF"/>
          </w:tcPr>
          <w:p>
            <w:pPr>
              <w:ind w:left="700"/>
              <w:spacing w:after="0" w:line="192" w:lineRule="exact"/>
              <w:rPr>
                <w:sz w:val="20"/>
                <w:szCs w:val="20"/>
                <w:color w:val="auto"/>
              </w:rPr>
            </w:pPr>
            <w:r>
              <w:rPr>
                <w:rFonts w:ascii="Arial" w:cs="Arial" w:eastAsia="Arial" w:hAnsi="Arial"/>
                <w:sz w:val="18"/>
                <w:szCs w:val="18"/>
                <w:color w:val="auto"/>
              </w:rPr>
              <w:t>(incorporated by reference to Exhibit 4.120 to the Company’s Current Report on Form 8-K filed October 12, 2021).</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Arial" w:cs="Arial" w:eastAsia="Arial" w:hAnsi="Arial"/>
                <w:sz w:val="18"/>
                <w:szCs w:val="18"/>
                <w:color w:val="0000FF"/>
              </w:rPr>
            </w:pPr>
            <w:hyperlink r:id="rId263">
              <w:r>
                <w:rPr>
                  <w:rFonts w:ascii="Arial" w:cs="Arial" w:eastAsia="Arial" w:hAnsi="Arial"/>
                  <w:sz w:val="18"/>
                  <w:szCs w:val="18"/>
                  <w:color w:val="0000FF"/>
                </w:rPr>
                <w:t>4.</w:t>
              </w:r>
              <w:r>
                <w:rPr>
                  <w:rFonts w:ascii="Arial" w:cs="Arial" w:eastAsia="Arial" w:hAnsi="Arial"/>
                  <w:sz w:val="18"/>
                  <w:szCs w:val="18"/>
                  <w:u w:val="single" w:color="auto"/>
                  <w:color w:val="0000FF"/>
                </w:rPr>
                <w:t>86</w:t>
              </w:r>
            </w:hyperlink>
          </w:p>
        </w:tc>
        <w:tc>
          <w:tcPr>
            <w:tcW w:w="10460" w:type="dxa"/>
            <w:vAlign w:val="bottom"/>
          </w:tcPr>
          <w:p>
            <w:pPr>
              <w:ind w:left="700"/>
              <w:spacing w:after="0" w:line="173" w:lineRule="exact"/>
              <w:rPr>
                <w:sz w:val="20"/>
                <w:szCs w:val="20"/>
                <w:color w:val="auto"/>
              </w:rPr>
            </w:pPr>
            <w:r>
              <w:rPr>
                <w:rFonts w:ascii="Arial" w:cs="Arial" w:eastAsia="Arial" w:hAnsi="Arial"/>
                <w:sz w:val="18"/>
                <w:szCs w:val="18"/>
                <w:color w:val="auto"/>
                <w:w w:val="94"/>
              </w:rPr>
              <w:t>Third Amendment to Loan and Security Agreement dated as of October 15, 2021 among the Company, CAC Warehouse Funding</w:t>
            </w:r>
          </w:p>
        </w:tc>
        <w:tc>
          <w:tcPr>
            <w:tcW w:w="0" w:type="dxa"/>
            <w:vAlign w:val="bottom"/>
          </w:tcPr>
          <w:p>
            <w:pPr>
              <w:spacing w:after="0"/>
              <w:rPr>
                <w:sz w:val="1"/>
                <w:szCs w:val="1"/>
                <w:color w:val="auto"/>
              </w:rPr>
            </w:pPr>
          </w:p>
        </w:tc>
      </w:tr>
      <w:tr>
        <w:trPr>
          <w:trHeight w:val="185"/>
        </w:trPr>
        <w:tc>
          <w:tcPr>
            <w:tcW w:w="740" w:type="dxa"/>
            <w:vAlign w:val="bottom"/>
            <w:gridSpan w:val="2"/>
            <w:vMerge w:val="continue"/>
          </w:tcPr>
          <w:p>
            <w:pPr>
              <w:spacing w:after="0"/>
              <w:rPr>
                <w:sz w:val="16"/>
                <w:szCs w:val="16"/>
                <w:color w:val="auto"/>
              </w:rPr>
            </w:pPr>
          </w:p>
        </w:tc>
        <w:tc>
          <w:tcPr>
            <w:tcW w:w="10460" w:type="dxa"/>
            <w:vAlign w:val="bottom"/>
          </w:tcPr>
          <w:p>
            <w:pPr>
              <w:ind w:left="700"/>
              <w:spacing w:after="0" w:line="185" w:lineRule="exact"/>
              <w:rPr>
                <w:sz w:val="20"/>
                <w:szCs w:val="20"/>
                <w:color w:val="auto"/>
              </w:rPr>
            </w:pPr>
            <w:r>
              <w:rPr>
                <w:rFonts w:ascii="Arial" w:cs="Arial" w:eastAsia="Arial" w:hAnsi="Arial"/>
                <w:sz w:val="18"/>
                <w:szCs w:val="18"/>
                <w:color w:val="auto"/>
                <w:w w:val="91"/>
              </w:rPr>
              <w:t>Corporation VI and Flagstar Bank, FSB (incorporated by reference to Exhibit 4.121 to the Company’s Current Report on Form 8-K filed</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460" w:type="dxa"/>
            <w:vAlign w:val="bottom"/>
          </w:tcPr>
          <w:p>
            <w:pPr>
              <w:ind w:left="700"/>
              <w:spacing w:after="0" w:line="192" w:lineRule="exact"/>
              <w:rPr>
                <w:sz w:val="20"/>
                <w:szCs w:val="20"/>
                <w:color w:val="auto"/>
              </w:rPr>
            </w:pPr>
            <w:r>
              <w:rPr>
                <w:rFonts w:ascii="Arial" w:cs="Arial" w:eastAsia="Arial" w:hAnsi="Arial"/>
                <w:sz w:val="18"/>
                <w:szCs w:val="18"/>
                <w:color w:val="auto"/>
              </w:rPr>
              <w:t>October 21, 2021).</w:t>
            </w:r>
          </w:p>
        </w:tc>
        <w:tc>
          <w:tcPr>
            <w:tcW w:w="0" w:type="dxa"/>
            <w:vAlign w:val="bottom"/>
          </w:tcPr>
          <w:p>
            <w:pPr>
              <w:spacing w:after="0"/>
              <w:rPr>
                <w:sz w:val="1"/>
                <w:szCs w:val="1"/>
                <w:color w:val="auto"/>
              </w:rPr>
            </w:pPr>
          </w:p>
        </w:tc>
      </w:tr>
      <w:tr>
        <w:trPr>
          <w:trHeight w:val="186"/>
        </w:trPr>
        <w:tc>
          <w:tcPr>
            <w:tcW w:w="740" w:type="dxa"/>
            <w:vAlign w:val="bottom"/>
            <w:gridSpan w:val="2"/>
            <w:vMerge w:val="restart"/>
            <w:shd w:val="clear" w:color="auto" w:fill="CCEEFF"/>
          </w:tcPr>
          <w:p>
            <w:pPr>
              <w:jc w:val="right"/>
              <w:spacing w:after="0"/>
              <w:rPr>
                <w:rFonts w:ascii="Arial" w:cs="Arial" w:eastAsia="Arial" w:hAnsi="Arial"/>
                <w:sz w:val="18"/>
                <w:szCs w:val="18"/>
                <w:color w:val="0000FF"/>
              </w:rPr>
            </w:pPr>
            <w:hyperlink r:id="rId264">
              <w:r>
                <w:rPr>
                  <w:rFonts w:ascii="Arial" w:cs="Arial" w:eastAsia="Arial" w:hAnsi="Arial"/>
                  <w:sz w:val="18"/>
                  <w:szCs w:val="18"/>
                  <w:color w:val="0000FF"/>
                </w:rPr>
                <w:t>4.</w:t>
              </w:r>
              <w:r>
                <w:rPr>
                  <w:rFonts w:ascii="Arial" w:cs="Arial" w:eastAsia="Arial" w:hAnsi="Arial"/>
                  <w:sz w:val="18"/>
                  <w:szCs w:val="18"/>
                  <w:u w:val="single" w:color="auto"/>
                  <w:color w:val="0000FF"/>
                </w:rPr>
                <w:t>87</w:t>
              </w:r>
            </w:hyperlink>
          </w:p>
        </w:tc>
        <w:tc>
          <w:tcPr>
            <w:tcW w:w="10460" w:type="dxa"/>
            <w:vAlign w:val="bottom"/>
            <w:shd w:val="clear" w:color="auto" w:fill="CCEEFF"/>
          </w:tcPr>
          <w:p>
            <w:pPr>
              <w:ind w:left="700"/>
              <w:spacing w:after="0" w:line="187" w:lineRule="exact"/>
              <w:rPr>
                <w:sz w:val="20"/>
                <w:szCs w:val="20"/>
                <w:color w:val="auto"/>
              </w:rPr>
            </w:pPr>
            <w:r>
              <w:rPr>
                <w:rFonts w:ascii="Arial" w:cs="Arial" w:eastAsia="Arial" w:hAnsi="Arial"/>
                <w:sz w:val="18"/>
                <w:szCs w:val="18"/>
                <w:color w:val="auto"/>
                <w:w w:val="89"/>
              </w:rPr>
              <w:t>Indenture dated as of October 28, 2021, between Credit Acceptance Auto Loan Trust 2021-4 and Wells Fargo Bank, National Association</w:t>
            </w:r>
          </w:p>
        </w:tc>
        <w:tc>
          <w:tcPr>
            <w:tcW w:w="0" w:type="dxa"/>
            <w:vAlign w:val="bottom"/>
          </w:tcPr>
          <w:p>
            <w:pPr>
              <w:spacing w:after="0"/>
              <w:rPr>
                <w:sz w:val="1"/>
                <w:szCs w:val="1"/>
                <w:color w:val="auto"/>
              </w:rPr>
            </w:pPr>
          </w:p>
        </w:tc>
      </w:tr>
      <w:tr>
        <w:trPr>
          <w:trHeight w:val="92"/>
        </w:trPr>
        <w:tc>
          <w:tcPr>
            <w:tcW w:w="740" w:type="dxa"/>
            <w:vAlign w:val="bottom"/>
            <w:gridSpan w:val="2"/>
            <w:vMerge w:val="continue"/>
            <w:shd w:val="clear" w:color="auto" w:fill="CCEEFF"/>
          </w:tcPr>
          <w:p>
            <w:pPr>
              <w:spacing w:after="0"/>
              <w:rPr>
                <w:sz w:val="7"/>
                <w:szCs w:val="7"/>
                <w:color w:val="auto"/>
              </w:rPr>
            </w:pPr>
          </w:p>
        </w:tc>
        <w:tc>
          <w:tcPr>
            <w:tcW w:w="104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(incorporated by reference to Exhibit 4.122 to the Company’s Current Report on Form 8-K filed November 2, 2021).</w:t>
            </w:r>
          </w:p>
        </w:tc>
        <w:tc>
          <w:tcPr>
            <w:tcW w:w="0" w:type="dxa"/>
            <w:vAlign w:val="bottom"/>
          </w:tcPr>
          <w:p>
            <w:pPr>
              <w:spacing w:after="0"/>
              <w:rPr>
                <w:sz w:val="1"/>
                <w:szCs w:val="1"/>
                <w:color w:val="auto"/>
              </w:rPr>
            </w:pPr>
          </w:p>
        </w:tc>
      </w:tr>
      <w:tr>
        <w:trPr>
          <w:trHeight w:val="126"/>
        </w:trPr>
        <w:tc>
          <w:tcPr>
            <w:tcW w:w="4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1046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Arial" w:cs="Arial" w:eastAsia="Arial" w:hAnsi="Arial"/>
                <w:sz w:val="18"/>
                <w:szCs w:val="18"/>
                <w:color w:val="0000FF"/>
              </w:rPr>
            </w:pPr>
            <w:hyperlink r:id="rId265">
              <w:r>
                <w:rPr>
                  <w:rFonts w:ascii="Arial" w:cs="Arial" w:eastAsia="Arial" w:hAnsi="Arial"/>
                  <w:sz w:val="18"/>
                  <w:szCs w:val="18"/>
                  <w:color w:val="0000FF"/>
                </w:rPr>
                <w:t>4.</w:t>
              </w:r>
              <w:r>
                <w:rPr>
                  <w:rFonts w:ascii="Arial" w:cs="Arial" w:eastAsia="Arial" w:hAnsi="Arial"/>
                  <w:sz w:val="18"/>
                  <w:szCs w:val="18"/>
                  <w:u w:val="single" w:color="auto"/>
                  <w:color w:val="0000FF"/>
                </w:rPr>
                <w:t>88</w:t>
              </w:r>
            </w:hyperlink>
          </w:p>
        </w:tc>
        <w:tc>
          <w:tcPr>
            <w:tcW w:w="10460" w:type="dxa"/>
            <w:vAlign w:val="bottom"/>
          </w:tcPr>
          <w:p>
            <w:pPr>
              <w:ind w:left="700"/>
              <w:spacing w:after="0" w:line="173" w:lineRule="exact"/>
              <w:rPr>
                <w:sz w:val="20"/>
                <w:szCs w:val="20"/>
                <w:color w:val="auto"/>
              </w:rPr>
            </w:pPr>
            <w:r>
              <w:rPr>
                <w:rFonts w:ascii="Arial" w:cs="Arial" w:eastAsia="Arial" w:hAnsi="Arial"/>
                <w:sz w:val="18"/>
                <w:szCs w:val="18"/>
                <w:color w:val="auto"/>
                <w:w w:val="91"/>
              </w:rPr>
              <w:t>Sale and Servicing Agreement dated as of October 28, 2021 among the Company, Credit Acceptance Auto Loan Trust 2021-4, Credit</w:t>
            </w:r>
          </w:p>
        </w:tc>
        <w:tc>
          <w:tcPr>
            <w:tcW w:w="0" w:type="dxa"/>
            <w:vAlign w:val="bottom"/>
          </w:tcPr>
          <w:p>
            <w:pPr>
              <w:spacing w:after="0"/>
              <w:rPr>
                <w:sz w:val="1"/>
                <w:szCs w:val="1"/>
                <w:color w:val="auto"/>
              </w:rPr>
            </w:pPr>
          </w:p>
        </w:tc>
      </w:tr>
      <w:tr>
        <w:trPr>
          <w:trHeight w:val="185"/>
        </w:trPr>
        <w:tc>
          <w:tcPr>
            <w:tcW w:w="740" w:type="dxa"/>
            <w:vAlign w:val="bottom"/>
            <w:gridSpan w:val="2"/>
            <w:vMerge w:val="continue"/>
          </w:tcPr>
          <w:p>
            <w:pPr>
              <w:spacing w:after="0"/>
              <w:rPr>
                <w:sz w:val="16"/>
                <w:szCs w:val="16"/>
                <w:color w:val="auto"/>
              </w:rPr>
            </w:pPr>
          </w:p>
        </w:tc>
        <w:tc>
          <w:tcPr>
            <w:tcW w:w="10460" w:type="dxa"/>
            <w:vAlign w:val="bottom"/>
          </w:tcPr>
          <w:p>
            <w:pPr>
              <w:ind w:left="700"/>
              <w:spacing w:after="0" w:line="185" w:lineRule="exact"/>
              <w:rPr>
                <w:sz w:val="20"/>
                <w:szCs w:val="20"/>
                <w:color w:val="auto"/>
              </w:rPr>
            </w:pPr>
            <w:r>
              <w:rPr>
                <w:rFonts w:ascii="Arial" w:cs="Arial" w:eastAsia="Arial" w:hAnsi="Arial"/>
                <w:sz w:val="18"/>
                <w:szCs w:val="18"/>
                <w:color w:val="auto"/>
                <w:w w:val="95"/>
              </w:rPr>
              <w:t>Acceptance Funding LLC 2021-4, and Wells Fargo Bank, National Association (incorporated by reference to Exhibit 4.123 to the</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460" w:type="dxa"/>
            <w:vAlign w:val="bottom"/>
          </w:tcPr>
          <w:p>
            <w:pPr>
              <w:ind w:left="700"/>
              <w:spacing w:after="0" w:line="192" w:lineRule="exact"/>
              <w:rPr>
                <w:sz w:val="20"/>
                <w:szCs w:val="20"/>
                <w:color w:val="auto"/>
              </w:rPr>
            </w:pPr>
            <w:r>
              <w:rPr>
                <w:rFonts w:ascii="Arial" w:cs="Arial" w:eastAsia="Arial" w:hAnsi="Arial"/>
                <w:sz w:val="18"/>
                <w:szCs w:val="18"/>
                <w:color w:val="auto"/>
              </w:rPr>
              <w:t>Company’s Current Report on Form 8-K filed November 2, 2021).</w:t>
            </w:r>
          </w:p>
        </w:tc>
        <w:tc>
          <w:tcPr>
            <w:tcW w:w="0" w:type="dxa"/>
            <w:vAlign w:val="bottom"/>
          </w:tcPr>
          <w:p>
            <w:pPr>
              <w:spacing w:after="0"/>
              <w:rPr>
                <w:sz w:val="1"/>
                <w:szCs w:val="1"/>
                <w:color w:val="auto"/>
              </w:rPr>
            </w:pPr>
          </w:p>
        </w:tc>
      </w:tr>
      <w:tr>
        <w:trPr>
          <w:trHeight w:val="186"/>
        </w:trPr>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60" w:type="dxa"/>
            <w:vAlign w:val="bottom"/>
            <w:shd w:val="clear" w:color="auto" w:fill="CCEEFF"/>
          </w:tcPr>
          <w:p>
            <w:pPr>
              <w:ind w:left="700"/>
              <w:spacing w:after="0" w:line="187" w:lineRule="exact"/>
              <w:rPr>
                <w:sz w:val="20"/>
                <w:szCs w:val="20"/>
                <w:color w:val="auto"/>
              </w:rPr>
            </w:pPr>
            <w:r>
              <w:rPr>
                <w:rFonts w:ascii="Arial" w:cs="Arial" w:eastAsia="Arial" w:hAnsi="Arial"/>
                <w:sz w:val="18"/>
                <w:szCs w:val="18"/>
                <w:color w:val="auto"/>
                <w:w w:val="94"/>
              </w:rPr>
              <w:t>Backup Servicing Agreement dated as of October 28, 2021, among the Company, Credit Acceptance Funding LLC 2021-4, Credit</w:t>
            </w:r>
          </w:p>
        </w:tc>
        <w:tc>
          <w:tcPr>
            <w:tcW w:w="0" w:type="dxa"/>
            <w:vAlign w:val="bottom"/>
          </w:tcPr>
          <w:p>
            <w:pPr>
              <w:spacing w:after="0"/>
              <w:rPr>
                <w:sz w:val="1"/>
                <w:szCs w:val="1"/>
                <w:color w:val="auto"/>
              </w:rPr>
            </w:pPr>
          </w:p>
        </w:tc>
      </w:tr>
      <w:tr>
        <w:trPr>
          <w:trHeight w:val="185"/>
        </w:trPr>
        <w:tc>
          <w:tcPr>
            <w:tcW w:w="740" w:type="dxa"/>
            <w:vAlign w:val="bottom"/>
            <w:gridSpan w:val="2"/>
            <w:shd w:val="clear" w:color="auto" w:fill="CCEEFF"/>
          </w:tcPr>
          <w:p>
            <w:pPr>
              <w:jc w:val="right"/>
              <w:spacing w:after="0" w:line="185" w:lineRule="exact"/>
              <w:rPr>
                <w:rFonts w:ascii="Arial" w:cs="Arial" w:eastAsia="Arial" w:hAnsi="Arial"/>
                <w:sz w:val="18"/>
                <w:szCs w:val="18"/>
                <w:color w:val="0000FF"/>
              </w:rPr>
            </w:pPr>
            <w:hyperlink r:id="rId266">
              <w:r>
                <w:rPr>
                  <w:rFonts w:ascii="Arial" w:cs="Arial" w:eastAsia="Arial" w:hAnsi="Arial"/>
                  <w:sz w:val="18"/>
                  <w:szCs w:val="18"/>
                  <w:color w:val="0000FF"/>
                </w:rPr>
                <w:t>4.</w:t>
              </w:r>
              <w:r>
                <w:rPr>
                  <w:rFonts w:ascii="Arial" w:cs="Arial" w:eastAsia="Arial" w:hAnsi="Arial"/>
                  <w:sz w:val="18"/>
                  <w:szCs w:val="18"/>
                  <w:u w:val="single" w:color="auto"/>
                  <w:color w:val="0000FF"/>
                </w:rPr>
                <w:t>89</w:t>
              </w:r>
            </w:hyperlink>
          </w:p>
        </w:tc>
        <w:tc>
          <w:tcPr>
            <w:tcW w:w="10460" w:type="dxa"/>
            <w:vAlign w:val="bottom"/>
            <w:shd w:val="clear" w:color="auto" w:fill="CCEEFF"/>
          </w:tcPr>
          <w:p>
            <w:pPr>
              <w:ind w:left="700"/>
              <w:spacing w:after="0" w:line="185" w:lineRule="exact"/>
              <w:rPr>
                <w:sz w:val="20"/>
                <w:szCs w:val="20"/>
                <w:color w:val="auto"/>
              </w:rPr>
            </w:pPr>
            <w:r>
              <w:rPr>
                <w:rFonts w:ascii="Arial" w:cs="Arial" w:eastAsia="Arial" w:hAnsi="Arial"/>
                <w:sz w:val="18"/>
                <w:szCs w:val="18"/>
                <w:color w:val="auto"/>
                <w:w w:val="93"/>
              </w:rPr>
              <w:t>Acceptance Auto Loan Trust 2021-4, and Wells Fargo Bank, National Association (incorporated by reference to Exhibit 4.124 to the</w:t>
            </w:r>
          </w:p>
        </w:tc>
        <w:tc>
          <w:tcPr>
            <w:tcW w:w="0" w:type="dxa"/>
            <w:vAlign w:val="bottom"/>
          </w:tcPr>
          <w:p>
            <w:pPr>
              <w:spacing w:after="0"/>
              <w:rPr>
                <w:sz w:val="1"/>
                <w:szCs w:val="1"/>
                <w:color w:val="auto"/>
              </w:rPr>
            </w:pPr>
          </w:p>
        </w:tc>
      </w:tr>
      <w:tr>
        <w:trPr>
          <w:trHeight w:val="218"/>
        </w:trPr>
        <w:tc>
          <w:tcPr>
            <w:tcW w:w="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700"/>
              <w:spacing w:after="0" w:line="204" w:lineRule="exact"/>
              <w:rPr>
                <w:sz w:val="20"/>
                <w:szCs w:val="20"/>
                <w:color w:val="auto"/>
              </w:rPr>
            </w:pPr>
            <w:r>
              <w:rPr>
                <w:rFonts w:ascii="Arial" w:cs="Arial" w:eastAsia="Arial" w:hAnsi="Arial"/>
                <w:sz w:val="18"/>
                <w:szCs w:val="18"/>
                <w:color w:val="auto"/>
              </w:rPr>
              <w:t>Company’s Current Report on Form 8-K filed November 2, 2021).</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Arial" w:cs="Arial" w:eastAsia="Arial" w:hAnsi="Arial"/>
                <w:sz w:val="18"/>
                <w:szCs w:val="18"/>
                <w:color w:val="0000FF"/>
              </w:rPr>
            </w:pPr>
            <w:hyperlink r:id="rId267">
              <w:r>
                <w:rPr>
                  <w:rFonts w:ascii="Arial" w:cs="Arial" w:eastAsia="Arial" w:hAnsi="Arial"/>
                  <w:sz w:val="18"/>
                  <w:szCs w:val="18"/>
                  <w:color w:val="0000FF"/>
                </w:rPr>
                <w:t>4.</w:t>
              </w:r>
              <w:r>
                <w:rPr>
                  <w:rFonts w:ascii="Arial" w:cs="Arial" w:eastAsia="Arial" w:hAnsi="Arial"/>
                  <w:sz w:val="18"/>
                  <w:szCs w:val="18"/>
                  <w:u w:val="single" w:color="auto"/>
                  <w:color w:val="0000FF"/>
                </w:rPr>
                <w:t>90</w:t>
              </w:r>
            </w:hyperlink>
          </w:p>
        </w:tc>
        <w:tc>
          <w:tcPr>
            <w:tcW w:w="10460" w:type="dxa"/>
            <w:vAlign w:val="bottom"/>
          </w:tcPr>
          <w:p>
            <w:pPr>
              <w:ind w:left="700"/>
              <w:spacing w:after="0" w:line="173" w:lineRule="exact"/>
              <w:rPr>
                <w:sz w:val="20"/>
                <w:szCs w:val="20"/>
                <w:color w:val="auto"/>
              </w:rPr>
            </w:pPr>
            <w:r>
              <w:rPr>
                <w:rFonts w:ascii="Arial" w:cs="Arial" w:eastAsia="Arial" w:hAnsi="Arial"/>
                <w:sz w:val="18"/>
                <w:szCs w:val="18"/>
                <w:color w:val="auto"/>
                <w:w w:val="89"/>
              </w:rPr>
              <w:t>Amended and Restated Trust Agreement dated as of October 28, 2021, between Credit Acceptance Funding LLC 2021-4 and U.S. Bank</w:t>
            </w:r>
          </w:p>
        </w:tc>
        <w:tc>
          <w:tcPr>
            <w:tcW w:w="0" w:type="dxa"/>
            <w:vAlign w:val="bottom"/>
          </w:tcPr>
          <w:p>
            <w:pPr>
              <w:spacing w:after="0"/>
              <w:rPr>
                <w:sz w:val="1"/>
                <w:szCs w:val="1"/>
                <w:color w:val="auto"/>
              </w:rPr>
            </w:pPr>
          </w:p>
        </w:tc>
      </w:tr>
      <w:tr>
        <w:trPr>
          <w:trHeight w:val="185"/>
        </w:trPr>
        <w:tc>
          <w:tcPr>
            <w:tcW w:w="740" w:type="dxa"/>
            <w:vAlign w:val="bottom"/>
            <w:gridSpan w:val="2"/>
            <w:vMerge w:val="continue"/>
          </w:tcPr>
          <w:p>
            <w:pPr>
              <w:spacing w:after="0"/>
              <w:rPr>
                <w:sz w:val="16"/>
                <w:szCs w:val="16"/>
                <w:color w:val="auto"/>
              </w:rPr>
            </w:pPr>
          </w:p>
        </w:tc>
        <w:tc>
          <w:tcPr>
            <w:tcW w:w="10460" w:type="dxa"/>
            <w:vAlign w:val="bottom"/>
          </w:tcPr>
          <w:p>
            <w:pPr>
              <w:ind w:left="700"/>
              <w:spacing w:after="0" w:line="185" w:lineRule="exact"/>
              <w:rPr>
                <w:sz w:val="20"/>
                <w:szCs w:val="20"/>
                <w:color w:val="auto"/>
              </w:rPr>
            </w:pPr>
            <w:r>
              <w:rPr>
                <w:rFonts w:ascii="Arial" w:cs="Arial" w:eastAsia="Arial" w:hAnsi="Arial"/>
                <w:sz w:val="18"/>
                <w:szCs w:val="18"/>
                <w:color w:val="auto"/>
                <w:w w:val="90"/>
              </w:rPr>
              <w:t>Trust National Association (incorporated by reference to Exhibit 4.125 to the Company’s Current Report on Form 8-K filed November 2,</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460" w:type="dxa"/>
            <w:vAlign w:val="bottom"/>
          </w:tcPr>
          <w:p>
            <w:pPr>
              <w:ind w:left="700"/>
              <w:spacing w:after="0" w:line="19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6"/>
        </w:trPr>
        <w:tc>
          <w:tcPr>
            <w:tcW w:w="740" w:type="dxa"/>
            <w:vAlign w:val="bottom"/>
            <w:gridSpan w:val="2"/>
            <w:vMerge w:val="restart"/>
            <w:shd w:val="clear" w:color="auto" w:fill="CCEEFF"/>
          </w:tcPr>
          <w:p>
            <w:pPr>
              <w:jc w:val="right"/>
              <w:spacing w:after="0"/>
              <w:rPr>
                <w:rFonts w:ascii="Arial" w:cs="Arial" w:eastAsia="Arial" w:hAnsi="Arial"/>
                <w:sz w:val="18"/>
                <w:szCs w:val="18"/>
                <w:color w:val="0000FF"/>
              </w:rPr>
            </w:pPr>
            <w:hyperlink r:id="rId268">
              <w:r>
                <w:rPr>
                  <w:rFonts w:ascii="Arial" w:cs="Arial" w:eastAsia="Arial" w:hAnsi="Arial"/>
                  <w:sz w:val="18"/>
                  <w:szCs w:val="18"/>
                  <w:color w:val="0000FF"/>
                </w:rPr>
                <w:t>4.</w:t>
              </w:r>
              <w:r>
                <w:rPr>
                  <w:rFonts w:ascii="Arial" w:cs="Arial" w:eastAsia="Arial" w:hAnsi="Arial"/>
                  <w:sz w:val="18"/>
                  <w:szCs w:val="18"/>
                  <w:u w:val="single" w:color="auto"/>
                  <w:color w:val="0000FF"/>
                </w:rPr>
                <w:t>91</w:t>
              </w:r>
            </w:hyperlink>
          </w:p>
        </w:tc>
        <w:tc>
          <w:tcPr>
            <w:tcW w:w="10460" w:type="dxa"/>
            <w:vAlign w:val="bottom"/>
            <w:shd w:val="clear" w:color="auto" w:fill="CCEEFF"/>
          </w:tcPr>
          <w:p>
            <w:pPr>
              <w:ind w:left="700"/>
              <w:spacing w:after="0" w:line="187" w:lineRule="exact"/>
              <w:rPr>
                <w:sz w:val="20"/>
                <w:szCs w:val="20"/>
                <w:color w:val="auto"/>
              </w:rPr>
            </w:pPr>
            <w:r>
              <w:rPr>
                <w:rFonts w:ascii="Arial" w:cs="Arial" w:eastAsia="Arial" w:hAnsi="Arial"/>
                <w:sz w:val="18"/>
                <w:szCs w:val="18"/>
                <w:color w:val="auto"/>
                <w:w w:val="92"/>
              </w:rPr>
              <w:t>Sale and Contribution Agreement dated as of October 28, 2021, between the Company and Credit Acceptance Funding LLC 2021-4</w:t>
            </w:r>
          </w:p>
        </w:tc>
        <w:tc>
          <w:tcPr>
            <w:tcW w:w="0" w:type="dxa"/>
            <w:vAlign w:val="bottom"/>
          </w:tcPr>
          <w:p>
            <w:pPr>
              <w:spacing w:after="0"/>
              <w:rPr>
                <w:sz w:val="1"/>
                <w:szCs w:val="1"/>
                <w:color w:val="auto"/>
              </w:rPr>
            </w:pPr>
          </w:p>
        </w:tc>
      </w:tr>
      <w:tr>
        <w:trPr>
          <w:trHeight w:val="92"/>
        </w:trPr>
        <w:tc>
          <w:tcPr>
            <w:tcW w:w="740" w:type="dxa"/>
            <w:vAlign w:val="bottom"/>
            <w:gridSpan w:val="2"/>
            <w:vMerge w:val="continue"/>
            <w:shd w:val="clear" w:color="auto" w:fill="CCEEFF"/>
          </w:tcPr>
          <w:p>
            <w:pPr>
              <w:spacing w:after="0"/>
              <w:rPr>
                <w:sz w:val="7"/>
                <w:szCs w:val="7"/>
                <w:color w:val="auto"/>
              </w:rPr>
            </w:pPr>
          </w:p>
        </w:tc>
        <w:tc>
          <w:tcPr>
            <w:tcW w:w="104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(incorporated by reference to Exhibit 4.126 to the Company’s Current Report on Form 8-K filed November 2, 2021).</w:t>
            </w:r>
          </w:p>
        </w:tc>
        <w:tc>
          <w:tcPr>
            <w:tcW w:w="0" w:type="dxa"/>
            <w:vAlign w:val="bottom"/>
          </w:tcPr>
          <w:p>
            <w:pPr>
              <w:spacing w:after="0"/>
              <w:rPr>
                <w:sz w:val="1"/>
                <w:szCs w:val="1"/>
                <w:color w:val="auto"/>
              </w:rPr>
            </w:pPr>
          </w:p>
        </w:tc>
      </w:tr>
      <w:tr>
        <w:trPr>
          <w:trHeight w:val="126"/>
        </w:trPr>
        <w:tc>
          <w:tcPr>
            <w:tcW w:w="4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1046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60" w:type="dxa"/>
            <w:vAlign w:val="bottom"/>
          </w:tcPr>
          <w:p>
            <w:pPr>
              <w:ind w:left="700"/>
              <w:spacing w:after="0" w:line="173" w:lineRule="exact"/>
              <w:rPr>
                <w:sz w:val="20"/>
                <w:szCs w:val="20"/>
                <w:color w:val="auto"/>
              </w:rPr>
            </w:pPr>
            <w:r>
              <w:rPr>
                <w:rFonts w:ascii="Arial" w:cs="Arial" w:eastAsia="Arial" w:hAnsi="Arial"/>
                <w:sz w:val="18"/>
                <w:szCs w:val="18"/>
                <w:color w:val="auto"/>
                <w:w w:val="90"/>
              </w:rPr>
              <w:t>Amended and Restated Intercreditor Agreement dated October 28, 2021, among the Company, CAC Warehouse Funding LLC II, CAC</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60" w:type="dxa"/>
            <w:vAlign w:val="bottom"/>
          </w:tcPr>
          <w:p>
            <w:pPr>
              <w:ind w:left="700"/>
              <w:spacing w:after="0" w:line="172" w:lineRule="exact"/>
              <w:rPr>
                <w:sz w:val="20"/>
                <w:szCs w:val="20"/>
                <w:color w:val="auto"/>
              </w:rPr>
            </w:pPr>
            <w:r>
              <w:rPr>
                <w:rFonts w:ascii="Arial" w:cs="Arial" w:eastAsia="Arial" w:hAnsi="Arial"/>
                <w:sz w:val="18"/>
                <w:szCs w:val="18"/>
                <w:color w:val="auto"/>
                <w:w w:val="92"/>
              </w:rPr>
              <w:t>Warehouse Funding LLC IV, CAC Warehouse Funding LLC V, CAC Warehouse Funding LLC VI, CAC Warehouse Funding LLC VII,</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60" w:type="dxa"/>
            <w:vAlign w:val="bottom"/>
          </w:tcPr>
          <w:p>
            <w:pPr>
              <w:ind w:left="700"/>
              <w:spacing w:after="0" w:line="172" w:lineRule="exact"/>
              <w:rPr>
                <w:sz w:val="20"/>
                <w:szCs w:val="20"/>
                <w:color w:val="auto"/>
              </w:rPr>
            </w:pPr>
            <w:r>
              <w:rPr>
                <w:rFonts w:ascii="Arial" w:cs="Arial" w:eastAsia="Arial" w:hAnsi="Arial"/>
                <w:sz w:val="18"/>
                <w:szCs w:val="18"/>
                <w:color w:val="auto"/>
                <w:w w:val="98"/>
              </w:rPr>
              <w:t>CAC Warehouse Funding LLC VIII, Credit Acceptance Funding LLC 2021-4, Credit Acceptance Funding LLC 2021-3, Credit</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60" w:type="dxa"/>
            <w:vAlign w:val="bottom"/>
          </w:tcPr>
          <w:p>
            <w:pPr>
              <w:ind w:left="700"/>
              <w:spacing w:after="0" w:line="172" w:lineRule="exact"/>
              <w:rPr>
                <w:sz w:val="20"/>
                <w:szCs w:val="20"/>
                <w:color w:val="auto"/>
              </w:rPr>
            </w:pPr>
            <w:r>
              <w:rPr>
                <w:rFonts w:ascii="Arial" w:cs="Arial" w:eastAsia="Arial" w:hAnsi="Arial"/>
                <w:sz w:val="18"/>
                <w:szCs w:val="18"/>
                <w:color w:val="auto"/>
                <w:w w:val="90"/>
              </w:rPr>
              <w:t>Acceptance Funding LLC 2021-2, Credit Acceptance Funding LLC 2021-1, Credit Acceptance Funding LLC 2020-3, Credit Acceptance</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60" w:type="dxa"/>
            <w:vAlign w:val="bottom"/>
          </w:tcPr>
          <w:p>
            <w:pPr>
              <w:ind w:left="700"/>
              <w:spacing w:after="0" w:line="172" w:lineRule="exact"/>
              <w:rPr>
                <w:sz w:val="20"/>
                <w:szCs w:val="20"/>
                <w:color w:val="auto"/>
              </w:rPr>
            </w:pPr>
            <w:r>
              <w:rPr>
                <w:rFonts w:ascii="Arial" w:cs="Arial" w:eastAsia="Arial" w:hAnsi="Arial"/>
                <w:sz w:val="18"/>
                <w:szCs w:val="18"/>
                <w:color w:val="auto"/>
                <w:w w:val="93"/>
              </w:rPr>
              <w:t>Funding LLC 2020-2, Credit Acceptance Funding LLC 2020-1, Credit Acceptance Funding LLC 2019-3, Credit Acceptance Funding</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320" w:type="dxa"/>
            <w:vAlign w:val="bottom"/>
            <w:vMerge w:val="restart"/>
          </w:tcPr>
          <w:p>
            <w:pPr>
              <w:jc w:val="right"/>
              <w:spacing w:after="0"/>
              <w:rPr>
                <w:rFonts w:ascii="Arial" w:cs="Arial" w:eastAsia="Arial" w:hAnsi="Arial"/>
                <w:sz w:val="18"/>
                <w:szCs w:val="18"/>
                <w:color w:val="0000FF"/>
                <w:w w:val="85"/>
              </w:rPr>
            </w:pPr>
            <w:hyperlink r:id="rId26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92</w:t>
              </w:r>
            </w:hyperlink>
          </w:p>
        </w:tc>
        <w:tc>
          <w:tcPr>
            <w:tcW w:w="10460" w:type="dxa"/>
            <w:vAlign w:val="bottom"/>
          </w:tcPr>
          <w:p>
            <w:pPr>
              <w:ind w:left="700"/>
              <w:spacing w:after="0" w:line="172" w:lineRule="exact"/>
              <w:rPr>
                <w:sz w:val="20"/>
                <w:szCs w:val="20"/>
                <w:color w:val="auto"/>
              </w:rPr>
            </w:pPr>
            <w:r>
              <w:rPr>
                <w:rFonts w:ascii="Arial" w:cs="Arial" w:eastAsia="Arial" w:hAnsi="Arial"/>
                <w:sz w:val="18"/>
                <w:szCs w:val="18"/>
                <w:color w:val="auto"/>
                <w:w w:val="93"/>
              </w:rPr>
              <w:t>LLC 2019-2, Credit Acceptance Funding LLC 2019-1, Credit Acceptance Funding LLC 2018-3, Credit Acceptance Auto Loan Trust</w:t>
            </w:r>
          </w:p>
        </w:tc>
        <w:tc>
          <w:tcPr>
            <w:tcW w:w="0" w:type="dxa"/>
            <w:vAlign w:val="bottom"/>
          </w:tcPr>
          <w:p>
            <w:pPr>
              <w:spacing w:after="0"/>
              <w:rPr>
                <w:sz w:val="1"/>
                <w:szCs w:val="1"/>
                <w:color w:val="auto"/>
              </w:rPr>
            </w:pPr>
          </w:p>
        </w:tc>
      </w:tr>
      <w:tr>
        <w:trPr>
          <w:trHeight w:val="123"/>
        </w:trPr>
        <w:tc>
          <w:tcPr>
            <w:tcW w:w="420" w:type="dxa"/>
            <w:vAlign w:val="bottom"/>
            <w:vMerge w:val="restart"/>
          </w:tcPr>
          <w:p>
            <w:pPr>
              <w:spacing w:after="0"/>
              <w:rPr>
                <w:sz w:val="10"/>
                <w:szCs w:val="10"/>
                <w:color w:val="auto"/>
              </w:rPr>
            </w:pPr>
          </w:p>
        </w:tc>
        <w:tc>
          <w:tcPr>
            <w:tcW w:w="320" w:type="dxa"/>
            <w:vAlign w:val="bottom"/>
            <w:tcBorders>
              <w:bottom w:val="single" w:sz="8" w:color="0000FF"/>
            </w:tcBorders>
            <w:vMerge w:val="continue"/>
          </w:tcPr>
          <w:p>
            <w:pPr>
              <w:spacing w:after="0"/>
              <w:rPr>
                <w:sz w:val="10"/>
                <w:szCs w:val="10"/>
                <w:color w:val="auto"/>
              </w:rPr>
            </w:pPr>
          </w:p>
        </w:tc>
        <w:tc>
          <w:tcPr>
            <w:tcW w:w="10460" w:type="dxa"/>
            <w:vAlign w:val="bottom"/>
            <w:vMerge w:val="restart"/>
          </w:tcPr>
          <w:p>
            <w:pPr>
              <w:ind w:left="700"/>
              <w:spacing w:after="0" w:line="186" w:lineRule="exact"/>
              <w:rPr>
                <w:sz w:val="20"/>
                <w:szCs w:val="20"/>
                <w:color w:val="auto"/>
              </w:rPr>
            </w:pPr>
            <w:r>
              <w:rPr>
                <w:rFonts w:ascii="Arial" w:cs="Arial" w:eastAsia="Arial" w:hAnsi="Arial"/>
                <w:sz w:val="18"/>
                <w:szCs w:val="18"/>
                <w:color w:val="auto"/>
                <w:w w:val="92"/>
              </w:rPr>
              <w:t>2021-4, Credit Acceptance Auto Loan Trust 2021-3, Credit Acceptance Auto Loan Trust 2021-2, Credit Acceptance Auto Loan Trust</w:t>
            </w:r>
          </w:p>
        </w:tc>
        <w:tc>
          <w:tcPr>
            <w:tcW w:w="0" w:type="dxa"/>
            <w:vAlign w:val="bottom"/>
          </w:tcPr>
          <w:p>
            <w:pPr>
              <w:spacing w:after="0"/>
              <w:rPr>
                <w:sz w:val="1"/>
                <w:szCs w:val="1"/>
                <w:color w:val="auto"/>
              </w:rPr>
            </w:pPr>
          </w:p>
        </w:tc>
      </w:tr>
      <w:tr>
        <w:trPr>
          <w:trHeight w:val="48"/>
        </w:trPr>
        <w:tc>
          <w:tcPr>
            <w:tcW w:w="4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jc w:val="both"/>
        <w:ind w:left="1440" w:right="20"/>
        <w:spacing w:after="0" w:line="251" w:lineRule="auto"/>
        <w:rPr>
          <w:sz w:val="20"/>
          <w:szCs w:val="20"/>
          <w:color w:val="auto"/>
        </w:rPr>
      </w:pPr>
      <w:r>
        <w:rPr>
          <w:rFonts w:ascii="Arial" w:cs="Arial" w:eastAsia="Arial" w:hAnsi="Arial"/>
          <w:sz w:val="15"/>
          <w:szCs w:val="15"/>
          <w:color w:val="auto"/>
        </w:rPr>
        <w:t>2020-3, Credit Acceptance Auto Loan Trust 2020-2, Credit Acceptance Auto Loan Trust 2020-1, Credit Acceptance Auto Loan Trust 2019-3, Credit Acceptance Auto Loan Trust 2019-1, Credit Acceptance Auto Loan Trust 2018-3, Wells Fargo Bank, National Association, as agent, Fifth Third Bank, as agent, Bank of Montreal, as agent, Flagstar Bank, FSB, as agent, Citizens Bank, N.A., as</w:t>
      </w:r>
    </w:p>
    <w:p>
      <w:pPr>
        <w:spacing w:after="0" w:line="2" w:lineRule="exact"/>
        <w:rPr>
          <w:sz w:val="20"/>
          <w:szCs w:val="20"/>
          <w:color w:val="auto"/>
        </w:rPr>
      </w:pPr>
    </w:p>
    <w:p>
      <w:pPr>
        <w:jc w:val="both"/>
        <w:ind w:left="1440" w:right="20"/>
        <w:spacing w:after="0" w:line="228" w:lineRule="auto"/>
        <w:rPr>
          <w:sz w:val="20"/>
          <w:szCs w:val="20"/>
          <w:color w:val="auto"/>
        </w:rPr>
      </w:pPr>
      <w:r>
        <w:rPr>
          <w:rFonts w:ascii="Arial" w:cs="Arial" w:eastAsia="Arial" w:hAnsi="Arial"/>
          <w:sz w:val="18"/>
          <w:szCs w:val="18"/>
          <w:color w:val="auto"/>
        </w:rPr>
        <w:t>agent and Comerica Bank, as agent (incorporated by reference to Exhibit 4.127 to the Company’s Current Report on Form 8-K filed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7715" cy="4711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0">
                      <a:extLst>
                        <a:ext uri="{28A0092B-C50C-407E-A947-70E740481C1C}"/>
                      </a:extLst>
                    </a:blip>
                    <a:srcRect/>
                    <a:stretch>
                      <a:fillRect/>
                    </a:stretch>
                  </pic:blipFill>
                  <pic:spPr bwMode="auto">
                    <a:xfrm>
                      <a:off x="0" y="0"/>
                      <a:ext cx="7117715" cy="47117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10080" w:type="dxa"/>
            <w:vAlign w:val="bottom"/>
          </w:tcPr>
          <w:p>
            <w:pPr>
              <w:ind w:left="340"/>
              <w:spacing w:after="0" w:line="176" w:lineRule="exact"/>
              <w:rPr>
                <w:sz w:val="20"/>
                <w:szCs w:val="20"/>
                <w:color w:val="auto"/>
              </w:rPr>
            </w:pPr>
            <w:r>
              <w:rPr>
                <w:rFonts w:ascii="Arial" w:cs="Arial" w:eastAsia="Arial" w:hAnsi="Arial"/>
                <w:sz w:val="18"/>
                <w:szCs w:val="18"/>
                <w:color w:val="auto"/>
                <w:w w:val="90"/>
              </w:rPr>
              <w:t>New Bank Addendum, dated November 30, 2021, to the Sixth Amended and Restated Credit Agreement dated as of June 23, 2014 (as</w:t>
            </w:r>
          </w:p>
        </w:tc>
        <w:tc>
          <w:tcPr>
            <w:tcW w:w="0" w:type="dxa"/>
            <w:vAlign w:val="bottom"/>
          </w:tcPr>
          <w:p>
            <w:pPr>
              <w:spacing w:after="0"/>
              <w:rPr>
                <w:sz w:val="1"/>
                <w:szCs w:val="1"/>
                <w:color w:val="auto"/>
              </w:rPr>
            </w:pPr>
          </w:p>
        </w:tc>
      </w:tr>
      <w:tr>
        <w:trPr>
          <w:trHeight w:val="172"/>
        </w:trPr>
        <w:tc>
          <w:tcPr>
            <w:tcW w:w="680" w:type="dxa"/>
            <w:vAlign w:val="bottom"/>
            <w:vMerge w:val="restart"/>
          </w:tcPr>
          <w:p>
            <w:pPr>
              <w:jc w:val="right"/>
              <w:ind w:right="272"/>
              <w:spacing w:after="0"/>
              <w:rPr>
                <w:rFonts w:ascii="Arial" w:cs="Arial" w:eastAsia="Arial" w:hAnsi="Arial"/>
                <w:sz w:val="18"/>
                <w:szCs w:val="18"/>
                <w:u w:val="single" w:color="auto"/>
                <w:color w:val="0000FF"/>
                <w:w w:val="85"/>
              </w:rPr>
            </w:pPr>
            <w:hyperlink r:id="rId271">
              <w:r>
                <w:rPr>
                  <w:rFonts w:ascii="Arial" w:cs="Arial" w:eastAsia="Arial" w:hAnsi="Arial"/>
                  <w:sz w:val="18"/>
                  <w:szCs w:val="18"/>
                  <w:u w:val="single" w:color="auto"/>
                  <w:color w:val="0000FF"/>
                  <w:w w:val="85"/>
                </w:rPr>
                <w:t>4.93</w:t>
              </w:r>
            </w:hyperlink>
          </w:p>
        </w:tc>
        <w:tc>
          <w:tcPr>
            <w:tcW w:w="10080" w:type="dxa"/>
            <w:vAlign w:val="bottom"/>
          </w:tcPr>
          <w:p>
            <w:pPr>
              <w:ind w:left="340"/>
              <w:spacing w:after="0" w:line="172" w:lineRule="exact"/>
              <w:rPr>
                <w:sz w:val="20"/>
                <w:szCs w:val="20"/>
                <w:color w:val="auto"/>
              </w:rPr>
            </w:pPr>
            <w:r>
              <w:rPr>
                <w:rFonts w:ascii="Arial" w:cs="Arial" w:eastAsia="Arial" w:hAnsi="Arial"/>
                <w:sz w:val="18"/>
                <w:szCs w:val="18"/>
                <w:color w:val="auto"/>
                <w:w w:val="89"/>
              </w:rPr>
              <w:t>otherwise amended, restated or modified from time to time), by and among the Company, each of the financial institutions parties thereto</w:t>
            </w:r>
          </w:p>
        </w:tc>
        <w:tc>
          <w:tcPr>
            <w:tcW w:w="0" w:type="dxa"/>
            <w:vAlign w:val="bottom"/>
          </w:tcPr>
          <w:p>
            <w:pPr>
              <w:spacing w:after="0"/>
              <w:rPr>
                <w:sz w:val="1"/>
                <w:szCs w:val="1"/>
                <w:color w:val="auto"/>
              </w:rPr>
            </w:pPr>
          </w:p>
        </w:tc>
      </w:tr>
      <w:tr>
        <w:trPr>
          <w:trHeight w:val="131"/>
        </w:trPr>
        <w:tc>
          <w:tcPr>
            <w:tcW w:w="680" w:type="dxa"/>
            <w:vAlign w:val="bottom"/>
            <w:vMerge w:val="continue"/>
          </w:tcPr>
          <w:p>
            <w:pPr>
              <w:spacing w:after="0"/>
              <w:rPr>
                <w:sz w:val="11"/>
                <w:szCs w:val="11"/>
                <w:color w:val="auto"/>
              </w:rPr>
            </w:pPr>
          </w:p>
        </w:tc>
        <w:tc>
          <w:tcPr>
            <w:tcW w:w="10080" w:type="dxa"/>
            <w:vAlign w:val="bottom"/>
            <w:vMerge w:val="restart"/>
          </w:tcPr>
          <w:p>
            <w:pPr>
              <w:ind w:left="340"/>
              <w:spacing w:after="0" w:line="172" w:lineRule="exact"/>
              <w:rPr>
                <w:sz w:val="20"/>
                <w:szCs w:val="20"/>
                <w:color w:val="auto"/>
              </w:rPr>
            </w:pPr>
            <w:r>
              <w:rPr>
                <w:rFonts w:ascii="Arial" w:cs="Arial" w:eastAsia="Arial" w:hAnsi="Arial"/>
                <w:sz w:val="18"/>
                <w:szCs w:val="18"/>
                <w:color w:val="auto"/>
              </w:rPr>
              <w:t>and Comerica Bank, as agent for the Banks</w:t>
            </w: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10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(incorporated by reference to Exhibit 4.128 to the Company’s Current Report on Form 8-K filed December 7, 2021).</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00"/>
          </w:cols>
          <w:pgMar w:left="340" w:top="940" w:right="359" w:bottom="1440" w:gutter="0" w:footer="0" w:header="0"/>
        </w:sectPr>
      </w:pPr>
    </w:p>
    <w:p>
      <w:pPr>
        <w:spacing w:after="0" w:line="93" w:lineRule="exact"/>
        <w:rPr>
          <w:sz w:val="20"/>
          <w:szCs w:val="20"/>
          <w:color w:val="auto"/>
        </w:rPr>
      </w:pPr>
    </w:p>
    <w:p>
      <w:pPr>
        <w:ind w:left="420"/>
        <w:spacing w:after="0"/>
        <w:rPr>
          <w:rFonts w:ascii="Arial" w:cs="Arial" w:eastAsia="Arial" w:hAnsi="Arial"/>
          <w:sz w:val="15"/>
          <w:szCs w:val="15"/>
          <w:u w:val="single" w:color="auto"/>
          <w:color w:val="0000FF"/>
        </w:rPr>
      </w:pPr>
      <w:hyperlink r:id="rId272">
        <w:r>
          <w:rPr>
            <w:rFonts w:ascii="Arial" w:cs="Arial" w:eastAsia="Arial" w:hAnsi="Arial"/>
            <w:sz w:val="15"/>
            <w:szCs w:val="15"/>
            <w:u w:val="single" w:color="auto"/>
            <w:color w:val="0000FF"/>
          </w:rPr>
          <w:t>10.1</w:t>
        </w:r>
      </w:hyperlink>
    </w:p>
    <w:p>
      <w:pPr>
        <w:spacing w:after="0" w:line="212" w:lineRule="exact"/>
        <w:rPr>
          <w:sz w:val="20"/>
          <w:szCs w:val="20"/>
          <w:color w:val="auto"/>
        </w:rPr>
      </w:pPr>
    </w:p>
    <w:p>
      <w:pPr>
        <w:ind w:left="420"/>
        <w:spacing w:after="0"/>
        <w:rPr>
          <w:rFonts w:ascii="Arial" w:cs="Arial" w:eastAsia="Arial" w:hAnsi="Arial"/>
          <w:sz w:val="15"/>
          <w:szCs w:val="15"/>
          <w:u w:val="single" w:color="auto"/>
          <w:color w:val="0000FF"/>
        </w:rPr>
      </w:pPr>
      <w:hyperlink r:id="rId273">
        <w:r>
          <w:rPr>
            <w:rFonts w:ascii="Arial" w:cs="Arial" w:eastAsia="Arial" w:hAnsi="Arial"/>
            <w:sz w:val="15"/>
            <w:szCs w:val="15"/>
            <w:u w:val="single" w:color="auto"/>
            <w:color w:val="0000FF"/>
          </w:rPr>
          <w:t>10.2</w:t>
        </w:r>
      </w:hyperlink>
    </w:p>
    <w:p>
      <w:pPr>
        <w:spacing w:after="0" w:line="225" w:lineRule="exact"/>
        <w:rPr>
          <w:sz w:val="20"/>
          <w:szCs w:val="20"/>
          <w:color w:val="auto"/>
        </w:rPr>
      </w:pPr>
    </w:p>
    <w:p>
      <w:pPr>
        <w:ind w:left="420"/>
        <w:spacing w:after="0"/>
        <w:rPr>
          <w:rFonts w:ascii="Arial" w:cs="Arial" w:eastAsia="Arial" w:hAnsi="Arial"/>
          <w:sz w:val="15"/>
          <w:szCs w:val="15"/>
          <w:u w:val="single" w:color="auto"/>
          <w:color w:val="0000FF"/>
        </w:rPr>
      </w:pPr>
      <w:hyperlink r:id="rId274">
        <w:r>
          <w:rPr>
            <w:rFonts w:ascii="Arial" w:cs="Arial" w:eastAsia="Arial" w:hAnsi="Arial"/>
            <w:sz w:val="15"/>
            <w:szCs w:val="15"/>
            <w:u w:val="single" w:color="auto"/>
            <w:color w:val="0000FF"/>
          </w:rPr>
          <w:t>10.3</w:t>
        </w:r>
      </w:hyperlink>
    </w:p>
    <w:p>
      <w:pPr>
        <w:spacing w:after="0" w:line="225" w:lineRule="exact"/>
        <w:rPr>
          <w:sz w:val="20"/>
          <w:szCs w:val="20"/>
          <w:color w:val="auto"/>
        </w:rPr>
      </w:pPr>
    </w:p>
    <w:p>
      <w:pPr>
        <w:ind w:left="420"/>
        <w:spacing w:after="0"/>
        <w:rPr>
          <w:rFonts w:ascii="Arial" w:cs="Arial" w:eastAsia="Arial" w:hAnsi="Arial"/>
          <w:sz w:val="15"/>
          <w:szCs w:val="15"/>
          <w:u w:val="single" w:color="auto"/>
          <w:color w:val="0000FF"/>
        </w:rPr>
      </w:pPr>
      <w:hyperlink r:id="rId275">
        <w:r>
          <w:rPr>
            <w:rFonts w:ascii="Arial" w:cs="Arial" w:eastAsia="Arial" w:hAnsi="Arial"/>
            <w:sz w:val="15"/>
            <w:szCs w:val="15"/>
            <w:u w:val="single" w:color="auto"/>
            <w:color w:val="0000FF"/>
          </w:rPr>
          <w:t>10.4</w:t>
        </w:r>
      </w:hyperlink>
    </w:p>
    <w:p>
      <w:pPr>
        <w:spacing w:after="0" w:line="20" w:lineRule="exact"/>
        <w:rPr>
          <w:sz w:val="20"/>
          <w:szCs w:val="20"/>
          <w:color w:val="auto"/>
        </w:rPr>
      </w:pPr>
      <w:r>
        <w:rPr>
          <w:sz w:val="20"/>
          <w:szCs w:val="20"/>
          <w:color w:val="auto"/>
        </w:rPr>
        <w:br w:type="column"/>
      </w:r>
    </w:p>
    <w:p>
      <w:pPr>
        <w:ind w:right="20"/>
        <w:spacing w:after="0" w:line="229" w:lineRule="auto"/>
        <w:rPr>
          <w:sz w:val="20"/>
          <w:szCs w:val="20"/>
          <w:color w:val="auto"/>
        </w:rPr>
      </w:pPr>
      <w:r>
        <w:rPr>
          <w:rFonts w:ascii="Arial" w:cs="Arial" w:eastAsia="Arial" w:hAnsi="Arial"/>
          <w:sz w:val="18"/>
          <w:szCs w:val="18"/>
          <w:color w:val="auto"/>
        </w:rPr>
        <w:t>Form of Restricted Stock Grant Agreement (incorporated by reference to Exhibit 10(q)(4) to the Company’s Current Report on Form 8-K filed February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6">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ind w:right="20"/>
        <w:spacing w:after="0" w:line="244" w:lineRule="auto"/>
        <w:rPr>
          <w:sz w:val="20"/>
          <w:szCs w:val="20"/>
          <w:color w:val="auto"/>
        </w:rPr>
      </w:pPr>
      <w:r>
        <w:rPr>
          <w:rFonts w:ascii="Arial" w:cs="Arial" w:eastAsia="Arial" w:hAnsi="Arial"/>
          <w:sz w:val="17"/>
          <w:szCs w:val="17"/>
          <w:color w:val="auto"/>
        </w:rPr>
        <w:t>Credit Acceptance Corporation Amended and Restated Incentive Compensation Plan, as amended, April 6, 2009 (incorporated by reference to Annex A to the Company’s Definitive Proxy Statement on Schedule 14A filed April 10, 2009).*</w:t>
      </w:r>
    </w:p>
    <w:p>
      <w:pPr>
        <w:ind w:right="20"/>
        <w:spacing w:after="0" w:line="229" w:lineRule="auto"/>
        <w:rPr>
          <w:sz w:val="20"/>
          <w:szCs w:val="20"/>
          <w:color w:val="auto"/>
        </w:rPr>
      </w:pPr>
      <w:r>
        <w:rPr>
          <w:rFonts w:ascii="Arial" w:cs="Arial" w:eastAsia="Arial" w:hAnsi="Arial"/>
          <w:sz w:val="18"/>
          <w:szCs w:val="18"/>
          <w:color w:val="auto"/>
        </w:rPr>
        <w:t>Form of Restricted Stock Unit Award Agreement (incorporated by reference to Exhibit 10(q)(11) to the Company’s Quarterly Report on Form 10-Q for the quarterly period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7117715" cy="2527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7">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8"/>
          <w:szCs w:val="18"/>
          <w:color w:val="auto"/>
        </w:rPr>
        <w:t>Form of Board of Directors Restricted Stock Unit Award Agreement (incorporated by reference to Exhibit 10(q)(12) to the Company’s Quarterly Report on Form 10-Q for the quarterly period ended September 30, 2009).*</w:t>
      </w:r>
    </w:p>
    <w:p>
      <w:pPr>
        <w:spacing w:after="0" w:line="200" w:lineRule="exact"/>
        <w:rPr>
          <w:sz w:val="20"/>
          <w:szCs w:val="20"/>
          <w:color w:val="auto"/>
        </w:rPr>
      </w:pPr>
    </w:p>
    <w:p>
      <w:pPr>
        <w:sectPr>
          <w:pgSz w:w="11900" w:h="16838" w:orient="portrait"/>
          <w:cols w:equalWidth="0" w:num="2">
            <w:col w:w="740" w:space="700"/>
            <w:col w:w="9760"/>
          </w:cols>
          <w:pgMar w:left="340" w:top="940" w:right="35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87630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40" w:right="359" w:bottom="1440" w:gutter="0" w:footer="0" w:header="0"/>
          <w:type w:val="continuous"/>
        </w:sectPr>
      </w:pPr>
    </w:p>
    <w:bookmarkStart w:id="105" w:name="page106"/>
    <w:bookmarkEnd w:id="105"/>
    <w:tbl>
      <w:tblPr>
        <w:tblLayout w:type="fixed"/>
        <w:tblInd w:w="20" w:type="dxa"/>
        <w:tblCellMar>
          <w:top w:w="0" w:type="dxa"/>
          <w:left w:w="0" w:type="dxa"/>
          <w:bottom w:w="0" w:type="dxa"/>
          <w:right w:w="0" w:type="dxa"/>
        </w:tblCellMar>
      </w:tblPr>
      <w:tr>
        <w:trPr>
          <w:trHeight w:val="207"/>
        </w:trPr>
        <w:tc>
          <w:tcPr>
            <w:tcW w:w="780" w:type="dxa"/>
            <w:vAlign w:val="bottom"/>
            <w:gridSpan w:val="2"/>
            <w:vMerge w:val="restart"/>
          </w:tcPr>
          <w:p>
            <w:pPr>
              <w:jc w:val="center"/>
              <w:ind w:left="292"/>
              <w:spacing w:after="0"/>
              <w:rPr>
                <w:rFonts w:ascii="Arial" w:cs="Arial" w:eastAsia="Arial" w:hAnsi="Arial"/>
                <w:sz w:val="18"/>
                <w:szCs w:val="18"/>
                <w:color w:val="0000FF"/>
                <w:w w:val="91"/>
              </w:rPr>
            </w:pPr>
            <w:hyperlink r:id="rId27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340" w:type="dxa"/>
            <w:vAlign w:val="bottom"/>
          </w:tcPr>
          <w:p>
            <w:pPr>
              <w:spacing w:after="0"/>
              <w:rPr>
                <w:sz w:val="17"/>
                <w:szCs w:val="17"/>
                <w:color w:val="auto"/>
              </w:rPr>
            </w:pPr>
          </w:p>
        </w:tc>
        <w:tc>
          <w:tcPr>
            <w:tcW w:w="10080" w:type="dxa"/>
            <w:vAlign w:val="bottom"/>
          </w:tcPr>
          <w:p>
            <w:pPr>
              <w:ind w:left="320"/>
              <w:spacing w:after="0"/>
              <w:rPr>
                <w:sz w:val="20"/>
                <w:szCs w:val="20"/>
                <w:color w:val="auto"/>
              </w:rPr>
            </w:pPr>
            <w:r>
              <w:rPr>
                <w:rFonts w:ascii="Arial" w:cs="Arial" w:eastAsia="Arial" w:hAnsi="Arial"/>
                <w:sz w:val="18"/>
                <w:szCs w:val="18"/>
                <w:color w:val="auto"/>
                <w:w w:val="90"/>
              </w:rPr>
              <w:t>Restricted Stock Unit Award Agreement, dated March 26, 2012, between the Company and Brett A. Roberts (incorporated by reference</w:t>
            </w:r>
          </w:p>
        </w:tc>
        <w:tc>
          <w:tcPr>
            <w:tcW w:w="0" w:type="dxa"/>
            <w:vAlign w:val="bottom"/>
          </w:tcPr>
          <w:p>
            <w:pPr>
              <w:spacing w:after="0"/>
              <w:rPr>
                <w:sz w:val="1"/>
                <w:szCs w:val="1"/>
                <w:color w:val="auto"/>
              </w:rPr>
            </w:pPr>
          </w:p>
        </w:tc>
      </w:tr>
      <w:tr>
        <w:trPr>
          <w:trHeight w:val="92"/>
        </w:trPr>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80" w:type="dxa"/>
            <w:vAlign w:val="bottom"/>
            <w:vMerge w:val="restart"/>
          </w:tcPr>
          <w:p>
            <w:pPr>
              <w:ind w:left="320"/>
              <w:spacing w:after="0"/>
              <w:rPr>
                <w:sz w:val="20"/>
                <w:szCs w:val="20"/>
                <w:color w:val="auto"/>
              </w:rPr>
            </w:pPr>
            <w:r>
              <w:rPr>
                <w:rFonts w:ascii="Arial" w:cs="Arial" w:eastAsia="Arial" w:hAnsi="Arial"/>
                <w:sz w:val="18"/>
                <w:szCs w:val="18"/>
                <w:color w:val="auto"/>
              </w:rPr>
              <w:t>to Exhibit 10.16 to the Company’s Quarterly Report on Form 10-Q for the quarterly period ended March 31, 2012).*</w:t>
            </w: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780" w:type="dxa"/>
            <w:vAlign w:val="bottom"/>
            <w:tcBorders>
              <w:right w:val="single" w:sz="8" w:color="CCEEFF"/>
            </w:tcBorders>
            <w:gridSpan w:val="2"/>
            <w:vMerge w:val="restart"/>
            <w:shd w:val="clear" w:color="auto" w:fill="CCEEFF"/>
          </w:tcPr>
          <w:p>
            <w:pPr>
              <w:jc w:val="center"/>
              <w:ind w:left="292"/>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340" w:type="dxa"/>
            <w:vAlign w:val="bottom"/>
            <w:shd w:val="clear" w:color="auto" w:fill="CCEEFF"/>
          </w:tcPr>
          <w:p>
            <w:pPr>
              <w:spacing w:after="0"/>
              <w:rPr>
                <w:sz w:val="15"/>
                <w:szCs w:val="15"/>
                <w:color w:val="auto"/>
              </w:rPr>
            </w:pPr>
          </w:p>
        </w:tc>
        <w:tc>
          <w:tcPr>
            <w:tcW w:w="10080" w:type="dxa"/>
            <w:vAlign w:val="bottom"/>
            <w:shd w:val="clear" w:color="auto" w:fill="CCEEFF"/>
          </w:tcPr>
          <w:p>
            <w:pPr>
              <w:ind w:left="320"/>
              <w:spacing w:after="0" w:line="174" w:lineRule="exact"/>
              <w:rPr>
                <w:sz w:val="20"/>
                <w:szCs w:val="20"/>
                <w:color w:val="auto"/>
              </w:rPr>
            </w:pPr>
            <w:r>
              <w:rPr>
                <w:rFonts w:ascii="Arial" w:cs="Arial" w:eastAsia="Arial" w:hAnsi="Arial"/>
                <w:sz w:val="18"/>
                <w:szCs w:val="18"/>
                <w:color w:val="auto"/>
                <w:w w:val="91"/>
              </w:rPr>
              <w:t>Restricted Stock Award Agreement, dated March 26, 2012, between the Company and Brett A. Roberts (incorporated by reference to</w:t>
            </w:r>
          </w:p>
        </w:tc>
        <w:tc>
          <w:tcPr>
            <w:tcW w:w="0" w:type="dxa"/>
            <w:vAlign w:val="bottom"/>
          </w:tcPr>
          <w:p>
            <w:pPr>
              <w:spacing w:after="0"/>
              <w:rPr>
                <w:sz w:val="1"/>
                <w:szCs w:val="1"/>
                <w:color w:val="auto"/>
              </w:rPr>
            </w:pPr>
          </w:p>
        </w:tc>
      </w:tr>
      <w:tr>
        <w:trPr>
          <w:trHeight w:val="92"/>
        </w:trPr>
        <w:tc>
          <w:tcPr>
            <w:tcW w:w="780" w:type="dxa"/>
            <w:vAlign w:val="bottom"/>
            <w:tcBorders>
              <w:right w:val="single" w:sz="8" w:color="CCEEFF"/>
            </w:tcBorders>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Exhibit 10.17 to the Company’s Quarterly Report on Form 10-Q for the quarterly period ended March 31, 2012).*</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right w:val="single" w:sz="8" w:color="CCEEFF"/>
            </w:tcBorders>
            <w:shd w:val="clear" w:color="auto" w:fill="CCEEFF"/>
          </w:tcPr>
          <w:p>
            <w:pPr>
              <w:spacing w:after="0"/>
              <w:rPr>
                <w:sz w:val="9"/>
                <w:szCs w:val="9"/>
                <w:color w:val="auto"/>
              </w:rPr>
            </w:pPr>
          </w:p>
        </w:tc>
        <w:tc>
          <w:tcPr>
            <w:tcW w:w="360" w:type="dxa"/>
            <w:vAlign w:val="bottom"/>
            <w:tcBorders>
              <w:top w:val="single" w:sz="8" w:color="0000FF"/>
              <w:right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vMerge w:val="restart"/>
          </w:tcPr>
          <w:p>
            <w:pPr>
              <w:jc w:val="center"/>
              <w:ind w:left="292"/>
              <w:spacing w:after="0"/>
              <w:rPr>
                <w:rFonts w:ascii="Arial" w:cs="Arial" w:eastAsia="Arial" w:hAnsi="Arial"/>
                <w:sz w:val="18"/>
                <w:szCs w:val="18"/>
                <w:color w:val="0000FF"/>
                <w:w w:val="91"/>
              </w:rPr>
            </w:pPr>
            <w:hyperlink r:id="rId28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340" w:type="dxa"/>
            <w:vAlign w:val="bottom"/>
          </w:tcPr>
          <w:p>
            <w:pPr>
              <w:spacing w:after="0"/>
              <w:rPr>
                <w:sz w:val="15"/>
                <w:szCs w:val="15"/>
                <w:color w:val="auto"/>
              </w:rPr>
            </w:pPr>
          </w:p>
        </w:tc>
        <w:tc>
          <w:tcPr>
            <w:tcW w:w="10080" w:type="dxa"/>
            <w:vAlign w:val="bottom"/>
          </w:tcPr>
          <w:p>
            <w:pPr>
              <w:ind w:left="320"/>
              <w:spacing w:after="0" w:line="173" w:lineRule="exact"/>
              <w:rPr>
                <w:sz w:val="20"/>
                <w:szCs w:val="20"/>
                <w:color w:val="auto"/>
              </w:rPr>
            </w:pPr>
            <w:r>
              <w:rPr>
                <w:rFonts w:ascii="Arial" w:cs="Arial" w:eastAsia="Arial" w:hAnsi="Arial"/>
                <w:sz w:val="18"/>
                <w:szCs w:val="18"/>
                <w:color w:val="auto"/>
                <w:w w:val="92"/>
              </w:rPr>
              <w:t>Credit Acceptance Corporation Amended and Restated Incentive Compensation Plan, as amended, March 26, 2012 (incorporated by</w:t>
            </w:r>
          </w:p>
        </w:tc>
        <w:tc>
          <w:tcPr>
            <w:tcW w:w="0" w:type="dxa"/>
            <w:vAlign w:val="bottom"/>
          </w:tcPr>
          <w:p>
            <w:pPr>
              <w:spacing w:after="0"/>
              <w:rPr>
                <w:sz w:val="1"/>
                <w:szCs w:val="1"/>
                <w:color w:val="auto"/>
              </w:rPr>
            </w:pPr>
          </w:p>
        </w:tc>
      </w:tr>
      <w:tr>
        <w:trPr>
          <w:trHeight w:val="92"/>
        </w:trPr>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80" w:type="dxa"/>
            <w:vAlign w:val="bottom"/>
            <w:vMerge w:val="restart"/>
          </w:tcPr>
          <w:p>
            <w:pPr>
              <w:ind w:left="320"/>
              <w:spacing w:after="0"/>
              <w:rPr>
                <w:sz w:val="20"/>
                <w:szCs w:val="20"/>
                <w:color w:val="auto"/>
              </w:rPr>
            </w:pPr>
            <w:r>
              <w:rPr>
                <w:rFonts w:ascii="Arial" w:cs="Arial" w:eastAsia="Arial" w:hAnsi="Arial"/>
                <w:sz w:val="18"/>
                <w:szCs w:val="18"/>
                <w:color w:val="auto"/>
              </w:rPr>
              <w:t>reference to Annex A to the Company’s Definitive Proxy Statement on Schedule 14A filed April 5, 2012).*</w:t>
            </w: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780" w:type="dxa"/>
            <w:vAlign w:val="bottom"/>
            <w:tcBorders>
              <w:right w:val="single" w:sz="8" w:color="CCEEFF"/>
            </w:tcBorders>
            <w:gridSpan w:val="2"/>
            <w:vMerge w:val="restart"/>
            <w:shd w:val="clear" w:color="auto" w:fill="CCEEFF"/>
          </w:tcPr>
          <w:p>
            <w:pPr>
              <w:jc w:val="center"/>
              <w:ind w:left="292"/>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340" w:type="dxa"/>
            <w:vAlign w:val="bottom"/>
            <w:shd w:val="clear" w:color="auto" w:fill="CCEEFF"/>
          </w:tcPr>
          <w:p>
            <w:pPr>
              <w:spacing w:after="0"/>
              <w:rPr>
                <w:sz w:val="15"/>
                <w:szCs w:val="15"/>
                <w:color w:val="auto"/>
              </w:rPr>
            </w:pPr>
          </w:p>
        </w:tc>
        <w:tc>
          <w:tcPr>
            <w:tcW w:w="10080" w:type="dxa"/>
            <w:vAlign w:val="bottom"/>
            <w:shd w:val="clear" w:color="auto" w:fill="CCEEFF"/>
          </w:tcPr>
          <w:p>
            <w:pPr>
              <w:ind w:left="320"/>
              <w:spacing w:after="0" w:line="174" w:lineRule="exact"/>
              <w:rPr>
                <w:sz w:val="20"/>
                <w:szCs w:val="20"/>
                <w:color w:val="auto"/>
              </w:rPr>
            </w:pPr>
            <w:r>
              <w:rPr>
                <w:rFonts w:ascii="Arial" w:cs="Arial" w:eastAsia="Arial" w:hAnsi="Arial"/>
                <w:sz w:val="18"/>
                <w:szCs w:val="18"/>
                <w:color w:val="auto"/>
                <w:w w:val="91"/>
              </w:rPr>
              <w:t>Form of Restricted Stock Unit Award Agreement (incorporated by reference to Exhibit 10.19 to the Company's Annual Report on Form</w:t>
            </w:r>
          </w:p>
        </w:tc>
        <w:tc>
          <w:tcPr>
            <w:tcW w:w="0" w:type="dxa"/>
            <w:vAlign w:val="bottom"/>
          </w:tcPr>
          <w:p>
            <w:pPr>
              <w:spacing w:after="0"/>
              <w:rPr>
                <w:sz w:val="1"/>
                <w:szCs w:val="1"/>
                <w:color w:val="auto"/>
              </w:rPr>
            </w:pPr>
          </w:p>
        </w:tc>
      </w:tr>
      <w:tr>
        <w:trPr>
          <w:trHeight w:val="92"/>
        </w:trPr>
        <w:tc>
          <w:tcPr>
            <w:tcW w:w="780" w:type="dxa"/>
            <w:vAlign w:val="bottom"/>
            <w:tcBorders>
              <w:right w:val="single" w:sz="8" w:color="CCEEFF"/>
            </w:tcBorders>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10-K for the fiscal year ended December 31, 2013).*</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right w:val="single" w:sz="8" w:color="CCEEFF"/>
            </w:tcBorders>
            <w:shd w:val="clear" w:color="auto" w:fill="CCEEFF"/>
          </w:tcPr>
          <w:p>
            <w:pPr>
              <w:spacing w:after="0"/>
              <w:rPr>
                <w:sz w:val="9"/>
                <w:szCs w:val="9"/>
                <w:color w:val="auto"/>
              </w:rPr>
            </w:pPr>
          </w:p>
        </w:tc>
        <w:tc>
          <w:tcPr>
            <w:tcW w:w="360" w:type="dxa"/>
            <w:vAlign w:val="bottom"/>
            <w:tcBorders>
              <w:top w:val="single" w:sz="8" w:color="0000FF"/>
              <w:right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vMerge w:val="restart"/>
          </w:tcPr>
          <w:p>
            <w:pPr>
              <w:jc w:val="center"/>
              <w:ind w:left="292"/>
              <w:spacing w:after="0"/>
              <w:rPr>
                <w:rFonts w:ascii="Arial" w:cs="Arial" w:eastAsia="Arial" w:hAnsi="Arial"/>
                <w:sz w:val="18"/>
                <w:szCs w:val="18"/>
                <w:color w:val="0000FF"/>
                <w:w w:val="91"/>
              </w:rPr>
            </w:pPr>
            <w:hyperlink r:id="rId28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340" w:type="dxa"/>
            <w:vAlign w:val="bottom"/>
          </w:tcPr>
          <w:p>
            <w:pPr>
              <w:spacing w:after="0"/>
              <w:rPr>
                <w:sz w:val="15"/>
                <w:szCs w:val="15"/>
                <w:color w:val="auto"/>
              </w:rPr>
            </w:pPr>
          </w:p>
        </w:tc>
        <w:tc>
          <w:tcPr>
            <w:tcW w:w="10080" w:type="dxa"/>
            <w:vAlign w:val="bottom"/>
          </w:tcPr>
          <w:p>
            <w:pPr>
              <w:ind w:left="320"/>
              <w:spacing w:after="0" w:line="173" w:lineRule="exact"/>
              <w:rPr>
                <w:sz w:val="20"/>
                <w:szCs w:val="20"/>
                <w:color w:val="auto"/>
              </w:rPr>
            </w:pPr>
            <w:r>
              <w:rPr>
                <w:rFonts w:ascii="Arial" w:cs="Arial" w:eastAsia="Arial" w:hAnsi="Arial"/>
                <w:sz w:val="18"/>
                <w:szCs w:val="18"/>
                <w:color w:val="auto"/>
                <w:w w:val="96"/>
              </w:rPr>
              <w:t>Shareholder Agreement, dated as of January 3, 2017, between the Company and Donald A. Foss (incorporated by reference to</w:t>
            </w:r>
          </w:p>
        </w:tc>
        <w:tc>
          <w:tcPr>
            <w:tcW w:w="0" w:type="dxa"/>
            <w:vAlign w:val="bottom"/>
          </w:tcPr>
          <w:p>
            <w:pPr>
              <w:spacing w:after="0"/>
              <w:rPr>
                <w:sz w:val="1"/>
                <w:szCs w:val="1"/>
                <w:color w:val="auto"/>
              </w:rPr>
            </w:pPr>
          </w:p>
        </w:tc>
      </w:tr>
      <w:tr>
        <w:trPr>
          <w:trHeight w:val="92"/>
        </w:trPr>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80" w:type="dxa"/>
            <w:vAlign w:val="bottom"/>
            <w:vMerge w:val="restart"/>
          </w:tcPr>
          <w:p>
            <w:pPr>
              <w:ind w:left="320"/>
              <w:spacing w:after="0"/>
              <w:rPr>
                <w:sz w:val="20"/>
                <w:szCs w:val="20"/>
                <w:color w:val="auto"/>
              </w:rPr>
            </w:pPr>
            <w:r>
              <w:rPr>
                <w:rFonts w:ascii="Arial" w:cs="Arial" w:eastAsia="Arial" w:hAnsi="Arial"/>
                <w:sz w:val="18"/>
                <w:szCs w:val="18"/>
                <w:color w:val="auto"/>
              </w:rPr>
              <w:t>Exhibit 10.18 to the Company’s Current Report on Form 8-K filed January 4, 2017).*</w:t>
            </w: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20" w:type="dxa"/>
            <w:vAlign w:val="bottom"/>
            <w:gridSpan w:val="3"/>
            <w:vMerge w:val="restart"/>
            <w:shd w:val="clear" w:color="auto" w:fill="CCEEFF"/>
          </w:tcPr>
          <w:p>
            <w:pPr>
              <w:jc w:val="center"/>
              <w:spacing w:after="0"/>
              <w:rPr>
                <w:rFonts w:ascii="Arial" w:cs="Arial" w:eastAsia="Arial" w:hAnsi="Arial"/>
                <w:sz w:val="18"/>
                <w:szCs w:val="18"/>
                <w:color w:val="0000FF"/>
                <w:w w:val="88"/>
              </w:rPr>
            </w:pPr>
            <w:hyperlink r:id="rId28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10080" w:type="dxa"/>
            <w:vAlign w:val="bottom"/>
            <w:shd w:val="clear" w:color="auto" w:fill="CCEEFF"/>
          </w:tcPr>
          <w:p>
            <w:pPr>
              <w:ind w:left="320"/>
              <w:spacing w:after="0" w:line="174" w:lineRule="exact"/>
              <w:rPr>
                <w:sz w:val="20"/>
                <w:szCs w:val="20"/>
                <w:color w:val="auto"/>
              </w:rPr>
            </w:pPr>
            <w:r>
              <w:rPr>
                <w:rFonts w:ascii="Arial" w:cs="Arial" w:eastAsia="Arial" w:hAnsi="Arial"/>
                <w:sz w:val="18"/>
                <w:szCs w:val="18"/>
                <w:color w:val="auto"/>
                <w:w w:val="93"/>
              </w:rPr>
              <w:t>Form of Restricted Stock Unit Award Agreement (incorporated by reference to Exhibit 10.19 to the Company’s Quarterly Report on</w:t>
            </w:r>
          </w:p>
        </w:tc>
        <w:tc>
          <w:tcPr>
            <w:tcW w:w="0" w:type="dxa"/>
            <w:vAlign w:val="bottom"/>
          </w:tcPr>
          <w:p>
            <w:pPr>
              <w:spacing w:after="0"/>
              <w:rPr>
                <w:sz w:val="1"/>
                <w:szCs w:val="1"/>
                <w:color w:val="auto"/>
              </w:rPr>
            </w:pPr>
          </w:p>
        </w:tc>
      </w:tr>
      <w:tr>
        <w:trPr>
          <w:trHeight w:val="92"/>
        </w:trPr>
        <w:tc>
          <w:tcPr>
            <w:tcW w:w="1120" w:type="dxa"/>
            <w:vAlign w:val="bottom"/>
            <w:gridSpan w:val="3"/>
            <w:vMerge w:val="continue"/>
            <w:shd w:val="clear" w:color="auto" w:fill="CCEEFF"/>
          </w:tcPr>
          <w:p>
            <w:pPr>
              <w:spacing w:after="0"/>
              <w:rPr>
                <w:sz w:val="7"/>
                <w:szCs w:val="7"/>
                <w:color w:val="auto"/>
              </w:rPr>
            </w:pPr>
          </w:p>
        </w:tc>
        <w:tc>
          <w:tcPr>
            <w:tcW w:w="100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Form 10-Q for the quarterly period ended March 31, 2017).*</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right w:val="single" w:sz="8" w:color="CCEEFF"/>
            </w:tcBorders>
            <w:shd w:val="clear" w:color="auto" w:fill="CCEEFF"/>
          </w:tcPr>
          <w:p>
            <w:pPr>
              <w:spacing w:after="0"/>
              <w:rPr>
                <w:sz w:val="9"/>
                <w:szCs w:val="9"/>
                <w:color w:val="auto"/>
              </w:rPr>
            </w:pPr>
          </w:p>
        </w:tc>
        <w:tc>
          <w:tcPr>
            <w:tcW w:w="360" w:type="dxa"/>
            <w:vAlign w:val="bottom"/>
            <w:tcBorders>
              <w:top w:val="single" w:sz="8" w:color="0000FF"/>
              <w:right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vMerge w:val="restart"/>
          </w:tcPr>
          <w:p>
            <w:pPr>
              <w:jc w:val="center"/>
              <w:ind w:left="292"/>
              <w:spacing w:after="0"/>
              <w:rPr>
                <w:rFonts w:ascii="Arial" w:cs="Arial" w:eastAsia="Arial" w:hAnsi="Arial"/>
                <w:sz w:val="18"/>
                <w:szCs w:val="18"/>
                <w:color w:val="0000FF"/>
                <w:w w:val="88"/>
              </w:rPr>
            </w:pPr>
            <w:hyperlink r:id="rId28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340" w:type="dxa"/>
            <w:vAlign w:val="bottom"/>
          </w:tcPr>
          <w:p>
            <w:pPr>
              <w:spacing w:after="0"/>
              <w:rPr>
                <w:sz w:val="15"/>
                <w:szCs w:val="15"/>
                <w:color w:val="auto"/>
              </w:rPr>
            </w:pPr>
          </w:p>
        </w:tc>
        <w:tc>
          <w:tcPr>
            <w:tcW w:w="10080" w:type="dxa"/>
            <w:vAlign w:val="bottom"/>
          </w:tcPr>
          <w:p>
            <w:pPr>
              <w:ind w:left="320"/>
              <w:spacing w:after="0" w:line="173" w:lineRule="exact"/>
              <w:rPr>
                <w:sz w:val="20"/>
                <w:szCs w:val="20"/>
                <w:color w:val="auto"/>
              </w:rPr>
            </w:pPr>
            <w:r>
              <w:rPr>
                <w:rFonts w:ascii="Arial" w:cs="Arial" w:eastAsia="Arial" w:hAnsi="Arial"/>
                <w:sz w:val="18"/>
                <w:szCs w:val="18"/>
                <w:color w:val="auto"/>
                <w:w w:val="88"/>
              </w:rPr>
              <w:t>Amendment to Shareholder Agreement dated September 15, 2017, between the Company and Donald A. Foss (incorporated by reference</w:t>
            </w:r>
          </w:p>
        </w:tc>
        <w:tc>
          <w:tcPr>
            <w:tcW w:w="0" w:type="dxa"/>
            <w:vAlign w:val="bottom"/>
          </w:tcPr>
          <w:p>
            <w:pPr>
              <w:spacing w:after="0"/>
              <w:rPr>
                <w:sz w:val="1"/>
                <w:szCs w:val="1"/>
                <w:color w:val="auto"/>
              </w:rPr>
            </w:pPr>
          </w:p>
        </w:tc>
      </w:tr>
      <w:tr>
        <w:trPr>
          <w:trHeight w:val="92"/>
        </w:trPr>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80" w:type="dxa"/>
            <w:vAlign w:val="bottom"/>
            <w:vMerge w:val="restart"/>
          </w:tcPr>
          <w:p>
            <w:pPr>
              <w:ind w:left="320"/>
              <w:spacing w:after="0"/>
              <w:rPr>
                <w:sz w:val="20"/>
                <w:szCs w:val="20"/>
                <w:color w:val="auto"/>
              </w:rPr>
            </w:pPr>
            <w:r>
              <w:rPr>
                <w:rFonts w:ascii="Arial" w:cs="Arial" w:eastAsia="Arial" w:hAnsi="Arial"/>
                <w:sz w:val="18"/>
                <w:szCs w:val="18"/>
                <w:color w:val="auto"/>
              </w:rPr>
              <w:t>to Exhibit 10.19 to the Company’s Quarterly Report on Form 10-Q for the quarterly period ended September 30, 2017).*</w:t>
            </w: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2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center"/>
              <w:ind w:right="340"/>
              <w:spacing w:after="0" w:line="186" w:lineRule="exact"/>
              <w:rPr>
                <w:rFonts w:ascii="Arial" w:cs="Arial" w:eastAsia="Arial" w:hAnsi="Arial"/>
                <w:sz w:val="18"/>
                <w:szCs w:val="18"/>
                <w:color w:val="0000FF"/>
                <w:w w:val="79"/>
              </w:rPr>
            </w:pPr>
            <w:hyperlink r:id="rId28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12</w:t>
              </w:r>
            </w:hyperlink>
          </w:p>
        </w:tc>
        <w:tc>
          <w:tcPr>
            <w:tcW w:w="10080" w:type="dxa"/>
            <w:vAlign w:val="bottom"/>
            <w:shd w:val="clear" w:color="auto" w:fill="CCEEFF"/>
          </w:tcPr>
          <w:p>
            <w:pPr>
              <w:ind w:left="320"/>
              <w:spacing w:after="0" w:line="186" w:lineRule="exact"/>
              <w:rPr>
                <w:sz w:val="20"/>
                <w:szCs w:val="20"/>
                <w:color w:val="auto"/>
              </w:rPr>
            </w:pPr>
            <w:r>
              <w:rPr>
                <w:rFonts w:ascii="Arial" w:cs="Arial" w:eastAsia="Arial" w:hAnsi="Arial"/>
                <w:sz w:val="18"/>
                <w:szCs w:val="18"/>
                <w:color w:val="auto"/>
              </w:rPr>
              <w:t>Amendment to Shareholder Agreement dated November 29, 2017, between the Company and Donald A. Foss.*</w:t>
            </w:r>
          </w:p>
        </w:tc>
        <w:tc>
          <w:tcPr>
            <w:tcW w:w="0" w:type="dxa"/>
            <w:vAlign w:val="bottom"/>
          </w:tcPr>
          <w:p>
            <w:pPr>
              <w:spacing w:after="0"/>
              <w:rPr>
                <w:sz w:val="1"/>
                <w:szCs w:val="1"/>
                <w:color w:val="auto"/>
              </w:rPr>
            </w:pPr>
          </w:p>
        </w:tc>
      </w:tr>
      <w:tr>
        <w:trPr>
          <w:trHeight w:val="40"/>
        </w:trPr>
        <w:tc>
          <w:tcPr>
            <w:tcW w:w="420" w:type="dxa"/>
            <w:vAlign w:val="bottom"/>
            <w:tcBorders>
              <w:right w:val="single" w:sz="8" w:color="0000FF"/>
            </w:tcBorders>
            <w:shd w:val="clear" w:color="auto" w:fill="CCEE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20" w:type="dxa"/>
            <w:vAlign w:val="bottom"/>
            <w:vMerge w:val="restart"/>
          </w:tcPr>
          <w:p>
            <w:pPr>
              <w:spacing w:after="0"/>
              <w:rPr>
                <w:sz w:val="15"/>
                <w:szCs w:val="15"/>
                <w:color w:val="auto"/>
              </w:rPr>
            </w:pPr>
          </w:p>
        </w:tc>
        <w:tc>
          <w:tcPr>
            <w:tcW w:w="700" w:type="dxa"/>
            <w:vAlign w:val="bottom"/>
            <w:gridSpan w:val="2"/>
            <w:vMerge w:val="restart"/>
          </w:tcPr>
          <w:p>
            <w:pPr>
              <w:jc w:val="center"/>
              <w:ind w:right="340"/>
              <w:spacing w:after="0"/>
              <w:rPr>
                <w:rFonts w:ascii="Arial" w:cs="Arial" w:eastAsia="Arial" w:hAnsi="Arial"/>
                <w:sz w:val="18"/>
                <w:szCs w:val="18"/>
                <w:color w:val="0000FF"/>
                <w:w w:val="79"/>
              </w:rPr>
            </w:pPr>
            <w:hyperlink r:id="rId287">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13</w:t>
              </w:r>
            </w:hyperlink>
          </w:p>
        </w:tc>
        <w:tc>
          <w:tcPr>
            <w:tcW w:w="10080" w:type="dxa"/>
            <w:vAlign w:val="bottom"/>
          </w:tcPr>
          <w:p>
            <w:pPr>
              <w:ind w:left="320"/>
              <w:spacing w:after="0" w:line="173" w:lineRule="exact"/>
              <w:rPr>
                <w:sz w:val="20"/>
                <w:szCs w:val="20"/>
                <w:color w:val="auto"/>
              </w:rPr>
            </w:pPr>
            <w:r>
              <w:rPr>
                <w:rFonts w:ascii="Arial" w:cs="Arial" w:eastAsia="Arial" w:hAnsi="Arial"/>
                <w:sz w:val="18"/>
                <w:szCs w:val="18"/>
                <w:color w:val="auto"/>
                <w:w w:val="92"/>
              </w:rPr>
              <w:t>Form of Director Restricted Stock Unit Agreement (incorporated by reference to Exhibit 10.13 to the Company’s Quarterly Report on</w:t>
            </w:r>
          </w:p>
        </w:tc>
        <w:tc>
          <w:tcPr>
            <w:tcW w:w="0" w:type="dxa"/>
            <w:vAlign w:val="bottom"/>
          </w:tcPr>
          <w:p>
            <w:pPr>
              <w:spacing w:after="0"/>
              <w:rPr>
                <w:sz w:val="1"/>
                <w:szCs w:val="1"/>
                <w:color w:val="auto"/>
              </w:rPr>
            </w:pPr>
          </w:p>
        </w:tc>
      </w:tr>
      <w:tr>
        <w:trPr>
          <w:trHeight w:val="92"/>
        </w:trPr>
        <w:tc>
          <w:tcPr>
            <w:tcW w:w="4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80" w:type="dxa"/>
            <w:vAlign w:val="bottom"/>
            <w:vMerge w:val="restart"/>
          </w:tcPr>
          <w:p>
            <w:pPr>
              <w:ind w:left="320"/>
              <w:spacing w:after="0"/>
              <w:rPr>
                <w:sz w:val="20"/>
                <w:szCs w:val="20"/>
                <w:color w:val="auto"/>
              </w:rPr>
            </w:pPr>
            <w:r>
              <w:rPr>
                <w:rFonts w:ascii="Arial" w:cs="Arial" w:eastAsia="Arial" w:hAnsi="Arial"/>
                <w:sz w:val="18"/>
                <w:szCs w:val="18"/>
                <w:color w:val="auto"/>
              </w:rPr>
              <w:t>Form 10-Q for the quarterly period ended March 31, 2019).*</w:t>
            </w: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120" w:type="dxa"/>
            <w:vAlign w:val="bottom"/>
            <w:gridSpan w:val="3"/>
            <w:vMerge w:val="restart"/>
            <w:shd w:val="clear" w:color="auto" w:fill="CCEEFF"/>
          </w:tcPr>
          <w:p>
            <w:pPr>
              <w:jc w:val="right"/>
              <w:ind w:right="340"/>
              <w:spacing w:after="0"/>
              <w:rPr>
                <w:rFonts w:ascii="Arial" w:cs="Arial" w:eastAsia="Arial" w:hAnsi="Arial"/>
                <w:sz w:val="18"/>
                <w:szCs w:val="18"/>
                <w:color w:val="0000FF"/>
              </w:rPr>
            </w:pPr>
            <w:hyperlink r:id="rId288">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080" w:type="dxa"/>
            <w:vAlign w:val="bottom"/>
            <w:shd w:val="clear" w:color="auto" w:fill="CCEEFF"/>
          </w:tcPr>
          <w:p>
            <w:pPr>
              <w:ind w:left="320"/>
              <w:spacing w:after="0" w:line="174" w:lineRule="exact"/>
              <w:rPr>
                <w:sz w:val="20"/>
                <w:szCs w:val="20"/>
                <w:color w:val="auto"/>
              </w:rPr>
            </w:pPr>
            <w:r>
              <w:rPr>
                <w:rFonts w:ascii="Arial" w:cs="Arial" w:eastAsia="Arial" w:hAnsi="Arial"/>
                <w:sz w:val="18"/>
                <w:szCs w:val="18"/>
                <w:color w:val="auto"/>
                <w:w w:val="92"/>
              </w:rPr>
              <w:t>Form of Nonqualified Stock Option Agreement (incorporated by reference to Exhibit 10.14 to the Company’s Annual Report on Form</w:t>
            </w:r>
          </w:p>
        </w:tc>
        <w:tc>
          <w:tcPr>
            <w:tcW w:w="0" w:type="dxa"/>
            <w:vAlign w:val="bottom"/>
          </w:tcPr>
          <w:p>
            <w:pPr>
              <w:spacing w:after="0"/>
              <w:rPr>
                <w:sz w:val="1"/>
                <w:szCs w:val="1"/>
                <w:color w:val="auto"/>
              </w:rPr>
            </w:pPr>
          </w:p>
        </w:tc>
      </w:tr>
      <w:tr>
        <w:trPr>
          <w:trHeight w:val="92"/>
        </w:trPr>
        <w:tc>
          <w:tcPr>
            <w:tcW w:w="1120" w:type="dxa"/>
            <w:vAlign w:val="bottom"/>
            <w:gridSpan w:val="3"/>
            <w:vMerge w:val="continue"/>
            <w:shd w:val="clear" w:color="auto" w:fill="CCEEFF"/>
          </w:tcPr>
          <w:p>
            <w:pPr>
              <w:spacing w:after="0"/>
              <w:rPr>
                <w:sz w:val="7"/>
                <w:szCs w:val="7"/>
                <w:color w:val="auto"/>
              </w:rPr>
            </w:pPr>
          </w:p>
        </w:tc>
        <w:tc>
          <w:tcPr>
            <w:tcW w:w="100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10-K for the fiscal year ended December 31, 2020).*</w:t>
            </w:r>
          </w:p>
        </w:tc>
        <w:tc>
          <w:tcPr>
            <w:tcW w:w="0" w:type="dxa"/>
            <w:vAlign w:val="bottom"/>
          </w:tcPr>
          <w:p>
            <w:pPr>
              <w:spacing w:after="0"/>
              <w:rPr>
                <w:sz w:val="1"/>
                <w:szCs w:val="1"/>
                <w:color w:val="auto"/>
              </w:rPr>
            </w:pPr>
          </w:p>
        </w:tc>
      </w:tr>
      <w:tr>
        <w:trPr>
          <w:trHeight w:val="113"/>
        </w:trPr>
        <w:tc>
          <w:tcPr>
            <w:tcW w:w="3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93" w:lineRule="exact"/>
        <w:rPr>
          <w:sz w:val="20"/>
          <w:szCs w:val="20"/>
          <w:color w:val="auto"/>
        </w:rPr>
      </w:pPr>
    </w:p>
    <w:p>
      <w:pPr>
        <w:ind w:left="400"/>
        <w:spacing w:after="0"/>
        <w:rPr>
          <w:rFonts w:ascii="Arial" w:cs="Arial" w:eastAsia="Arial" w:hAnsi="Arial"/>
          <w:sz w:val="15"/>
          <w:szCs w:val="15"/>
          <w:u w:val="single" w:color="auto"/>
          <w:color w:val="0000FF"/>
        </w:rPr>
      </w:pPr>
      <w:hyperlink r:id="rId289">
        <w:r>
          <w:rPr>
            <w:rFonts w:ascii="Arial" w:cs="Arial" w:eastAsia="Arial" w:hAnsi="Arial"/>
            <w:sz w:val="15"/>
            <w:szCs w:val="15"/>
            <w:u w:val="single" w:color="auto"/>
            <w:color w:val="0000FF"/>
          </w:rPr>
          <w:t>10.15</w:t>
        </w:r>
      </w:hyperlink>
    </w:p>
    <w:p>
      <w:pPr>
        <w:spacing w:after="0" w:line="252" w:lineRule="exact"/>
        <w:rPr>
          <w:sz w:val="20"/>
          <w:szCs w:val="20"/>
          <w:color w:val="auto"/>
        </w:rPr>
      </w:pPr>
    </w:p>
    <w:p>
      <w:pPr>
        <w:ind w:left="400"/>
        <w:spacing w:after="0"/>
        <w:rPr>
          <w:rFonts w:ascii="Arial" w:cs="Arial" w:eastAsia="Arial" w:hAnsi="Arial"/>
          <w:sz w:val="15"/>
          <w:szCs w:val="15"/>
          <w:u w:val="single" w:color="auto"/>
          <w:color w:val="0000FF"/>
        </w:rPr>
      </w:pPr>
      <w:hyperlink r:id="rId250">
        <w:r>
          <w:rPr>
            <w:rFonts w:ascii="Arial" w:cs="Arial" w:eastAsia="Arial" w:hAnsi="Arial"/>
            <w:sz w:val="15"/>
            <w:szCs w:val="15"/>
            <w:u w:val="single" w:color="auto"/>
            <w:color w:val="0000FF"/>
          </w:rPr>
          <w:t>10.17</w:t>
        </w:r>
      </w:hyperlink>
    </w:p>
    <w:p>
      <w:pPr>
        <w:spacing w:after="0" w:line="252" w:lineRule="exact"/>
        <w:rPr>
          <w:sz w:val="20"/>
          <w:szCs w:val="20"/>
          <w:color w:val="auto"/>
        </w:rPr>
      </w:pPr>
    </w:p>
    <w:p>
      <w:pPr>
        <w:ind w:left="400"/>
        <w:spacing w:after="0"/>
        <w:rPr>
          <w:rFonts w:ascii="Arial" w:cs="Arial" w:eastAsia="Arial" w:hAnsi="Arial"/>
          <w:sz w:val="15"/>
          <w:szCs w:val="15"/>
          <w:u w:val="single" w:color="auto"/>
          <w:color w:val="0000FF"/>
        </w:rPr>
      </w:pPr>
      <w:hyperlink r:id="rId290">
        <w:r>
          <w:rPr>
            <w:rFonts w:ascii="Arial" w:cs="Arial" w:eastAsia="Arial" w:hAnsi="Arial"/>
            <w:sz w:val="15"/>
            <w:szCs w:val="15"/>
            <w:u w:val="single" w:color="auto"/>
            <w:color w:val="0000FF"/>
          </w:rPr>
          <w:t>10.18</w:t>
        </w:r>
      </w:hyperlink>
    </w:p>
    <w:p>
      <w:pPr>
        <w:spacing w:after="0" w:line="252" w:lineRule="exact"/>
        <w:rPr>
          <w:sz w:val="20"/>
          <w:szCs w:val="20"/>
          <w:color w:val="auto"/>
        </w:rPr>
      </w:pPr>
    </w:p>
    <w:p>
      <w:pPr>
        <w:ind w:left="400"/>
        <w:spacing w:after="0"/>
        <w:rPr>
          <w:rFonts w:ascii="Arial" w:cs="Arial" w:eastAsia="Arial" w:hAnsi="Arial"/>
          <w:sz w:val="15"/>
          <w:szCs w:val="15"/>
          <w:u w:val="single" w:color="auto"/>
          <w:color w:val="0000FF"/>
        </w:rPr>
      </w:pPr>
      <w:hyperlink r:id="rId291">
        <w:r>
          <w:rPr>
            <w:rFonts w:ascii="Arial" w:cs="Arial" w:eastAsia="Arial" w:hAnsi="Arial"/>
            <w:sz w:val="15"/>
            <w:szCs w:val="15"/>
            <w:u w:val="single" w:color="auto"/>
            <w:color w:val="0000FF"/>
          </w:rPr>
          <w:t>10.19</w:t>
        </w:r>
      </w:hyperlink>
    </w:p>
    <w:p>
      <w:pPr>
        <w:spacing w:after="0" w:line="20" w:lineRule="exact"/>
        <w:rPr>
          <w:sz w:val="20"/>
          <w:szCs w:val="20"/>
          <w:color w:val="auto"/>
        </w:rPr>
      </w:pPr>
      <w:r>
        <w:rPr>
          <w:sz w:val="20"/>
          <w:szCs w:val="20"/>
          <w:color w:val="auto"/>
        </w:rPr>
        <w:br w:type="column"/>
      </w:r>
    </w:p>
    <w:p>
      <w:pPr>
        <w:ind w:right="120"/>
        <w:spacing w:after="0" w:line="237" w:lineRule="auto"/>
        <w:rPr>
          <w:sz w:val="20"/>
          <w:szCs w:val="20"/>
          <w:color w:val="auto"/>
        </w:rPr>
      </w:pPr>
      <w:r>
        <w:rPr>
          <w:rFonts w:ascii="Arial" w:cs="Arial" w:eastAsia="Arial" w:hAnsi="Arial"/>
          <w:sz w:val="18"/>
          <w:szCs w:val="18"/>
          <w:color w:val="auto"/>
        </w:rPr>
        <w:t>Form of Nonqualified Stock Option Agreement (incorporated by reference to Exhibit 10.15 to the Company’s Quarterly Report on 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8890</wp:posOffset>
            </wp:positionV>
            <wp:extent cx="7117715" cy="269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2">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120"/>
        <w:spacing w:after="0" w:line="237" w:lineRule="auto"/>
        <w:rPr>
          <w:sz w:val="20"/>
          <w:szCs w:val="20"/>
          <w:color w:val="auto"/>
        </w:rPr>
      </w:pPr>
      <w:r>
        <w:rPr>
          <w:rFonts w:ascii="Arial" w:cs="Arial" w:eastAsia="Arial" w:hAnsi="Arial"/>
          <w:sz w:val="18"/>
          <w:szCs w:val="18"/>
          <w:color w:val="auto"/>
        </w:rPr>
        <w:t>Form of Nonqualified Stock Option Agreement (incorporated by reference to Exhibit 10.17 to the Company’s Quarterly Report on Form 10-Q for the quarterly period ended June 30, 2021).*</w:t>
      </w:r>
    </w:p>
    <w:p>
      <w:pPr>
        <w:spacing w:after="0" w:line="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Form of Nonqualified Stock Option Agreement (incorporated by reference to Exhibit 10.18 to the Company’s Quarterly Report on 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8890</wp:posOffset>
            </wp:positionV>
            <wp:extent cx="7117715" cy="269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3">
                      <a:extLst>
                        <a:ext uri="{28A0092B-C50C-407E-A947-70E740481C1C}"/>
                      </a:extLst>
                    </a:blip>
                    <a:srcRect/>
                    <a:stretch>
                      <a:fillRect/>
                    </a:stretch>
                  </pic:blipFill>
                  <pic:spPr bwMode="auto">
                    <a:xfrm>
                      <a:off x="0" y="0"/>
                      <a:ext cx="7117715" cy="269240"/>
                    </a:xfrm>
                    <a:prstGeom prst="rect">
                      <a:avLst/>
                    </a:prstGeom>
                    <a:noFill/>
                  </pic:spPr>
                </pic:pic>
              </a:graphicData>
            </a:graphic>
          </wp:anchor>
        </w:drawing>
      </w:r>
    </w:p>
    <w:p>
      <w:pPr>
        <w:ind w:right="60"/>
        <w:spacing w:after="0" w:line="237" w:lineRule="auto"/>
        <w:rPr>
          <w:sz w:val="20"/>
          <w:szCs w:val="20"/>
          <w:color w:val="auto"/>
        </w:rPr>
      </w:pPr>
      <w:r>
        <w:rPr>
          <w:rFonts w:ascii="Arial" w:cs="Arial" w:eastAsia="Arial" w:hAnsi="Arial"/>
          <w:sz w:val="18"/>
          <w:szCs w:val="18"/>
          <w:color w:val="auto"/>
        </w:rPr>
        <w:t>Settlement Agreement and Assurance of Discontinuance with the Commonwealth of Massachusetts (incorporated by reference to Exhibit 10.19 to the Company’s Current Report on Form 8-K filed September 1, 2021).</w:t>
      </w:r>
    </w:p>
    <w:p>
      <w:pPr>
        <w:spacing w:after="0" w:line="15" w:lineRule="exact"/>
        <w:rPr>
          <w:sz w:val="20"/>
          <w:szCs w:val="20"/>
          <w:color w:val="auto"/>
        </w:rPr>
      </w:pPr>
    </w:p>
    <w:p>
      <w:pPr>
        <w:sectPr>
          <w:pgSz w:w="11900" w:h="16838" w:orient="portrait"/>
          <w:cols w:equalWidth="0" w:num="2">
            <w:col w:w="800" w:space="660"/>
            <w:col w:w="9780"/>
          </w:cols>
          <w:pgMar w:left="320" w:top="927" w:right="339" w:bottom="1440" w:gutter="0" w:footer="0" w:header="0"/>
          <w:type w:val="continuous"/>
        </w:sectPr>
      </w:pPr>
    </w:p>
    <w:p>
      <w:pPr>
        <w:ind w:left="1460" w:hanging="946"/>
        <w:spacing w:after="0"/>
        <w:tabs>
          <w:tab w:leader="none" w:pos="1460" w:val="left"/>
        </w:tabs>
        <w:numPr>
          <w:ilvl w:val="0"/>
          <w:numId w:val="85"/>
        </w:numPr>
        <w:rPr>
          <w:rFonts w:ascii="Arial" w:cs="Arial" w:eastAsia="Arial" w:hAnsi="Arial"/>
          <w:sz w:val="18"/>
          <w:szCs w:val="18"/>
          <w:u w:val="single" w:color="auto"/>
          <w:color w:val="0000FF"/>
        </w:rPr>
      </w:pPr>
      <w:r>
        <w:rPr>
          <w:rFonts w:ascii="Arial" w:cs="Arial" w:eastAsia="Arial" w:hAnsi="Arial"/>
          <w:sz w:val="18"/>
          <w:szCs w:val="18"/>
          <w:color w:val="auto"/>
        </w:rPr>
        <w:t>Schedule of Credit Acceptance Corporation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142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4">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1460" w:hanging="946"/>
        <w:spacing w:after="0"/>
        <w:tabs>
          <w:tab w:leader="none" w:pos="1460" w:val="left"/>
        </w:tabs>
        <w:numPr>
          <w:ilvl w:val="0"/>
          <w:numId w:val="86"/>
        </w:numPr>
        <w:rPr>
          <w:rFonts w:ascii="Arial" w:cs="Arial" w:eastAsia="Arial" w:hAnsi="Arial"/>
          <w:sz w:val="18"/>
          <w:szCs w:val="18"/>
          <w:u w:val="single" w:color="auto"/>
          <w:color w:val="0000FF"/>
        </w:rPr>
      </w:pPr>
      <w:r>
        <w:rPr>
          <w:rFonts w:ascii="Arial" w:cs="Arial" w:eastAsia="Arial" w:hAnsi="Arial"/>
          <w:sz w:val="18"/>
          <w:szCs w:val="18"/>
          <w:color w:val="auto"/>
        </w:rPr>
        <w:t>Consent of Grant Thornton LLP.</w:t>
      </w:r>
    </w:p>
    <w:tbl>
      <w:tblPr>
        <w:tblLayout w:type="fixed"/>
        <w:tblInd w:w="2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320" w:type="dxa"/>
            <w:vAlign w:val="bottom"/>
            <w:tcBorders>
              <w:bottom w:val="single" w:sz="8" w:color="0000FF"/>
            </w:tcBorders>
          </w:tcPr>
          <w:p>
            <w:pPr>
              <w:jc w:val="center"/>
              <w:spacing w:after="0" w:line="203"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60" w:type="dxa"/>
            <w:vAlign w:val="bottom"/>
          </w:tcPr>
          <w:p>
            <w:pPr>
              <w:spacing w:after="0"/>
              <w:rPr>
                <w:sz w:val="18"/>
                <w:szCs w:val="18"/>
                <w:color w:val="auto"/>
              </w:rPr>
            </w:pPr>
          </w:p>
        </w:tc>
        <w:tc>
          <w:tcPr>
            <w:tcW w:w="10000" w:type="dxa"/>
            <w:vAlign w:val="bottom"/>
          </w:tcPr>
          <w:p>
            <w:pPr>
              <w:ind w:left="240"/>
              <w:spacing w:after="0" w:line="203" w:lineRule="exact"/>
              <w:rPr>
                <w:sz w:val="20"/>
                <w:szCs w:val="20"/>
                <w:color w:val="auto"/>
              </w:rPr>
            </w:pPr>
            <w:r>
              <w:rPr>
                <w:rFonts w:ascii="Arial" w:cs="Arial" w:eastAsia="Arial" w:hAnsi="Arial"/>
                <w:sz w:val="18"/>
                <w:szCs w:val="18"/>
                <w:color w:val="auto"/>
                <w:w w:val="94"/>
              </w:rPr>
              <w:t>Certification of principal executive officer and principal financial officer pursuant to Rule 13a-14(a) of the Securities Exchange Act.</w:t>
            </w:r>
          </w:p>
        </w:tc>
        <w:tc>
          <w:tcPr>
            <w:tcW w:w="0" w:type="dxa"/>
            <w:vAlign w:val="bottom"/>
          </w:tcPr>
          <w:p>
            <w:pPr>
              <w:spacing w:after="0"/>
              <w:rPr>
                <w:sz w:val="1"/>
                <w:szCs w:val="1"/>
                <w:color w:val="auto"/>
              </w:rPr>
            </w:pPr>
          </w:p>
        </w:tc>
      </w:tr>
      <w:tr>
        <w:trPr>
          <w:trHeight w:val="183"/>
        </w:trPr>
        <w:tc>
          <w:tcPr>
            <w:tcW w:w="1200" w:type="dxa"/>
            <w:vAlign w:val="bottom"/>
            <w:gridSpan w:val="3"/>
            <w:vMerge w:val="restart"/>
            <w:shd w:val="clear" w:color="auto" w:fill="CCEEFF"/>
          </w:tcPr>
          <w:p>
            <w:pPr>
              <w:jc w:val="center"/>
              <w:ind w:right="40"/>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00" w:type="dxa"/>
            <w:vAlign w:val="bottom"/>
            <w:shd w:val="clear" w:color="auto" w:fill="CCEEFF"/>
          </w:tcPr>
          <w:p>
            <w:pPr>
              <w:ind w:left="240"/>
              <w:spacing w:after="0" w:line="183" w:lineRule="exact"/>
              <w:rPr>
                <w:sz w:val="20"/>
                <w:szCs w:val="20"/>
                <w:color w:val="auto"/>
              </w:rPr>
            </w:pPr>
            <w:r>
              <w:rPr>
                <w:rFonts w:ascii="Arial" w:cs="Arial" w:eastAsia="Arial" w:hAnsi="Arial"/>
                <w:sz w:val="18"/>
                <w:szCs w:val="18"/>
                <w:color w:val="auto"/>
                <w:w w:val="93"/>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92"/>
        </w:trPr>
        <w:tc>
          <w:tcPr>
            <w:tcW w:w="1200" w:type="dxa"/>
            <w:vAlign w:val="bottom"/>
            <w:gridSpan w:val="3"/>
            <w:vMerge w:val="continue"/>
            <w:shd w:val="clear" w:color="auto" w:fill="CCEEFF"/>
          </w:tcPr>
          <w:p>
            <w:pPr>
              <w:spacing w:after="0"/>
              <w:rPr>
                <w:sz w:val="7"/>
                <w:szCs w:val="7"/>
                <w:color w:val="auto"/>
              </w:rPr>
            </w:pPr>
          </w:p>
        </w:tc>
        <w:tc>
          <w:tcPr>
            <w:tcW w:w="100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0000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1000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2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101(SCH)</w:t>
            </w:r>
          </w:p>
        </w:tc>
        <w:tc>
          <w:tcPr>
            <w:tcW w:w="100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6"/>
        </w:trPr>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6"/>
              </w:rPr>
              <w:t>101(CAL)</w:t>
            </w:r>
          </w:p>
        </w:tc>
        <w:tc>
          <w:tcPr>
            <w:tcW w:w="10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2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101(DEF)</w:t>
            </w:r>
          </w:p>
        </w:tc>
        <w:tc>
          <w:tcPr>
            <w:tcW w:w="100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7"/>
              </w:rPr>
              <w:t>101(LAB)</w:t>
            </w:r>
          </w:p>
        </w:tc>
        <w:tc>
          <w:tcPr>
            <w:tcW w:w="10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24"/>
        </w:trPr>
        <w:tc>
          <w:tcPr>
            <w:tcW w:w="12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101(PRE)</w:t>
            </w:r>
          </w:p>
        </w:tc>
        <w:tc>
          <w:tcPr>
            <w:tcW w:w="100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7117715" cy="142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5">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1460" w:hanging="990"/>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Cover Page Interactive Data File (included in the Exhibit 101 Inline XBRL Document Set).</w:t>
      </w:r>
    </w:p>
    <w:p>
      <w:pPr>
        <w:spacing w:after="0" w:line="2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or arrangement.</w:t>
      </w:r>
    </w:p>
    <w:p>
      <w:pPr>
        <w:spacing w:after="0" w:line="33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Other instruments, notes or extracts from agreements defining the rights of holders of long-term debt of the Company or its subsidiaries have not been filed because (i) in each case the total amount of long-term debt permitted thereunder does not exceed 10% of the Company’s consolidated assets and (ii) the Company hereby agrees that it will furnish such instruments, notes and extracts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6" w:name="page107"/>
    <w:bookmarkEnd w:id="106"/>
    <w:p>
      <w:pPr>
        <w:spacing w:after="0" w:line="264" w:lineRule="auto"/>
        <w:rPr>
          <w:sz w:val="20"/>
          <w:szCs w:val="20"/>
          <w:color w:val="auto"/>
        </w:rPr>
      </w:pPr>
      <w:r>
        <w:rPr>
          <w:rFonts w:ascii="Arial" w:cs="Arial" w:eastAsia="Arial" w:hAnsi="Arial"/>
          <w:sz w:val="18"/>
          <w:szCs w:val="18"/>
          <w:color w:val="auto"/>
        </w:rPr>
        <w:t>Amendments and modifications to other exhibits previously filed have been omitted when in the opinion of the registrant such exhibits as amended or modified are no longer material or, in certain instances, are no longer required to be filed as exhibits.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CREDIT ACCEPTANCE CORPORATION</w:t>
      </w:r>
    </w:p>
    <w:p>
      <w:pPr>
        <w:spacing w:after="0" w:line="250" w:lineRule="exact"/>
        <w:rPr>
          <w:sz w:val="20"/>
          <w:szCs w:val="20"/>
          <w:color w:val="auto"/>
        </w:rPr>
      </w:pPr>
    </w:p>
    <w:tbl>
      <w:tblPr>
        <w:tblLayout w:type="fixed"/>
        <w:tblInd w:w="460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S. BOOTH</w:t>
            </w:r>
          </w:p>
        </w:tc>
      </w:tr>
      <w:tr>
        <w:trPr>
          <w:trHeight w:val="224"/>
        </w:trPr>
        <w:tc>
          <w:tcPr>
            <w:tcW w:w="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Kenneth S. Booth</w:t>
            </w:r>
          </w:p>
        </w:tc>
      </w:tr>
      <w:tr>
        <w:trPr>
          <w:trHeight w:val="225"/>
        </w:trPr>
        <w:tc>
          <w:tcPr>
            <w:tcW w:w="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45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ind w:left="20"/>
              <w:spacing w:after="0"/>
              <w:rPr>
                <w:sz w:val="20"/>
                <w:szCs w:val="20"/>
                <w:color w:val="auto"/>
              </w:rPr>
            </w:pPr>
            <w:r>
              <w:rPr>
                <w:rFonts w:ascii="Arial" w:cs="Arial" w:eastAsia="Arial" w:hAnsi="Arial"/>
                <w:sz w:val="18"/>
                <w:szCs w:val="18"/>
                <w:color w:val="auto"/>
              </w:rPr>
              <w:t>February 11, 2022</w:t>
            </w:r>
          </w:p>
        </w:tc>
      </w:tr>
    </w:tbl>
    <w:p>
      <w:pPr>
        <w:spacing w:after="0" w:line="32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February 11, 2022 on behalf of the registrant and in the capacities indicated.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ind w:left="1440"/>
              <w:spacing w:after="0"/>
              <w:rPr>
                <w:sz w:val="20"/>
                <w:szCs w:val="20"/>
                <w:color w:val="auto"/>
              </w:rPr>
            </w:pPr>
            <w:r>
              <w:rPr>
                <w:rFonts w:ascii="Arial" w:cs="Arial" w:eastAsia="Arial" w:hAnsi="Arial"/>
                <w:sz w:val="18"/>
                <w:szCs w:val="18"/>
                <w:b w:val="1"/>
                <w:bCs w:val="1"/>
                <w:color w:val="auto"/>
              </w:rPr>
              <w:t>Signature</w:t>
            </w:r>
          </w:p>
        </w:tc>
        <w:tc>
          <w:tcPr>
            <w:tcW w:w="5100" w:type="dxa"/>
            <w:vAlign w:val="bottom"/>
          </w:tcPr>
          <w:p>
            <w:pPr>
              <w:ind w:left="4020"/>
              <w:spacing w:after="0"/>
              <w:rPr>
                <w:sz w:val="20"/>
                <w:szCs w:val="20"/>
                <w:color w:val="auto"/>
              </w:rPr>
            </w:pPr>
            <w:r>
              <w:rPr>
                <w:rFonts w:ascii="Arial" w:cs="Arial" w:eastAsia="Arial" w:hAnsi="Arial"/>
                <w:sz w:val="18"/>
                <w:szCs w:val="18"/>
                <w:b w:val="1"/>
                <w:bCs w:val="1"/>
                <w:color w:val="auto"/>
              </w:rPr>
              <w:t>Title</w:t>
            </w:r>
          </w:p>
        </w:tc>
      </w:tr>
      <w:tr>
        <w:trPr>
          <w:trHeight w:val="45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S. BOOTH</w:t>
            </w:r>
          </w:p>
        </w:tc>
        <w:tc>
          <w:tcPr>
            <w:tcW w:w="5100" w:type="dxa"/>
            <w:vAlign w:val="bottom"/>
          </w:tcPr>
          <w:p>
            <w:pPr>
              <w:ind w:left="82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Kenneth S. Booth</w:t>
            </w:r>
          </w:p>
        </w:tc>
        <w:tc>
          <w:tcPr>
            <w:tcW w:w="5100" w:type="dxa"/>
            <w:vAlign w:val="bottom"/>
          </w:tcPr>
          <w:p>
            <w:pPr>
              <w:ind w:left="820"/>
              <w:spacing w:after="0"/>
              <w:rPr>
                <w:sz w:val="20"/>
                <w:szCs w:val="20"/>
                <w:color w:val="auto"/>
              </w:rPr>
            </w:pPr>
            <w:r>
              <w:rPr>
                <w:rFonts w:ascii="Arial" w:cs="Arial" w:eastAsia="Arial" w:hAnsi="Arial"/>
                <w:sz w:val="18"/>
                <w:szCs w:val="18"/>
                <w:color w:val="auto"/>
                <w:w w:val="91"/>
              </w:rPr>
              <w:t>(Principal Executive Officer and Principal Financial Officer)</w:t>
            </w:r>
          </w:p>
        </w:tc>
      </w:tr>
      <w:tr>
        <w:trPr>
          <w:trHeight w:val="45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D. MARTIN</w:t>
            </w:r>
          </w:p>
        </w:tc>
        <w:tc>
          <w:tcPr>
            <w:tcW w:w="5100" w:type="dxa"/>
            <w:vAlign w:val="bottom"/>
          </w:tcPr>
          <w:p>
            <w:pPr>
              <w:ind w:left="820"/>
              <w:spacing w:after="0"/>
              <w:rPr>
                <w:sz w:val="20"/>
                <w:szCs w:val="20"/>
                <w:color w:val="auto"/>
              </w:rPr>
            </w:pPr>
            <w:r>
              <w:rPr>
                <w:rFonts w:ascii="Arial" w:cs="Arial" w:eastAsia="Arial" w:hAnsi="Arial"/>
                <w:sz w:val="18"/>
                <w:szCs w:val="18"/>
                <w:color w:val="auto"/>
              </w:rPr>
              <w:t>Senior Vice President - Finance &amp; Accounting</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Jay D. Martin</w:t>
            </w:r>
          </w:p>
        </w:tc>
        <w:tc>
          <w:tcPr>
            <w:tcW w:w="5100" w:type="dxa"/>
            <w:vAlign w:val="bottom"/>
          </w:tcPr>
          <w:p>
            <w:pPr>
              <w:ind w:left="820"/>
              <w:spacing w:after="0"/>
              <w:rPr>
                <w:sz w:val="20"/>
                <w:szCs w:val="20"/>
                <w:color w:val="auto"/>
              </w:rPr>
            </w:pPr>
            <w:r>
              <w:rPr>
                <w:rFonts w:ascii="Arial" w:cs="Arial" w:eastAsia="Arial" w:hAnsi="Arial"/>
                <w:sz w:val="18"/>
                <w:szCs w:val="18"/>
                <w:color w:val="auto"/>
              </w:rPr>
              <w:t>(Principal Accounting Officer)</w:t>
            </w:r>
          </w:p>
        </w:tc>
      </w:tr>
      <w:tr>
        <w:trPr>
          <w:trHeight w:val="45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N. TRYFOROS</w:t>
            </w:r>
          </w:p>
        </w:tc>
        <w:tc>
          <w:tcPr>
            <w:tcW w:w="5100" w:type="dxa"/>
            <w:vAlign w:val="bottom"/>
          </w:tcPr>
          <w:p>
            <w:pPr>
              <w:ind w:left="820"/>
              <w:spacing w:after="0"/>
              <w:rPr>
                <w:sz w:val="20"/>
                <w:szCs w:val="20"/>
                <w:color w:val="auto"/>
              </w:rPr>
            </w:pPr>
            <w:r>
              <w:rPr>
                <w:rFonts w:ascii="Arial" w:cs="Arial" w:eastAsia="Arial" w:hAnsi="Arial"/>
                <w:sz w:val="18"/>
                <w:szCs w:val="18"/>
                <w:color w:val="auto"/>
              </w:rPr>
              <w:t>Lead Director</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Thomas N. Tryforos</w:t>
            </w:r>
          </w:p>
        </w:tc>
        <w:tc>
          <w:tcPr>
            <w:tcW w:w="5100" w:type="dxa"/>
            <w:vAlign w:val="bottom"/>
          </w:tcPr>
          <w:p>
            <w:pPr>
              <w:spacing w:after="0"/>
              <w:rPr>
                <w:sz w:val="19"/>
                <w:szCs w:val="19"/>
                <w:color w:val="auto"/>
              </w:rPr>
            </w:pPr>
          </w:p>
        </w:tc>
      </w:tr>
      <w:tr>
        <w:trPr>
          <w:trHeight w:val="49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GLENDA J. FLANAGAN</w:t>
            </w:r>
          </w:p>
        </w:tc>
        <w:tc>
          <w:tcPr>
            <w:tcW w:w="5100" w:type="dxa"/>
            <w:vAlign w:val="bottom"/>
          </w:tcPr>
          <w:p>
            <w:pPr>
              <w:ind w:left="8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Glenda J. Flanagan</w:t>
            </w:r>
          </w:p>
        </w:tc>
        <w:tc>
          <w:tcPr>
            <w:tcW w:w="5100" w:type="dxa"/>
            <w:vAlign w:val="bottom"/>
          </w:tcPr>
          <w:p>
            <w:pPr>
              <w:spacing w:after="0"/>
              <w:rPr>
                <w:sz w:val="19"/>
                <w:szCs w:val="19"/>
                <w:color w:val="auto"/>
              </w:rPr>
            </w:pPr>
          </w:p>
        </w:tc>
      </w:tr>
      <w:tr>
        <w:trPr>
          <w:trHeight w:val="45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VINAYAK R. HEGDE</w:t>
            </w:r>
          </w:p>
        </w:tc>
        <w:tc>
          <w:tcPr>
            <w:tcW w:w="5100" w:type="dxa"/>
            <w:vAlign w:val="bottom"/>
          </w:tcPr>
          <w:p>
            <w:pPr>
              <w:ind w:left="8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Vinayak R. Hegde</w:t>
            </w:r>
          </w:p>
        </w:tc>
        <w:tc>
          <w:tcPr>
            <w:tcW w:w="5100" w:type="dxa"/>
            <w:vAlign w:val="bottom"/>
          </w:tcPr>
          <w:p>
            <w:pPr>
              <w:spacing w:after="0"/>
              <w:rPr>
                <w:sz w:val="19"/>
                <w:szCs w:val="19"/>
                <w:color w:val="auto"/>
              </w:rPr>
            </w:pPr>
          </w:p>
        </w:tc>
      </w:tr>
      <w:tr>
        <w:trPr>
          <w:trHeight w:val="49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J. VASSALLUZZO</w:t>
            </w:r>
          </w:p>
        </w:tc>
        <w:tc>
          <w:tcPr>
            <w:tcW w:w="5100" w:type="dxa"/>
            <w:vAlign w:val="bottom"/>
          </w:tcPr>
          <w:p>
            <w:pPr>
              <w:ind w:left="8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Scott J. Vassalluzzo</w:t>
            </w:r>
          </w:p>
        </w:tc>
        <w:tc>
          <w:tcPr>
            <w:tcW w:w="5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916"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9"/>
          <w:szCs w:val="19"/>
          <w:b w:val="1"/>
          <w:bCs w:val="1"/>
          <w:color w:val="auto"/>
        </w:rPr>
        <w:t>EXHIBIT 21</w:t>
      </w:r>
    </w:p>
    <w:p>
      <w:pPr>
        <w:spacing w:after="0" w:line="245" w:lineRule="exact"/>
        <w:rPr>
          <w:sz w:val="20"/>
          <w:szCs w:val="20"/>
          <w:color w:val="auto"/>
        </w:rPr>
      </w:pPr>
    </w:p>
    <w:p>
      <w:pPr>
        <w:jc w:val="center"/>
        <w:ind w:left="340" w:right="2360"/>
        <w:spacing w:after="0" w:line="275" w:lineRule="auto"/>
        <w:rPr>
          <w:sz w:val="20"/>
          <w:szCs w:val="20"/>
          <w:color w:val="auto"/>
        </w:rPr>
      </w:pPr>
      <w:r>
        <w:rPr>
          <w:rFonts w:ascii="Arial" w:cs="Arial" w:eastAsia="Arial" w:hAnsi="Arial"/>
          <w:sz w:val="19"/>
          <w:szCs w:val="19"/>
          <w:b w:val="1"/>
          <w:bCs w:val="1"/>
          <w:color w:val="auto"/>
        </w:rPr>
        <w:t>CREDIT ACCEPTANCE CORPORATION SCHEDULE OF CREDIT ACCEPTANCE CORPORATION SUBSIDIARIES As of December 31, 2021</w:t>
      </w:r>
    </w:p>
    <w:p>
      <w:pPr>
        <w:spacing w:after="0" w:line="200" w:lineRule="exact"/>
        <w:rPr>
          <w:sz w:val="20"/>
          <w:szCs w:val="20"/>
          <w:color w:val="auto"/>
        </w:rPr>
      </w:pPr>
    </w:p>
    <w:p>
      <w:pPr>
        <w:spacing w:after="0" w:line="224" w:lineRule="exact"/>
        <w:rPr>
          <w:sz w:val="20"/>
          <w:szCs w:val="20"/>
          <w:color w:val="auto"/>
        </w:rPr>
      </w:pPr>
    </w:p>
    <w:p>
      <w:pPr>
        <w:ind w:right="100"/>
        <w:spacing w:after="0" w:line="365" w:lineRule="auto"/>
        <w:rPr>
          <w:sz w:val="20"/>
          <w:szCs w:val="20"/>
          <w:color w:val="auto"/>
        </w:rPr>
      </w:pPr>
      <w:r>
        <w:rPr>
          <w:rFonts w:ascii="Arial" w:cs="Arial" w:eastAsia="Arial" w:hAnsi="Arial"/>
          <w:sz w:val="15"/>
          <w:szCs w:val="15"/>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Buyers Vehicle Protection Plan,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8">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International Holdings, LLC</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of Canada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9">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Reinsurance, Ltd.</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00">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II</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01">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V</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2">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VII</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CAC Warehouse Funding LLC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3">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2018-3</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4">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2019-3</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5">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2020-2</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6">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2021-2</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7">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2021-4</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Auto Loan Trust 2022-1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8">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Corporation of South Dakota, Inc.</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9">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2017-3</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0">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2018-2</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1">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2019-1</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2">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2019-3</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3">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2020-2</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4">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2021-1</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5">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2021-3</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6">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Acceptance Funding LLC 2022-1</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Chapter 4 Properties,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74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7">
                      <a:extLst>
                        <a:ext uri="{28A0092B-C50C-407E-A947-70E740481C1C}"/>
                      </a:extLst>
                    </a:blip>
                    <a:srcRect/>
                    <a:stretch>
                      <a:fillRect/>
                    </a:stretch>
                  </pic:blipFill>
                  <pic:spPr bwMode="auto">
                    <a:xfrm>
                      <a:off x="0" y="0"/>
                      <a:ext cx="672274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Vehicle Remarketing Services, Inc.</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VSC 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-98425</wp:posOffset>
            </wp:positionV>
            <wp:extent cx="6722745" cy="1181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8">
                      <a:extLst>
                        <a:ext uri="{28A0092B-C50C-407E-A947-70E740481C1C}"/>
                      </a:extLst>
                    </a:blip>
                    <a:srcRect/>
                    <a:stretch>
                      <a:fillRect/>
                    </a:stretch>
                  </pic:blipFill>
                  <pic:spPr bwMode="auto">
                    <a:xfrm>
                      <a:off x="0" y="0"/>
                      <a:ext cx="6722745" cy="1181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ind w:right="80"/>
        <w:spacing w:after="0"/>
        <w:rPr>
          <w:sz w:val="20"/>
          <w:szCs w:val="20"/>
          <w:color w:val="auto"/>
        </w:rPr>
      </w:pPr>
      <w:r>
        <w:rPr>
          <w:rFonts w:ascii="Arial" w:cs="Arial" w:eastAsia="Arial" w:hAnsi="Arial"/>
          <w:sz w:val="19"/>
          <w:szCs w:val="19"/>
          <w:color w:val="auto"/>
        </w:rPr>
        <w:t>We have issued our reports dated February 11, 2022, with respect to the consolidated financial statements and internal control over financial reporting included in the Annual Report of Credit Acceptance Corporation and subsidiaries on Form 10-K for the year ended December 31, 2021. We consent to the incorporation by reference of said reports in the Registration Statements of Credit Acceptance Corporation and subsidiaries on Forms S-3 (File No. 333-18301 and File No. 333-187778) and on Forms S-8 (File No. 333-67348, File No. 333-91734, File No. 333-111831, File No. 333-120756, File No. 333-187105 and File No. 333-260660).</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 GRANT THORNTON LLP</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11, 2022</w:t>
      </w:r>
    </w:p>
    <w:p>
      <w:pPr>
        <w:sectPr>
          <w:pgSz w:w="11900" w:h="16838" w:orient="portrait"/>
          <w:cols w:equalWidth="0" w:num="1">
            <w:col w:w="11240"/>
          </w:cols>
          <w:pgMar w:left="320" w:top="1389" w:right="339" w:bottom="1440" w:gutter="0" w:footer="0" w:header="0"/>
        </w:sectPr>
      </w:pPr>
    </w:p>
    <w:bookmarkStart w:id="110" w:name="page111"/>
    <w:bookmarkEnd w:id="110"/>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44" w:lineRule="exact"/>
        <w:rPr>
          <w:sz w:val="20"/>
          <w:szCs w:val="20"/>
          <w:color w:val="auto"/>
        </w:rPr>
      </w:pPr>
    </w:p>
    <w:p>
      <w:pPr>
        <w:ind w:left="500" w:hanging="176"/>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Credit Acceptance Corporation;</w:t>
      </w:r>
    </w:p>
    <w:p>
      <w:pPr>
        <w:spacing w:after="0" w:line="243" w:lineRule="exact"/>
        <w:rPr>
          <w:rFonts w:ascii="Arial" w:cs="Arial" w:eastAsia="Arial" w:hAnsi="Arial"/>
          <w:sz w:val="18"/>
          <w:szCs w:val="18"/>
          <w:color w:val="auto"/>
        </w:rPr>
      </w:pPr>
    </w:p>
    <w:p>
      <w:pPr>
        <w:ind w:firstLine="324"/>
        <w:spacing w:after="0" w:line="365" w:lineRule="auto"/>
        <w:tabs>
          <w:tab w:leader="none" w:pos="512"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firstLine="324"/>
        <w:spacing w:after="0" w:line="264" w:lineRule="auto"/>
        <w:tabs>
          <w:tab w:leader="none" w:pos="5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firstLine="324"/>
        <w:spacing w:after="0" w:line="294" w:lineRule="auto"/>
        <w:tabs>
          <w:tab w:leader="none" w:pos="5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7"/>
          <w:szCs w:val="17"/>
          <w:color w:val="auto"/>
        </w:rPr>
      </w:pPr>
    </w:p>
    <w:p>
      <w:pPr>
        <w:jc w:val="both"/>
        <w:ind w:firstLine="642"/>
        <w:spacing w:after="0" w:line="255" w:lineRule="auto"/>
        <w:tabs>
          <w:tab w:leader="none" w:pos="8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firstLine="642"/>
        <w:spacing w:after="0" w:line="255" w:lineRule="auto"/>
        <w:tabs>
          <w:tab w:leader="none" w:pos="9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firstLine="642"/>
        <w:spacing w:after="0" w:line="294" w:lineRule="auto"/>
        <w:tabs>
          <w:tab w:leader="none" w:pos="921"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firstLine="642"/>
        <w:spacing w:after="0" w:line="255" w:lineRule="auto"/>
        <w:tabs>
          <w:tab w:leader="none" w:pos="90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324"/>
        <w:spacing w:after="0" w:line="264" w:lineRule="auto"/>
        <w:tabs>
          <w:tab w:leader="none" w:pos="49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Arial" w:cs="Arial" w:eastAsia="Arial" w:hAnsi="Arial"/>
          <w:sz w:val="18"/>
          <w:szCs w:val="18"/>
          <w:color w:val="auto"/>
        </w:rPr>
      </w:pPr>
    </w:p>
    <w:p>
      <w:pPr>
        <w:ind w:firstLine="642"/>
        <w:spacing w:after="0" w:line="264" w:lineRule="auto"/>
        <w:tabs>
          <w:tab w:leader="none" w:pos="8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right="20" w:firstLine="642"/>
        <w:spacing w:after="0" w:line="264" w:lineRule="auto"/>
        <w:tabs>
          <w:tab w:leader="none" w:pos="89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240" w:val="left"/>
          <w:tab w:leader="none" w:pos="6080" w:val="left"/>
        </w:tabs>
        <w:rPr>
          <w:sz w:val="20"/>
          <w:szCs w:val="20"/>
          <w:color w:val="auto"/>
        </w:rPr>
      </w:pPr>
      <w:r>
        <w:rPr>
          <w:rFonts w:ascii="Arial" w:cs="Arial" w:eastAsia="Arial" w:hAnsi="Arial"/>
          <w:sz w:val="18"/>
          <w:szCs w:val="18"/>
          <w:color w:val="auto"/>
        </w:rPr>
        <w:t>Date: February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266700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9">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Kenneth S. Booth</w:t>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ind w:left="6100"/>
        <w:spacing w:after="0" w:line="237" w:lineRule="auto"/>
        <w:rPr>
          <w:sz w:val="20"/>
          <w:szCs w:val="20"/>
          <w:color w:val="auto"/>
        </w:rPr>
      </w:pPr>
      <w:r>
        <w:rPr>
          <w:rFonts w:ascii="Arial" w:cs="Arial" w:eastAsia="Arial" w:hAnsi="Arial"/>
          <w:sz w:val="18"/>
          <w:szCs w:val="18"/>
          <w:color w:val="auto"/>
        </w:rPr>
        <w:t>(Principal Executive Officer and Principal Financial</w:t>
      </w:r>
    </w:p>
    <w:p>
      <w:pPr>
        <w:ind w:left="61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76"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connection with the Annual Report on Form 10-K of Credit Acceptance Corporation (the "Company") for the period ended December 31, 2021 as filed with the Securities and Exchange Commission on the date hereof (the "Report"), I, Kenneth S. Booth, as Chief Executive Officer (and, as such, the principal executive officer and principal financial officer) of the Company, hereby certify, pursuant to 18 U.S.C. §1350, as adopted pursuant to §906 of the Sarbanes-Oxley Act of 2002, that, to the best of my knowledge:</w:t>
      </w:r>
    </w:p>
    <w:p>
      <w:pPr>
        <w:spacing w:after="0" w:line="217" w:lineRule="exact"/>
        <w:rPr>
          <w:sz w:val="20"/>
          <w:szCs w:val="20"/>
          <w:color w:val="auto"/>
        </w:rPr>
      </w:pPr>
    </w:p>
    <w:p>
      <w:pPr>
        <w:ind w:left="260" w:hanging="254"/>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260" w:hanging="254"/>
        <w:spacing w:after="0"/>
        <w:tabs>
          <w:tab w:leader="none" w:pos="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5240" w:val="left"/>
          <w:tab w:leader="none" w:pos="6080" w:val="left"/>
        </w:tabs>
        <w:rPr>
          <w:sz w:val="20"/>
          <w:szCs w:val="20"/>
          <w:color w:val="auto"/>
        </w:rPr>
      </w:pPr>
      <w:r>
        <w:rPr>
          <w:rFonts w:ascii="Arial" w:cs="Arial" w:eastAsia="Arial" w:hAnsi="Arial"/>
          <w:sz w:val="18"/>
          <w:szCs w:val="18"/>
          <w:color w:val="auto"/>
        </w:rPr>
        <w:t>Date: February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266700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0">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Kenneth S. Booth</w:t>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ind w:left="6100"/>
        <w:spacing w:after="0" w:line="237" w:lineRule="auto"/>
        <w:rPr>
          <w:sz w:val="20"/>
          <w:szCs w:val="20"/>
          <w:color w:val="auto"/>
        </w:rPr>
      </w:pPr>
      <w:r>
        <w:rPr>
          <w:rFonts w:ascii="Arial" w:cs="Arial" w:eastAsia="Arial" w:hAnsi="Arial"/>
          <w:sz w:val="18"/>
          <w:szCs w:val="18"/>
          <w:color w:val="auto"/>
        </w:rPr>
        <w:t>(Principal Executive Officer and Principal Financial</w:t>
      </w:r>
    </w:p>
    <w:p>
      <w:pPr>
        <w:ind w:left="61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lvl w:ilvl="1">
      <w:lvlJc w:val="left"/>
      <w:lvlText w:val="•"/>
      <w:numFmt w:val="bullet"/>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
      <w:numFmt w:val="bullet"/>
      <w:start w:val="1"/>
    </w:lvl>
    <w:lvl w:ilvl="1">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2"/>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1."/>
      <w:numFmt w:val="decimal"/>
      <w:start w:val="3"/>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4"/>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lvl w:ilvl="1">
      <w:lvlJc w:val="left"/>
      <w:lvlText w:val="(%2)"/>
      <w:numFmt w:val="decimal"/>
      <w:start w:val="1"/>
    </w:lvl>
  </w:abstractNum>
  <w:abstractNum w:abstractNumId="66">
    <w:nsid w:val="A0382C5"/>
    <w:multiLevelType w:val="hybridMultilevel"/>
    <w:lvl w:ilvl="0">
      <w:lvlJc w:val="left"/>
      <w:lvlText w:val="%1."/>
      <w:numFmt w:val="decimal"/>
      <w:start w:val="6"/>
    </w:lvl>
    <w:lvl w:ilvl="1">
      <w:lvlJc w:val="left"/>
      <w:lvlText w:val="%2"/>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lvl w:ilvl="1">
      <w:lvlJc w:val="left"/>
      <w:lvlText w:val="(%2)"/>
      <w:numFmt w:val="decimal"/>
      <w:start w:val="1"/>
    </w:lvl>
  </w:abstractNum>
  <w:abstractNum w:abstractNumId="71">
    <w:nsid w:val="4962813B"/>
    <w:multiLevelType w:val="hybridMultilevel"/>
    <w:lvl w:ilvl="0">
      <w:lvlJc w:val="left"/>
      <w:lvlText w:val="%1."/>
      <w:numFmt w:val="decimal"/>
      <w:start w:val="14"/>
    </w:lvl>
    <w:lvl w:ilvl="1">
      <w:lvlJc w:val="left"/>
      <w:lvlText w:val="%2"/>
      <w:numFmt w:val="decimal"/>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1."/>
      <w:numFmt w:val="decimal"/>
      <w:start w:val="15"/>
    </w:lvl>
  </w:abstractNum>
  <w:abstractNum w:abstractNumId="78">
    <w:nsid w:val="100F59DC"/>
    <w:multiLevelType w:val="hybridMultilevel"/>
    <w:lvl w:ilvl="0">
      <w:lvlJc w:val="left"/>
      <w:lvlText w:val="%1."/>
      <w:numFmt w:val="decimal"/>
      <w:start w:val="16"/>
    </w:lvl>
  </w:abstractNum>
  <w:abstractNum w:abstractNumId="79">
    <w:nsid w:val="7FB7E0AA"/>
    <w:multiLevelType w:val="hybridMultilevel"/>
    <w:lvl w:ilvl="0">
      <w:lvlJc w:val="left"/>
      <w:lvlText w:val="(%1)"/>
      <w:numFmt w:val="lowerLetter"/>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emdash "/>
      <w:numFmt w:val="bullet"/>
      <w:start w:val="1"/>
    </w:lvl>
  </w:abstractNum>
  <w:abstractNum w:abstractNumId="83">
    <w:nsid w:val="885E1B"/>
    <w:multiLevelType w:val="hybridMultilevel"/>
    <w:lvl w:ilvl="0">
      <w:lvlJc w:val="left"/>
      <w:lvlText w:val="(%1)"/>
      <w:numFmt w:val="decimal"/>
      <w:start w:val="2"/>
    </w:lvl>
  </w:abstractNum>
  <w:abstractNum w:abstractNumId="84">
    <w:nsid w:val="76272110"/>
    <w:multiLevelType w:val="hybridMultilevel"/>
    <w:lvl w:ilvl="0">
      <w:lvlJc w:val="left"/>
      <w:lvlText w:val="%1"/>
      <w:numFmt w:val="decimal"/>
      <w:start w:val="21"/>
    </w:lvl>
  </w:abstractNum>
  <w:abstractNum w:abstractNumId="85">
    <w:nsid w:val="4C04A8AF"/>
    <w:multiLevelType w:val="hybridMultilevel"/>
    <w:lvl w:ilvl="0">
      <w:lvlJc w:val="left"/>
      <w:lvlText w:val="%1"/>
      <w:numFmt w:val="decimal"/>
      <w:start w:val="23"/>
    </w:lvl>
  </w:abstractNum>
  <w:abstractNum w:abstractNumId="86">
    <w:nsid w:val="1716703B"/>
    <w:multiLevelType w:val="hybridMultilevel"/>
    <w:lvl w:ilvl="0">
      <w:lvlJc w:val="left"/>
      <w:lvlText w:val="%1"/>
      <w:numFmt w:val="decimal"/>
      <w:start w:val="104"/>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9" Type="http://schemas.openxmlformats.org/officeDocument/2006/relationships/image" Target="media/image130.png"/><Relationship Id="rId153"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28" Type="http://schemas.openxmlformats.org/officeDocument/2006/relationships/image" Target="media/image153.png"/><Relationship Id="rId229" Type="http://schemas.openxmlformats.org/officeDocument/2006/relationships/image" Target="media/image154.png"/><Relationship Id="rId230" Type="http://schemas.openxmlformats.org/officeDocument/2006/relationships/image" Target="media/image155.png"/><Relationship Id="rId231" Type="http://schemas.openxmlformats.org/officeDocument/2006/relationships/image" Target="media/image156.png"/><Relationship Id="rId232" Type="http://schemas.openxmlformats.org/officeDocument/2006/relationships/image" Target="media/image157.png"/><Relationship Id="rId233" Type="http://schemas.openxmlformats.org/officeDocument/2006/relationships/image" Target="media/image158.png"/><Relationship Id="rId234" Type="http://schemas.openxmlformats.org/officeDocument/2006/relationships/image" Target="media/image159.png"/><Relationship Id="rId235" Type="http://schemas.openxmlformats.org/officeDocument/2006/relationships/image" Target="media/image160.png"/><Relationship Id="rId251" Type="http://schemas.openxmlformats.org/officeDocument/2006/relationships/image" Target="media/image161.png"/><Relationship Id="rId252" Type="http://schemas.openxmlformats.org/officeDocument/2006/relationships/image" Target="media/image162.png"/><Relationship Id="rId253" Type="http://schemas.openxmlformats.org/officeDocument/2006/relationships/image" Target="media/image163.png"/><Relationship Id="rId254" Type="http://schemas.openxmlformats.org/officeDocument/2006/relationships/image" Target="media/image164.png"/><Relationship Id="rId255" Type="http://schemas.openxmlformats.org/officeDocument/2006/relationships/image" Target="media/image165.png"/><Relationship Id="rId256" Type="http://schemas.openxmlformats.org/officeDocument/2006/relationships/image" Target="media/image166.png"/><Relationship Id="rId257" Type="http://schemas.openxmlformats.org/officeDocument/2006/relationships/image" Target="media/image167.png"/><Relationship Id="rId258" Type="http://schemas.openxmlformats.org/officeDocument/2006/relationships/image" Target="media/image168.png"/><Relationship Id="rId259" Type="http://schemas.openxmlformats.org/officeDocument/2006/relationships/image" Target="media/image169.png"/><Relationship Id="rId270" Type="http://schemas.openxmlformats.org/officeDocument/2006/relationships/image" Target="media/image170.png"/><Relationship Id="rId276" Type="http://schemas.openxmlformats.org/officeDocument/2006/relationships/image" Target="media/image171.png"/><Relationship Id="rId277" Type="http://schemas.openxmlformats.org/officeDocument/2006/relationships/image" Target="media/image172.png"/><Relationship Id="rId278" Type="http://schemas.openxmlformats.org/officeDocument/2006/relationships/image" Target="media/image173.png"/><Relationship Id="rId292" Type="http://schemas.openxmlformats.org/officeDocument/2006/relationships/image" Target="media/image174.png"/><Relationship Id="rId293" Type="http://schemas.openxmlformats.org/officeDocument/2006/relationships/image" Target="media/image175.png"/><Relationship Id="rId294" Type="http://schemas.openxmlformats.org/officeDocument/2006/relationships/image" Target="media/image176.png"/><Relationship Id="rId295" Type="http://schemas.openxmlformats.org/officeDocument/2006/relationships/image" Target="media/image177.png"/><Relationship Id="rId296" Type="http://schemas.openxmlformats.org/officeDocument/2006/relationships/image" Target="media/image178.png"/><Relationship Id="rId297" Type="http://schemas.openxmlformats.org/officeDocument/2006/relationships/image" Target="media/image179.png"/><Relationship Id="rId298" Type="http://schemas.openxmlformats.org/officeDocument/2006/relationships/image" Target="media/image180.png"/><Relationship Id="rId299" Type="http://schemas.openxmlformats.org/officeDocument/2006/relationships/image" Target="media/image181.png"/><Relationship Id="rId300" Type="http://schemas.openxmlformats.org/officeDocument/2006/relationships/image" Target="media/image182.png"/><Relationship Id="rId301" Type="http://schemas.openxmlformats.org/officeDocument/2006/relationships/image" Target="media/image183.png"/><Relationship Id="rId302" Type="http://schemas.openxmlformats.org/officeDocument/2006/relationships/image" Target="media/image184.png"/><Relationship Id="rId303" Type="http://schemas.openxmlformats.org/officeDocument/2006/relationships/image" Target="media/image185.png"/><Relationship Id="rId304" Type="http://schemas.openxmlformats.org/officeDocument/2006/relationships/image" Target="media/image186.png"/><Relationship Id="rId305" Type="http://schemas.openxmlformats.org/officeDocument/2006/relationships/image" Target="media/image187.png"/><Relationship Id="rId306" Type="http://schemas.openxmlformats.org/officeDocument/2006/relationships/image" Target="media/image188.png"/><Relationship Id="rId307" Type="http://schemas.openxmlformats.org/officeDocument/2006/relationships/image" Target="media/image189.png"/><Relationship Id="rId308" Type="http://schemas.openxmlformats.org/officeDocument/2006/relationships/image" Target="media/image190.png"/><Relationship Id="rId309" Type="http://schemas.openxmlformats.org/officeDocument/2006/relationships/image" Target="media/image191.png"/><Relationship Id="rId310" Type="http://schemas.openxmlformats.org/officeDocument/2006/relationships/image" Target="media/image192.png"/><Relationship Id="rId311" Type="http://schemas.openxmlformats.org/officeDocument/2006/relationships/image" Target="media/image193.png"/><Relationship Id="rId312" Type="http://schemas.openxmlformats.org/officeDocument/2006/relationships/image" Target="media/image194.png"/><Relationship Id="rId313" Type="http://schemas.openxmlformats.org/officeDocument/2006/relationships/image" Target="media/image195.png"/><Relationship Id="rId314" Type="http://schemas.openxmlformats.org/officeDocument/2006/relationships/image" Target="media/image196.png"/><Relationship Id="rId315" Type="http://schemas.openxmlformats.org/officeDocument/2006/relationships/image" Target="media/image197.png"/><Relationship Id="rId316" Type="http://schemas.openxmlformats.org/officeDocument/2006/relationships/image" Target="media/image198.png"/><Relationship Id="rId317" Type="http://schemas.openxmlformats.org/officeDocument/2006/relationships/image" Target="media/image199.png"/><Relationship Id="rId318" Type="http://schemas.openxmlformats.org/officeDocument/2006/relationships/image" Target="media/image200.png"/><Relationship Id="rId319" Type="http://schemas.openxmlformats.org/officeDocument/2006/relationships/image" Target="media/image201.png"/><Relationship Id="rId320" Type="http://schemas.openxmlformats.org/officeDocument/2006/relationships/image" Target="media/image202.png"/><Relationship Id="rId131" Type="http://schemas.openxmlformats.org/officeDocument/2006/relationships/hyperlink" Target="http://www.sec.gov/Archives/edgar/data/885550/0000950124-97-004326.txt" TargetMode="External"/><Relationship Id="rId132" Type="http://schemas.openxmlformats.org/officeDocument/2006/relationships/hyperlink" Target="http://www.sec.gov/Archives/edgar/data/885550/000088555020000073/exhibit32amendedandres.htm" TargetMode="External"/><Relationship Id="rId133" Type="http://schemas.openxmlformats.org/officeDocument/2006/relationships/hyperlink" Target="http://www.sec.gov/Archives/edgar/data/885550/000088555020000021/cacc-20191231xex41.htm" TargetMode="External"/><Relationship Id="rId134" Type="http://schemas.openxmlformats.org/officeDocument/2006/relationships/hyperlink" Target="http://www.sec.gov/Archives/edgar/data/885550/000095012310009043/k48819exv4wgw6.htm" TargetMode="External"/><Relationship Id="rId135" Type="http://schemas.openxmlformats.org/officeDocument/2006/relationships/hyperlink" Target="http://www.sec.gov/Archives/edgar/data/885550/000088555013000036/cacc_8k040513sca.htm" TargetMode="External"/><Relationship Id="rId136" Type="http://schemas.openxmlformats.org/officeDocument/2006/relationships/hyperlink" Target="http://www.sec.gov/Archives/edgar/data/885550/000088555014000015/cacc_ex4-107.htm" TargetMode="External"/><Relationship Id="rId137" Type="http://schemas.openxmlformats.org/officeDocument/2006/relationships/hyperlink" Target="http://www.sec.gov/Archives/edgar/data/885550/000088555014000045/cacc_8k062314loc.htm" TargetMode="External"/><Relationship Id="rId138" Type="http://schemas.openxmlformats.org/officeDocument/2006/relationships/hyperlink" Target="http://www.sec.gov/Archives/edgar/data/885550/000088555014000057/cacc_8k20140915lsa.htm" TargetMode="External"/><Relationship Id="rId139" Type="http://schemas.openxmlformats.org/officeDocument/2006/relationships/hyperlink" Target="http://www.sec.gov/Archives/edgar/data/885550/000088555014000057/cacc_8k20140915bsa.htm" TargetMode="External"/><Relationship Id="rId140" Type="http://schemas.openxmlformats.org/officeDocument/2006/relationships/hyperlink" Target="http://www.sec.gov/Archives/edgar/data/885550/000088555014000057/cacc_8k20140915ca.htm" TargetMode="External"/><Relationship Id="rId141" Type="http://schemas.openxmlformats.org/officeDocument/2006/relationships/hyperlink" Target="http://www.sec.gov/Archives/edgar/data/885550/000119312515114322/d898991dex41.htm" TargetMode="External"/><Relationship Id="rId148" Type="http://schemas.openxmlformats.org/officeDocument/2006/relationships/hyperlink" Target="http://www.sec.gov/Archives/edgar/data/885550/000088555015000050/cacc_8k20150811arca.htm" TargetMode="External"/><Relationship Id="rId150" Type="http://schemas.openxmlformats.org/officeDocument/2006/relationships/hyperlink" Target="http://www.sec.gov/Archives/edgar/data/885550/000088555015000050/cacc_8k20150611lsa.htm" TargetMode="External"/><Relationship Id="rId151" Type="http://schemas.openxmlformats.org/officeDocument/2006/relationships/hyperlink" Target="http://www.sec.gov/Archives/edgar/data/885550/000088555015000062/cacc_8k20150930lsa.htm" TargetMode="External"/><Relationship Id="rId152" Type="http://schemas.openxmlformats.org/officeDocument/2006/relationships/hyperlink" Target="http://www.sec.gov/Archives/edgar/data/885550/000088555015000062/cacc_8k20150930ca.htm" TargetMode="External"/><Relationship Id="rId154" Type="http://schemas.openxmlformats.org/officeDocument/2006/relationships/hyperlink" Target="http://www.sec.gov/Archives/edgar/data/885550/000088555016000125/cacc_8k20160615sasarca.htm" TargetMode="External"/><Relationship Id="rId155" Type="http://schemas.openxmlformats.org/officeDocument/2006/relationships/hyperlink" Target="http://www.sec.gov/Archives/edgar/data/885550/000088555016000136/cacc_8k20160818lsa1.htm" TargetMode="External"/><Relationship Id="rId156" Type="http://schemas.openxmlformats.org/officeDocument/2006/relationships/hyperlink" Target="http://www.sec.gov/Archives/edgar/data/885550/000088555016000136/cacc_8k20160818ca.htm" TargetMode="External"/><Relationship Id="rId157" Type="http://schemas.openxmlformats.org/officeDocument/2006/relationships/hyperlink" Target="http://www.sec.gov/Archives/edgar/data/885550/000088555017000046/cacc_8k20170628arca.htm" TargetMode="External"/><Relationship Id="rId160" Type="http://schemas.openxmlformats.org/officeDocument/2006/relationships/hyperlink" Target="http://www.sec.gov/Archives/edgar/data/885550/000088555017000051/cacc_8k20170718lsa.htm" TargetMode="External"/><Relationship Id="rId161" Type="http://schemas.openxmlformats.org/officeDocument/2006/relationships/hyperlink" Target="http://www.sec.gov/Archives/edgar/data/885550/000088555017000069/cacc-20170930xex494.htm" TargetMode="External"/><Relationship Id="rId162" Type="http://schemas.openxmlformats.org/officeDocument/2006/relationships/hyperlink" Target="http://www.sec.gov/Archives/edgar/data/885550/000088555017000069/cacc-20170930xex495.htm" TargetMode="External"/><Relationship Id="rId163" Type="http://schemas.openxmlformats.org/officeDocument/2006/relationships/hyperlink" Target="http://www.sec.gov/Archives/edgar/data/885550/000088555018000038/cacc_8k20180510lsa.htm" TargetMode="External"/><Relationship Id="rId164" Type="http://schemas.openxmlformats.org/officeDocument/2006/relationships/hyperlink" Target="http://www.sec.gov/Archives/edgar/data/885550/000088555018000047/cacc_8k20180627arca.htm" TargetMode="External"/><Relationship Id="rId165" Type="http://schemas.openxmlformats.org/officeDocument/2006/relationships/hyperlink" Target="http://www.sec.gov/Archives/edgar/data/885550/000088555018000056/cacfifththird-thirdamendme.htm" TargetMode="External"/><Relationship Id="rId166" Type="http://schemas.openxmlformats.org/officeDocument/2006/relationships/hyperlink" Target="http://www.sec.gov/Archives/edgar/data/885550/000088555019000012/cacc_8k20190221ia.htm" TargetMode="External"/><Relationship Id="rId167" Type="http://schemas.openxmlformats.org/officeDocument/2006/relationships/hyperlink" Target="http://www.sec.gov/Archives/edgar/data/885550/000088555019000012/cacc_8k20190221ssa.htm" TargetMode="External"/><Relationship Id="rId168" Type="http://schemas.openxmlformats.org/officeDocument/2006/relationships/hyperlink" Target="http://www.sec.gov/Archives/edgar/data/885550/000088555019000012/cacc_8k20190221bsa.htm" TargetMode="External"/><Relationship Id="rId169" Type="http://schemas.openxmlformats.org/officeDocument/2006/relationships/hyperlink" Target="http://www.sec.gov/Archives/edgar/data/885550/000088555019000012/cacc_8k20190221arta.htm" TargetMode="External"/><Relationship Id="rId170" Type="http://schemas.openxmlformats.org/officeDocument/2006/relationships/hyperlink" Target="http://www.sec.gov/Archives/edgar/data/885550/000088555019000012/cacc_8k20190221sca.htm" TargetMode="External"/><Relationship Id="rId171" Type="http://schemas.openxmlformats.org/officeDocument/2006/relationships/hyperlink" Target="http://www.sec.gov/Archives/edgar/data/885550/000088555019000020/cacc_8k20190307ia.htm" TargetMode="External"/><Relationship Id="rId172" Type="http://schemas.openxmlformats.org/officeDocument/2006/relationships/hyperlink" Target="http://www.sec.gov/Archives/edgar/data/885550/000088555019000020/cacc_8k20190307rra.htm" TargetMode="External"/><Relationship Id="rId173" Type="http://schemas.openxmlformats.org/officeDocument/2006/relationships/hyperlink" Target="http://www.sec.gov/Archives/edgar/data/885550/000088555019000050/cacc_8k20190624arca.htm" TargetMode="External"/><Relationship Id="rId174" Type="http://schemas.openxmlformats.org/officeDocument/2006/relationships/hyperlink" Target="http://www.sec.gov/Archives/edgar/data/885550/000088555019000063/cacc-20190630xex4103.htm" TargetMode="External"/><Relationship Id="rId175" Type="http://schemas.openxmlformats.org/officeDocument/2006/relationships/hyperlink" Target="http://www.sec.gov/Archives/edgar/data/885550/000088555019000056/cacc_8k2019725lsa.htm" TargetMode="External"/><Relationship Id="rId176" Type="http://schemas.openxmlformats.org/officeDocument/2006/relationships/hyperlink" Target="http://www.sec.gov/Archives/edgar/data/885550/000088555019000058/cacc_8k20190726citizenslsa.htm" TargetMode="External"/><Relationship Id="rId186" Type="http://schemas.openxmlformats.org/officeDocument/2006/relationships/hyperlink" Target="http://www.sec.gov/Archives/edgar/data/885550/000088555019000058/cacc_8k20190726citizensca.htm" TargetMode="External"/><Relationship Id="rId187" Type="http://schemas.openxmlformats.org/officeDocument/2006/relationships/hyperlink" Target="http://www.sec.gov/Archives/edgar/data/885550/000088555019000058/cacc_8k20190726citizensbsa.htm" TargetMode="External"/><Relationship Id="rId188" Type="http://schemas.openxmlformats.org/officeDocument/2006/relationships/hyperlink" Target="http://www.sec.gov/Archives/edgar/data/885550/000088555019000058/cacc_8k20190726bmolsa.htm" TargetMode="External"/><Relationship Id="rId189" Type="http://schemas.openxmlformats.org/officeDocument/2006/relationships/hyperlink" Target="http://www.sec.gov/Archives/edgar/data/885550/000088555019000058/cacc_8k20190726bmobsa.htm" TargetMode="External"/><Relationship Id="rId190" Type="http://schemas.openxmlformats.org/officeDocument/2006/relationships/hyperlink" Target="http://www.sec.gov/Archives/edgar/data/885550/000088555019000065/cacc8k20190828lsa.htm" TargetMode="External"/><Relationship Id="rId191" Type="http://schemas.openxmlformats.org/officeDocument/2006/relationships/hyperlink" Target="http://www.sec.gov/Archives/edgar/data/885550/000088555019000065/cacc8k20190828bsa.htm" TargetMode="External"/><Relationship Id="rId192" Type="http://schemas.openxmlformats.org/officeDocument/2006/relationships/hyperlink" Target="http://www.sec.gov/Archives/edgar/data/885550/000088555019000065/cacc8k20190828sca.htm" TargetMode="External"/><Relationship Id="rId193" Type="http://schemas.openxmlformats.org/officeDocument/2006/relationships/hyperlink" Target="http://www.sec.gov/Archives/edgar/data/885550/000088555019000070/cacc-20190930xex4117.htm" TargetMode="External"/><Relationship Id="rId194" Type="http://schemas.openxmlformats.org/officeDocument/2006/relationships/hyperlink" Target="http://www.sec.gov/Archives/edgar/data/885550/000088555019000081/cacc8k20191121ia.htm" TargetMode="External"/><Relationship Id="rId195" Type="http://schemas.openxmlformats.org/officeDocument/2006/relationships/hyperlink" Target="http://www.sec.gov/Archives/edgar/data/885550/000088555019000081/cacc8k20191121ssa.htm" TargetMode="External"/><Relationship Id="rId196" Type="http://schemas.openxmlformats.org/officeDocument/2006/relationships/hyperlink" Target="http://www.sec.gov/Archives/edgar/data/885550/000088555019000081/cacc8k20191121bsa.htm" TargetMode="External"/><Relationship Id="rId197" Type="http://schemas.openxmlformats.org/officeDocument/2006/relationships/hyperlink" Target="http://www.sec.gov/Archives/edgar/data/885550/000088555019000081/cacc8k20191121arta.htm" TargetMode="External"/><Relationship Id="rId198" Type="http://schemas.openxmlformats.org/officeDocument/2006/relationships/hyperlink" Target="http://www.sec.gov/Archives/edgar/data/885550/000088555019000081/cacc8k20191121sca.htm" TargetMode="External"/><Relationship Id="rId199" Type="http://schemas.openxmlformats.org/officeDocument/2006/relationships/hyperlink" Target="http://www.sec.gov/Archives/edgar/data/885550/000088555019000094/cacc8k20191218ia.htm" TargetMode="External"/><Relationship Id="rId200" Type="http://schemas.openxmlformats.org/officeDocument/2006/relationships/hyperlink" Target="http://www.sec.gov/Archives/edgar/data/885550/000088555020000029/cacc8k20200220ia.htm" TargetMode="External"/><Relationship Id="rId201" Type="http://schemas.openxmlformats.org/officeDocument/2006/relationships/hyperlink" Target="http://www.sec.gov/Archives/edgar/data/885550/000088555020000029/cacc8k20200220ssa.htm" TargetMode="External"/><Relationship Id="rId202" Type="http://schemas.openxmlformats.org/officeDocument/2006/relationships/hyperlink" Target="http://www.sec.gov/Archives/edgar/data/885550/000088555020000029/cacc8k20200220bsa.htm" TargetMode="External"/><Relationship Id="rId213" Type="http://schemas.openxmlformats.org/officeDocument/2006/relationships/hyperlink" Target="http://www.sec.gov/Archives/edgar/data/885550/000088555020000029/cacc8k20200220arta.htm" TargetMode="External"/><Relationship Id="rId214" Type="http://schemas.openxmlformats.org/officeDocument/2006/relationships/hyperlink" Target="http://www.sec.gov/Archives/edgar/data/885550/000088555020000029/cacc8k20200220sca.htm" TargetMode="External"/><Relationship Id="rId215" Type="http://schemas.openxmlformats.org/officeDocument/2006/relationships/hyperlink" Target="http://www.sec.gov/Archives/edgar/data/885550/000088555020000067/cacc8k20200701loc.htm" TargetMode="External"/><Relationship Id="rId216" Type="http://schemas.openxmlformats.org/officeDocument/2006/relationships/hyperlink" Target="http://www.sec.gov/Archives/edgar/data/885550/000088555020000081/cacc8k20200723ia.htm" TargetMode="External"/><Relationship Id="rId217" Type="http://schemas.openxmlformats.org/officeDocument/2006/relationships/hyperlink" Target="http://www.sec.gov/Archives/edgar/data/885550/000088555020000081/cacc8k20200723ssa.htm" TargetMode="External"/><Relationship Id="rId218" Type="http://schemas.openxmlformats.org/officeDocument/2006/relationships/hyperlink" Target="http://www.sec.gov/Archives/edgar/data/885550/000088555020000081/cacc8k20200723bsa.htm" TargetMode="External"/><Relationship Id="rId219" Type="http://schemas.openxmlformats.org/officeDocument/2006/relationships/hyperlink" Target="http://www.sec.gov/Archives/edgar/data/885550/000088555020000081/cacc8k20200723arta.htm" TargetMode="External"/><Relationship Id="rId220" Type="http://schemas.openxmlformats.org/officeDocument/2006/relationships/hyperlink" Target="http://www.sec.gov/Archives/edgar/data/885550/000088555020000081/cacc8k20200723sca.htm" TargetMode="External"/><Relationship Id="rId221" Type="http://schemas.openxmlformats.org/officeDocument/2006/relationships/hyperlink" Target="http://www.sec.gov/Archives/edgar/data/885550/000088555020000105/cacc8k20201022ia.htm" TargetMode="External"/><Relationship Id="rId222" Type="http://schemas.openxmlformats.org/officeDocument/2006/relationships/hyperlink" Target="http://www.sec.gov/Archives/edgar/data/885550/000088555020000105/cacc8k20201022ssa.htm" TargetMode="External"/><Relationship Id="rId223" Type="http://schemas.openxmlformats.org/officeDocument/2006/relationships/hyperlink" Target="http://www.sec.gov/Archives/edgar/data/885550/000088555020000105/cacc8k20201022bsa.htm" TargetMode="External"/><Relationship Id="rId224" Type="http://schemas.openxmlformats.org/officeDocument/2006/relationships/hyperlink" Target="http://www.sec.gov/Archives/edgar/data/885550/000088555020000105/cacc8k20201022arta.htm" TargetMode="External"/><Relationship Id="rId225" Type="http://schemas.openxmlformats.org/officeDocument/2006/relationships/hyperlink" Target="http://www.sec.gov/Archives/edgar/data/885550/000088555020000105/cacc8k20201022sca.htm" TargetMode="External"/><Relationship Id="rId226" Type="http://schemas.openxmlformats.org/officeDocument/2006/relationships/hyperlink" Target="http://www.sec.gov/Archives/edgar/data/885550/000088555020000118/cacc_8k20201215whvamendment.htm" TargetMode="External"/><Relationship Id="rId227" Type="http://schemas.openxmlformats.org/officeDocument/2006/relationships/hyperlink" Target="http://www.sec.gov/Archives/edgar/data/885550/000088555020000118/cacc_8k20201215locamendment.htm" TargetMode="External"/><Relationship Id="rId236" Type="http://schemas.openxmlformats.org/officeDocument/2006/relationships/hyperlink" Target="http://www.sec.gov/Archives/edgar/data/885550/000088555021000029/cacc_8k20210129lsa.htm" TargetMode="External"/><Relationship Id="rId237" Type="http://schemas.openxmlformats.org/officeDocument/2006/relationships/hyperlink" Target="http://www.sec.gov/Archives/edgar/data/885550/000088555021000029/cacc_8k20210129bsa.htm" TargetMode="External"/><Relationship Id="rId238" Type="http://schemas.openxmlformats.org/officeDocument/2006/relationships/hyperlink" Target="http://www.sec.gov/Archives/edgar/data/885550/000088555021000029/cacc_8k20210129sca.htm" TargetMode="External"/><Relationship Id="rId239" Type="http://schemas.openxmlformats.org/officeDocument/2006/relationships/hyperlink" Target="http://www.sec.gov/Archives/edgar/data/885550/000088555021000029/cacc_8k20210129bmolsa.htm" TargetMode="External"/><Relationship Id="rId240" Type="http://schemas.openxmlformats.org/officeDocument/2006/relationships/hyperlink" Target="http://www.sec.gov/Archives/edgar/data/885550/000088555021000037/cacc_8k20210218ia.htm" TargetMode="External"/><Relationship Id="rId241" Type="http://schemas.openxmlformats.org/officeDocument/2006/relationships/hyperlink" Target="http://www.sec.gov/Archives/edgar/data/885550/000088555021000037/cacc_8k20210218ssa.htm" TargetMode="External"/><Relationship Id="rId242" Type="http://schemas.openxmlformats.org/officeDocument/2006/relationships/hyperlink" Target="http://www.sec.gov/Archives/edgar/data/885550/000088555021000037/cacc_8k20210218bsa.htm" TargetMode="External"/><Relationship Id="rId243" Type="http://schemas.openxmlformats.org/officeDocument/2006/relationships/hyperlink" Target="http://www.sec.gov/Archives/edgar/data/885550/000088555021000037/cacc_8k20210218arta.htm" TargetMode="External"/><Relationship Id="rId244" Type="http://schemas.openxmlformats.org/officeDocument/2006/relationships/hyperlink" Target="http://www.sec.gov/Archives/edgar/data/885550/000088555021000037/cacc_8k20210218sca.htm" TargetMode="External"/><Relationship Id="rId245" Type="http://schemas.openxmlformats.org/officeDocument/2006/relationships/hyperlink" Target="http://www.sec.gov/Archives/edgar/data/885550/000088555021000056/cacc-20210331x10qex4109.htm" TargetMode="External"/><Relationship Id="rId246" Type="http://schemas.openxmlformats.org/officeDocument/2006/relationships/hyperlink" Target="http://www.sec.gov/Archives/edgar/data/885550/000088555021000069/cacc_8k20210520ssa.htm" TargetMode="External"/><Relationship Id="rId247" Type="http://schemas.openxmlformats.org/officeDocument/2006/relationships/hyperlink" Target="http://www.sec.gov/Archives/edgar/data/885550/000088555021000069/cacc_8k20210520bsa.htm" TargetMode="External"/><Relationship Id="rId248" Type="http://schemas.openxmlformats.org/officeDocument/2006/relationships/hyperlink" Target="http://www.sec.gov/Archives/edgar/data/885550/000088555021000069/cacc_8k20210520arta.htm" TargetMode="External"/><Relationship Id="rId249" Type="http://schemas.openxmlformats.org/officeDocument/2006/relationships/hyperlink" Target="http://www.sec.gov/Archives/edgar/data/885550/000088555021000069/cacc_8k20210520sca.htm" TargetMode="External"/><Relationship Id="rId250" Type="http://schemas.openxmlformats.org/officeDocument/2006/relationships/hyperlink" Target="http://www.sec.gov/Archives/edgar/data/885550/000088555021000098/cacc-20210630xex4117.htm" TargetMode="External"/><Relationship Id="rId260" Type="http://schemas.openxmlformats.org/officeDocument/2006/relationships/hyperlink" Target="http://www.sec.gov/Archives/edgar/data/885550/000088555021000098/cacc-20210630xex4118.htm" TargetMode="External"/><Relationship Id="rId261" Type="http://schemas.openxmlformats.org/officeDocument/2006/relationships/hyperlink" Target="http://www.sec.gov/Archives/edgar/data/885550/000088555021000113/cacc_8k20210902lsa.htm" TargetMode="External"/><Relationship Id="rId262" Type="http://schemas.openxmlformats.org/officeDocument/2006/relationships/hyperlink" Target="http://www.sec.gov/Archives/edgar/data/885550/000088555021000122/cacc_8k20211006locamendment.htm" TargetMode="External"/><Relationship Id="rId263" Type="http://schemas.openxmlformats.org/officeDocument/2006/relationships/hyperlink" Target="http://www.sec.gov/Archives/edgar/data/885550/000088555021000125/cacc_8k20211015lsa.htm" TargetMode="External"/><Relationship Id="rId264" Type="http://schemas.openxmlformats.org/officeDocument/2006/relationships/hyperlink" Target="http://www.sec.gov/Archives/edgar/data/885550/000088555021000138/cacc_8k20211028ia.htm" TargetMode="External"/><Relationship Id="rId265" Type="http://schemas.openxmlformats.org/officeDocument/2006/relationships/hyperlink" Target="http://www.sec.gov/Archives/edgar/data/885550/000088555021000138/cacc_8k20211028ssa.htm" TargetMode="External"/><Relationship Id="rId266" Type="http://schemas.openxmlformats.org/officeDocument/2006/relationships/hyperlink" Target="http://www.sec.gov/Archives/edgar/data/885550/000088555021000138/cacc_8k20211028bsa.htm" TargetMode="External"/><Relationship Id="rId267" Type="http://schemas.openxmlformats.org/officeDocument/2006/relationships/hyperlink" Target="http://www.sec.gov/Archives/edgar/data/885550/000088555021000138/cacc_8k20211028arta.htm" TargetMode="External"/><Relationship Id="rId268" Type="http://schemas.openxmlformats.org/officeDocument/2006/relationships/hyperlink" Target="http://www.sec.gov/Archives/edgar/data/885550/000088555021000138/cacc_8k20211028sca.htm" TargetMode="External"/><Relationship Id="rId269" Type="http://schemas.openxmlformats.org/officeDocument/2006/relationships/hyperlink" Target="http://www.sec.gov/Archives/edgar/data/885550/000088555021000138/cacc_8k20211028aria.htm" TargetMode="External"/><Relationship Id="rId271" Type="http://schemas.openxmlformats.org/officeDocument/2006/relationships/hyperlink" Target="http://www.sec.gov/Archives/edgar/data/885550/000088555021000151/cacc_8k20211130locaddendum.htm" TargetMode="External"/><Relationship Id="rId272" Type="http://schemas.openxmlformats.org/officeDocument/2006/relationships/hyperlink" Target="http://www.sec.gov/Archives/edgar/data/885550/000095012407001196/k12821exv10wxqyx4y.txt" TargetMode="External"/><Relationship Id="rId273" Type="http://schemas.openxmlformats.org/officeDocument/2006/relationships/hyperlink" Target="http://www.sec.gov/Archives/edgar/data/885550/000095012309006377/k47674ddef14a.htm" TargetMode="External"/><Relationship Id="rId274" Type="http://schemas.openxmlformats.org/officeDocument/2006/relationships/hyperlink" Target="http://www.sec.gov/Archives/edgar/data/885550/000095012309054843/k48458exv10wxqyx11y.htm" TargetMode="External"/><Relationship Id="rId275" Type="http://schemas.openxmlformats.org/officeDocument/2006/relationships/hyperlink" Target="http://www.sec.gov/Archives/edgar/data/885550/000095012309054843/k48458exv10wxqyx12y.htm" TargetMode="External"/><Relationship Id="rId279" Type="http://schemas.openxmlformats.org/officeDocument/2006/relationships/hyperlink" Target="http://www.sec.gov/Archives/edgar/data/885550/000088555012000035/cacc_ex1016.htm" TargetMode="External"/><Relationship Id="rId280" Type="http://schemas.openxmlformats.org/officeDocument/2006/relationships/hyperlink" Target="http://www.sec.gov/Archives/edgar/data/885550/000088555012000035/cacc_ex1017.htm" TargetMode="External"/><Relationship Id="rId281" Type="http://schemas.openxmlformats.org/officeDocument/2006/relationships/hyperlink" Target="http://www.sec.gov/Archives/edgar/data/885550/000088555012000028/cacc_proxy040512.htm" TargetMode="External"/><Relationship Id="rId282" Type="http://schemas.openxmlformats.org/officeDocument/2006/relationships/hyperlink" Target="http://www.sec.gov/Archives/edgar/data/885550/000088555014000015/cacc_ex10-19.htm" TargetMode="External"/><Relationship Id="rId283" Type="http://schemas.openxmlformats.org/officeDocument/2006/relationships/hyperlink" Target="http://www.sec.gov/Archives/edgar/data/885550/000088555017000003/cacc_8k20170103sa.htm" TargetMode="External"/><Relationship Id="rId284" Type="http://schemas.openxmlformats.org/officeDocument/2006/relationships/hyperlink" Target="http://www.sec.gov/Archives/edgar/data/885550/000088555017000035/cacc-20170331xex1019rsutem.htm" TargetMode="External"/><Relationship Id="rId285" Type="http://schemas.openxmlformats.org/officeDocument/2006/relationships/hyperlink" Target="http://www.sec.gov/Archives/edgar/data/885550/000088555017000069/cacc-20170930xex1019.htm" TargetMode="External"/><Relationship Id="rId286" Type="http://schemas.openxmlformats.org/officeDocument/2006/relationships/hyperlink" Target="http://www.sec.gov/Archives/edgar/data/885550/000088555018000014/cacc-20171231xex1012.htm" TargetMode="External"/><Relationship Id="rId287" Type="http://schemas.openxmlformats.org/officeDocument/2006/relationships/hyperlink" Target="http://www.sec.gov/Archives/edgar/data/885550/000088555019000034/cacc-20190331xex10131.htm" TargetMode="External"/><Relationship Id="rId288" Type="http://schemas.openxmlformats.org/officeDocument/2006/relationships/hyperlink" Target="http://www.sec.gov/Archives/edgar/data/885550/000088555021000034/cacc-20201231xex1014.htm" TargetMode="External"/><Relationship Id="rId289" Type="http://schemas.openxmlformats.org/officeDocument/2006/relationships/hyperlink" Target="http://www.sec.gov/Archives/edgar/data/885550/000088555021000056/cacc-20210331ex1015.htm" TargetMode="External"/><Relationship Id="rId290" Type="http://schemas.openxmlformats.org/officeDocument/2006/relationships/hyperlink" Target="http://www.sec.gov/Archives/edgar/data/885550/000088555021000098/cacc-20210630xex1018.htm" TargetMode="External"/><Relationship Id="rId291" Type="http://schemas.openxmlformats.org/officeDocument/2006/relationships/hyperlink" Target="http://www.sec.gov/Archives/edgar/data/885550/000088555021000106/cacc_20210901assuranceof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2022-02-12T02:44:17Z</dcterms:created>
  <dcterms:modified xsi:type="dcterms:W3CDTF">2022-02-12T02:44:17Z</dcterms:modified>
</cp:coreProperties>
</file>