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3,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48"/>
          <w:u w:val="single"/>
        </w:rPr>
      </w:pPr>
      <w:r>
        <w:rPr>
          <w:rFonts w:ascii="Times New Roman;serif" w:hAnsi="Times New Roman;serif"/>
          <w:b w:val="false"/>
          <w:color w:val="000000"/>
          <w:sz w:val="48"/>
          <w:u w:val="single"/>
        </w:rPr>
        <w:t>CREDIT ACCEPTANCE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140"/>
        <w:jc w:val="left"/>
        <w:rPr/>
      </w:pPr>
      <w:r>
        <w:rPr/>
      </w:r>
    </w:p>
    <w:tbl>
      <w:tblPr>
        <w:tblW w:w="8361" w:type="dxa"/>
        <w:jc w:val="center"/>
        <w:tblInd w:w="0" w:type="dxa"/>
        <w:tblLayout w:type="fixed"/>
        <w:tblCellMar>
          <w:top w:w="28" w:type="dxa"/>
          <w:left w:w="28" w:type="dxa"/>
          <w:bottom w:w="28" w:type="dxa"/>
          <w:right w:w="28" w:type="dxa"/>
        </w:tblCellMar>
      </w:tblPr>
      <w:tblGrid>
        <w:gridCol w:w="584"/>
        <w:gridCol w:w="516"/>
        <w:gridCol w:w="516"/>
        <w:gridCol w:w="516"/>
        <w:gridCol w:w="516"/>
        <w:gridCol w:w="531"/>
        <w:gridCol w:w="109"/>
        <w:gridCol w:w="109"/>
        <w:gridCol w:w="109"/>
        <w:gridCol w:w="662"/>
        <w:gridCol w:w="662"/>
        <w:gridCol w:w="670"/>
        <w:gridCol w:w="109"/>
        <w:gridCol w:w="109"/>
        <w:gridCol w:w="109"/>
        <w:gridCol w:w="740"/>
        <w:gridCol w:w="740"/>
        <w:gridCol w:w="1054"/>
      </w:tblGrid>
      <w:tr>
        <w:trPr/>
        <w:tc>
          <w:tcPr>
            <w:tcW w:w="5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000-20202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38-1999511</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20"/>
              </w:rPr>
              <w:t>25505 West Twelve Mile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 xml:space="preserve">Southfield, </w:t>
            </w:r>
          </w:p>
        </w:tc>
        <w:tc>
          <w:tcPr>
            <w:tcW w:w="1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48034-8339</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60" w:after="283"/>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(248) 353-2700 </w:t>
      </w:r>
    </w:p>
    <w:tbl>
      <w:tblPr>
        <w:tblW w:w="5064" w:type="dxa"/>
        <w:jc w:val="center"/>
        <w:tblInd w:w="0" w:type="dxa"/>
        <w:tblLayout w:type="fixed"/>
        <w:tblCellMar>
          <w:top w:w="28" w:type="dxa"/>
          <w:left w:w="28" w:type="dxa"/>
          <w:bottom w:w="28" w:type="dxa"/>
          <w:right w:w="28" w:type="dxa"/>
        </w:tblCellMar>
      </w:tblPr>
      <w:tblGrid>
        <w:gridCol w:w="304"/>
        <w:gridCol w:w="267"/>
        <w:gridCol w:w="267"/>
        <w:gridCol w:w="1103"/>
        <w:gridCol w:w="1103"/>
        <w:gridCol w:w="1108"/>
        <w:gridCol w:w="267"/>
        <w:gridCol w:w="267"/>
        <w:gridCol w:w="37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49"/>
        <w:gridCol w:w="835"/>
        <w:gridCol w:w="841"/>
        <w:gridCol w:w="109"/>
        <w:gridCol w:w="109"/>
        <w:gridCol w:w="109"/>
        <w:gridCol w:w="509"/>
        <w:gridCol w:w="509"/>
        <w:gridCol w:w="511"/>
        <w:gridCol w:w="109"/>
        <w:gridCol w:w="109"/>
        <w:gridCol w:w="109"/>
        <w:gridCol w:w="1019"/>
        <w:gridCol w:w="1019"/>
        <w:gridCol w:w="144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3, 2026, Credit Acceptance Corporation (referred to as the “Company,” “Credit Acceptance,” “we,” “our” or “us”) entered into a separation agreement and general release (the “Separation Agreement”) with Jay D. Martin, the Company’s former Chief Financial Officer, who had been serving as an employee advisor to the Company since his tenure as Chief Financial Officer ended on July 27, 2026. The Separation Agreement provides for Mr. Martin to continue to serve as an unsalaried employee advisor to the Company from September 3, 2026, through February 1, 2027 (the “Term”), and to provide approximately 15 hours of advisory services per month to the Company during the Term. Under the terms of the Settlement Agreement, the Company will provide Mr. Martin with a lump sum payment in a pre-tax amount of $4,000, representing his benefit premiums (if elected) under the Consolidated Omnibus Budget Reconciliation Act of 1985, based on his election coverage on September 3, 2026, through the end of the Term, and will provide Mr. Martin with three months of medical, dental, and vision benefits during the Term at no cost to Mr. Martin. Mr. Martin will continue to vest in his outstanding equity awards during the Term in accordance with the existing vesting schedule applicable to those awards. The Separation Agreement includes a general release of claims by Mr. Martin in favor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claim the protection of the safe harbor for forward-looking statements contained in the Private Securities Litigation Reform Act of 1995 for all of our forward-looking statements. Statements in this report that are not historical facts, such as those using terms like “may,” “will,” “should,” “believe,” “expect,” “anticipate,” “assume,” “forecast,” “estimate,” “intend,” “plan,” “target,” or similar expressions, and those regarding our future results, plans, and objectives, are “forward-looking statements” within the meaning of the federal securities laws. These forward-looking statements represent our outlook only as of the date of this report.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Annual Report on Form 10-K for the year ended December 31, 2025, filed with the Securities and Exchange Commission (the “SEC”) on February 13, 2026, and other risk factors discussed or listed from time to time in our reports filed with the SEC. We do not undertake, and expressly disclaim any obligation, to update or alter our statements, whether as a result of new information or future events or otherwise, except as required by applicable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9232" w:type="dxa"/>
        <w:jc w:val="center"/>
        <w:tblInd w:w="0" w:type="dxa"/>
        <w:tblLayout w:type="fixed"/>
        <w:tblCellMar>
          <w:top w:w="28" w:type="dxa"/>
          <w:left w:w="28" w:type="dxa"/>
          <w:bottom w:w="28" w:type="dxa"/>
          <w:right w:w="28" w:type="dxa"/>
        </w:tblCellMar>
      </w:tblPr>
      <w:tblGrid>
        <w:gridCol w:w="764"/>
        <w:gridCol w:w="673"/>
        <w:gridCol w:w="677"/>
        <w:gridCol w:w="589"/>
        <w:gridCol w:w="589"/>
        <w:gridCol w:w="589"/>
        <w:gridCol w:w="1657"/>
        <w:gridCol w:w="1657"/>
        <w:gridCol w:w="1665"/>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4, 2026</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J. Kerber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J. Kerber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Chief Compliance Officer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823</Words>
  <Characters>4518</Characters>
  <CharactersWithSpaces>5303</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