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23" w:lineRule="exact"/>
        <w:rPr>
          <w:sz w:val="24"/>
          <w:szCs w:val="24"/>
          <w:color w:val="auto"/>
        </w:rPr>
      </w:pPr>
    </w:p>
    <w:p>
      <w:pPr>
        <w:ind w:left="480" w:hanging="456"/>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quarterly period ended June 30, 2022</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3" w:lineRule="exact"/>
        <w:rPr>
          <w:sz w:val="24"/>
          <w:szCs w:val="24"/>
          <w:color w:val="auto"/>
        </w:rPr>
      </w:pPr>
    </w:p>
    <w:p>
      <w:pPr>
        <w:ind w:left="480" w:hanging="456"/>
        <w:spacing w:after="0"/>
        <w:tabs>
          <w:tab w:leader="none" w:pos="4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94" w:lineRule="exact"/>
        <w:rPr>
          <w:sz w:val="24"/>
          <w:szCs w:val="24"/>
          <w:color w:val="auto"/>
        </w:rPr>
      </w:pPr>
    </w:p>
    <w:p>
      <w:pPr>
        <w:spacing w:after="0"/>
        <w:tabs>
          <w:tab w:leader="none" w:pos="29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1334135</wp:posOffset>
            </wp:positionH>
            <wp:positionV relativeFrom="paragraph">
              <wp:posOffset>-6350</wp:posOffset>
            </wp:positionV>
            <wp:extent cx="1144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4270"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000-20202</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CREDIT ACCEPTANCE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2" w:lineRule="exact"/>
        <w:rPr>
          <w:sz w:val="24"/>
          <w:szCs w:val="24"/>
          <w:color w:val="auto"/>
        </w:rPr>
      </w:pPr>
    </w:p>
    <w:tbl>
      <w:tblPr>
        <w:tblLayout w:type="fixed"/>
        <w:tblInd w:w="540" w:type="dxa"/>
        <w:tblCellMar>
          <w:top w:w="0" w:type="dxa"/>
          <w:left w:w="0" w:type="dxa"/>
          <w:bottom w:w="0" w:type="dxa"/>
          <w:right w:w="0" w:type="dxa"/>
        </w:tblCellMar>
      </w:tblPr>
      <w:tr>
        <w:trPr>
          <w:trHeight w:val="208"/>
        </w:trPr>
        <w:tc>
          <w:tcPr>
            <w:tcW w:w="5140" w:type="dxa"/>
            <w:vAlign w:val="bottom"/>
          </w:tcPr>
          <w:p>
            <w:pPr>
              <w:jc w:val="center"/>
              <w:ind w:right="1277"/>
              <w:spacing w:after="0"/>
              <w:rPr>
                <w:sz w:val="20"/>
                <w:szCs w:val="20"/>
                <w:color w:val="auto"/>
              </w:rPr>
            </w:pPr>
            <w:r>
              <w:rPr>
                <w:rFonts w:ascii="Arial" w:cs="Arial" w:eastAsia="Arial" w:hAnsi="Arial"/>
                <w:sz w:val="16"/>
                <w:szCs w:val="16"/>
                <w:b w:val="1"/>
                <w:bCs w:val="1"/>
                <w:color w:val="auto"/>
                <w:w w:val="95"/>
              </w:rPr>
              <w:t>Michigan</w:t>
            </w:r>
          </w:p>
        </w:tc>
        <w:tc>
          <w:tcPr>
            <w:tcW w:w="3660" w:type="dxa"/>
            <w:vAlign w:val="bottom"/>
          </w:tcPr>
          <w:p>
            <w:pPr>
              <w:jc w:val="center"/>
              <w:ind w:left="1301"/>
              <w:spacing w:after="0"/>
              <w:rPr>
                <w:sz w:val="20"/>
                <w:szCs w:val="20"/>
                <w:color w:val="auto"/>
              </w:rPr>
            </w:pPr>
            <w:r>
              <w:rPr>
                <w:rFonts w:ascii="Arial" w:cs="Arial" w:eastAsia="Arial" w:hAnsi="Arial"/>
                <w:sz w:val="16"/>
                <w:szCs w:val="16"/>
                <w:b w:val="1"/>
                <w:bCs w:val="1"/>
                <w:color w:val="auto"/>
                <w:w w:val="88"/>
              </w:rPr>
              <w:t>38-1999511</w:t>
            </w:r>
          </w:p>
        </w:tc>
      </w:tr>
      <w:tr>
        <w:trPr>
          <w:trHeight w:val="212"/>
        </w:trPr>
        <w:tc>
          <w:tcPr>
            <w:tcW w:w="5140" w:type="dxa"/>
            <w:vAlign w:val="bottom"/>
          </w:tcPr>
          <w:p>
            <w:pPr>
              <w:jc w:val="center"/>
              <w:ind w:right="1257"/>
              <w:spacing w:after="0"/>
              <w:rPr>
                <w:sz w:val="20"/>
                <w:szCs w:val="20"/>
                <w:color w:val="auto"/>
              </w:rPr>
            </w:pPr>
            <w:r>
              <w:rPr>
                <w:rFonts w:ascii="Arial" w:cs="Arial" w:eastAsia="Arial" w:hAnsi="Arial"/>
                <w:sz w:val="16"/>
                <w:szCs w:val="16"/>
                <w:color w:val="auto"/>
                <w:w w:val="92"/>
              </w:rPr>
              <w:t>(State or other jurisdiction of incorporation or organization)</w:t>
            </w:r>
          </w:p>
        </w:tc>
        <w:tc>
          <w:tcPr>
            <w:tcW w:w="3660" w:type="dxa"/>
            <w:vAlign w:val="bottom"/>
          </w:tcPr>
          <w:p>
            <w:pPr>
              <w:jc w:val="center"/>
              <w:ind w:left="1281"/>
              <w:spacing w:after="0"/>
              <w:rPr>
                <w:sz w:val="20"/>
                <w:szCs w:val="20"/>
                <w:color w:val="auto"/>
              </w:rPr>
            </w:pPr>
            <w:r>
              <w:rPr>
                <w:rFonts w:ascii="Arial" w:cs="Arial" w:eastAsia="Arial" w:hAnsi="Arial"/>
                <w:sz w:val="16"/>
                <w:szCs w:val="16"/>
                <w:color w:val="auto"/>
                <w:w w:val="93"/>
              </w:rPr>
              <w:t>(I.R.S. Employer Identification No.)</w:t>
            </w:r>
          </w:p>
        </w:tc>
      </w:tr>
      <w:tr>
        <w:trPr>
          <w:trHeight w:val="225"/>
        </w:trPr>
        <w:tc>
          <w:tcPr>
            <w:tcW w:w="5140" w:type="dxa"/>
            <w:vAlign w:val="bottom"/>
          </w:tcPr>
          <w:p>
            <w:pPr>
              <w:jc w:val="center"/>
              <w:ind w:right="1277"/>
              <w:spacing w:after="0"/>
              <w:rPr>
                <w:sz w:val="20"/>
                <w:szCs w:val="20"/>
                <w:color w:val="auto"/>
              </w:rPr>
            </w:pPr>
            <w:r>
              <w:rPr>
                <w:rFonts w:ascii="Arial" w:cs="Arial" w:eastAsia="Arial" w:hAnsi="Arial"/>
                <w:sz w:val="18"/>
                <w:szCs w:val="18"/>
                <w:b w:val="1"/>
                <w:bCs w:val="1"/>
                <w:color w:val="auto"/>
                <w:w w:val="90"/>
              </w:rPr>
              <w:t>25505 W. Twelve Mile Road</w:t>
            </w:r>
          </w:p>
        </w:tc>
        <w:tc>
          <w:tcPr>
            <w:tcW w:w="3660" w:type="dxa"/>
            <w:vAlign w:val="bottom"/>
          </w:tcPr>
          <w:p>
            <w:pPr>
              <w:spacing w:after="0"/>
              <w:rPr>
                <w:sz w:val="19"/>
                <w:szCs w:val="19"/>
                <w:color w:val="auto"/>
              </w:rPr>
            </w:pPr>
          </w:p>
        </w:tc>
      </w:tr>
      <w:tr>
        <w:trPr>
          <w:trHeight w:val="229"/>
        </w:trPr>
        <w:tc>
          <w:tcPr>
            <w:tcW w:w="5140" w:type="dxa"/>
            <w:vAlign w:val="bottom"/>
          </w:tcPr>
          <w:p>
            <w:pPr>
              <w:ind w:left="1020"/>
              <w:spacing w:after="0"/>
              <w:rPr>
                <w:sz w:val="20"/>
                <w:szCs w:val="20"/>
                <w:color w:val="auto"/>
              </w:rPr>
            </w:pPr>
            <w:r>
              <w:rPr>
                <w:rFonts w:ascii="Arial" w:cs="Arial" w:eastAsia="Arial" w:hAnsi="Arial"/>
                <w:sz w:val="18"/>
                <w:szCs w:val="18"/>
                <w:b w:val="1"/>
                <w:bCs w:val="1"/>
                <w:color w:val="auto"/>
              </w:rPr>
              <w:t xml:space="preserve">Southfield, </w:t>
            </w:r>
            <w:r>
              <w:rPr>
                <w:rFonts w:ascii="Arial" w:cs="Arial" w:eastAsia="Arial" w:hAnsi="Arial"/>
                <w:sz w:val="15"/>
                <w:szCs w:val="15"/>
                <w:b w:val="1"/>
                <w:bCs w:val="1"/>
                <w:color w:val="auto"/>
              </w:rPr>
              <w:t>Michigan</w:t>
            </w:r>
          </w:p>
        </w:tc>
        <w:tc>
          <w:tcPr>
            <w:tcW w:w="3660" w:type="dxa"/>
            <w:vAlign w:val="bottom"/>
          </w:tcPr>
          <w:p>
            <w:pPr>
              <w:jc w:val="center"/>
              <w:ind w:left="1301"/>
              <w:spacing w:after="0"/>
              <w:rPr>
                <w:sz w:val="20"/>
                <w:szCs w:val="20"/>
                <w:color w:val="auto"/>
              </w:rPr>
            </w:pPr>
            <w:r>
              <w:rPr>
                <w:rFonts w:ascii="Arial" w:cs="Arial" w:eastAsia="Arial" w:hAnsi="Arial"/>
                <w:sz w:val="16"/>
                <w:szCs w:val="16"/>
                <w:b w:val="1"/>
                <w:bCs w:val="1"/>
                <w:color w:val="auto"/>
                <w:w w:val="88"/>
              </w:rPr>
              <w:t>48034-8339</w:t>
            </w:r>
          </w:p>
        </w:tc>
      </w:tr>
      <w:tr>
        <w:trPr>
          <w:trHeight w:val="208"/>
        </w:trPr>
        <w:tc>
          <w:tcPr>
            <w:tcW w:w="5140" w:type="dxa"/>
            <w:vAlign w:val="bottom"/>
          </w:tcPr>
          <w:p>
            <w:pPr>
              <w:jc w:val="center"/>
              <w:ind w:right="1277"/>
              <w:spacing w:after="0"/>
              <w:rPr>
                <w:sz w:val="20"/>
                <w:szCs w:val="20"/>
                <w:color w:val="auto"/>
              </w:rPr>
            </w:pPr>
            <w:r>
              <w:rPr>
                <w:rFonts w:ascii="Arial" w:cs="Arial" w:eastAsia="Arial" w:hAnsi="Arial"/>
                <w:sz w:val="16"/>
                <w:szCs w:val="16"/>
                <w:color w:val="auto"/>
                <w:w w:val="92"/>
              </w:rPr>
              <w:t>(Address of principal executive offices)</w:t>
            </w:r>
          </w:p>
        </w:tc>
        <w:tc>
          <w:tcPr>
            <w:tcW w:w="3660" w:type="dxa"/>
            <w:vAlign w:val="bottom"/>
          </w:tcPr>
          <w:p>
            <w:pPr>
              <w:jc w:val="center"/>
              <w:ind w:left="1281"/>
              <w:spacing w:after="0"/>
              <w:rPr>
                <w:sz w:val="20"/>
                <w:szCs w:val="20"/>
                <w:color w:val="auto"/>
              </w:rPr>
            </w:pPr>
            <w:r>
              <w:rPr>
                <w:rFonts w:ascii="Arial" w:cs="Arial" w:eastAsia="Arial" w:hAnsi="Arial"/>
                <w:sz w:val="16"/>
                <w:szCs w:val="16"/>
                <w:color w:val="auto"/>
                <w:w w:val="92"/>
              </w:rPr>
              <w:t>(Zip Code)</w:t>
            </w:r>
          </w:p>
        </w:tc>
      </w:tr>
    </w:tbl>
    <w:p>
      <w:pPr>
        <w:spacing w:after="0" w:line="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(248) 353-2700</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3"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2014855</wp:posOffset>
            </wp:positionH>
            <wp:positionV relativeFrom="paragraph">
              <wp:posOffset>10795</wp:posOffset>
            </wp:positionV>
            <wp:extent cx="3070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70860" cy="8255"/>
                    </a:xfrm>
                    <a:prstGeom prst="rect">
                      <a:avLst/>
                    </a:prstGeom>
                    <a:noFill/>
                  </pic:spPr>
                </pic:pic>
              </a:graphicData>
            </a:graphic>
          </wp:anchor>
        </w:drawing>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9" w:lineRule="exact"/>
        <w:rPr>
          <w:sz w:val="24"/>
          <w:szCs w:val="24"/>
          <w:color w:val="auto"/>
        </w:rPr>
      </w:pPr>
    </w:p>
    <w:tbl>
      <w:tblPr>
        <w:tblLayout w:type="fixed"/>
        <w:tblInd w:w="1100" w:type="dxa"/>
        <w:tblCellMar>
          <w:top w:w="0" w:type="dxa"/>
          <w:left w:w="0" w:type="dxa"/>
          <w:bottom w:w="0" w:type="dxa"/>
          <w:right w:w="0" w:type="dxa"/>
        </w:tblCellMar>
      </w:tblPr>
      <w:tr>
        <w:trPr>
          <w:trHeight w:val="210"/>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140" w:type="dxa"/>
            <w:vAlign w:val="bottom"/>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Trading symbol(s)</w:t>
            </w:r>
          </w:p>
        </w:tc>
        <w:tc>
          <w:tcPr>
            <w:tcW w:w="140" w:type="dxa"/>
            <w:vAlign w:val="bottom"/>
          </w:tcPr>
          <w:p>
            <w:pPr>
              <w:spacing w:after="0"/>
              <w:rPr>
                <w:sz w:val="18"/>
                <w:szCs w:val="18"/>
                <w:color w:val="auto"/>
              </w:rPr>
            </w:pP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Name of each exchange on which registered</w:t>
            </w:r>
          </w:p>
        </w:tc>
      </w:tr>
      <w:tr>
        <w:trPr>
          <w:trHeight w:val="247"/>
        </w:trPr>
        <w:tc>
          <w:tcPr>
            <w:tcW w:w="39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Common Stock, $.01 par value</w:t>
            </w:r>
          </w:p>
        </w:tc>
        <w:tc>
          <w:tcPr>
            <w:tcW w:w="18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CACC</w:t>
            </w:r>
          </w:p>
        </w:tc>
        <w:tc>
          <w:tcPr>
            <w:tcW w:w="3240" w:type="dxa"/>
            <w:vAlign w:val="bottom"/>
          </w:tcPr>
          <w:p>
            <w:pPr>
              <w:jc w:val="center"/>
              <w:spacing w:after="0"/>
              <w:rPr>
                <w:sz w:val="20"/>
                <w:szCs w:val="20"/>
                <w:color w:val="auto"/>
              </w:rPr>
            </w:pPr>
            <w:r>
              <w:rPr>
                <w:rFonts w:ascii="Arial" w:cs="Arial" w:eastAsia="Arial" w:hAnsi="Arial"/>
                <w:sz w:val="18"/>
                <w:szCs w:val="18"/>
                <w:color w:val="auto"/>
                <w:w w:val="90"/>
              </w:rPr>
              <w:t>The Nasdaq Stock Market LLC</w:t>
            </w:r>
          </w:p>
        </w:tc>
      </w:tr>
    </w:tbl>
    <w:p>
      <w:pPr>
        <w:spacing w:after="0" w:line="81" w:lineRule="exact"/>
        <w:rPr>
          <w:sz w:val="24"/>
          <w:szCs w:val="24"/>
          <w:color w:val="auto"/>
        </w:rPr>
      </w:pPr>
    </w:p>
    <w:p>
      <w:pPr>
        <w:jc w:val="both"/>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0" w:lineRule="exact"/>
        <w:rPr>
          <w:sz w:val="24"/>
          <w:szCs w:val="24"/>
          <w:color w:val="auto"/>
        </w:rPr>
      </w:pPr>
    </w:p>
    <w:p>
      <w:pPr>
        <w:jc w:val="both"/>
        <w:spacing w:after="0" w:line="30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ind w:left="200" w:hanging="194"/>
        <w:spacing w:after="0"/>
        <w:tabs>
          <w:tab w:leader="none" w:pos="2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o</w:t>
      </w:r>
    </w:p>
    <w:p>
      <w:pPr>
        <w:spacing w:after="0" w:line="236" w:lineRule="exact"/>
        <w:rPr>
          <w:sz w:val="24"/>
          <w:szCs w:val="24"/>
          <w:color w:val="auto"/>
        </w:rPr>
      </w:pPr>
    </w:p>
    <w:p>
      <w:pPr>
        <w:ind w:right="8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40" w:right="339" w:bottom="1440" w:gutter="0" w:footer="0" w:header="0"/>
        </w:sectPr>
      </w:pPr>
    </w:p>
    <w:p>
      <w:pPr>
        <w:spacing w:after="0" w:line="95" w:lineRule="exact"/>
        <w:rPr>
          <w:sz w:val="24"/>
          <w:szCs w:val="24"/>
          <w:color w:val="auto"/>
        </w:rPr>
      </w:pPr>
    </w:p>
    <w:p>
      <w:pPr>
        <w:ind w:left="8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Smaller reporting</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company</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Emerging growth</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company</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361" w:lineRule="exact"/>
        <w:rPr>
          <w:sz w:val="24"/>
          <w:szCs w:val="24"/>
          <w:color w:val="auto"/>
        </w:rPr>
      </w:pPr>
    </w:p>
    <w:p>
      <w:pPr>
        <w:sectPr>
          <w:pgSz w:w="11900" w:h="16838" w:orient="portrait"/>
          <w:cols w:equalWidth="0" w:num="10">
            <w:col w:w="1660" w:space="100"/>
            <w:col w:w="160" w:space="600"/>
            <w:col w:w="1200" w:space="300"/>
            <w:col w:w="160" w:space="440"/>
            <w:col w:w="1480" w:space="140"/>
            <w:col w:w="160" w:space="580"/>
            <w:col w:w="1240" w:space="280"/>
            <w:col w:w="140" w:space="600"/>
            <w:col w:w="1220" w:space="280"/>
            <w:col w:w="500"/>
          </w:cols>
          <w:pgMar w:left="320" w:top="1340" w:right="339" w:bottom="1440" w:gutter="0" w:footer="0" w:header="0"/>
          <w:type w:val="continuous"/>
        </w:sectPr>
      </w:pPr>
    </w:p>
    <w:p>
      <w:pPr>
        <w:spacing w:after="0" w:line="26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$.01 par value, outstanding on July 25, 2022 was 12,921,686.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570230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type w:val="continuous"/>
        </w:sectPr>
      </w:pPr>
    </w:p>
    <w:bookmarkStart w:id="1" w:name="page2"/>
    <w:bookmarkEnd w:id="1"/>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0" w:type="dxa"/>
            <w:vAlign w:val="bottom"/>
            <w:gridSpan w:val="8"/>
          </w:tcPr>
          <w:p>
            <w:pPr>
              <w:ind w:left="1460"/>
              <w:spacing w:after="0"/>
              <w:rPr>
                <w:sz w:val="20"/>
                <w:szCs w:val="20"/>
                <w:color w:val="auto"/>
              </w:rPr>
            </w:pPr>
            <w:r>
              <w:rPr>
                <w:rFonts w:ascii="Arial" w:cs="Arial" w:eastAsia="Arial" w:hAnsi="Arial"/>
                <w:sz w:val="18"/>
                <w:szCs w:val="18"/>
                <w:b w:val="1"/>
                <w:bCs w:val="1"/>
                <w:color w:val="auto"/>
              </w:rPr>
              <w:t>TABLE OF CONTENTS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90"/>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0" w:type="dxa"/>
            <w:vAlign w:val="bottom"/>
            <w:gridSpan w:val="8"/>
          </w:tcPr>
          <w:p>
            <w:pPr>
              <w:jc w:val="center"/>
              <w:ind w:right="2100"/>
              <w:spacing w:after="0"/>
              <w:rPr>
                <w:sz w:val="20"/>
                <w:szCs w:val="20"/>
                <w:color w:val="auto"/>
              </w:rPr>
            </w:pPr>
            <w:r>
              <w:rPr>
                <w:rFonts w:ascii="Arial" w:cs="Arial" w:eastAsia="Arial" w:hAnsi="Arial"/>
                <w:sz w:val="18"/>
                <w:szCs w:val="18"/>
                <w:b w:val="1"/>
                <w:bCs w:val="1"/>
                <w:color w:val="auto"/>
              </w:rPr>
              <w:t>PART I. — FINANCIAL INFORMATION</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1"/>
        </w:trPr>
        <w:tc>
          <w:tcPr>
            <w:tcW w:w="20" w:type="dxa"/>
            <w:vAlign w:val="bottom"/>
          </w:tcPr>
          <w:p>
            <w:pPr>
              <w:spacing w:after="0"/>
              <w:rPr>
                <w:sz w:val="24"/>
                <w:szCs w:val="24"/>
                <w:color w:val="auto"/>
              </w:rPr>
            </w:pPr>
          </w:p>
        </w:tc>
        <w:tc>
          <w:tcPr>
            <w:tcW w:w="9400" w:type="dxa"/>
            <w:vAlign w:val="bottom"/>
            <w:gridSpan w:val="14"/>
          </w:tcPr>
          <w:p>
            <w:pPr>
              <w:spacing w:after="0"/>
              <w:rPr>
                <w:sz w:val="20"/>
                <w:szCs w:val="20"/>
                <w:color w:val="auto"/>
              </w:rPr>
            </w:pPr>
            <w:r>
              <w:rPr>
                <w:rFonts w:ascii="Arial" w:cs="Arial" w:eastAsia="Arial" w:hAnsi="Arial"/>
                <w:sz w:val="18"/>
                <w:szCs w:val="18"/>
                <w:color w:val="auto"/>
              </w:rPr>
              <w:t>ITEM 1. FINANCIAL STATEMENTS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9400" w:type="dxa"/>
            <w:vAlign w:val="bottom"/>
            <w:gridSpan w:val="14"/>
          </w:tcPr>
          <w:p>
            <w:pPr>
              <w:spacing w:after="0"/>
              <w:rPr>
                <w:sz w:val="20"/>
                <w:szCs w:val="20"/>
                <w:color w:val="auto"/>
              </w:rPr>
            </w:pPr>
            <w:r>
              <w:rPr>
                <w:rFonts w:ascii="Arial" w:cs="Arial" w:eastAsia="Arial" w:hAnsi="Arial"/>
                <w:sz w:val="18"/>
                <w:szCs w:val="18"/>
                <w:color w:val="auto"/>
              </w:rPr>
              <w:t>Consolidated Balance Sheets - As of June 30, 2022 and December 31, 2021</w:t>
            </w:r>
          </w:p>
        </w:tc>
        <w:tc>
          <w:tcPr>
            <w:tcW w:w="18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1"/>
        </w:trPr>
        <w:tc>
          <w:tcPr>
            <w:tcW w:w="20" w:type="dxa"/>
            <w:vAlign w:val="bottom"/>
          </w:tcPr>
          <w:p>
            <w:pPr>
              <w:spacing w:after="0"/>
              <w:rPr>
                <w:sz w:val="24"/>
                <w:szCs w:val="24"/>
                <w:color w:val="auto"/>
              </w:rPr>
            </w:pPr>
          </w:p>
        </w:tc>
        <w:tc>
          <w:tcPr>
            <w:tcW w:w="9400" w:type="dxa"/>
            <w:vAlign w:val="bottom"/>
            <w:gridSpan w:val="14"/>
          </w:tcPr>
          <w:p>
            <w:pPr>
              <w:spacing w:after="0"/>
              <w:rPr>
                <w:sz w:val="20"/>
                <w:szCs w:val="20"/>
                <w:color w:val="auto"/>
              </w:rPr>
            </w:pPr>
            <w:r>
              <w:rPr>
                <w:rFonts w:ascii="Arial" w:cs="Arial" w:eastAsia="Arial" w:hAnsi="Arial"/>
                <w:sz w:val="18"/>
                <w:szCs w:val="18"/>
                <w:color w:val="auto"/>
              </w:rPr>
              <w:t>Consolidated Statements of Income - Three and six months ended June 30, 2022 and 2021</w:t>
            </w:r>
          </w:p>
        </w:tc>
        <w:tc>
          <w:tcPr>
            <w:tcW w:w="18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76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1"/>
        </w:trPr>
        <w:tc>
          <w:tcPr>
            <w:tcW w:w="20" w:type="dxa"/>
            <w:vAlign w:val="bottom"/>
          </w:tcPr>
          <w:p>
            <w:pPr>
              <w:spacing w:after="0"/>
              <w:rPr>
                <w:sz w:val="24"/>
                <w:szCs w:val="24"/>
                <w:color w:val="auto"/>
              </w:rPr>
            </w:pPr>
          </w:p>
        </w:tc>
        <w:tc>
          <w:tcPr>
            <w:tcW w:w="7540" w:type="dxa"/>
            <w:vAlign w:val="bottom"/>
            <w:gridSpan w:val="13"/>
          </w:tcPr>
          <w:p>
            <w:pPr>
              <w:spacing w:after="0"/>
              <w:rPr>
                <w:sz w:val="20"/>
                <w:szCs w:val="20"/>
                <w:color w:val="auto"/>
              </w:rPr>
            </w:pPr>
            <w:r>
              <w:rPr>
                <w:rFonts w:ascii="Arial" w:cs="Arial" w:eastAsia="Arial" w:hAnsi="Arial"/>
                <w:sz w:val="18"/>
                <w:szCs w:val="18"/>
                <w:color w:val="auto"/>
                <w:w w:val="87"/>
              </w:rPr>
              <w:t>Consolidated Statements of Comprehensive Income - Three and six months ended June 30, 2022 and 2021</w:t>
            </w:r>
          </w:p>
        </w:tc>
        <w:tc>
          <w:tcPr>
            <w:tcW w:w="1860" w:type="dxa"/>
            <w:vAlign w:val="bottom"/>
          </w:tcPr>
          <w:p>
            <w:pPr>
              <w:spacing w:after="0"/>
              <w:rPr>
                <w:sz w:val="24"/>
                <w:szCs w:val="24"/>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760" w:type="dxa"/>
            <w:vAlign w:val="bottom"/>
            <w:gridSpan w:val="2"/>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1"/>
        </w:trPr>
        <w:tc>
          <w:tcPr>
            <w:tcW w:w="20" w:type="dxa"/>
            <w:vAlign w:val="bottom"/>
          </w:tcPr>
          <w:p>
            <w:pPr>
              <w:spacing w:after="0"/>
              <w:rPr>
                <w:sz w:val="24"/>
                <w:szCs w:val="24"/>
                <w:color w:val="auto"/>
              </w:rPr>
            </w:pPr>
          </w:p>
        </w:tc>
        <w:tc>
          <w:tcPr>
            <w:tcW w:w="7540" w:type="dxa"/>
            <w:vAlign w:val="bottom"/>
            <w:gridSpan w:val="13"/>
          </w:tcPr>
          <w:p>
            <w:pPr>
              <w:spacing w:after="0"/>
              <w:rPr>
                <w:sz w:val="20"/>
                <w:szCs w:val="20"/>
                <w:color w:val="auto"/>
              </w:rPr>
            </w:pPr>
            <w:r>
              <w:rPr>
                <w:rFonts w:ascii="Arial" w:cs="Arial" w:eastAsia="Arial" w:hAnsi="Arial"/>
                <w:sz w:val="18"/>
                <w:szCs w:val="18"/>
                <w:color w:val="auto"/>
                <w:w w:val="90"/>
              </w:rPr>
              <w:t>Consolidated Statements of Shareholders' Equity - Three and six months ended June 30, 2022 and 2021</w:t>
            </w:r>
          </w:p>
        </w:tc>
        <w:tc>
          <w:tcPr>
            <w:tcW w:w="1860" w:type="dxa"/>
            <w:vAlign w:val="bottom"/>
          </w:tcPr>
          <w:p>
            <w:pPr>
              <w:spacing w:after="0"/>
              <w:rPr>
                <w:sz w:val="24"/>
                <w:szCs w:val="24"/>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760" w:type="dxa"/>
            <w:vAlign w:val="bottom"/>
            <w:gridSpan w:val="2"/>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1"/>
        </w:trPr>
        <w:tc>
          <w:tcPr>
            <w:tcW w:w="20" w:type="dxa"/>
            <w:vAlign w:val="bottom"/>
          </w:tcPr>
          <w:p>
            <w:pPr>
              <w:spacing w:after="0"/>
              <w:rPr>
                <w:sz w:val="24"/>
                <w:szCs w:val="24"/>
                <w:color w:val="auto"/>
              </w:rPr>
            </w:pPr>
          </w:p>
        </w:tc>
        <w:tc>
          <w:tcPr>
            <w:tcW w:w="5960" w:type="dxa"/>
            <w:vAlign w:val="bottom"/>
            <w:gridSpan w:val="8"/>
          </w:tcPr>
          <w:p>
            <w:pPr>
              <w:spacing w:after="0"/>
              <w:rPr>
                <w:sz w:val="20"/>
                <w:szCs w:val="20"/>
                <w:color w:val="auto"/>
              </w:rPr>
            </w:pPr>
            <w:r>
              <w:rPr>
                <w:rFonts w:ascii="Arial" w:cs="Arial" w:eastAsia="Arial" w:hAnsi="Arial"/>
                <w:sz w:val="18"/>
                <w:szCs w:val="18"/>
                <w:color w:val="auto"/>
                <w:w w:val="87"/>
              </w:rPr>
              <w:t>Consolidated Statements of Cash Flows - Six months ended June 30, 2022 and 2021</w:t>
            </w:r>
          </w:p>
        </w:tc>
        <w:tc>
          <w:tcPr>
            <w:tcW w:w="1360" w:type="dxa"/>
            <w:vAlign w:val="bottom"/>
            <w:gridSpan w:val="4"/>
          </w:tcPr>
          <w:p>
            <w:pPr>
              <w:spacing w:after="0"/>
              <w:rPr>
                <w:sz w:val="24"/>
                <w:szCs w:val="24"/>
                <w:color w:val="auto"/>
              </w:rPr>
            </w:pPr>
          </w:p>
        </w:tc>
        <w:tc>
          <w:tcPr>
            <w:tcW w:w="2080" w:type="dxa"/>
            <w:vAlign w:val="bottom"/>
            <w:gridSpan w:val="2"/>
          </w:tcPr>
          <w:p>
            <w:pPr>
              <w:spacing w:after="0"/>
              <w:rPr>
                <w:sz w:val="24"/>
                <w:szCs w:val="24"/>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760" w:type="dxa"/>
            <w:vAlign w:val="bottom"/>
            <w:gridSpan w:val="2"/>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1"/>
        </w:trPr>
        <w:tc>
          <w:tcPr>
            <w:tcW w:w="20" w:type="dxa"/>
            <w:vAlign w:val="bottom"/>
          </w:tcPr>
          <w:p>
            <w:pPr>
              <w:spacing w:after="0"/>
              <w:rPr>
                <w:sz w:val="24"/>
                <w:szCs w:val="24"/>
                <w:color w:val="auto"/>
              </w:rPr>
            </w:pPr>
          </w:p>
        </w:tc>
        <w:tc>
          <w:tcPr>
            <w:tcW w:w="3100" w:type="dxa"/>
            <w:vAlign w:val="bottom"/>
            <w:gridSpan w:val="5"/>
          </w:tcPr>
          <w:p>
            <w:pPr>
              <w:spacing w:after="0"/>
              <w:rPr>
                <w:sz w:val="20"/>
                <w:szCs w:val="20"/>
                <w:color w:val="auto"/>
              </w:rPr>
            </w:pPr>
            <w:r>
              <w:rPr>
                <w:rFonts w:ascii="Arial" w:cs="Arial" w:eastAsia="Arial" w:hAnsi="Arial"/>
                <w:sz w:val="18"/>
                <w:szCs w:val="18"/>
                <w:color w:val="auto"/>
                <w:w w:val="87"/>
              </w:rPr>
              <w:t>Notes to Consolidated Financial Statements</w:t>
            </w:r>
          </w:p>
        </w:tc>
        <w:tc>
          <w:tcPr>
            <w:tcW w:w="2860" w:type="dxa"/>
            <w:vAlign w:val="bottom"/>
            <w:gridSpan w:val="3"/>
          </w:tcPr>
          <w:p>
            <w:pPr>
              <w:spacing w:after="0"/>
              <w:rPr>
                <w:sz w:val="24"/>
                <w:szCs w:val="24"/>
                <w:color w:val="auto"/>
              </w:rPr>
            </w:pPr>
          </w:p>
        </w:tc>
        <w:tc>
          <w:tcPr>
            <w:tcW w:w="3440" w:type="dxa"/>
            <w:vAlign w:val="bottom"/>
            <w:gridSpan w:val="6"/>
          </w:tcPr>
          <w:p>
            <w:pPr>
              <w:spacing w:after="0"/>
              <w:rPr>
                <w:sz w:val="24"/>
                <w:szCs w:val="24"/>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1"/>
        </w:trPr>
        <w:tc>
          <w:tcPr>
            <w:tcW w:w="20" w:type="dxa"/>
            <w:vAlign w:val="bottom"/>
          </w:tcPr>
          <w:p>
            <w:pPr>
              <w:spacing w:after="0"/>
              <w:rPr>
                <w:sz w:val="24"/>
                <w:szCs w:val="24"/>
                <w:color w:val="auto"/>
              </w:rPr>
            </w:pPr>
          </w:p>
        </w:tc>
        <w:tc>
          <w:tcPr>
            <w:tcW w:w="9400" w:type="dxa"/>
            <w:vAlign w:val="bottom"/>
            <w:tcBorders>
              <w:bottom w:val="single" w:sz="8" w:color="auto"/>
            </w:tcBorders>
            <w:gridSpan w:val="14"/>
          </w:tcPr>
          <w:p>
            <w:pPr>
              <w:spacing w:after="0"/>
              <w:rPr>
                <w:sz w:val="20"/>
                <w:szCs w:val="20"/>
                <w:color w:val="auto"/>
              </w:rPr>
            </w:pPr>
            <w:r>
              <w:rPr>
                <w:rFonts w:ascii="Arial" w:cs="Arial" w:eastAsia="Arial" w:hAnsi="Arial"/>
                <w:sz w:val="18"/>
                <w:szCs w:val="18"/>
                <w:color w:val="auto"/>
                <w:w w:val="95"/>
              </w:rPr>
              <w:t>ITEM 2. MANAGEMENT’S DISCUSSION AND ANALYSIS OF FINANCIAL CONDITION AND RESULTS OF OPERATIONS</w:t>
            </w:r>
          </w:p>
        </w:tc>
        <w:tc>
          <w:tcPr>
            <w:tcW w:w="16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44</w:t>
              </w:r>
            </w:hyperlink>
          </w:p>
        </w:tc>
        <w:tc>
          <w:tcPr>
            <w:tcW w:w="2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9400" w:type="dxa"/>
            <w:vAlign w:val="bottom"/>
            <w:gridSpan w:val="14"/>
          </w:tcPr>
          <w:p>
            <w:pPr>
              <w:spacing w:after="0"/>
              <w:rPr>
                <w:sz w:val="20"/>
                <w:szCs w:val="20"/>
                <w:color w:val="auto"/>
              </w:rPr>
            </w:pPr>
            <w:r>
              <w:rPr>
                <w:rFonts w:ascii="Arial" w:cs="Arial" w:eastAsia="Arial" w:hAnsi="Arial"/>
                <w:sz w:val="18"/>
                <w:szCs w:val="18"/>
                <w:color w:val="auto"/>
              </w:rPr>
              <w:t>ITEM 3. QUANTITATIVE AND QUALITATIVE DISCLOSURES ABOUT MARKET RISK</w:t>
            </w:r>
          </w:p>
        </w:tc>
        <w:tc>
          <w:tcPr>
            <w:tcW w:w="1800" w:type="dxa"/>
            <w:vAlign w:val="bottom"/>
            <w:gridSpan w:val="3"/>
          </w:tcPr>
          <w:p>
            <w:pPr>
              <w:jc w:val="right"/>
              <w:spacing w:after="0"/>
              <w:rPr>
                <w:rFonts w:ascii="Arial" w:cs="Arial" w:eastAsia="Arial" w:hAnsi="Arial"/>
                <w:sz w:val="18"/>
                <w:szCs w:val="18"/>
                <w:color w:val="0000FF"/>
              </w:rPr>
            </w:pPr>
            <w:hyperlink w:anchor="page62">
              <w:r>
                <w:rPr>
                  <w:rFonts w:ascii="Arial" w:cs="Arial" w:eastAsia="Arial" w:hAnsi="Arial"/>
                  <w:sz w:val="18"/>
                  <w:szCs w:val="18"/>
                  <w:color w:val="0000FF"/>
                </w:rPr>
                <w:t>60</w:t>
              </w:r>
            </w:hyperlink>
          </w:p>
        </w:tc>
        <w:tc>
          <w:tcPr>
            <w:tcW w:w="2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668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auto"/>
              </w:rPr>
              <w:t>ITEM 4. CONTROLS AND PROCEDURES</w:t>
            </w:r>
          </w:p>
        </w:tc>
        <w:tc>
          <w:tcPr>
            <w:tcW w:w="2720" w:type="dxa"/>
            <w:vAlign w:val="bottom"/>
            <w:gridSpan w:val="3"/>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62">
              <w:r>
                <w:rPr>
                  <w:rFonts w:ascii="Arial" w:cs="Arial" w:eastAsia="Arial" w:hAnsi="Arial"/>
                  <w:sz w:val="18"/>
                  <w:szCs w:val="18"/>
                  <w:color w:val="0000FF"/>
                  <w:w w:val="79"/>
                </w:rPr>
                <w:t>60</w:t>
              </w:r>
            </w:hyperlink>
          </w:p>
        </w:tc>
        <w:tc>
          <w:tcPr>
            <w:tcW w:w="20" w:type="dxa"/>
            <w:vAlign w:val="bottom"/>
          </w:tcPr>
          <w:p>
            <w:pPr>
              <w:spacing w:after="0"/>
              <w:rPr>
                <w:sz w:val="24"/>
                <w:szCs w:val="24"/>
                <w:color w:val="auto"/>
              </w:rPr>
            </w:pPr>
          </w:p>
        </w:tc>
      </w:tr>
      <w:tr>
        <w:trPr>
          <w:trHeight w:val="429"/>
        </w:trPr>
        <w:tc>
          <w:tcPr>
            <w:tcW w:w="2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0" w:type="dxa"/>
            <w:vAlign w:val="bottom"/>
            <w:gridSpan w:val="8"/>
          </w:tcPr>
          <w:p>
            <w:pPr>
              <w:jc w:val="center"/>
              <w:ind w:right="2100"/>
              <w:spacing w:after="0"/>
              <w:rPr>
                <w:sz w:val="20"/>
                <w:szCs w:val="20"/>
                <w:color w:val="auto"/>
              </w:rPr>
            </w:pPr>
            <w:r>
              <w:rPr>
                <w:rFonts w:ascii="Arial" w:cs="Arial" w:eastAsia="Arial" w:hAnsi="Arial"/>
                <w:sz w:val="18"/>
                <w:szCs w:val="18"/>
                <w:b w:val="1"/>
                <w:bCs w:val="1"/>
                <w:color w:val="auto"/>
              </w:rPr>
              <w:t>PART II. — OTHER INFORMATION</w:t>
            </w:r>
          </w:p>
        </w:tc>
        <w:tc>
          <w:tcPr>
            <w:tcW w:w="16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25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3"/>
              </w:rPr>
              <w:t>ITEM 1. LEGAL PROCEEDINGS</w:t>
            </w:r>
          </w:p>
        </w:tc>
        <w:tc>
          <w:tcPr>
            <w:tcW w:w="6900" w:type="dxa"/>
            <w:vAlign w:val="bottom"/>
            <w:gridSpan w:val="10"/>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3">
              <w:r>
                <w:rPr>
                  <w:rFonts w:ascii="Arial" w:cs="Arial" w:eastAsia="Arial" w:hAnsi="Arial"/>
                  <w:sz w:val="18"/>
                  <w:szCs w:val="18"/>
                  <w:color w:val="0000FF"/>
                  <w:w w:val="79"/>
                </w:rPr>
                <w:t>61</w:t>
              </w:r>
            </w:hyperlink>
          </w:p>
        </w:tc>
        <w:tc>
          <w:tcPr>
            <w:tcW w:w="20" w:type="dxa"/>
            <w:vAlign w:val="bottom"/>
          </w:tcPr>
          <w:p>
            <w:pPr>
              <w:spacing w:after="0"/>
              <w:rPr>
                <w:sz w:val="24"/>
                <w:szCs w:val="24"/>
                <w:color w:val="auto"/>
              </w:rPr>
            </w:pPr>
          </w:p>
        </w:tc>
      </w:tr>
      <w:tr>
        <w:trPr>
          <w:trHeight w:val="457"/>
        </w:trPr>
        <w:tc>
          <w:tcPr>
            <w:tcW w:w="20" w:type="dxa"/>
            <w:vAlign w:val="bottom"/>
          </w:tcPr>
          <w:p>
            <w:pPr>
              <w:spacing w:after="0"/>
              <w:rPr>
                <w:sz w:val="24"/>
                <w:szCs w:val="24"/>
                <w:color w:val="auto"/>
              </w:rPr>
            </w:pPr>
          </w:p>
        </w:tc>
        <w:tc>
          <w:tcPr>
            <w:tcW w:w="9400" w:type="dxa"/>
            <w:vAlign w:val="bottom"/>
            <w:gridSpan w:val="14"/>
          </w:tcPr>
          <w:p>
            <w:pPr>
              <w:spacing w:after="0"/>
              <w:rPr>
                <w:sz w:val="20"/>
                <w:szCs w:val="20"/>
                <w:color w:val="auto"/>
              </w:rPr>
            </w:pPr>
            <w:r>
              <w:rPr>
                <w:rFonts w:ascii="Arial" w:cs="Arial" w:eastAsia="Arial" w:hAnsi="Arial"/>
                <w:sz w:val="18"/>
                <w:szCs w:val="18"/>
                <w:color w:val="auto"/>
              </w:rPr>
              <w:t>ITEM 1A. RISK FACTORS</w:t>
            </w:r>
          </w:p>
        </w:tc>
        <w:tc>
          <w:tcPr>
            <w:tcW w:w="1800" w:type="dxa"/>
            <w:vAlign w:val="bottom"/>
            <w:gridSpan w:val="3"/>
          </w:tcPr>
          <w:p>
            <w:pPr>
              <w:jc w:val="right"/>
              <w:spacing w:after="0"/>
              <w:rPr>
                <w:rFonts w:ascii="Arial" w:cs="Arial" w:eastAsia="Arial" w:hAnsi="Arial"/>
                <w:sz w:val="18"/>
                <w:szCs w:val="18"/>
                <w:color w:val="0000FF"/>
              </w:rPr>
            </w:pPr>
            <w:hyperlink w:anchor="page63">
              <w:r>
                <w:rPr>
                  <w:rFonts w:ascii="Arial" w:cs="Arial" w:eastAsia="Arial" w:hAnsi="Arial"/>
                  <w:sz w:val="18"/>
                  <w:szCs w:val="18"/>
                  <w:color w:val="0000FF"/>
                </w:rPr>
                <w:t>61</w:t>
              </w:r>
            </w:hyperlink>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20" w:type="dxa"/>
            <w:vAlign w:val="bottom"/>
            <w:gridSpan w:val="7"/>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7"/>
        </w:trPr>
        <w:tc>
          <w:tcPr>
            <w:tcW w:w="20" w:type="dxa"/>
            <w:vAlign w:val="bottom"/>
          </w:tcPr>
          <w:p>
            <w:pPr>
              <w:spacing w:after="0"/>
              <w:rPr>
                <w:sz w:val="24"/>
                <w:szCs w:val="24"/>
                <w:color w:val="auto"/>
              </w:rPr>
            </w:pPr>
          </w:p>
        </w:tc>
        <w:tc>
          <w:tcPr>
            <w:tcW w:w="662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92"/>
              </w:rPr>
              <w:t>ITEM 2. UNREGISTERED SALES OF EQUITY SECURITIES AND USE OF PROCEEDS</w:t>
            </w:r>
          </w:p>
        </w:tc>
        <w:tc>
          <w:tcPr>
            <w:tcW w:w="2780" w:type="dxa"/>
            <w:vAlign w:val="bottom"/>
            <w:gridSpan w:val="4"/>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3">
              <w:r>
                <w:rPr>
                  <w:rFonts w:ascii="Arial" w:cs="Arial" w:eastAsia="Arial" w:hAnsi="Arial"/>
                  <w:sz w:val="18"/>
                  <w:szCs w:val="18"/>
                  <w:color w:val="0000FF"/>
                  <w:w w:val="79"/>
                </w:rPr>
                <w:t>62</w:t>
              </w:r>
            </w:hyperlink>
          </w:p>
        </w:tc>
        <w:tc>
          <w:tcPr>
            <w:tcW w:w="20" w:type="dxa"/>
            <w:vAlign w:val="bottom"/>
          </w:tcPr>
          <w:p>
            <w:pPr>
              <w:spacing w:after="0"/>
              <w:rPr>
                <w:sz w:val="24"/>
                <w:szCs w:val="24"/>
                <w:color w:val="auto"/>
              </w:rPr>
            </w:pPr>
          </w:p>
        </w:tc>
      </w:tr>
      <w:tr>
        <w:trPr>
          <w:trHeight w:val="417"/>
        </w:trPr>
        <w:tc>
          <w:tcPr>
            <w:tcW w:w="20" w:type="dxa"/>
            <w:vAlign w:val="bottom"/>
          </w:tcPr>
          <w:p>
            <w:pPr>
              <w:spacing w:after="0"/>
              <w:rPr>
                <w:sz w:val="24"/>
                <w:szCs w:val="24"/>
                <w:color w:val="auto"/>
              </w:rPr>
            </w:pPr>
          </w:p>
        </w:tc>
        <w:tc>
          <w:tcPr>
            <w:tcW w:w="9400" w:type="dxa"/>
            <w:vAlign w:val="bottom"/>
            <w:gridSpan w:val="14"/>
          </w:tcPr>
          <w:p>
            <w:pPr>
              <w:spacing w:after="0"/>
              <w:rPr>
                <w:sz w:val="20"/>
                <w:szCs w:val="20"/>
                <w:color w:val="auto"/>
              </w:rPr>
            </w:pPr>
            <w:r>
              <w:rPr>
                <w:rFonts w:ascii="Arial" w:cs="Arial" w:eastAsia="Arial" w:hAnsi="Arial"/>
                <w:sz w:val="18"/>
                <w:szCs w:val="18"/>
                <w:color w:val="auto"/>
              </w:rPr>
              <w:t>ITEM 6. EXHIBITS</w:t>
            </w:r>
          </w:p>
        </w:tc>
        <w:tc>
          <w:tcPr>
            <w:tcW w:w="1800" w:type="dxa"/>
            <w:vAlign w:val="bottom"/>
            <w:gridSpan w:val="3"/>
          </w:tcPr>
          <w:p>
            <w:pPr>
              <w:jc w:val="right"/>
              <w:spacing w:after="0"/>
              <w:rPr>
                <w:rFonts w:ascii="Arial" w:cs="Arial" w:eastAsia="Arial" w:hAnsi="Arial"/>
                <w:sz w:val="18"/>
                <w:szCs w:val="18"/>
                <w:color w:val="0000FF"/>
              </w:rPr>
            </w:pPr>
            <w:hyperlink w:anchor="page64">
              <w:r>
                <w:rPr>
                  <w:rFonts w:ascii="Arial" w:cs="Arial" w:eastAsia="Arial" w:hAnsi="Arial"/>
                  <w:sz w:val="18"/>
                  <w:szCs w:val="18"/>
                  <w:color w:val="0000FF"/>
                </w:rPr>
                <w:t>63</w:t>
              </w:r>
            </w:hyperlink>
          </w:p>
        </w:tc>
        <w:tc>
          <w:tcPr>
            <w:tcW w:w="2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SIGNATURES</w:t>
            </w:r>
          </w:p>
        </w:tc>
        <w:tc>
          <w:tcPr>
            <w:tcW w:w="7940" w:type="dxa"/>
            <w:vAlign w:val="bottom"/>
            <w:gridSpan w:val="12"/>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65">
              <w:r>
                <w:rPr>
                  <w:rFonts w:ascii="Arial" w:cs="Arial" w:eastAsia="Arial" w:hAnsi="Arial"/>
                  <w:sz w:val="18"/>
                  <w:szCs w:val="18"/>
                  <w:color w:val="0000FF"/>
                  <w:w w:val="79"/>
                </w:rPr>
                <w:t>64</w:t>
              </w:r>
            </w:hyperlink>
          </w:p>
        </w:tc>
        <w:tc>
          <w:tcPr>
            <w:tcW w:w="20" w:type="dxa"/>
            <w:vAlign w:val="bottom"/>
          </w:tcPr>
          <w:p>
            <w:pPr>
              <w:spacing w:after="0"/>
              <w:rPr>
                <w:sz w:val="24"/>
                <w:szCs w:val="24"/>
                <w:color w:val="auto"/>
              </w:rPr>
            </w:pPr>
          </w:p>
        </w:tc>
      </w:tr>
      <w:tr>
        <w:trPr>
          <w:trHeight w:val="1020"/>
        </w:trPr>
        <w:tc>
          <w:tcPr>
            <w:tcW w:w="20" w:type="dxa"/>
            <w:vAlign w:val="bottom"/>
            <w:tcBorders>
              <w:bottom w:val="single" w:sz="8" w:color="9A9A9A"/>
            </w:tcBorders>
          </w:tcPr>
          <w:p>
            <w:pPr>
              <w:spacing w:after="0"/>
              <w:rPr>
                <w:sz w:val="24"/>
                <w:szCs w:val="24"/>
                <w:color w:val="auto"/>
              </w:rPr>
            </w:pPr>
          </w:p>
        </w:tc>
        <w:tc>
          <w:tcPr>
            <w:tcW w:w="1080" w:type="dxa"/>
            <w:vAlign w:val="bottom"/>
            <w:tcBorders>
              <w:top w:val="single" w:sz="8" w:color="auto"/>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20" w:type="dxa"/>
            <w:vAlign w:val="bottom"/>
          </w:tcPr>
          <w:p>
            <w:pPr>
              <w:spacing w:after="0"/>
              <w:rPr>
                <w:sz w:val="19"/>
                <w:szCs w:val="19"/>
                <w:color w:val="auto"/>
              </w:rPr>
            </w:pPr>
          </w:p>
        </w:tc>
        <w:tc>
          <w:tcPr>
            <w:tcW w:w="4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PART I. - FINANCIAL INFORMATION</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51"/>
        </w:trPr>
        <w:tc>
          <w:tcPr>
            <w:tcW w:w="33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4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33"/>
        </w:trPr>
        <w:tc>
          <w:tcPr>
            <w:tcW w:w="3320" w:type="dxa"/>
            <w:vAlign w:val="bottom"/>
          </w:tcPr>
          <w:p>
            <w:pPr>
              <w:spacing w:after="0"/>
              <w:rPr>
                <w:sz w:val="24"/>
                <w:szCs w:val="24"/>
                <w:color w:val="auto"/>
              </w:rPr>
            </w:pPr>
          </w:p>
        </w:tc>
        <w:tc>
          <w:tcPr>
            <w:tcW w:w="4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CREDIT ACCEPTANCE CORPORATION</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2"/>
        </w:trPr>
        <w:tc>
          <w:tcPr>
            <w:tcW w:w="3320" w:type="dxa"/>
            <w:vAlign w:val="bottom"/>
          </w:tcPr>
          <w:p>
            <w:pPr>
              <w:spacing w:after="0"/>
              <w:rPr>
                <w:sz w:val="18"/>
                <w:szCs w:val="18"/>
                <w:color w:val="auto"/>
              </w:rPr>
            </w:pPr>
          </w:p>
        </w:tc>
        <w:tc>
          <w:tcPr>
            <w:tcW w:w="4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7"/>
              </w:rPr>
              <w:t>CONSOLIDATED BALANCE SHEETS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9"/>
        </w:trPr>
        <w:tc>
          <w:tcPr>
            <w:tcW w:w="3320" w:type="dxa"/>
            <w:vAlign w:val="bottom"/>
          </w:tcPr>
          <w:p>
            <w:pPr>
              <w:spacing w:after="0"/>
              <w:rPr>
                <w:sz w:val="19"/>
                <w:szCs w:val="19"/>
                <w:color w:val="auto"/>
              </w:rPr>
            </w:pPr>
          </w:p>
        </w:tc>
        <w:tc>
          <w:tcPr>
            <w:tcW w:w="4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(UNAUDITED)</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12"/>
        </w:trPr>
        <w:tc>
          <w:tcPr>
            <w:tcW w:w="3320" w:type="dxa"/>
            <w:vAlign w:val="bottom"/>
          </w:tcPr>
          <w:p>
            <w:pPr>
              <w:ind w:left="20"/>
              <w:spacing w:after="0"/>
              <w:rPr>
                <w:sz w:val="20"/>
                <w:szCs w:val="20"/>
                <w:color w:val="auto"/>
              </w:rPr>
            </w:pPr>
            <w:r>
              <w:rPr>
                <w:rFonts w:ascii="Arial" w:cs="Arial" w:eastAsia="Arial" w:hAnsi="Arial"/>
                <w:sz w:val="14"/>
                <w:szCs w:val="14"/>
                <w:color w:val="auto"/>
              </w:rPr>
              <w:t>(Dollars in millions, except per share data)</w:t>
            </w:r>
          </w:p>
        </w:tc>
        <w:tc>
          <w:tcPr>
            <w:tcW w:w="44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As of</w:t>
            </w:r>
          </w:p>
        </w:tc>
        <w:tc>
          <w:tcPr>
            <w:tcW w:w="1500" w:type="dxa"/>
            <w:vAlign w:val="bottom"/>
            <w:tcBorders>
              <w:bottom w:val="single" w:sz="8" w:color="auto"/>
            </w:tcBorders>
          </w:tcPr>
          <w:p>
            <w:pPr>
              <w:spacing w:after="0"/>
              <w:rPr>
                <w:sz w:val="24"/>
                <w:szCs w:val="24"/>
                <w:color w:val="auto"/>
              </w:rPr>
            </w:pPr>
          </w:p>
        </w:tc>
      </w:tr>
      <w:tr>
        <w:trPr>
          <w:trHeight w:val="192"/>
        </w:trPr>
        <w:tc>
          <w:tcPr>
            <w:tcW w:w="33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2021</w:t>
            </w:r>
          </w:p>
        </w:tc>
      </w:tr>
      <w:tr>
        <w:trPr>
          <w:trHeight w:val="212"/>
        </w:trPr>
        <w:tc>
          <w:tcPr>
            <w:tcW w:w="33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26"/>
        </w:trPr>
        <w:tc>
          <w:tcPr>
            <w:tcW w:w="3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Cash and cash equivalents</w:t>
            </w:r>
          </w:p>
        </w:tc>
        <w:tc>
          <w:tcPr>
            <w:tcW w:w="4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25"/>
        </w:trPr>
        <w:tc>
          <w:tcPr>
            <w:tcW w:w="3320" w:type="dxa"/>
            <w:vAlign w:val="bottom"/>
          </w:tcPr>
          <w:p>
            <w:pPr>
              <w:ind w:left="460"/>
              <w:spacing w:after="0"/>
              <w:rPr>
                <w:sz w:val="20"/>
                <w:szCs w:val="20"/>
                <w:color w:val="auto"/>
              </w:rPr>
            </w:pPr>
            <w:r>
              <w:rPr>
                <w:rFonts w:ascii="Arial" w:cs="Arial" w:eastAsia="Arial" w:hAnsi="Arial"/>
                <w:sz w:val="18"/>
                <w:szCs w:val="18"/>
                <w:color w:val="auto"/>
                <w:w w:val="95"/>
              </w:rPr>
              <w:t>Restricted cash and cash equivalents</w:t>
            </w:r>
          </w:p>
        </w:tc>
        <w:tc>
          <w:tcPr>
            <w:tcW w:w="4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410.9</w:t>
            </w:r>
          </w:p>
        </w:tc>
      </w:tr>
      <w:tr>
        <w:trPr>
          <w:trHeight w:val="226"/>
        </w:trPr>
        <w:tc>
          <w:tcPr>
            <w:tcW w:w="33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3"/>
              </w:rPr>
              <w:t>Restricted securities available for sale</w:t>
            </w:r>
          </w:p>
        </w:tc>
        <w:tc>
          <w:tcPr>
            <w:tcW w:w="4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65"/>
        </w:trPr>
        <w:tc>
          <w:tcPr>
            <w:tcW w:w="3320" w:type="dxa"/>
            <w:vAlign w:val="bottom"/>
          </w:tcPr>
          <w:p>
            <w:pPr>
              <w:spacing w:after="0"/>
              <w:rPr>
                <w:sz w:val="23"/>
                <w:szCs w:val="23"/>
                <w:color w:val="auto"/>
              </w:rPr>
            </w:pPr>
          </w:p>
        </w:tc>
        <w:tc>
          <w:tcPr>
            <w:tcW w:w="4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25"/>
        </w:trPr>
        <w:tc>
          <w:tcPr>
            <w:tcW w:w="3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Loans receivable</w:t>
            </w:r>
          </w:p>
        </w:tc>
        <w:tc>
          <w:tcPr>
            <w:tcW w:w="4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9,349.8</w:t>
            </w:r>
          </w:p>
        </w:tc>
      </w:tr>
      <w:tr>
        <w:trPr>
          <w:trHeight w:val="232"/>
        </w:trPr>
        <w:tc>
          <w:tcPr>
            <w:tcW w:w="33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Allowance for credit losses</w:t>
            </w:r>
          </w:p>
        </w:tc>
        <w:tc>
          <w:tcPr>
            <w:tcW w:w="44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(3,013.5)</w:t>
            </w:r>
          </w:p>
        </w:tc>
      </w:tr>
      <w:tr>
        <w:trPr>
          <w:trHeight w:val="232"/>
        </w:trPr>
        <w:tc>
          <w:tcPr>
            <w:tcW w:w="33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Loans receivable, net</w:t>
            </w:r>
          </w:p>
        </w:tc>
        <w:tc>
          <w:tcPr>
            <w:tcW w:w="4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6,323.7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160020</wp:posOffset>
            </wp:positionV>
            <wp:extent cx="7134860" cy="142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25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Property and equipment, net</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taxes receivable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assets</w:t>
      </w:r>
    </w:p>
    <w:p>
      <w:pPr>
        <w:spacing w:after="0" w:line="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25"/>
        </w:trPr>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109.2</w:t>
            </w:r>
          </w:p>
        </w:tc>
      </w:tr>
      <w:tr>
        <w:trPr>
          <w:trHeight w:val="233"/>
        </w:trPr>
        <w:tc>
          <w:tcPr>
            <w:tcW w:w="6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r>
      <w:tr>
        <w:trPr>
          <w:trHeight w:val="225"/>
        </w:trPr>
        <w:tc>
          <w:tcPr>
            <w:tcW w:w="6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6,978.5</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7,050.9</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-335915</wp:posOffset>
            </wp:positionV>
            <wp:extent cx="7134860" cy="151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020" w:space="720"/>
            <w:col w:w="350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7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40" w:type="dxa"/>
            <w:vAlign w:val="bottom"/>
          </w:tcPr>
          <w:p>
            <w:pPr>
              <w:ind w:left="1940"/>
              <w:spacing w:after="0"/>
              <w:rPr>
                <w:sz w:val="20"/>
                <w:szCs w:val="20"/>
                <w:color w:val="auto"/>
              </w:rPr>
            </w:pPr>
            <w:r>
              <w:rPr>
                <w:rFonts w:ascii="Arial" w:cs="Arial" w:eastAsia="Arial" w:hAnsi="Arial"/>
                <w:sz w:val="18"/>
                <w:szCs w:val="18"/>
                <w:b w:val="1"/>
                <w:bCs w:val="1"/>
                <w:color w:val="auto"/>
              </w:rPr>
              <w:t>LIABILITIES AND SHAREHOLDERS' EQUITY:</w:t>
            </w: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40" w:type="dxa"/>
            <w:vAlign w:val="bottom"/>
          </w:tcPr>
          <w:p>
            <w:pPr>
              <w:ind w:left="460"/>
              <w:spacing w:after="0"/>
              <w:rPr>
                <w:sz w:val="20"/>
                <w:szCs w:val="20"/>
                <w:color w:val="auto"/>
              </w:rPr>
            </w:pPr>
            <w:r>
              <w:rPr>
                <w:rFonts w:ascii="Arial" w:cs="Arial" w:eastAsia="Arial" w:hAnsi="Arial"/>
                <w:sz w:val="18"/>
                <w:szCs w:val="18"/>
                <w:color w:val="auto"/>
              </w:rPr>
              <w:t>Accounts payable and accrued liabilities</w:t>
            </w:r>
          </w:p>
        </w:tc>
        <w:tc>
          <w:tcPr>
            <w:tcW w:w="60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19"/>
                <w:szCs w:val="19"/>
                <w:color w:val="auto"/>
              </w:rPr>
            </w:pPr>
          </w:p>
        </w:tc>
        <w:tc>
          <w:tcPr>
            <w:tcW w:w="60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26"/>
        </w:trPr>
        <w:tc>
          <w:tcPr>
            <w:tcW w:w="7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Revolving secured line of credit</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5"/>
        </w:trPr>
        <w:tc>
          <w:tcPr>
            <w:tcW w:w="7740" w:type="dxa"/>
            <w:vAlign w:val="bottom"/>
          </w:tcPr>
          <w:p>
            <w:pPr>
              <w:ind w:left="460"/>
              <w:spacing w:after="0"/>
              <w:rPr>
                <w:sz w:val="20"/>
                <w:szCs w:val="20"/>
                <w:color w:val="auto"/>
              </w:rPr>
            </w:pPr>
            <w:r>
              <w:rPr>
                <w:rFonts w:ascii="Arial" w:cs="Arial" w:eastAsia="Arial" w:hAnsi="Arial"/>
                <w:sz w:val="18"/>
                <w:szCs w:val="18"/>
                <w:color w:val="auto"/>
              </w:rPr>
              <w:t>Secured financing</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3,768.9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3,811.5</w:t>
            </w:r>
          </w:p>
        </w:tc>
        <w:tc>
          <w:tcPr>
            <w:tcW w:w="0" w:type="dxa"/>
            <w:vAlign w:val="bottom"/>
          </w:tcPr>
          <w:p>
            <w:pPr>
              <w:spacing w:after="0"/>
              <w:rPr>
                <w:sz w:val="1"/>
                <w:szCs w:val="1"/>
                <w:color w:val="auto"/>
              </w:rPr>
            </w:pPr>
          </w:p>
        </w:tc>
      </w:tr>
      <w:tr>
        <w:trPr>
          <w:trHeight w:val="226"/>
        </w:trPr>
        <w:tc>
          <w:tcPr>
            <w:tcW w:w="7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Senior notes</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0" w:type="dxa"/>
            <w:vAlign w:val="bottom"/>
          </w:tcPr>
          <w:p>
            <w:pPr>
              <w:spacing w:after="0"/>
              <w:rPr>
                <w:sz w:val="1"/>
                <w:szCs w:val="1"/>
                <w:color w:val="auto"/>
              </w:rPr>
            </w:pPr>
          </w:p>
        </w:tc>
      </w:tr>
      <w:tr>
        <w:trPr>
          <w:trHeight w:val="225"/>
        </w:trPr>
        <w:tc>
          <w:tcPr>
            <w:tcW w:w="7740" w:type="dxa"/>
            <w:vAlign w:val="bottom"/>
          </w:tcPr>
          <w:p>
            <w:pPr>
              <w:ind w:left="460"/>
              <w:spacing w:after="0"/>
              <w:rPr>
                <w:sz w:val="20"/>
                <w:szCs w:val="20"/>
                <w:color w:val="auto"/>
              </w:rPr>
            </w:pPr>
            <w:r>
              <w:rPr>
                <w:rFonts w:ascii="Arial" w:cs="Arial" w:eastAsia="Arial" w:hAnsi="Arial"/>
                <w:sz w:val="18"/>
                <w:szCs w:val="18"/>
                <w:color w:val="auto"/>
              </w:rPr>
              <w:t>Mortgage note</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6"/>
        </w:trPr>
        <w:tc>
          <w:tcPr>
            <w:tcW w:w="7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income taxes, net</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0" w:type="dxa"/>
            <w:vAlign w:val="bottom"/>
          </w:tcPr>
          <w:p>
            <w:pPr>
              <w:spacing w:after="0"/>
              <w:rPr>
                <w:sz w:val="1"/>
                <w:szCs w:val="1"/>
                <w:color w:val="auto"/>
              </w:rPr>
            </w:pPr>
          </w:p>
        </w:tc>
      </w:tr>
      <w:tr>
        <w:trPr>
          <w:trHeight w:val="232"/>
        </w:trPr>
        <w:tc>
          <w:tcPr>
            <w:tcW w:w="77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Income taxes payable</w:t>
            </w:r>
          </w:p>
        </w:tc>
        <w:tc>
          <w:tcPr>
            <w:tcW w:w="6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2"/>
        </w:trPr>
        <w:tc>
          <w:tcPr>
            <w:tcW w:w="774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Total Liabilities</w:t>
            </w:r>
          </w:p>
        </w:tc>
        <w:tc>
          <w:tcPr>
            <w:tcW w:w="6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5,458.4</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5,226.7</w:t>
            </w:r>
          </w:p>
        </w:tc>
        <w:tc>
          <w:tcPr>
            <w:tcW w:w="0" w:type="dxa"/>
            <w:vAlign w:val="bottom"/>
          </w:tcPr>
          <w:p>
            <w:pPr>
              <w:spacing w:after="0"/>
              <w:rPr>
                <w:sz w:val="1"/>
                <w:szCs w:val="1"/>
                <w:color w:val="auto"/>
              </w:rPr>
            </w:pPr>
          </w:p>
        </w:tc>
      </w:tr>
      <w:tr>
        <w:trPr>
          <w:trHeight w:val="238"/>
        </w:trPr>
        <w:tc>
          <w:tcPr>
            <w:tcW w:w="7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 - See Note 15</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Preferred stock, $.01 par value, 1,000,000 shares authorized, none issued</w:t>
            </w:r>
          </w:p>
        </w:tc>
        <w:tc>
          <w:tcPr>
            <w:tcW w:w="6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7740" w:type="dxa"/>
            <w:vAlign w:val="bottom"/>
          </w:tcPr>
          <w:p>
            <w:pPr>
              <w:ind w:left="460"/>
              <w:spacing w:after="0" w:line="173" w:lineRule="exact"/>
              <w:rPr>
                <w:sz w:val="20"/>
                <w:szCs w:val="20"/>
                <w:color w:val="auto"/>
              </w:rPr>
            </w:pPr>
            <w:r>
              <w:rPr>
                <w:rFonts w:ascii="Arial" w:cs="Arial" w:eastAsia="Arial" w:hAnsi="Arial"/>
                <w:sz w:val="18"/>
                <w:szCs w:val="18"/>
                <w:color w:val="auto"/>
                <w:w w:val="92"/>
              </w:rPr>
              <w:t>Common stock, $.01 par value, 80,000,000 shares authorized, 12,975,455 and 14,145,888 shares</w:t>
            </w:r>
          </w:p>
        </w:tc>
        <w:tc>
          <w:tcPr>
            <w:tcW w:w="6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4"/>
        </w:trPr>
        <w:tc>
          <w:tcPr>
            <w:tcW w:w="7740" w:type="dxa"/>
            <w:vAlign w:val="bottom"/>
          </w:tcPr>
          <w:p>
            <w:pPr>
              <w:ind w:left="780"/>
              <w:spacing w:after="0"/>
              <w:rPr>
                <w:sz w:val="20"/>
                <w:szCs w:val="20"/>
                <w:color w:val="auto"/>
              </w:rPr>
            </w:pPr>
            <w:r>
              <w:rPr>
                <w:rFonts w:ascii="Arial" w:cs="Arial" w:eastAsia="Arial" w:hAnsi="Arial"/>
                <w:sz w:val="18"/>
                <w:szCs w:val="18"/>
                <w:color w:val="auto"/>
              </w:rPr>
              <w:t>issued and outstanding as of June 30, 2022 and December 31, 2021, respectively</w:t>
            </w:r>
          </w:p>
        </w:tc>
        <w:tc>
          <w:tcPr>
            <w:tcW w:w="6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Paid-in capital</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25"/>
        </w:trPr>
        <w:tc>
          <w:tcPr>
            <w:tcW w:w="7740" w:type="dxa"/>
            <w:vAlign w:val="bottom"/>
          </w:tcPr>
          <w:p>
            <w:pPr>
              <w:ind w:left="460"/>
              <w:spacing w:after="0"/>
              <w:rPr>
                <w:sz w:val="20"/>
                <w:szCs w:val="20"/>
                <w:color w:val="auto"/>
              </w:rPr>
            </w:pPr>
            <w:r>
              <w:rPr>
                <w:rFonts w:ascii="Arial" w:cs="Arial" w:eastAsia="Arial" w:hAnsi="Arial"/>
                <w:sz w:val="18"/>
                <w:szCs w:val="18"/>
                <w:color w:val="auto"/>
              </w:rPr>
              <w:t>Retained earnings</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1,296.4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1,626.7</w:t>
            </w:r>
          </w:p>
        </w:tc>
        <w:tc>
          <w:tcPr>
            <w:tcW w:w="0" w:type="dxa"/>
            <w:vAlign w:val="bottom"/>
          </w:tcPr>
          <w:p>
            <w:pPr>
              <w:spacing w:after="0"/>
              <w:rPr>
                <w:sz w:val="1"/>
                <w:szCs w:val="1"/>
                <w:color w:val="auto"/>
              </w:rPr>
            </w:pPr>
          </w:p>
        </w:tc>
      </w:tr>
      <w:tr>
        <w:trPr>
          <w:trHeight w:val="232"/>
        </w:trPr>
        <w:tc>
          <w:tcPr>
            <w:tcW w:w="7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Accumulated other comprehensive income (loss)</w:t>
            </w:r>
          </w:p>
        </w:tc>
        <w:tc>
          <w:tcPr>
            <w:tcW w:w="6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2"/>
        </w:trPr>
        <w:tc>
          <w:tcPr>
            <w:tcW w:w="7740" w:type="dxa"/>
            <w:vAlign w:val="bottom"/>
            <w:tcBorders>
              <w:bottom w:val="single" w:sz="8" w:color="CCEEFF"/>
            </w:tcBorders>
          </w:tcPr>
          <w:p>
            <w:pPr>
              <w:ind w:left="1100"/>
              <w:spacing w:after="0"/>
              <w:rPr>
                <w:sz w:val="20"/>
                <w:szCs w:val="20"/>
                <w:color w:val="auto"/>
              </w:rPr>
            </w:pPr>
            <w:r>
              <w:rPr>
                <w:rFonts w:ascii="Arial" w:cs="Arial" w:eastAsia="Arial" w:hAnsi="Arial"/>
                <w:sz w:val="18"/>
                <w:szCs w:val="18"/>
                <w:color w:val="auto"/>
              </w:rPr>
              <w:t>Total Shareholders' Equity</w:t>
            </w:r>
          </w:p>
        </w:tc>
        <w:tc>
          <w:tcPr>
            <w:tcW w:w="6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1,520.1</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1,824.2</w:t>
            </w: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Total Liabilities and Shareholders' Equity</w:t>
            </w: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6,978.5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7,050.9</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80" w:type="dxa"/>
            <w:vAlign w:val="bottom"/>
            <w:gridSpan w:val="5"/>
          </w:tcPr>
          <w:p>
            <w:pPr>
              <w:ind w:left="340"/>
              <w:spacing w:after="0"/>
              <w:rPr>
                <w:sz w:val="20"/>
                <w:szCs w:val="20"/>
                <w:color w:val="auto"/>
              </w:rPr>
            </w:pPr>
            <w:r>
              <w:rPr>
                <w:rFonts w:ascii="Arial" w:cs="Arial" w:eastAsia="Arial" w:hAnsi="Arial"/>
                <w:sz w:val="14"/>
                <w:szCs w:val="14"/>
                <w:b w:val="1"/>
                <w:bCs w:val="1"/>
                <w:color w:val="auto"/>
              </w:rPr>
              <w:t>For the Three Months Ended</w:t>
            </w:r>
          </w:p>
        </w:tc>
        <w:tc>
          <w:tcPr>
            <w:tcW w:w="380" w:type="dxa"/>
            <w:vAlign w:val="bottom"/>
          </w:tcPr>
          <w:p>
            <w:pPr>
              <w:spacing w:after="0"/>
              <w:rPr>
                <w:sz w:val="14"/>
                <w:szCs w:val="14"/>
                <w:color w:val="auto"/>
              </w:rPr>
            </w:pPr>
          </w:p>
        </w:tc>
        <w:tc>
          <w:tcPr>
            <w:tcW w:w="2880" w:type="dxa"/>
            <w:vAlign w:val="bottom"/>
            <w:gridSpan w:val="4"/>
          </w:tcPr>
          <w:p>
            <w:pPr>
              <w:jc w:val="right"/>
              <w:ind w:right="753"/>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92"/>
        </w:trPr>
        <w:tc>
          <w:tcPr>
            <w:tcW w:w="4620" w:type="dxa"/>
            <w:vAlign w:val="bottom"/>
          </w:tcPr>
          <w:p>
            <w:pPr>
              <w:ind w:left="20"/>
              <w:spacing w:after="0"/>
              <w:rPr>
                <w:sz w:val="20"/>
                <w:szCs w:val="20"/>
                <w:color w:val="auto"/>
              </w:rPr>
            </w:pPr>
            <w:r>
              <w:rPr>
                <w:rFonts w:ascii="Arial" w:cs="Arial" w:eastAsia="Arial" w:hAnsi="Arial"/>
                <w:sz w:val="14"/>
                <w:szCs w:val="14"/>
                <w:color w:val="auto"/>
              </w:rPr>
              <w:t>(Dollars in millions, except per share data)</w:t>
            </w:r>
          </w:p>
        </w:tc>
        <w:tc>
          <w:tcPr>
            <w:tcW w:w="3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5"/>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Finance charges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870.3</w:t>
            </w:r>
          </w:p>
        </w:tc>
        <w:tc>
          <w:tcPr>
            <w:tcW w:w="0" w:type="dxa"/>
            <w:vAlign w:val="bottom"/>
          </w:tcPr>
          <w:p>
            <w:pPr>
              <w:spacing w:after="0"/>
              <w:rPr>
                <w:sz w:val="1"/>
                <w:szCs w:val="1"/>
                <w:color w:val="auto"/>
              </w:rPr>
            </w:pPr>
          </w:p>
        </w:tc>
      </w:tr>
      <w:tr>
        <w:trPr>
          <w:trHeight w:val="225"/>
        </w:trPr>
        <w:tc>
          <w:tcPr>
            <w:tcW w:w="4620" w:type="dxa"/>
            <w:vAlign w:val="bottom"/>
          </w:tcPr>
          <w:p>
            <w:pPr>
              <w:ind w:left="460"/>
              <w:spacing w:after="0"/>
              <w:rPr>
                <w:sz w:val="20"/>
                <w:szCs w:val="20"/>
                <w:color w:val="auto"/>
              </w:rPr>
            </w:pPr>
            <w:r>
              <w:rPr>
                <w:rFonts w:ascii="Arial" w:cs="Arial" w:eastAsia="Arial" w:hAnsi="Arial"/>
                <w:sz w:val="18"/>
                <w:szCs w:val="18"/>
                <w:color w:val="auto"/>
              </w:rPr>
              <w:t>Premiums earned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2"/>
        </w:trPr>
        <w:tc>
          <w:tcPr>
            <w:tcW w:w="46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2"/>
        </w:trPr>
        <w:tc>
          <w:tcPr>
            <w:tcW w:w="4620" w:type="dxa"/>
            <w:vAlign w:val="bottom"/>
            <w:tcBorders>
              <w:bottom w:val="single" w:sz="8" w:color="CCEEFF"/>
            </w:tcBorders>
          </w:tcPr>
          <w:p>
            <w:pPr>
              <w:ind w:left="110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457.4</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913.1</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922.7</w:t>
            </w:r>
          </w:p>
        </w:tc>
        <w:tc>
          <w:tcPr>
            <w:tcW w:w="0" w:type="dxa"/>
            <w:vAlign w:val="bottom"/>
          </w:tcPr>
          <w:p>
            <w:pPr>
              <w:spacing w:after="0"/>
              <w:rPr>
                <w:sz w:val="1"/>
                <w:szCs w:val="1"/>
                <w:color w:val="auto"/>
              </w:rPr>
            </w:pPr>
          </w:p>
        </w:tc>
      </w:tr>
      <w:tr>
        <w:trPr>
          <w:trHeight w:val="212"/>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20" w:type="dxa"/>
            <w:vAlign w:val="bottom"/>
          </w:tcPr>
          <w:p>
            <w:pPr>
              <w:ind w:left="460"/>
              <w:spacing w:after="0"/>
              <w:rPr>
                <w:sz w:val="20"/>
                <w:szCs w:val="20"/>
                <w:color w:val="auto"/>
              </w:rPr>
            </w:pPr>
            <w:r>
              <w:rPr>
                <w:rFonts w:ascii="Arial" w:cs="Arial" w:eastAsia="Arial" w:hAnsi="Arial"/>
                <w:sz w:val="18"/>
                <w:szCs w:val="18"/>
                <w:color w:val="auto"/>
              </w:rPr>
              <w:t>Salaries and wages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26"/>
        </w:trPr>
        <w:tc>
          <w:tcPr>
            <w:tcW w:w="4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25"/>
        </w:trPr>
        <w:tc>
          <w:tcPr>
            <w:tcW w:w="4620" w:type="dxa"/>
            <w:vAlign w:val="bottom"/>
          </w:tcPr>
          <w:p>
            <w:pPr>
              <w:ind w:left="46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6"/>
        </w:trPr>
        <w:tc>
          <w:tcPr>
            <w:tcW w:w="4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Provision for credit losses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5"/>
        </w:trPr>
        <w:tc>
          <w:tcPr>
            <w:tcW w:w="4620" w:type="dxa"/>
            <w:vAlign w:val="bottom"/>
          </w:tcPr>
          <w:p>
            <w:pPr>
              <w:ind w:left="460"/>
              <w:spacing w:after="0"/>
              <w:rPr>
                <w:sz w:val="20"/>
                <w:szCs w:val="20"/>
                <w:color w:val="auto"/>
              </w:rPr>
            </w:pPr>
            <w:r>
              <w:rPr>
                <w:rFonts w:ascii="Arial" w:cs="Arial" w:eastAsia="Arial" w:hAnsi="Arial"/>
                <w:sz w:val="18"/>
                <w:szCs w:val="18"/>
                <w:color w:val="auto"/>
              </w:rPr>
              <w:t>Interest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9"/>
        </w:trPr>
        <w:tc>
          <w:tcPr>
            <w:tcW w:w="46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Provision for claims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2"/>
        </w:trPr>
        <w:tc>
          <w:tcPr>
            <w:tcW w:w="4620" w:type="dxa"/>
            <w:vAlign w:val="bottom"/>
            <w:tcBorders>
              <w:bottom w:val="single" w:sz="8" w:color="CCEEFF"/>
            </w:tcBorders>
          </w:tcPr>
          <w:p>
            <w:pPr>
              <w:ind w:left="1100"/>
              <w:spacing w:after="0"/>
              <w:rPr>
                <w:sz w:val="20"/>
                <w:szCs w:val="20"/>
                <w:color w:val="auto"/>
              </w:rPr>
            </w:pPr>
            <w:r>
              <w:rPr>
                <w:rFonts w:ascii="Arial" w:cs="Arial" w:eastAsia="Arial" w:hAnsi="Arial"/>
                <w:sz w:val="18"/>
                <w:szCs w:val="18"/>
                <w:color w:val="auto"/>
              </w:rPr>
              <w:t>Total costs and expenses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486.5</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25"/>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w:t>
            </w:r>
          </w:p>
        </w:tc>
        <w:tc>
          <w:tcPr>
            <w:tcW w:w="0" w:type="dxa"/>
            <w:vAlign w:val="bottom"/>
          </w:tcPr>
          <w:p>
            <w:pPr>
              <w:spacing w:after="0"/>
              <w:rPr>
                <w:sz w:val="1"/>
                <w:szCs w:val="1"/>
                <w:color w:val="auto"/>
              </w:rPr>
            </w:pPr>
          </w:p>
        </w:tc>
      </w:tr>
      <w:tr>
        <w:trPr>
          <w:trHeight w:val="232"/>
        </w:trPr>
        <w:tc>
          <w:tcPr>
            <w:tcW w:w="46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share: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6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46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620" w:type="dxa"/>
            <w:vAlign w:val="bottom"/>
          </w:tcPr>
          <w:p>
            <w:pPr>
              <w:ind w:left="460"/>
              <w:spacing w:after="0" w:line="198"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7.94</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2"/>
              <w:spacing w:after="0" w:line="198"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17.18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23.10</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2"/>
              <w:spacing w:after="0" w:line="198"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2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Weighted average shares outstanding:</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620" w:type="dxa"/>
            <w:vAlign w:val="bottom"/>
          </w:tcPr>
          <w:p>
            <w:pPr>
              <w:ind w:left="46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13,435,507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16,790,189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13,849,711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16,924,014</w:t>
            </w:r>
          </w:p>
        </w:tc>
        <w:tc>
          <w:tcPr>
            <w:tcW w:w="0" w:type="dxa"/>
            <w:vAlign w:val="bottom"/>
          </w:tcPr>
          <w:p>
            <w:pPr>
              <w:spacing w:after="0"/>
              <w:rPr>
                <w:sz w:val="1"/>
                <w:szCs w:val="1"/>
                <w:color w:val="auto"/>
              </w:rPr>
            </w:pPr>
          </w:p>
        </w:tc>
      </w:tr>
      <w:tr>
        <w:trPr>
          <w:trHeight w:val="226"/>
        </w:trPr>
        <w:tc>
          <w:tcPr>
            <w:tcW w:w="4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13,517,979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16,794,279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13,927,372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16,944,900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7" w:right="3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246380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680" w:type="dxa"/>
            <w:vAlign w:val="bottom"/>
            <w:gridSpan w:val="4"/>
          </w:tcPr>
          <w:p>
            <w:pPr>
              <w:jc w:val="right"/>
              <w:ind w:right="118"/>
              <w:spacing w:after="0"/>
              <w:rPr>
                <w:sz w:val="20"/>
                <w:szCs w:val="20"/>
                <w:color w:val="auto"/>
              </w:rPr>
            </w:pPr>
            <w:r>
              <w:rPr>
                <w:rFonts w:ascii="Arial" w:cs="Arial" w:eastAsia="Arial" w:hAnsi="Arial"/>
                <w:sz w:val="14"/>
                <w:szCs w:val="14"/>
                <w:b w:val="1"/>
                <w:bCs w:val="1"/>
                <w:color w:val="auto"/>
              </w:rPr>
              <w:t>For the 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4"/>
          </w:tcPr>
          <w:p>
            <w:pPr>
              <w:jc w:val="right"/>
              <w:ind w:right="755"/>
              <w:spacing w:after="0"/>
              <w:rPr>
                <w:sz w:val="20"/>
                <w:szCs w:val="20"/>
                <w:color w:val="auto"/>
              </w:rPr>
            </w:pPr>
            <w:r>
              <w:rPr>
                <w:rFonts w:ascii="Arial" w:cs="Arial" w:eastAsia="Arial" w:hAnsi="Arial"/>
                <w:sz w:val="14"/>
                <w:szCs w:val="14"/>
                <w:b w:val="1"/>
                <w:bCs w:val="1"/>
                <w:color w:val="auto"/>
              </w:rPr>
              <w:t>For the Six Months Ended</w:t>
            </w:r>
          </w:p>
        </w:tc>
      </w:tr>
      <w:tr>
        <w:trPr>
          <w:trHeight w:val="192"/>
        </w:trPr>
        <w:tc>
          <w:tcPr>
            <w:tcW w:w="46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0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718"/>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r>
      <w:tr>
        <w:trPr>
          <w:trHeight w:val="192"/>
        </w:trPr>
        <w:tc>
          <w:tcPr>
            <w:tcW w:w="46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225"/>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w:t>
            </w:r>
          </w:p>
        </w:tc>
      </w:tr>
      <w:tr>
        <w:trPr>
          <w:trHeight w:val="225"/>
        </w:trPr>
        <w:tc>
          <w:tcPr>
            <w:tcW w:w="464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2"/>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on securities, net of tax</w:t>
            </w:r>
          </w:p>
        </w:tc>
        <w:tc>
          <w:tcPr>
            <w:tcW w:w="10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2"/>
        </w:trPr>
        <w:tc>
          <w:tcPr>
            <w:tcW w:w="4640" w:type="dxa"/>
            <w:vAlign w:val="bottom"/>
          </w:tcPr>
          <w:p>
            <w:pPr>
              <w:ind w:left="960"/>
              <w:spacing w:after="0"/>
              <w:rPr>
                <w:sz w:val="20"/>
                <w:szCs w:val="20"/>
                <w:color w:val="auto"/>
              </w:rPr>
            </w:pPr>
            <w:r>
              <w:rPr>
                <w:rFonts w:ascii="Arial" w:cs="Arial" w:eastAsia="Arial" w:hAnsi="Arial"/>
                <w:sz w:val="18"/>
                <w:szCs w:val="18"/>
                <w:color w:val="auto"/>
              </w:rPr>
              <w:t>Other comprehensive loss</w:t>
            </w: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50"/>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020" w:type="dxa"/>
            <w:vAlign w:val="bottom"/>
            <w:tcBorders>
              <w:top w:val="single" w:sz="8" w:color="auto"/>
              <w:bottom w:val="single" w:sz="8" w:color="auto"/>
            </w:tcBorders>
            <w:shd w:val="clear" w:color="auto" w:fill="CCEEFF"/>
          </w:tcPr>
          <w:p>
            <w:pPr>
              <w:jc w:val="right"/>
              <w:ind w:right="841"/>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8"/>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7" w:right="3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246380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CREDIT ACCEPTANCE CORPORATION</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10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2"/>
              </w:rPr>
              <w:t>For the Three Months Ended June 30, 2022</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2280" w:type="dxa"/>
            <w:vAlign w:val="bottom"/>
            <w:tcBorders>
              <w:bottom w:val="single" w:sz="8" w:color="auto"/>
            </w:tcBorders>
            <w:gridSpan w:val="3"/>
          </w:tcPr>
          <w:p>
            <w:pPr>
              <w:jc w:val="right"/>
              <w:ind w:right="438"/>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Accumulated Other</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Total Shareholders'</w:t>
            </w:r>
          </w:p>
        </w:tc>
        <w:tc>
          <w:tcPr>
            <w:tcW w:w="0" w:type="dxa"/>
            <w:vAlign w:val="bottom"/>
          </w:tcPr>
          <w:p>
            <w:pPr>
              <w:spacing w:after="0"/>
              <w:rPr>
                <w:sz w:val="1"/>
                <w:szCs w:val="1"/>
                <w:color w:val="auto"/>
              </w:rPr>
            </w:pPr>
          </w:p>
        </w:tc>
      </w:tr>
      <w:tr>
        <w:trPr>
          <w:trHeight w:val="133"/>
        </w:trPr>
        <w:tc>
          <w:tcPr>
            <w:tcW w:w="3100" w:type="dxa"/>
            <w:vAlign w:val="bottom"/>
          </w:tcPr>
          <w:p>
            <w:pPr>
              <w:spacing w:after="0"/>
              <w:rPr>
                <w:sz w:val="11"/>
                <w:szCs w:val="11"/>
                <w:color w:val="auto"/>
              </w:rPr>
            </w:pPr>
          </w:p>
        </w:tc>
        <w:tc>
          <w:tcPr>
            <w:tcW w:w="13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Number</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Paid-In Capital</w:t>
            </w:r>
          </w:p>
        </w:tc>
        <w:tc>
          <w:tcPr>
            <w:tcW w:w="13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2"/>
              </w:rPr>
              <w:t>Retained Earnings</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9"/>
              </w:rPr>
              <w:t>Comprehensive</w:t>
            </w:r>
          </w:p>
        </w:tc>
        <w:tc>
          <w:tcPr>
            <w:tcW w:w="1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260" w:type="dxa"/>
            <w:vAlign w:val="bottom"/>
          </w:tcPr>
          <w:p>
            <w:pPr>
              <w:spacing w:after="0"/>
              <w:rPr>
                <w:sz w:val="16"/>
                <w:szCs w:val="16"/>
                <w:color w:val="auto"/>
              </w:rPr>
            </w:pPr>
          </w:p>
        </w:tc>
        <w:tc>
          <w:tcPr>
            <w:tcW w:w="1000" w:type="dxa"/>
            <w:vAlign w:val="bottom"/>
          </w:tcPr>
          <w:p>
            <w:pPr>
              <w:jc w:val="center"/>
              <w:ind w:right="1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5"/>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13,363,783</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1,628.8</w:t>
            </w:r>
          </w:p>
        </w:tc>
        <w:tc>
          <w:tcPr>
            <w:tcW w:w="0" w:type="dxa"/>
            <w:vAlign w:val="bottom"/>
          </w:tcPr>
          <w:p>
            <w:pPr>
              <w:spacing w:after="0"/>
              <w:rPr>
                <w:sz w:val="1"/>
                <w:szCs w:val="1"/>
                <w:color w:val="auto"/>
              </w:rPr>
            </w:pPr>
          </w:p>
        </w:tc>
      </w:tr>
      <w:tr>
        <w:trPr>
          <w:trHeight w:val="225"/>
        </w:trPr>
        <w:tc>
          <w:tcPr>
            <w:tcW w:w="31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26"/>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5"/>
        </w:trPr>
        <w:tc>
          <w:tcPr>
            <w:tcW w:w="31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6"/>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of common stock</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(403,953)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32"/>
        </w:trPr>
        <w:tc>
          <w:tcPr>
            <w:tcW w:w="3100" w:type="dxa"/>
            <w:vAlign w:val="bottom"/>
          </w:tcPr>
          <w:p>
            <w:pPr>
              <w:ind w:left="140"/>
              <w:spacing w:after="0"/>
              <w:rPr>
                <w:sz w:val="20"/>
                <w:szCs w:val="20"/>
                <w:color w:val="auto"/>
              </w:rPr>
            </w:pPr>
            <w:r>
              <w:rPr>
                <w:rFonts w:ascii="Arial" w:cs="Arial" w:eastAsia="Arial" w:hAnsi="Arial"/>
                <w:sz w:val="18"/>
                <w:szCs w:val="18"/>
                <w:color w:val="auto"/>
              </w:rPr>
              <w:t>Stock options exercised</w:t>
            </w:r>
          </w:p>
        </w:tc>
        <w:tc>
          <w:tcPr>
            <w:tcW w:w="1260" w:type="dxa"/>
            <w:vAlign w:val="bottom"/>
          </w:tcPr>
          <w:p>
            <w:pPr>
              <w:jc w:val="right"/>
              <w:spacing w:after="0"/>
              <w:rPr>
                <w:sz w:val="20"/>
                <w:szCs w:val="20"/>
                <w:color w:val="auto"/>
              </w:rPr>
            </w:pPr>
            <w:r>
              <w:rPr>
                <w:rFonts w:ascii="Arial" w:cs="Arial" w:eastAsia="Arial" w:hAnsi="Arial"/>
                <w:sz w:val="18"/>
                <w:szCs w:val="18"/>
                <w:color w:val="auto"/>
              </w:rPr>
              <w:t>15,625</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0"/>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12,975,455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1,520.1</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310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2"/>
              </w:rPr>
              <w:t>For the Three Months Ended June 30, 2021</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100" w:type="dxa"/>
            <w:vAlign w:val="bottom"/>
          </w:tcPr>
          <w:p>
            <w:pPr>
              <w:spacing w:after="0"/>
              <w:rPr>
                <w:sz w:val="24"/>
                <w:szCs w:val="24"/>
                <w:color w:val="auto"/>
              </w:rPr>
            </w:pPr>
          </w:p>
        </w:tc>
        <w:tc>
          <w:tcPr>
            <w:tcW w:w="2280" w:type="dxa"/>
            <w:vAlign w:val="bottom"/>
            <w:gridSpan w:val="3"/>
            <w:vMerge w:val="restart"/>
          </w:tcPr>
          <w:p>
            <w:pPr>
              <w:jc w:val="right"/>
              <w:ind w:right="438"/>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Accumulated Other</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100" w:type="dxa"/>
            <w:vAlign w:val="bottom"/>
          </w:tcPr>
          <w:p>
            <w:pPr>
              <w:spacing w:after="0"/>
              <w:rPr>
                <w:sz w:val="9"/>
                <w:szCs w:val="9"/>
                <w:color w:val="auto"/>
              </w:rPr>
            </w:pPr>
          </w:p>
        </w:tc>
        <w:tc>
          <w:tcPr>
            <w:tcW w:w="2280" w:type="dxa"/>
            <w:vAlign w:val="bottom"/>
            <w:tcBorders>
              <w:bottom w:val="single" w:sz="8" w:color="auto"/>
            </w:tcBorders>
            <w:gridSpan w:val="3"/>
            <w:vMerge w:val="continue"/>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w w:val="96"/>
              </w:rPr>
              <w:t>Comprehensive</w:t>
            </w:r>
          </w:p>
        </w:tc>
        <w:tc>
          <w:tcPr>
            <w:tcW w:w="1260" w:type="dxa"/>
            <w:vAlign w:val="bottom"/>
            <w:gridSpan w:val="2"/>
          </w:tcPr>
          <w:p>
            <w:pPr>
              <w:jc w:val="center"/>
              <w:spacing w:after="0" w:line="113" w:lineRule="exact"/>
              <w:rPr>
                <w:sz w:val="20"/>
                <w:szCs w:val="20"/>
                <w:color w:val="auto"/>
              </w:rPr>
            </w:pPr>
            <w:r>
              <w:rPr>
                <w:rFonts w:ascii="Arial" w:cs="Arial" w:eastAsia="Arial" w:hAnsi="Arial"/>
                <w:sz w:val="13"/>
                <w:szCs w:val="13"/>
                <w:b w:val="1"/>
                <w:bCs w:val="1"/>
                <w:color w:val="auto"/>
                <w:w w:val="97"/>
              </w:rPr>
              <w:t>Total Shareholders'</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1360" w:type="dxa"/>
            <w:vAlign w:val="bottom"/>
            <w:gridSpan w:val="2"/>
          </w:tcPr>
          <w:p>
            <w:pPr>
              <w:ind w:left="380"/>
              <w:spacing w:after="0"/>
              <w:rPr>
                <w:sz w:val="20"/>
                <w:szCs w:val="20"/>
                <w:color w:val="auto"/>
              </w:rPr>
            </w:pPr>
            <w:r>
              <w:rPr>
                <w:rFonts w:ascii="Arial" w:cs="Arial" w:eastAsia="Arial" w:hAnsi="Arial"/>
                <w:sz w:val="14"/>
                <w:szCs w:val="14"/>
                <w:b w:val="1"/>
                <w:bCs w:val="1"/>
                <w:color w:val="auto"/>
              </w:rPr>
              <w:t>Number</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Paid-In Capital</w:t>
            </w:r>
          </w:p>
        </w:tc>
        <w:tc>
          <w:tcPr>
            <w:tcW w:w="13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2"/>
              </w:rPr>
              <w:t>Retained Earnings</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260" w:type="dxa"/>
            <w:vAlign w:val="bottom"/>
          </w:tcPr>
          <w:p>
            <w:pPr>
              <w:spacing w:after="0"/>
              <w:rPr>
                <w:sz w:val="16"/>
                <w:szCs w:val="16"/>
                <w:color w:val="auto"/>
              </w:rPr>
            </w:pPr>
          </w:p>
        </w:tc>
        <w:tc>
          <w:tcPr>
            <w:tcW w:w="1000" w:type="dxa"/>
            <w:vAlign w:val="bottom"/>
          </w:tcPr>
          <w:p>
            <w:pPr>
              <w:jc w:val="center"/>
              <w:ind w:right="1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5"/>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16,710,422</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2,369.8</w:t>
            </w:r>
          </w:p>
        </w:tc>
        <w:tc>
          <w:tcPr>
            <w:tcW w:w="0" w:type="dxa"/>
            <w:vAlign w:val="bottom"/>
          </w:tcPr>
          <w:p>
            <w:pPr>
              <w:spacing w:after="0"/>
              <w:rPr>
                <w:sz w:val="1"/>
                <w:szCs w:val="1"/>
                <w:color w:val="auto"/>
              </w:rPr>
            </w:pPr>
          </w:p>
        </w:tc>
      </w:tr>
      <w:tr>
        <w:trPr>
          <w:trHeight w:val="225"/>
        </w:trPr>
        <w:tc>
          <w:tcPr>
            <w:tcW w:w="31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26"/>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5"/>
        </w:trPr>
        <w:tc>
          <w:tcPr>
            <w:tcW w:w="3100" w:type="dxa"/>
            <w:vAlign w:val="bottom"/>
          </w:tcPr>
          <w:p>
            <w:pPr>
              <w:ind w:left="140"/>
              <w:spacing w:after="0"/>
              <w:rPr>
                <w:sz w:val="20"/>
                <w:szCs w:val="20"/>
                <w:color w:val="auto"/>
              </w:rPr>
            </w:pPr>
            <w:r>
              <w:rPr>
                <w:rFonts w:ascii="Arial" w:cs="Arial" w:eastAsia="Arial" w:hAnsi="Arial"/>
                <w:sz w:val="18"/>
                <w:szCs w:val="18"/>
                <w:color w:val="auto"/>
              </w:rPr>
              <w:t>Restricted stock forfeitures</w:t>
            </w:r>
          </w:p>
        </w:tc>
        <w:tc>
          <w:tcPr>
            <w:tcW w:w="1260" w:type="dxa"/>
            <w:vAlign w:val="bottom"/>
          </w:tcPr>
          <w:p>
            <w:pPr>
              <w:jc w:val="right"/>
              <w:spacing w:after="0"/>
              <w:rPr>
                <w:sz w:val="20"/>
                <w:szCs w:val="20"/>
                <w:color w:val="auto"/>
              </w:rPr>
            </w:pPr>
            <w:r>
              <w:rPr>
                <w:rFonts w:ascii="Arial" w:cs="Arial" w:eastAsia="Arial" w:hAnsi="Arial"/>
                <w:sz w:val="18"/>
                <w:szCs w:val="18"/>
                <w:color w:val="auto"/>
              </w:rPr>
              <w:t>(109,010)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of common stock</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(598,163)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25"/>
        </w:trPr>
        <w:tc>
          <w:tcPr>
            <w:tcW w:w="31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end of period</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16,003,249</w:t>
            </w:r>
          </w:p>
        </w:tc>
        <w:tc>
          <w:tcPr>
            <w:tcW w:w="100" w:type="dxa"/>
            <w:vAlign w:val="bottom"/>
            <w:tcBorders>
              <w:top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738"/>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0.2</w:t>
            </w: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20" w:type="dxa"/>
            <w:vAlign w:val="bottom"/>
            <w:tcBorders>
              <w:top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2,241.1</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2,393.0</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310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w w:val="90"/>
              </w:rPr>
              <w:t>For the Six Months Ended June 30, 2022</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100" w:type="dxa"/>
            <w:vAlign w:val="bottom"/>
          </w:tcPr>
          <w:p>
            <w:pPr>
              <w:spacing w:after="0"/>
              <w:rPr>
                <w:sz w:val="24"/>
                <w:szCs w:val="24"/>
                <w:color w:val="auto"/>
              </w:rPr>
            </w:pPr>
          </w:p>
        </w:tc>
        <w:tc>
          <w:tcPr>
            <w:tcW w:w="2280" w:type="dxa"/>
            <w:vAlign w:val="bottom"/>
            <w:gridSpan w:val="3"/>
            <w:vMerge w:val="restart"/>
          </w:tcPr>
          <w:p>
            <w:pPr>
              <w:jc w:val="right"/>
              <w:ind w:right="438"/>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Accumulated Other</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100" w:type="dxa"/>
            <w:vAlign w:val="bottom"/>
          </w:tcPr>
          <w:p>
            <w:pPr>
              <w:spacing w:after="0"/>
              <w:rPr>
                <w:sz w:val="9"/>
                <w:szCs w:val="9"/>
                <w:color w:val="auto"/>
              </w:rPr>
            </w:pPr>
          </w:p>
        </w:tc>
        <w:tc>
          <w:tcPr>
            <w:tcW w:w="2280" w:type="dxa"/>
            <w:vAlign w:val="bottom"/>
            <w:tcBorders>
              <w:bottom w:val="single" w:sz="8" w:color="auto"/>
            </w:tcBorders>
            <w:gridSpan w:val="3"/>
            <w:vMerge w:val="continue"/>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w w:val="96"/>
              </w:rPr>
              <w:t>Comprehensive</w:t>
            </w:r>
          </w:p>
        </w:tc>
        <w:tc>
          <w:tcPr>
            <w:tcW w:w="1260" w:type="dxa"/>
            <w:vAlign w:val="bottom"/>
            <w:gridSpan w:val="2"/>
          </w:tcPr>
          <w:p>
            <w:pPr>
              <w:jc w:val="center"/>
              <w:spacing w:after="0" w:line="113" w:lineRule="exact"/>
              <w:rPr>
                <w:sz w:val="20"/>
                <w:szCs w:val="20"/>
                <w:color w:val="auto"/>
              </w:rPr>
            </w:pPr>
            <w:r>
              <w:rPr>
                <w:rFonts w:ascii="Arial" w:cs="Arial" w:eastAsia="Arial" w:hAnsi="Arial"/>
                <w:sz w:val="13"/>
                <w:szCs w:val="13"/>
                <w:b w:val="1"/>
                <w:bCs w:val="1"/>
                <w:color w:val="auto"/>
                <w:w w:val="97"/>
              </w:rPr>
              <w:t>Total Shareholders'</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1360" w:type="dxa"/>
            <w:vAlign w:val="bottom"/>
            <w:gridSpan w:val="2"/>
          </w:tcPr>
          <w:p>
            <w:pPr>
              <w:ind w:left="380"/>
              <w:spacing w:after="0"/>
              <w:rPr>
                <w:sz w:val="20"/>
                <w:szCs w:val="20"/>
                <w:color w:val="auto"/>
              </w:rPr>
            </w:pPr>
            <w:r>
              <w:rPr>
                <w:rFonts w:ascii="Arial" w:cs="Arial" w:eastAsia="Arial" w:hAnsi="Arial"/>
                <w:sz w:val="14"/>
                <w:szCs w:val="14"/>
                <w:b w:val="1"/>
                <w:bCs w:val="1"/>
                <w:color w:val="auto"/>
              </w:rPr>
              <w:t>Number</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Paid-In Capital</w:t>
            </w:r>
          </w:p>
        </w:tc>
        <w:tc>
          <w:tcPr>
            <w:tcW w:w="13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2"/>
              </w:rPr>
              <w:t>Retained Earnings</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260" w:type="dxa"/>
            <w:vAlign w:val="bottom"/>
          </w:tcPr>
          <w:p>
            <w:pPr>
              <w:spacing w:after="0"/>
              <w:rPr>
                <w:sz w:val="16"/>
                <w:szCs w:val="16"/>
                <w:color w:val="auto"/>
              </w:rPr>
            </w:pPr>
          </w:p>
        </w:tc>
        <w:tc>
          <w:tcPr>
            <w:tcW w:w="1000" w:type="dxa"/>
            <w:vAlign w:val="bottom"/>
          </w:tcPr>
          <w:p>
            <w:pPr>
              <w:jc w:val="center"/>
              <w:ind w:right="1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5"/>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14,145,888</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1,824.2</w:t>
            </w:r>
          </w:p>
        </w:tc>
        <w:tc>
          <w:tcPr>
            <w:tcW w:w="0" w:type="dxa"/>
            <w:vAlign w:val="bottom"/>
          </w:tcPr>
          <w:p>
            <w:pPr>
              <w:spacing w:after="0"/>
              <w:rPr>
                <w:sz w:val="1"/>
                <w:szCs w:val="1"/>
                <w:color w:val="auto"/>
              </w:rPr>
            </w:pPr>
          </w:p>
        </w:tc>
      </w:tr>
      <w:tr>
        <w:trPr>
          <w:trHeight w:val="225"/>
        </w:trPr>
        <w:tc>
          <w:tcPr>
            <w:tcW w:w="31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321.7</w:t>
            </w:r>
          </w:p>
        </w:tc>
        <w:tc>
          <w:tcPr>
            <w:tcW w:w="0" w:type="dxa"/>
            <w:vAlign w:val="bottom"/>
          </w:tcPr>
          <w:p>
            <w:pPr>
              <w:spacing w:after="0"/>
              <w:rPr>
                <w:sz w:val="1"/>
                <w:szCs w:val="1"/>
                <w:color w:val="auto"/>
              </w:rPr>
            </w:pPr>
          </w:p>
        </w:tc>
      </w:tr>
      <w:tr>
        <w:trPr>
          <w:trHeight w:val="226"/>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5"/>
        </w:trPr>
        <w:tc>
          <w:tcPr>
            <w:tcW w:w="31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6"/>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of common stock</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(1,207,688)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w:t>
            </w:r>
          </w:p>
        </w:tc>
        <w:tc>
          <w:tcPr>
            <w:tcW w:w="0" w:type="dxa"/>
            <w:vAlign w:val="bottom"/>
          </w:tcPr>
          <w:p>
            <w:pPr>
              <w:spacing w:after="0"/>
              <w:rPr>
                <w:sz w:val="1"/>
                <w:szCs w:val="1"/>
                <w:color w:val="auto"/>
              </w:rPr>
            </w:pPr>
          </w:p>
        </w:tc>
      </w:tr>
      <w:tr>
        <w:trPr>
          <w:trHeight w:val="173"/>
        </w:trPr>
        <w:tc>
          <w:tcPr>
            <w:tcW w:w="3100" w:type="dxa"/>
            <w:vAlign w:val="bottom"/>
          </w:tcPr>
          <w:p>
            <w:pPr>
              <w:ind w:left="140"/>
              <w:spacing w:after="0" w:line="173" w:lineRule="exact"/>
              <w:rPr>
                <w:sz w:val="20"/>
                <w:szCs w:val="20"/>
                <w:color w:val="auto"/>
              </w:rPr>
            </w:pPr>
            <w:r>
              <w:rPr>
                <w:rFonts w:ascii="Arial" w:cs="Arial" w:eastAsia="Arial" w:hAnsi="Arial"/>
                <w:sz w:val="18"/>
                <w:szCs w:val="18"/>
                <w:color w:val="auto"/>
              </w:rPr>
              <w:t>Restricted stock units converted to</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3,980</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100" w:type="dxa"/>
            <w:vAlign w:val="bottom"/>
          </w:tcPr>
          <w:p>
            <w:pPr>
              <w:ind w:left="300"/>
              <w:spacing w:after="0"/>
              <w:rPr>
                <w:sz w:val="20"/>
                <w:szCs w:val="20"/>
                <w:color w:val="auto"/>
              </w:rPr>
            </w:pPr>
            <w:r>
              <w:rPr>
                <w:rFonts w:ascii="Arial" w:cs="Arial" w:eastAsia="Arial" w:hAnsi="Arial"/>
                <w:sz w:val="18"/>
                <w:szCs w:val="18"/>
                <w:color w:val="auto"/>
              </w:rPr>
              <w:t>common stock</w:t>
            </w: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options 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33,275</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5"/>
        </w:trPr>
        <w:tc>
          <w:tcPr>
            <w:tcW w:w="31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end of period</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12,975,455</w:t>
            </w:r>
          </w:p>
        </w:tc>
        <w:tc>
          <w:tcPr>
            <w:tcW w:w="100" w:type="dxa"/>
            <w:vAlign w:val="bottom"/>
            <w:tcBorders>
              <w:top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738"/>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0.1</w:t>
            </w: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225.8</w:t>
            </w:r>
          </w:p>
        </w:tc>
        <w:tc>
          <w:tcPr>
            <w:tcW w:w="120" w:type="dxa"/>
            <w:vAlign w:val="bottom"/>
            <w:tcBorders>
              <w:top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1,296.4</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1,520.1</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10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w w:val="90"/>
              </w:rPr>
              <w:t>For the Six Months Ended June 30, 2021</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2280" w:type="dxa"/>
            <w:vAlign w:val="bottom"/>
            <w:tcBorders>
              <w:bottom w:val="single" w:sz="8" w:color="auto"/>
            </w:tcBorders>
            <w:gridSpan w:val="3"/>
          </w:tcPr>
          <w:p>
            <w:pPr>
              <w:jc w:val="right"/>
              <w:ind w:right="438"/>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Accumulated Other</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3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Total Shareholders'</w:t>
            </w:r>
          </w:p>
        </w:tc>
        <w:tc>
          <w:tcPr>
            <w:tcW w:w="0" w:type="dxa"/>
            <w:vAlign w:val="bottom"/>
          </w:tcPr>
          <w:p>
            <w:pPr>
              <w:spacing w:after="0"/>
              <w:rPr>
                <w:sz w:val="1"/>
                <w:szCs w:val="1"/>
                <w:color w:val="auto"/>
              </w:rPr>
            </w:pPr>
          </w:p>
        </w:tc>
      </w:tr>
      <w:tr>
        <w:trPr>
          <w:trHeight w:val="133"/>
        </w:trPr>
        <w:tc>
          <w:tcPr>
            <w:tcW w:w="3100" w:type="dxa"/>
            <w:vAlign w:val="bottom"/>
          </w:tcPr>
          <w:p>
            <w:pPr>
              <w:spacing w:after="0"/>
              <w:rPr>
                <w:sz w:val="11"/>
                <w:szCs w:val="11"/>
                <w:color w:val="auto"/>
              </w:rPr>
            </w:pPr>
          </w:p>
        </w:tc>
        <w:tc>
          <w:tcPr>
            <w:tcW w:w="13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Number</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Paid-In Capital</w:t>
            </w:r>
          </w:p>
        </w:tc>
        <w:tc>
          <w:tcPr>
            <w:tcW w:w="13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2"/>
              </w:rPr>
              <w:t>Retained Earnings</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9"/>
              </w:rPr>
              <w:t>Comprehensive</w:t>
            </w:r>
          </w:p>
        </w:tc>
        <w:tc>
          <w:tcPr>
            <w:tcW w:w="1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260" w:type="dxa"/>
            <w:vAlign w:val="bottom"/>
          </w:tcPr>
          <w:p>
            <w:pPr>
              <w:spacing w:after="0"/>
              <w:rPr>
                <w:sz w:val="16"/>
                <w:szCs w:val="16"/>
                <w:color w:val="auto"/>
              </w:rPr>
            </w:pPr>
          </w:p>
        </w:tc>
        <w:tc>
          <w:tcPr>
            <w:tcW w:w="1000" w:type="dxa"/>
            <w:vAlign w:val="bottom"/>
          </w:tcPr>
          <w:p>
            <w:pPr>
              <w:jc w:val="center"/>
              <w:ind w:right="1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5"/>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17,092,432</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2,302.5</w:t>
            </w:r>
          </w:p>
        </w:tc>
        <w:tc>
          <w:tcPr>
            <w:tcW w:w="0" w:type="dxa"/>
            <w:vAlign w:val="bottom"/>
          </w:tcPr>
          <w:p>
            <w:pPr>
              <w:spacing w:after="0"/>
              <w:rPr>
                <w:sz w:val="1"/>
                <w:szCs w:val="1"/>
                <w:color w:val="auto"/>
              </w:rPr>
            </w:pPr>
          </w:p>
        </w:tc>
      </w:tr>
      <w:tr>
        <w:trPr>
          <w:trHeight w:val="225"/>
        </w:trPr>
        <w:tc>
          <w:tcPr>
            <w:tcW w:w="31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490.7</w:t>
            </w:r>
          </w:p>
        </w:tc>
        <w:tc>
          <w:tcPr>
            <w:tcW w:w="0" w:type="dxa"/>
            <w:vAlign w:val="bottom"/>
          </w:tcPr>
          <w:p>
            <w:pPr>
              <w:spacing w:after="0"/>
              <w:rPr>
                <w:sz w:val="1"/>
                <w:szCs w:val="1"/>
                <w:color w:val="auto"/>
              </w:rPr>
            </w:pPr>
          </w:p>
        </w:tc>
      </w:tr>
      <w:tr>
        <w:trPr>
          <w:trHeight w:val="226"/>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5"/>
        </w:trPr>
        <w:tc>
          <w:tcPr>
            <w:tcW w:w="31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6"/>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stock forfeitures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(109,028)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100" w:type="dxa"/>
            <w:vAlign w:val="bottom"/>
          </w:tcPr>
          <w:p>
            <w:pPr>
              <w:ind w:left="140"/>
              <w:spacing w:after="0"/>
              <w:rPr>
                <w:sz w:val="20"/>
                <w:szCs w:val="20"/>
                <w:color w:val="auto"/>
              </w:rPr>
            </w:pPr>
            <w:r>
              <w:rPr>
                <w:rFonts w:ascii="Arial" w:cs="Arial" w:eastAsia="Arial" w:hAnsi="Arial"/>
                <w:sz w:val="18"/>
                <w:szCs w:val="18"/>
                <w:color w:val="auto"/>
              </w:rPr>
              <w:t>Repurchase of common stock</w:t>
            </w:r>
          </w:p>
        </w:tc>
        <w:tc>
          <w:tcPr>
            <w:tcW w:w="1260" w:type="dxa"/>
            <w:vAlign w:val="bottom"/>
          </w:tcPr>
          <w:p>
            <w:pPr>
              <w:jc w:val="right"/>
              <w:spacing w:after="0"/>
              <w:rPr>
                <w:sz w:val="20"/>
                <w:szCs w:val="20"/>
                <w:color w:val="auto"/>
              </w:rPr>
            </w:pPr>
            <w:r>
              <w:rPr>
                <w:rFonts w:ascii="Arial" w:cs="Arial" w:eastAsia="Arial" w:hAnsi="Arial"/>
                <w:sz w:val="18"/>
                <w:szCs w:val="18"/>
                <w:color w:val="auto"/>
              </w:rPr>
              <w:t>(991,571)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(389.7)</w:t>
            </w:r>
          </w:p>
        </w:tc>
        <w:tc>
          <w:tcPr>
            <w:tcW w:w="0" w:type="dxa"/>
            <w:vAlign w:val="bottom"/>
          </w:tcPr>
          <w:p>
            <w:pPr>
              <w:spacing w:after="0"/>
              <w:rPr>
                <w:sz w:val="1"/>
                <w:szCs w:val="1"/>
                <w:color w:val="auto"/>
              </w:rPr>
            </w:pPr>
          </w:p>
        </w:tc>
      </w:tr>
      <w:tr>
        <w:trPr>
          <w:trHeight w:val="174"/>
        </w:trPr>
        <w:tc>
          <w:tcPr>
            <w:tcW w:w="310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rPr>
              <w:t>Restricted stock units converted to</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11,416</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common stock</w:t>
            </w: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end of period</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16,003,249</w:t>
            </w:r>
          </w:p>
        </w:tc>
        <w:tc>
          <w:tcPr>
            <w:tcW w:w="100" w:type="dxa"/>
            <w:vAlign w:val="bottom"/>
            <w:tcBorders>
              <w:top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738"/>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0.2</w:t>
            </w: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20" w:type="dxa"/>
            <w:vAlign w:val="bottom"/>
            <w:tcBorders>
              <w:top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2,241.1</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2,393.0</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180"/>
          </w:cols>
          <w:pgMar w:left="320" w:top="127" w:right="399" w:bottom="1440" w:gutter="0" w:footer="0" w:header="0"/>
        </w:sect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246380</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CREDIT ACCEPTANCE 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77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92"/>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0" w:type="dxa"/>
            <w:vAlign w:val="bottom"/>
          </w:tcPr>
          <w:p>
            <w:pPr>
              <w:spacing w:after="0"/>
              <w:rPr>
                <w:sz w:val="1"/>
                <w:szCs w:val="1"/>
                <w:color w:val="auto"/>
              </w:rPr>
            </w:pPr>
          </w:p>
        </w:tc>
      </w:tr>
      <w:tr>
        <w:trPr>
          <w:trHeight w:val="225"/>
        </w:trPr>
        <w:tc>
          <w:tcPr>
            <w:tcW w:w="7720" w:type="dxa"/>
            <w:vAlign w:val="bottom"/>
          </w:tcPr>
          <w:p>
            <w:pPr>
              <w:ind w:left="460"/>
              <w:spacing w:after="0"/>
              <w:rPr>
                <w:sz w:val="20"/>
                <w:szCs w:val="20"/>
                <w:color w:val="auto"/>
              </w:rPr>
            </w:pPr>
            <w:r>
              <w:rPr>
                <w:rFonts w:ascii="Arial" w:cs="Arial" w:eastAsia="Arial" w:hAnsi="Arial"/>
                <w:sz w:val="18"/>
                <w:szCs w:val="18"/>
                <w:color w:val="auto"/>
              </w:rPr>
              <w:t>Adjustments to reconcile cash provided by operating activities:</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Provision for credit losses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5"/>
        </w:trPr>
        <w:tc>
          <w:tcPr>
            <w:tcW w:w="7720" w:type="dxa"/>
            <w:vAlign w:val="bottom"/>
          </w:tcPr>
          <w:p>
            <w:pPr>
              <w:ind w:left="98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6"/>
        </w:trPr>
        <w:tc>
          <w:tcPr>
            <w:tcW w:w="77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Amortization</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5"/>
        </w:trPr>
        <w:tc>
          <w:tcPr>
            <w:tcW w:w="7720" w:type="dxa"/>
            <w:vAlign w:val="bottom"/>
          </w:tcPr>
          <w:p>
            <w:pPr>
              <w:ind w:left="980"/>
              <w:spacing w:after="0"/>
              <w:rPr>
                <w:sz w:val="20"/>
                <w:szCs w:val="20"/>
                <w:color w:val="auto"/>
              </w:rPr>
            </w:pPr>
            <w:r>
              <w:rPr>
                <w:rFonts w:ascii="Arial" w:cs="Arial" w:eastAsia="Arial" w:hAnsi="Arial"/>
                <w:sz w:val="18"/>
                <w:szCs w:val="18"/>
                <w:color w:val="auto"/>
              </w:rPr>
              <w:t>Provision for deferred income taxes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6"/>
        </w:trPr>
        <w:tc>
          <w:tcPr>
            <w:tcW w:w="77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5"/>
        </w:trPr>
        <w:tc>
          <w:tcPr>
            <w:tcW w:w="7720" w:type="dxa"/>
            <w:vAlign w:val="bottom"/>
          </w:tcPr>
          <w:p>
            <w:pPr>
              <w:ind w:left="9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6"/>
        </w:trPr>
        <w:tc>
          <w:tcPr>
            <w:tcW w:w="7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Change in operating assets and liabilities: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20" w:type="dxa"/>
            <w:vAlign w:val="bottom"/>
          </w:tcPr>
          <w:p>
            <w:pPr>
              <w:ind w:left="980"/>
              <w:spacing w:after="0"/>
              <w:rPr>
                <w:sz w:val="20"/>
                <w:szCs w:val="20"/>
                <w:color w:val="auto"/>
              </w:rPr>
            </w:pPr>
            <w:r>
              <w:rPr>
                <w:rFonts w:ascii="Arial" w:cs="Arial" w:eastAsia="Arial" w:hAnsi="Arial"/>
                <w:sz w:val="18"/>
                <w:szCs w:val="18"/>
                <w:color w:val="auto"/>
              </w:rPr>
              <w:t>Increase in accounts payable and accrued liabilities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6"/>
        </w:trPr>
        <w:tc>
          <w:tcPr>
            <w:tcW w:w="77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Decrease in income taxes receivable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32"/>
        </w:trPr>
        <w:tc>
          <w:tcPr>
            <w:tcW w:w="7720" w:type="dxa"/>
            <w:vAlign w:val="bottom"/>
            <w:tcBorders>
              <w:bottom w:val="single" w:sz="8" w:color="CCEEFF"/>
            </w:tcBorders>
          </w:tcPr>
          <w:p>
            <w:pPr>
              <w:ind w:left="980"/>
              <w:spacing w:after="0"/>
              <w:rPr>
                <w:sz w:val="20"/>
                <w:szCs w:val="20"/>
                <w:color w:val="auto"/>
              </w:rPr>
            </w:pPr>
            <w:r>
              <w:rPr>
                <w:rFonts w:ascii="Arial" w:cs="Arial" w:eastAsia="Arial" w:hAnsi="Arial"/>
                <w:sz w:val="18"/>
                <w:szCs w:val="18"/>
                <w:color w:val="auto"/>
              </w:rPr>
              <w:t>Decrease in other assets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5"/>
        </w:trPr>
        <w:tc>
          <w:tcPr>
            <w:tcW w:w="772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668.5</w:t>
            </w:r>
          </w:p>
        </w:tc>
        <w:tc>
          <w:tcPr>
            <w:tcW w:w="0" w:type="dxa"/>
            <w:vAlign w:val="bottom"/>
          </w:tcPr>
          <w:p>
            <w:pPr>
              <w:spacing w:after="0"/>
              <w:rPr>
                <w:sz w:val="1"/>
                <w:szCs w:val="1"/>
                <w:color w:val="auto"/>
              </w:rPr>
            </w:pPr>
          </w:p>
        </w:tc>
      </w:tr>
      <w:tr>
        <w:trPr>
          <w:trHeight w:val="206"/>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7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Purchases of restricted securities available for sale</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5"/>
        </w:trPr>
        <w:tc>
          <w:tcPr>
            <w:tcW w:w="7720" w:type="dxa"/>
            <w:vAlign w:val="bottom"/>
          </w:tcPr>
          <w:p>
            <w:pPr>
              <w:ind w:left="460"/>
              <w:spacing w:after="0"/>
              <w:rPr>
                <w:sz w:val="20"/>
                <w:szCs w:val="20"/>
                <w:color w:val="auto"/>
              </w:rPr>
            </w:pPr>
            <w:r>
              <w:rPr>
                <w:rFonts w:ascii="Arial" w:cs="Arial" w:eastAsia="Arial" w:hAnsi="Arial"/>
                <w:sz w:val="18"/>
                <w:szCs w:val="18"/>
                <w:color w:val="auto"/>
              </w:rPr>
              <w:t>Proceeds from sale of restricted securities available for sale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6"/>
        </w:trPr>
        <w:tc>
          <w:tcPr>
            <w:tcW w:w="7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Maturities of restricted securities available for sale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5"/>
        </w:trPr>
        <w:tc>
          <w:tcPr>
            <w:tcW w:w="7720" w:type="dxa"/>
            <w:vAlign w:val="bottom"/>
          </w:tcPr>
          <w:p>
            <w:pPr>
              <w:ind w:left="460"/>
              <w:spacing w:after="0"/>
              <w:rPr>
                <w:sz w:val="20"/>
                <w:szCs w:val="20"/>
                <w:color w:val="auto"/>
              </w:rPr>
            </w:pPr>
            <w:r>
              <w:rPr>
                <w:rFonts w:ascii="Arial" w:cs="Arial" w:eastAsia="Arial" w:hAnsi="Arial"/>
                <w:sz w:val="18"/>
                <w:szCs w:val="18"/>
                <w:color w:val="auto"/>
              </w:rPr>
              <w:t>Principal collected on Loans receivable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1,855.5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1,966.5</w:t>
            </w:r>
          </w:p>
        </w:tc>
        <w:tc>
          <w:tcPr>
            <w:tcW w:w="0" w:type="dxa"/>
            <w:vAlign w:val="bottom"/>
          </w:tcPr>
          <w:p>
            <w:pPr>
              <w:spacing w:after="0"/>
              <w:rPr>
                <w:sz w:val="1"/>
                <w:szCs w:val="1"/>
                <w:color w:val="auto"/>
              </w:rPr>
            </w:pPr>
          </w:p>
        </w:tc>
      </w:tr>
      <w:tr>
        <w:trPr>
          <w:trHeight w:val="226"/>
        </w:trPr>
        <w:tc>
          <w:tcPr>
            <w:tcW w:w="7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Advances to Dealers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(1,158.7)</w:t>
            </w:r>
          </w:p>
        </w:tc>
        <w:tc>
          <w:tcPr>
            <w:tcW w:w="0" w:type="dxa"/>
            <w:vAlign w:val="bottom"/>
          </w:tcPr>
          <w:p>
            <w:pPr>
              <w:spacing w:after="0"/>
              <w:rPr>
                <w:sz w:val="1"/>
                <w:szCs w:val="1"/>
                <w:color w:val="auto"/>
              </w:rPr>
            </w:pPr>
          </w:p>
        </w:tc>
      </w:tr>
      <w:tr>
        <w:trPr>
          <w:trHeight w:val="225"/>
        </w:trPr>
        <w:tc>
          <w:tcPr>
            <w:tcW w:w="7720" w:type="dxa"/>
            <w:vAlign w:val="bottom"/>
          </w:tcPr>
          <w:p>
            <w:pPr>
              <w:ind w:left="460"/>
              <w:spacing w:after="0"/>
              <w:rPr>
                <w:sz w:val="20"/>
                <w:szCs w:val="20"/>
                <w:color w:val="auto"/>
              </w:rPr>
            </w:pPr>
            <w:r>
              <w:rPr>
                <w:rFonts w:ascii="Arial" w:cs="Arial" w:eastAsia="Arial" w:hAnsi="Arial"/>
                <w:sz w:val="18"/>
                <w:szCs w:val="18"/>
                <w:color w:val="auto"/>
              </w:rPr>
              <w:t>Purchases of Consumer Loans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(578.4)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(672.8)</w:t>
            </w:r>
          </w:p>
        </w:tc>
        <w:tc>
          <w:tcPr>
            <w:tcW w:w="0" w:type="dxa"/>
            <w:vAlign w:val="bottom"/>
          </w:tcPr>
          <w:p>
            <w:pPr>
              <w:spacing w:after="0"/>
              <w:rPr>
                <w:sz w:val="1"/>
                <w:szCs w:val="1"/>
                <w:color w:val="auto"/>
              </w:rPr>
            </w:pPr>
          </w:p>
        </w:tc>
      </w:tr>
      <w:tr>
        <w:trPr>
          <w:trHeight w:val="226"/>
        </w:trPr>
        <w:tc>
          <w:tcPr>
            <w:tcW w:w="7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Accelerated payments of Dealer Holdback</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5"/>
        </w:trPr>
        <w:tc>
          <w:tcPr>
            <w:tcW w:w="7720" w:type="dxa"/>
            <w:vAlign w:val="bottom"/>
          </w:tcPr>
          <w:p>
            <w:pPr>
              <w:ind w:left="460"/>
              <w:spacing w:after="0"/>
              <w:rPr>
                <w:sz w:val="20"/>
                <w:szCs w:val="20"/>
                <w:color w:val="auto"/>
              </w:rPr>
            </w:pPr>
            <w:r>
              <w:rPr>
                <w:rFonts w:ascii="Arial" w:cs="Arial" w:eastAsia="Arial" w:hAnsi="Arial"/>
                <w:sz w:val="18"/>
                <w:szCs w:val="18"/>
                <w:color w:val="auto"/>
              </w:rPr>
              <w:t>Payments of Dealer Holdback</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32"/>
        </w:trPr>
        <w:tc>
          <w:tcPr>
            <w:tcW w:w="7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2"/>
        </w:trPr>
        <w:tc>
          <w:tcPr>
            <w:tcW w:w="7720" w:type="dxa"/>
            <w:vAlign w:val="bottom"/>
            <w:tcBorders>
              <w:bottom w:val="single" w:sz="8" w:color="CCEEFF"/>
            </w:tcBorders>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5"/>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20" w:type="dxa"/>
            <w:vAlign w:val="bottom"/>
          </w:tcPr>
          <w:p>
            <w:pPr>
              <w:ind w:left="460"/>
              <w:spacing w:after="0"/>
              <w:rPr>
                <w:sz w:val="20"/>
                <w:szCs w:val="20"/>
                <w:color w:val="auto"/>
              </w:rPr>
            </w:pPr>
            <w:r>
              <w:rPr>
                <w:rFonts w:ascii="Arial" w:cs="Arial" w:eastAsia="Arial" w:hAnsi="Arial"/>
                <w:sz w:val="18"/>
                <w:szCs w:val="18"/>
                <w:color w:val="auto"/>
              </w:rPr>
              <w:t>Borrowings under revolving secured line of credit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3,876.1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994.2</w:t>
            </w:r>
          </w:p>
        </w:tc>
        <w:tc>
          <w:tcPr>
            <w:tcW w:w="0" w:type="dxa"/>
            <w:vAlign w:val="bottom"/>
          </w:tcPr>
          <w:p>
            <w:pPr>
              <w:spacing w:after="0"/>
              <w:rPr>
                <w:sz w:val="1"/>
                <w:szCs w:val="1"/>
                <w:color w:val="auto"/>
              </w:rPr>
            </w:pPr>
          </w:p>
        </w:tc>
      </w:tr>
      <w:tr>
        <w:trPr>
          <w:trHeight w:val="226"/>
        </w:trPr>
        <w:tc>
          <w:tcPr>
            <w:tcW w:w="7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Repayments under revolving secured line of credit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(1,090.1)</w:t>
            </w:r>
          </w:p>
        </w:tc>
        <w:tc>
          <w:tcPr>
            <w:tcW w:w="0" w:type="dxa"/>
            <w:vAlign w:val="bottom"/>
          </w:tcPr>
          <w:p>
            <w:pPr>
              <w:spacing w:after="0"/>
              <w:rPr>
                <w:sz w:val="1"/>
                <w:szCs w:val="1"/>
                <w:color w:val="auto"/>
              </w:rPr>
            </w:pPr>
          </w:p>
        </w:tc>
      </w:tr>
      <w:tr>
        <w:trPr>
          <w:trHeight w:val="225"/>
        </w:trPr>
        <w:tc>
          <w:tcPr>
            <w:tcW w:w="7720" w:type="dxa"/>
            <w:vAlign w:val="bottom"/>
          </w:tcPr>
          <w:p>
            <w:pPr>
              <w:ind w:left="460"/>
              <w:spacing w:after="0"/>
              <w:rPr>
                <w:sz w:val="20"/>
                <w:szCs w:val="20"/>
                <w:color w:val="auto"/>
              </w:rPr>
            </w:pPr>
            <w:r>
              <w:rPr>
                <w:rFonts w:ascii="Arial" w:cs="Arial" w:eastAsia="Arial" w:hAnsi="Arial"/>
                <w:sz w:val="18"/>
                <w:szCs w:val="18"/>
                <w:color w:val="auto"/>
              </w:rPr>
              <w:t>Proceeds from secured financing</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729.8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1,379.8</w:t>
            </w:r>
          </w:p>
        </w:tc>
        <w:tc>
          <w:tcPr>
            <w:tcW w:w="0" w:type="dxa"/>
            <w:vAlign w:val="bottom"/>
          </w:tcPr>
          <w:p>
            <w:pPr>
              <w:spacing w:after="0"/>
              <w:rPr>
                <w:sz w:val="1"/>
                <w:szCs w:val="1"/>
                <w:color w:val="auto"/>
              </w:rPr>
            </w:pPr>
          </w:p>
        </w:tc>
      </w:tr>
      <w:tr>
        <w:trPr>
          <w:trHeight w:val="226"/>
        </w:trPr>
        <w:tc>
          <w:tcPr>
            <w:tcW w:w="7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Repayments of secured financing</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(1,108.0)</w:t>
            </w:r>
          </w:p>
        </w:tc>
        <w:tc>
          <w:tcPr>
            <w:tcW w:w="0" w:type="dxa"/>
            <w:vAlign w:val="bottom"/>
          </w:tcPr>
          <w:p>
            <w:pPr>
              <w:spacing w:after="0"/>
              <w:rPr>
                <w:sz w:val="1"/>
                <w:szCs w:val="1"/>
                <w:color w:val="auto"/>
              </w:rPr>
            </w:pPr>
          </w:p>
        </w:tc>
      </w:tr>
      <w:tr>
        <w:trPr>
          <w:trHeight w:val="225"/>
        </w:trPr>
        <w:tc>
          <w:tcPr>
            <w:tcW w:w="7720" w:type="dxa"/>
            <w:vAlign w:val="bottom"/>
          </w:tcPr>
          <w:p>
            <w:pPr>
              <w:ind w:left="460"/>
              <w:spacing w:after="0"/>
              <w:rPr>
                <w:sz w:val="20"/>
                <w:szCs w:val="20"/>
                <w:color w:val="auto"/>
              </w:rPr>
            </w:pPr>
            <w:r>
              <w:rPr>
                <w:rFonts w:ascii="Arial" w:cs="Arial" w:eastAsia="Arial" w:hAnsi="Arial"/>
                <w:sz w:val="18"/>
                <w:szCs w:val="18"/>
                <w:color w:val="auto"/>
              </w:rPr>
              <w:t>Payments of debt issuance costs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6"/>
        </w:trPr>
        <w:tc>
          <w:tcPr>
            <w:tcW w:w="7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Repurchase of common stock</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w:t>
            </w:r>
          </w:p>
        </w:tc>
        <w:tc>
          <w:tcPr>
            <w:tcW w:w="0" w:type="dxa"/>
            <w:vAlign w:val="bottom"/>
          </w:tcPr>
          <w:p>
            <w:pPr>
              <w:spacing w:after="0"/>
              <w:rPr>
                <w:sz w:val="1"/>
                <w:szCs w:val="1"/>
                <w:color w:val="auto"/>
              </w:rPr>
            </w:pPr>
          </w:p>
        </w:tc>
      </w:tr>
      <w:tr>
        <w:trPr>
          <w:trHeight w:val="225"/>
        </w:trPr>
        <w:tc>
          <w:tcPr>
            <w:tcW w:w="7720" w:type="dxa"/>
            <w:vAlign w:val="bottom"/>
          </w:tcPr>
          <w:p>
            <w:pPr>
              <w:ind w:left="460"/>
              <w:spacing w:after="0"/>
              <w:rPr>
                <w:sz w:val="20"/>
                <w:szCs w:val="20"/>
                <w:color w:val="auto"/>
              </w:rPr>
            </w:pPr>
            <w:r>
              <w:rPr>
                <w:rFonts w:ascii="Arial" w:cs="Arial" w:eastAsia="Arial" w:hAnsi="Arial"/>
                <w:sz w:val="18"/>
                <w:szCs w:val="18"/>
                <w:color w:val="auto"/>
              </w:rPr>
              <w:t>Proceeds from stock options exercised</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7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2"/>
        </w:trPr>
        <w:tc>
          <w:tcPr>
            <w:tcW w:w="7720" w:type="dxa"/>
            <w:vAlign w:val="bottom"/>
            <w:tcBorders>
              <w:bottom w:val="single" w:sz="8" w:color="CCEEFF"/>
            </w:tcBorders>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(462.6)</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25"/>
        </w:trPr>
        <w:tc>
          <w:tcPr>
            <w:tcW w:w="772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3"/>
              </w:rPr>
              <w:t>Net increase (decrease) in cash and cash equivalents and restricted cash and cash equivalents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0" w:type="dxa"/>
            <w:vAlign w:val="bottom"/>
          </w:tcPr>
          <w:p>
            <w:pPr>
              <w:spacing w:after="0"/>
              <w:rPr>
                <w:sz w:val="1"/>
                <w:szCs w:val="1"/>
                <w:color w:val="auto"/>
              </w:rPr>
            </w:pPr>
          </w:p>
        </w:tc>
      </w:tr>
      <w:tr>
        <w:trPr>
          <w:trHeight w:val="232"/>
        </w:trPr>
        <w:tc>
          <w:tcPr>
            <w:tcW w:w="77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Cash and cash equivalents and restricted cash and cash equivalents beginning of period</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434.2</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396.2</w:t>
            </w:r>
          </w:p>
        </w:tc>
        <w:tc>
          <w:tcPr>
            <w:tcW w:w="0" w:type="dxa"/>
            <w:vAlign w:val="bottom"/>
          </w:tcPr>
          <w:p>
            <w:pPr>
              <w:spacing w:after="0"/>
              <w:rPr>
                <w:sz w:val="1"/>
                <w:szCs w:val="1"/>
                <w:color w:val="auto"/>
              </w:rPr>
            </w:pPr>
          </w:p>
        </w:tc>
      </w:tr>
      <w:tr>
        <w:trPr>
          <w:trHeight w:val="250"/>
        </w:trPr>
        <w:tc>
          <w:tcPr>
            <w:tcW w:w="7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Cash and cash equivalents and restricted cash and cash equivalents end of period</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860.9</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7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Cash paid during the period for interest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24"/>
        </w:trPr>
        <w:tc>
          <w:tcPr>
            <w:tcW w:w="7720" w:type="dxa"/>
            <w:vAlign w:val="bottom"/>
          </w:tcPr>
          <w:p>
            <w:pPr>
              <w:ind w:left="460"/>
              <w:spacing w:after="0"/>
              <w:rPr>
                <w:sz w:val="20"/>
                <w:szCs w:val="20"/>
                <w:color w:val="auto"/>
              </w:rPr>
            </w:pPr>
            <w:r>
              <w:rPr>
                <w:rFonts w:ascii="Arial" w:cs="Arial" w:eastAsia="Arial" w:hAnsi="Arial"/>
                <w:sz w:val="18"/>
                <w:szCs w:val="18"/>
                <w:color w:val="auto"/>
              </w:rPr>
              <w:t>Cash paid during the period for income taxes, net of refunds</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20"/>
          </w:cols>
          <w:pgMar w:left="320" w:top="127" w:right="359" w:bottom="1440" w:gutter="0" w:footer="0" w:header="0"/>
        </w:sect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246380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ind w:left="620" w:hanging="614"/>
        <w:spacing w:after="0"/>
        <w:tabs>
          <w:tab w:leader="none" w:pos="6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3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of America (“generally accepted accounting principles” or “GAAP”) for interim financial information and with the instructions to Form 10-Q and Article 10 of Regulation S-X. Accordingly, they do not include all of the information and footnotes required by GAAP for complete financial statements. In the opinion of management, all adjustments (consisting of normal recurring accruals) considered necessary for a fair presentation have been included. The results of operations for interim periods are not necessarily indicative of actual results achieved for full fiscal years. The consolidated balance sheet as of December 31, 2021 has been derived from the audited financial statements at that date but does not include all the information and footnotes required by GAAP for complete financial statements. For further information, refer to the consolidated financial statements and footnotes thereto included in the Annual Report on Form 10-K for the year ended December 31, 2021 for Credit Acceptance Corporation (the “Company”, “Credit Acceptance”, “we”, “our” or “us”).</w:t>
      </w:r>
    </w:p>
    <w:p>
      <w:pPr>
        <w:spacing w:after="0" w:line="22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financial statements and accompanying notes. Actual results could differ from those estimates.</w:t>
      </w:r>
    </w:p>
    <w:p>
      <w:pPr>
        <w:spacing w:after="0" w:line="2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evaluated events and transactions occurring subsequent to the consolidated balance sheet date of June 30, 2022 for items that could potentially be recognized or disclosed in these financial statements. We did not identify any items that would require disclosure in or adjustment to the consolidated financial statements.</w:t>
      </w:r>
    </w:p>
    <w:p>
      <w:pPr>
        <w:spacing w:after="0" w:line="209" w:lineRule="exact"/>
        <w:rPr>
          <w:sz w:val="20"/>
          <w:szCs w:val="20"/>
          <w:color w:val="auto"/>
        </w:rPr>
      </w:pPr>
    </w:p>
    <w:p>
      <w:pPr>
        <w:ind w:left="620" w:hanging="614"/>
        <w:spacing w:after="0"/>
        <w:tabs>
          <w:tab w:leader="none" w:pos="6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5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Since 1972, Credit Acceptance has offered financing programs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Without our financing programs, consumers are often unable to purchase vehicles or they purchase unreliable ones. Further, as we report to the three national credit reporting agencies, an important ancillary benefit of our programs is that we provide consumers with an opportunity to improve their lives by improving their credit score and move on to more traditional sources of financing.</w:t>
      </w:r>
    </w:p>
    <w:p>
      <w:pPr>
        <w:spacing w:after="0" w:line="21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refer to automobile dealers who participate in our programs and who share our commitment to changing consumers’ lives as “Dealers”. Upon enrollment in our financing programs, the Dealer enters into a Dealer servicing agreement with us that defines the legal relationship between Credit Acceptance and the Dealer. The Dealer servicing agreement assigns the responsibilities for administering, servicing, and collecting the amounts due on retail installment contracts (referred to as “Consumer Loans”) from the Dealers to us. We are an indirect lender from a legal perspective, meaning the Consumer Loan is originated by the Dealer and assigned to us.</w:t>
      </w:r>
    </w:p>
    <w:p>
      <w:pPr>
        <w:spacing w:after="0" w:line="220"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The vast majority of the Consumer Loans assigned to us are made to consumers with impaired or limited credit histories. The following table shows the percentage of Consumer Loans assigned to us with either FICO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scores below 650 or no FICO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scores: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gridSpan w:val="4"/>
          </w:tcPr>
          <w:p>
            <w:pPr>
              <w:ind w:left="480"/>
              <w:spacing w:after="0"/>
              <w:rPr>
                <w:sz w:val="20"/>
                <w:szCs w:val="20"/>
                <w:color w:val="auto"/>
              </w:rPr>
            </w:pPr>
            <w:r>
              <w:rPr>
                <w:rFonts w:ascii="Arial" w:cs="Arial" w:eastAsia="Arial" w:hAnsi="Arial"/>
                <w:sz w:val="14"/>
                <w:szCs w:val="14"/>
                <w:b w:val="1"/>
                <w:bCs w:val="1"/>
                <w:color w:val="auto"/>
              </w:rPr>
              <w:t>For the Three Months Ended June 30,</w:t>
            </w:r>
          </w:p>
        </w:tc>
        <w:tc>
          <w:tcPr>
            <w:tcW w:w="3240" w:type="dxa"/>
            <w:vAlign w:val="bottom"/>
            <w:gridSpan w:val="3"/>
          </w:tcPr>
          <w:p>
            <w:pPr>
              <w:jc w:val="right"/>
              <w:ind w:right="461"/>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92"/>
        </w:trPr>
        <w:tc>
          <w:tcPr>
            <w:tcW w:w="464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Consumer Loan Assignment Volume</w:t>
            </w:r>
          </w:p>
        </w:tc>
        <w:tc>
          <w:tcPr>
            <w:tcW w:w="1560" w:type="dxa"/>
            <w:vAlign w:val="bottom"/>
            <w:tcBorders>
              <w:top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80" w:type="dxa"/>
            <w:vAlign w:val="bottom"/>
            <w:tcBorders>
              <w:top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2"/>
        </w:trPr>
        <w:tc>
          <w:tcPr>
            <w:tcW w:w="4520" w:type="dxa"/>
            <w:vAlign w:val="bottom"/>
            <w:tcBorders>
              <w:top w:val="single" w:sz="8" w:color="auto"/>
            </w:tcBorders>
            <w:shd w:val="clear" w:color="auto" w:fill="CCEEFF"/>
          </w:tcPr>
          <w:p>
            <w:pPr>
              <w:ind w:left="20"/>
              <w:spacing w:after="0" w:line="173" w:lineRule="exact"/>
              <w:rPr>
                <w:sz w:val="20"/>
                <w:szCs w:val="20"/>
                <w:color w:val="auto"/>
              </w:rPr>
            </w:pPr>
            <w:r>
              <w:rPr>
                <w:rFonts w:ascii="Arial" w:cs="Arial" w:eastAsia="Arial" w:hAnsi="Arial"/>
                <w:sz w:val="15"/>
                <w:szCs w:val="15"/>
                <w:color w:val="auto"/>
              </w:rPr>
              <w:t>Percentage of total unit volume with either FICO</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scores</w:t>
            </w:r>
          </w:p>
        </w:tc>
        <w:tc>
          <w:tcPr>
            <w:tcW w:w="12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84.6 %</w:t>
            </w:r>
          </w:p>
        </w:tc>
        <w:tc>
          <w:tcPr>
            <w:tcW w:w="12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92.7 %</w:t>
            </w:r>
          </w:p>
        </w:tc>
        <w:tc>
          <w:tcPr>
            <w:tcW w:w="10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86.3 %</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93.6 %</w:t>
            </w:r>
          </w:p>
        </w:tc>
        <w:tc>
          <w:tcPr>
            <w:tcW w:w="0" w:type="dxa"/>
            <w:vAlign w:val="bottom"/>
          </w:tcPr>
          <w:p>
            <w:pPr>
              <w:spacing w:after="0"/>
              <w:rPr>
                <w:sz w:val="1"/>
                <w:szCs w:val="1"/>
                <w:color w:val="auto"/>
              </w:rPr>
            </w:pPr>
          </w:p>
        </w:tc>
      </w:tr>
      <w:tr>
        <w:trPr>
          <w:trHeight w:val="225"/>
        </w:trPr>
        <w:tc>
          <w:tcPr>
            <w:tcW w:w="4640" w:type="dxa"/>
            <w:vAlign w:val="bottom"/>
            <w:gridSpan w:val="2"/>
            <w:shd w:val="clear" w:color="auto" w:fill="CCEEFF"/>
          </w:tcPr>
          <w:p>
            <w:pPr>
              <w:ind w:left="260"/>
              <w:spacing w:after="0" w:line="225" w:lineRule="exact"/>
              <w:rPr>
                <w:sz w:val="20"/>
                <w:szCs w:val="20"/>
                <w:color w:val="auto"/>
              </w:rPr>
            </w:pPr>
            <w:r>
              <w:rPr>
                <w:rFonts w:ascii="Arial" w:cs="Arial" w:eastAsia="Arial" w:hAnsi="Arial"/>
                <w:sz w:val="18"/>
                <w:szCs w:val="18"/>
                <w:color w:val="auto"/>
              </w:rPr>
              <w:t>below 650 or no FICO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scores</w:t>
            </w:r>
          </w:p>
        </w:tc>
        <w:tc>
          <w:tcPr>
            <w:tcW w:w="15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318"/>
        <w:spacing w:after="0" w:line="217" w:lineRule="auto"/>
        <w:rPr>
          <w:sz w:val="20"/>
          <w:szCs w:val="20"/>
          <w:color w:val="auto"/>
        </w:rPr>
      </w:pPr>
      <w:r>
        <w:rPr>
          <w:rFonts w:ascii="Arial" w:cs="Arial" w:eastAsia="Arial" w:hAnsi="Arial"/>
          <w:sz w:val="18"/>
          <w:szCs w:val="18"/>
          <w:color w:val="auto"/>
        </w:rPr>
        <w:t>In 2020, we began piloting an option that expanded our financing programs to consumers with higher credit ratings. In the fourth quarter of 2021, we made this option available to all Dealers. A portion of the reduction in the percentage of total unit volume with FICO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scores below 650 or no FICO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scores relates to Consumer Loans assigned under this option.</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have two programs: the Portfolio Program and the Purchase Program. Under the Portfolio Program, we advance money to Dealers (referred to as a “Dealer Loan”) in exchange for the right to service the underlying Consumer Loans. Under the Purchase Program, we buy the Consumer Loans from the Dealers (referred to as a “Purchased Loan”) and keep all amounts collected from the consumer. Dealer Loans and Purchased Loans are collectively referred to as “Loans”. The following table shows the percentage of Consumer Loans assigned to us as Dealer Loans and Purchased Loans for each of the last six quarters: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160" w:type="dxa"/>
            <w:vAlign w:val="bottom"/>
          </w:tcPr>
          <w:p>
            <w:pPr>
              <w:spacing w:after="0"/>
              <w:rPr>
                <w:sz w:val="17"/>
                <w:szCs w:val="17"/>
                <w:color w:val="auto"/>
              </w:rPr>
            </w:pPr>
          </w:p>
        </w:tc>
        <w:tc>
          <w:tcPr>
            <w:tcW w:w="3580" w:type="dxa"/>
            <w:vAlign w:val="bottom"/>
            <w:gridSpan w:val="4"/>
          </w:tcPr>
          <w:p>
            <w:pPr>
              <w:ind w:left="1360"/>
              <w:spacing w:after="0"/>
              <w:rPr>
                <w:sz w:val="20"/>
                <w:szCs w:val="20"/>
                <w:color w:val="auto"/>
              </w:rPr>
            </w:pPr>
            <w:r>
              <w:rPr>
                <w:rFonts w:ascii="Arial" w:cs="Arial" w:eastAsia="Arial" w:hAnsi="Arial"/>
                <w:sz w:val="14"/>
                <w:szCs w:val="14"/>
                <w:b w:val="1"/>
                <w:bCs w:val="1"/>
                <w:color w:val="auto"/>
              </w:rPr>
              <w:t>Unit Volume</w:t>
            </w:r>
          </w:p>
        </w:tc>
        <w:tc>
          <w:tcPr>
            <w:tcW w:w="3500" w:type="dxa"/>
            <w:vAlign w:val="bottom"/>
            <w:gridSpan w:val="3"/>
          </w:tcPr>
          <w:p>
            <w:pPr>
              <w:jc w:val="right"/>
              <w:ind w:right="1114"/>
              <w:spacing w:after="0"/>
              <w:rPr>
                <w:sz w:val="20"/>
                <w:szCs w:val="20"/>
                <w:color w:val="auto"/>
              </w:rPr>
            </w:pPr>
            <w:r>
              <w:rPr>
                <w:rFonts w:ascii="Arial" w:cs="Arial" w:eastAsia="Arial" w:hAnsi="Arial"/>
                <w:sz w:val="14"/>
                <w:szCs w:val="14"/>
                <w:b w:val="1"/>
                <w:bCs w:val="1"/>
                <w:color w:val="auto"/>
              </w:rPr>
              <w:t>Dollar Volume (1)</w:t>
            </w:r>
          </w:p>
        </w:tc>
      </w:tr>
      <w:tr>
        <w:trPr>
          <w:trHeight w:val="192"/>
        </w:trPr>
        <w:tc>
          <w:tcPr>
            <w:tcW w:w="4160" w:type="dxa"/>
            <w:vAlign w:val="bottom"/>
          </w:tcPr>
          <w:p>
            <w:pPr>
              <w:ind w:left="1400"/>
              <w:spacing w:after="0"/>
              <w:rPr>
                <w:sz w:val="20"/>
                <w:szCs w:val="20"/>
                <w:color w:val="auto"/>
              </w:rPr>
            </w:pPr>
            <w:r>
              <w:rPr>
                <w:rFonts w:ascii="Arial" w:cs="Arial" w:eastAsia="Arial" w:hAnsi="Arial"/>
                <w:sz w:val="14"/>
                <w:szCs w:val="14"/>
                <w:b w:val="1"/>
                <w:bCs w:val="1"/>
                <w:color w:val="auto"/>
              </w:rPr>
              <w:t>Three Months Ended</w:t>
            </w:r>
          </w:p>
        </w:tc>
        <w:tc>
          <w:tcPr>
            <w:tcW w:w="1780" w:type="dxa"/>
            <w:vAlign w:val="bottom"/>
            <w:tcBorders>
              <w:top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Dealer Loans</w:t>
            </w:r>
          </w:p>
        </w:tc>
        <w:tc>
          <w:tcPr>
            <w:tcW w:w="1700" w:type="dxa"/>
            <w:vAlign w:val="bottom"/>
            <w:tcBorders>
              <w:top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Purchased Loans</w:t>
            </w:r>
          </w:p>
        </w:tc>
        <w:tc>
          <w:tcPr>
            <w:tcW w:w="100" w:type="dxa"/>
            <w:vAlign w:val="bottom"/>
          </w:tcPr>
          <w:p>
            <w:pPr>
              <w:spacing w:after="0"/>
              <w:rPr>
                <w:sz w:val="16"/>
                <w:szCs w:val="16"/>
                <w:color w:val="auto"/>
              </w:rPr>
            </w:pPr>
          </w:p>
        </w:tc>
        <w:tc>
          <w:tcPr>
            <w:tcW w:w="1800" w:type="dxa"/>
            <w:vAlign w:val="bottom"/>
            <w:tcBorders>
              <w:top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Dealer Loans</w:t>
            </w:r>
          </w:p>
        </w:tc>
        <w:tc>
          <w:tcPr>
            <w:tcW w:w="1700" w:type="dxa"/>
            <w:vAlign w:val="bottom"/>
            <w:tcBorders>
              <w:top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Purchased Loans</w:t>
            </w:r>
          </w:p>
        </w:tc>
      </w:tr>
      <w:tr>
        <w:trPr>
          <w:trHeight w:val="225"/>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65.4 %</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34.6 %</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62.7 %</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37.3 %</w:t>
            </w: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June 30, 2021</w:t>
            </w:r>
          </w:p>
        </w:tc>
        <w:tc>
          <w:tcPr>
            <w:tcW w:w="1680" w:type="dxa"/>
            <w:vAlign w:val="bottom"/>
          </w:tcPr>
          <w:p>
            <w:pPr>
              <w:jc w:val="right"/>
              <w:spacing w:after="0"/>
              <w:rPr>
                <w:sz w:val="20"/>
                <w:szCs w:val="20"/>
                <w:color w:val="auto"/>
              </w:rPr>
            </w:pPr>
            <w:r>
              <w:rPr>
                <w:rFonts w:ascii="Arial" w:cs="Arial" w:eastAsia="Arial" w:hAnsi="Arial"/>
                <w:sz w:val="18"/>
                <w:szCs w:val="18"/>
                <w:color w:val="auto"/>
              </w:rPr>
              <w:t>66.9 %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33.1 %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64.0 %</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36.0 %</w:t>
            </w: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2021</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66.8 %</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33.2 %</w:t>
            </w: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December 31, 2021</w:t>
            </w:r>
          </w:p>
        </w:tc>
        <w:tc>
          <w:tcPr>
            <w:tcW w:w="1680" w:type="dxa"/>
            <w:vAlign w:val="bottom"/>
          </w:tcPr>
          <w:p>
            <w:pPr>
              <w:jc w:val="right"/>
              <w:spacing w:after="0"/>
              <w:rPr>
                <w:sz w:val="20"/>
                <w:szCs w:val="20"/>
                <w:color w:val="auto"/>
              </w:rPr>
            </w:pPr>
            <w:r>
              <w:rPr>
                <w:rFonts w:ascii="Arial" w:cs="Arial" w:eastAsia="Arial" w:hAnsi="Arial"/>
                <w:sz w:val="18"/>
                <w:szCs w:val="18"/>
                <w:color w:val="auto"/>
              </w:rPr>
              <w:t>71.8 %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28.2 %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68.0 %</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32.0 %</w:t>
            </w: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2022</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68.6 %</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31.4 %</w:t>
            </w:r>
          </w:p>
        </w:tc>
      </w:tr>
      <w:tr>
        <w:trPr>
          <w:trHeight w:val="224"/>
        </w:trPr>
        <w:tc>
          <w:tcPr>
            <w:tcW w:w="4160" w:type="dxa"/>
            <w:vAlign w:val="bottom"/>
          </w:tcPr>
          <w:p>
            <w:pPr>
              <w:ind w:left="20"/>
              <w:spacing w:after="0"/>
              <w:rPr>
                <w:sz w:val="20"/>
                <w:szCs w:val="20"/>
                <w:color w:val="auto"/>
              </w:rPr>
            </w:pPr>
            <w:r>
              <w:rPr>
                <w:rFonts w:ascii="Arial" w:cs="Arial" w:eastAsia="Arial" w:hAnsi="Arial"/>
                <w:sz w:val="18"/>
                <w:szCs w:val="18"/>
                <w:color w:val="auto"/>
              </w:rPr>
              <w:t>June 30, 2022</w:t>
            </w:r>
          </w:p>
        </w:tc>
        <w:tc>
          <w:tcPr>
            <w:tcW w:w="1680" w:type="dxa"/>
            <w:vAlign w:val="bottom"/>
          </w:tcPr>
          <w:p>
            <w:pPr>
              <w:jc w:val="right"/>
              <w:spacing w:after="0"/>
              <w:rPr>
                <w:sz w:val="20"/>
                <w:szCs w:val="20"/>
                <w:color w:val="auto"/>
              </w:rPr>
            </w:pPr>
            <w:r>
              <w:rPr>
                <w:rFonts w:ascii="Arial" w:cs="Arial" w:eastAsia="Arial" w:hAnsi="Arial"/>
                <w:sz w:val="18"/>
                <w:szCs w:val="18"/>
                <w:color w:val="auto"/>
              </w:rPr>
              <w:t>74.0 %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70.4 %</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29.6 %</w:t>
            </w:r>
          </w:p>
        </w:tc>
      </w:tr>
    </w:tbl>
    <w:p>
      <w:pPr>
        <w:spacing w:after="0" w:line="194" w:lineRule="exact"/>
        <w:rPr>
          <w:sz w:val="20"/>
          <w:szCs w:val="20"/>
          <w:color w:val="auto"/>
        </w:rPr>
      </w:pPr>
    </w:p>
    <w:p>
      <w:pPr>
        <w:ind w:left="480" w:hanging="315"/>
        <w:spacing w:after="0" w:line="265" w:lineRule="auto"/>
        <w:tabs>
          <w:tab w:leader="none" w:pos="472"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(as defined below) and accelerated Dealer Holdback are not included.</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Portfolio Program</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payment for the vehicle, the Dealer generally receives the following:</w:t>
      </w:r>
    </w:p>
    <w:p>
      <w:pPr>
        <w:spacing w:after="0" w:line="16" w:lineRule="exact"/>
        <w:rPr>
          <w:sz w:val="20"/>
          <w:szCs w:val="20"/>
          <w:color w:val="auto"/>
        </w:rPr>
      </w:pPr>
    </w:p>
    <w:p>
      <w:pPr>
        <w:ind w:left="800" w:hanging="317"/>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down payment from the consumer;</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non-recourse cash payment (“advance”) from us; and</w:t>
      </w:r>
    </w:p>
    <w:p>
      <w:pPr>
        <w:spacing w:after="0" w:line="5" w:lineRule="exact"/>
        <w:rPr>
          <w:rFonts w:ascii="Arial" w:cs="Arial" w:eastAsia="Arial" w:hAnsi="Arial"/>
          <w:sz w:val="18"/>
          <w:szCs w:val="18"/>
          <w:color w:val="auto"/>
        </w:rPr>
      </w:pPr>
    </w:p>
    <w:p>
      <w:pPr>
        <w:ind w:left="800" w:right="20" w:hanging="317"/>
        <w:spacing w:after="0" w:line="251" w:lineRule="auto"/>
        <w:tabs>
          <w:tab w:leader="none" w:pos="795" w:val="left"/>
        </w:tabs>
        <w:numPr>
          <w:ilvl w:val="0"/>
          <w:numId w:val="7"/>
        </w:numPr>
        <w:rPr>
          <w:rFonts w:ascii="Arial" w:cs="Arial" w:eastAsia="Arial" w:hAnsi="Arial"/>
          <w:sz w:val="18"/>
          <w:szCs w:val="18"/>
          <w:color w:val="auto"/>
        </w:rPr>
      </w:pPr>
      <w:r>
        <w:rPr>
          <w:rFonts w:ascii="Arial" w:cs="Arial" w:eastAsia="Arial" w:hAnsi="Arial"/>
          <w:sz w:val="18"/>
          <w:szCs w:val="18"/>
          <w:color w:val="auto"/>
        </w:rPr>
        <w:t>after the advance balance (cash advance and related Dealer Loan fees and costs) has been recovered by us, the cash from payments made on the Consumer Loan, net of certain collection costs and our servicing fee (“Dealer Holdback”).</w:t>
      </w:r>
    </w:p>
    <w:p>
      <w:pPr>
        <w:spacing w:after="0" w:line="21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record the amount advanced to the Dealer as a Dealer Loan, which is classified within Loans receivable in our consolidated balance sheets. Cash advanced to the Dealer is automatically assigned to the Dealer’s open pool of advances. Dealers make an election as to how many Consumer Loans (either 50 or 100) will be assigned to an open pool before it is closed, and subsequent advances are assigned to a new pool. Unless we receive a request from the Dealer to keep a pool open, we automatically close each pool based on the Dealer's election. All advances within a Dealer’s pool are secured by the future collections on the related Consumer Loans assigned to the pool. For Dealers with more than one pool, the pools are cross-collateralized so the performance of other pools is considered in determining eligibility for Dealer Holdback. We perfect our security interest with respect to the Dealer Loans by obtaining control or taking possession of the Consumer Loans, which list us as lien holder on the vehicle title.</w:t>
      </w:r>
    </w:p>
    <w:p>
      <w:pPr>
        <w:spacing w:after="0" w:line="18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Dealer servicing agreement provides that collections received by us during a calendar month on Consumer Loans assigned by a Dealer are applied on a pool-by-pool basis as follows:</w:t>
      </w:r>
    </w:p>
    <w:p>
      <w:pPr>
        <w:spacing w:after="0" w:line="1" w:lineRule="exact"/>
        <w:rPr>
          <w:sz w:val="20"/>
          <w:szCs w:val="20"/>
          <w:color w:val="auto"/>
        </w:rPr>
      </w:pPr>
    </w:p>
    <w:p>
      <w:pPr>
        <w:ind w:left="800" w:hanging="317"/>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first, to reimburse us for certain collection costs;</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second, to pay us our servicing fee, which generally equals 20% of collections;</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third, to reduce the aggregate advance balance and to pay any other amounts due from the Dealer to us; and</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fourth, to the Dealer as payment of Dealer Holdback.</w:t>
      </w:r>
    </w:p>
    <w:p>
      <w:pPr>
        <w:spacing w:after="0" w:line="23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If the collections on Consumer Loans from a Dealer’s pool are not sufficient to repay the advance balance and any other amounts due to us, the Dealer will not receive Dealer Holdback. Certain events may also result in Dealers forfeiting their rights to Dealer Holdback, including becoming inactive before assigning 100 Consumer Loans.</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Dealers have an opportunity to receive an accelerated Dealer Holdback payment each time a pool of Consumer Loans is closed. The amount paid to the Dealer is calculated using a formula that considers the number of Consumer Loans assigned to the pool and the related forecasted collections and advance balance.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Since typically the combination of the advance and the consumer’s down payment provides the Dealer with a cash profit at the time of sale, the Dealer’s risk in the Consumer Loan is limited. We cannot demand repayment of the advance from the Dealer except in the event the Dealer is in default of the Dealer servicing agreement. Advances are made only after the consumer and Dealer have signed a Consumer Loan contract, we have received the executed Consumer Loan contract and supporting documentation in either physical or electronic form, and we have approved all of the related stipulations for funding.</w:t>
      </w:r>
    </w:p>
    <w:p>
      <w:pPr>
        <w:spacing w:after="0" w:line="17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accounting purposes, the transactions described under the Portfolio Program are not considered to be loans to consumers. Instead, our accounting reflects that of a lender to the Dealer. The classification as a Dealer Loan for accounting purposes is primarily a result of (1) the Dealer’s financial interest in the Consumer Loan and (2) certain elements of our legal relationship with the Dealer.</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Purchase Program</w:t>
      </w:r>
    </w:p>
    <w:p>
      <w:pPr>
        <w:spacing w:after="0" w:line="24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Purchase Program differs from our Portfolio Program in that the Dealer receives a one-time payment from us at the time of assignment to purchase the Consumer Loan instead of a cash advance at the time of assignment and future Dealer Holdback payments. For accounting purposes, the transactions described under the Purchase Program are considered to be originated by the Dealer and then purchased by us.</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Program Enrollment</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Dealers may enroll in our Portfolio Program without incurring an enrollment fee. Access to the Purchase Program is typically only granted to Dealers that meet one of the following:</w:t>
      </w:r>
    </w:p>
    <w:p>
      <w:pPr>
        <w:spacing w:after="0" w:line="207" w:lineRule="exact"/>
        <w:rPr>
          <w:sz w:val="20"/>
          <w:szCs w:val="20"/>
          <w:color w:val="auto"/>
        </w:rPr>
      </w:pPr>
    </w:p>
    <w:p>
      <w:pPr>
        <w:ind w:left="960" w:hanging="318"/>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assigned at least 50 Consumer Loans under the Portfolio Program;</w:t>
      </w:r>
    </w:p>
    <w:p>
      <w:pPr>
        <w:spacing w:after="0" w:line="16" w:lineRule="exact"/>
        <w:rPr>
          <w:rFonts w:ascii="Arial" w:cs="Arial" w:eastAsia="Arial" w:hAnsi="Arial"/>
          <w:sz w:val="18"/>
          <w:szCs w:val="18"/>
          <w:color w:val="auto"/>
        </w:rPr>
      </w:pPr>
    </w:p>
    <w:p>
      <w:pPr>
        <w:ind w:left="960" w:hanging="318"/>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franchise dealership; or</w:t>
      </w:r>
    </w:p>
    <w:p>
      <w:pPr>
        <w:spacing w:after="0" w:line="5" w:lineRule="exact"/>
        <w:rPr>
          <w:rFonts w:ascii="Arial" w:cs="Arial" w:eastAsia="Arial" w:hAnsi="Arial"/>
          <w:sz w:val="18"/>
          <w:szCs w:val="18"/>
          <w:color w:val="auto"/>
        </w:rPr>
      </w:pPr>
    </w:p>
    <w:p>
      <w:pPr>
        <w:ind w:left="960" w:hanging="318"/>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independent dealership that meets certain criteria upon enrollment.</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business is seasonal with peak Consumer Loan assignments and collections occurring during the first quarter of the year. This seasonality has a material impact on our interim results, as we are required to recognize a significant provision for credit losses expense at the time of assignment. For additional information, see Note 3.</w:t>
      </w:r>
    </w:p>
    <w:p>
      <w:pPr>
        <w:spacing w:after="0" w:line="209" w:lineRule="exact"/>
        <w:rPr>
          <w:sz w:val="20"/>
          <w:szCs w:val="20"/>
          <w:color w:val="auto"/>
        </w:rPr>
      </w:pPr>
    </w:p>
    <w:p>
      <w:pPr>
        <w:ind w:right="6020" w:firstLine="6"/>
        <w:spacing w:after="0" w:line="525" w:lineRule="auto"/>
        <w:tabs>
          <w:tab w:leader="none" w:pos="618"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Business Segment Information</w:t>
      </w:r>
    </w:p>
    <w:p>
      <w:pPr>
        <w:spacing w:after="0" w:line="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We currently operate in one reportable segment which represents our core business of offering financing programs that enable Dealers to sell vehicles to consumers, regardless of their credit history. The consolidated financial statements reflect the financial results of our one reportable operating segment.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 and Cash Equivalents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Cash equivalents consist of readily marketable securities with original maturities at the date of acquisition of three months or less. As of June 30, 2022 and December 31, 2021, we had $3.8 million and $22.9 million, respectively, in cash and cash equivalents that were not insured by the Federal Deposit Insurance Corporation (“FDIC”).</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Restricted cash and cash equivalents consist of cash pledged as collateral for secured financings and cash held in a trust for future vehicle service contract claims. As of June 30, 2022 and December 31, 2021, we had $423.2 million and $407.9 million, respectively, in restricted cash and cash equivalents that were not insured by the FDIC.</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provides a reconciliation of cash and cash equivalents and restricted cash and cash equivalents reported in our consolidated balance sheets to the total shown in our consolidated statements of cash flows: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5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As of</w:t>
            </w:r>
          </w:p>
        </w:tc>
        <w:tc>
          <w:tcPr>
            <w:tcW w:w="1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6"/>
                <w:szCs w:val="16"/>
                <w:color w:val="auto"/>
              </w:rPr>
            </w:pPr>
          </w:p>
        </w:tc>
        <w:tc>
          <w:tcPr>
            <w:tcW w:w="1420" w:type="dxa"/>
            <w:vAlign w:val="bottom"/>
          </w:tcPr>
          <w:p>
            <w:pPr>
              <w:jc w:val="right"/>
              <w:ind w:right="136"/>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25"/>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2"/>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and cash equivalents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160"/>
        </w:trPr>
        <w:tc>
          <w:tcPr>
            <w:tcW w:w="4540" w:type="dxa"/>
            <w:vAlign w:val="bottom"/>
            <w:shd w:val="clear" w:color="auto" w:fill="CCEEFF"/>
          </w:tcPr>
          <w:p>
            <w:pPr>
              <w:ind w:left="180"/>
              <w:spacing w:after="0" w:line="160" w:lineRule="exact"/>
              <w:rPr>
                <w:sz w:val="20"/>
                <w:szCs w:val="20"/>
                <w:color w:val="auto"/>
              </w:rPr>
            </w:pPr>
            <w:r>
              <w:rPr>
                <w:rFonts w:ascii="Arial" w:cs="Arial" w:eastAsia="Arial" w:hAnsi="Arial"/>
                <w:sz w:val="18"/>
                <w:szCs w:val="18"/>
                <w:color w:val="auto"/>
                <w:w w:val="88"/>
              </w:rPr>
              <w:t>Total cash and cash equivalents and restricted cash and cash</w:t>
            </w:r>
          </w:p>
        </w:tc>
        <w:tc>
          <w:tcPr>
            <w:tcW w:w="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860.9</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0" w:type="dxa"/>
            <w:vAlign w:val="bottom"/>
          </w:tcPr>
          <w:p>
            <w:pPr>
              <w:spacing w:after="0"/>
              <w:rPr>
                <w:sz w:val="1"/>
                <w:szCs w:val="1"/>
                <w:color w:val="auto"/>
              </w:rPr>
            </w:pPr>
          </w:p>
        </w:tc>
      </w:tr>
      <w:tr>
        <w:trPr>
          <w:trHeight w:val="218"/>
        </w:trPr>
        <w:tc>
          <w:tcPr>
            <w:tcW w:w="4540" w:type="dxa"/>
            <w:vAlign w:val="bottom"/>
            <w:tcBorders>
              <w:bottom w:val="single" w:sz="8" w:color="CCEEFF"/>
            </w:tcBorders>
            <w:shd w:val="clear" w:color="auto" w:fill="CCEEFF"/>
          </w:tcPr>
          <w:p>
            <w:pPr>
              <w:ind w:left="340"/>
              <w:spacing w:after="0" w:line="198" w:lineRule="exact"/>
              <w:rPr>
                <w:sz w:val="20"/>
                <w:szCs w:val="20"/>
                <w:color w:val="auto"/>
              </w:rPr>
            </w:pPr>
            <w:r>
              <w:rPr>
                <w:rFonts w:ascii="Arial" w:cs="Arial" w:eastAsia="Arial" w:hAnsi="Arial"/>
                <w:sz w:val="18"/>
                <w:szCs w:val="18"/>
                <w:color w:val="auto"/>
              </w:rPr>
              <w:t>equivalents</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Securities Available for Sale</w:t>
      </w:r>
    </w:p>
    <w:p>
      <w:pPr>
        <w:spacing w:after="0" w:line="25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Restricted securities available for sale consist of amounts held in a trust for future vehicle service contract claims. We determine the appropriate classification of our investments in debt securities at the time of purchase and reevaluate such determinations at each balance sheet date. Debt securities for which we do not have the intent or ability to hold to maturity are classified as available for sale, and stated at fair value with unrealized gains and losses, net of income taxes included in the determination of comprehensive income and reported as a component of shareholders’ equity.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Receivable and Allowance for Credit Losses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Consumer Loan Assignment. </w:t>
      </w:r>
      <w:r>
        <w:rPr>
          <w:rFonts w:ascii="Arial" w:cs="Arial" w:eastAsia="Arial" w:hAnsi="Arial"/>
          <w:sz w:val="17"/>
          <w:szCs w:val="17"/>
          <w:color w:val="auto"/>
        </w:rPr>
        <w:t>For legal purposes, a Consumer Loan is considered to have been assigned to us after the following has occurred:</w:t>
      </w:r>
    </w:p>
    <w:p>
      <w:pPr>
        <w:spacing w:after="0" w:line="28" w:lineRule="exact"/>
        <w:rPr>
          <w:sz w:val="20"/>
          <w:szCs w:val="20"/>
          <w:color w:val="auto"/>
        </w:rPr>
      </w:pPr>
    </w:p>
    <w:p>
      <w:pPr>
        <w:ind w:left="800" w:hanging="317"/>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consumer and Dealer have signed a Consumer Loan contract; and</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received the executed Consumer Loan contract and supporting documentation in either physical or electronic form.</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accounting and financial reporting purposes, a Consumer Loan is considered to have been assigned to us after the following has occurred:</w:t>
      </w:r>
    </w:p>
    <w:p>
      <w:pPr>
        <w:spacing w:after="0" w:line="28" w:lineRule="exact"/>
        <w:rPr>
          <w:sz w:val="20"/>
          <w:szCs w:val="20"/>
          <w:color w:val="auto"/>
        </w:rPr>
      </w:pPr>
    </w:p>
    <w:p>
      <w:pPr>
        <w:ind w:left="800" w:hanging="317"/>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Consumer Loan has been legally assigned to us; and</w:t>
      </w:r>
    </w:p>
    <w:p>
      <w:pPr>
        <w:spacing w:after="0" w:line="5" w:lineRule="exact"/>
        <w:rPr>
          <w:rFonts w:ascii="Arial" w:cs="Arial" w:eastAsia="Arial" w:hAnsi="Arial"/>
          <w:sz w:val="18"/>
          <w:szCs w:val="18"/>
          <w:color w:val="auto"/>
        </w:rPr>
      </w:pPr>
    </w:p>
    <w:p>
      <w:pPr>
        <w:ind w:left="800" w:hanging="317"/>
        <w:spacing w:after="0" w:line="251" w:lineRule="auto"/>
        <w:tabs>
          <w:tab w:leader="none" w:pos="7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made a funding decision and generally have provided funding to the Dealer in the form of either an advance under the Portfolio Program or one-time purchase payment under the Purchase Program.</w:t>
      </w:r>
    </w:p>
    <w:p>
      <w:pPr>
        <w:spacing w:after="0" w:line="218"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i w:val="1"/>
          <w:iCs w:val="1"/>
          <w:color w:val="auto"/>
        </w:rPr>
        <w:t xml:space="preserve">Portfolio Segments and Classes. </w:t>
      </w:r>
      <w:r>
        <w:rPr>
          <w:rFonts w:ascii="Arial" w:cs="Arial" w:eastAsia="Arial" w:hAnsi="Arial"/>
          <w:sz w:val="18"/>
          <w:szCs w:val="18"/>
          <w:color w:val="auto"/>
        </w:rPr>
        <w:t>Our Loan portfolio consists of two portfolio segments: Dealer Loans and Purchased Loans. Our determination is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following:</w:t>
      </w:r>
    </w:p>
    <w:p>
      <w:pPr>
        <w:spacing w:after="0" w:line="1" w:lineRule="exact"/>
        <w:rPr>
          <w:sz w:val="20"/>
          <w:szCs w:val="20"/>
          <w:color w:val="auto"/>
        </w:rPr>
      </w:pPr>
    </w:p>
    <w:p>
      <w:pPr>
        <w:ind w:left="800" w:hanging="317"/>
        <w:spacing w:after="0" w:line="260" w:lineRule="auto"/>
        <w:tabs>
          <w:tab w:leader="none" w:pos="795"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have two financing programs: the Portfolio Program and the Purchase Program. We are considered to be a lender to our Dealers for Consumer Loans assigned under the Portfolio Program and a purchaser of Consumer Loans assigned under the Purchase Program.</w:t>
      </w:r>
    </w:p>
    <w:p>
      <w:pPr>
        <w:jc w:val="both"/>
        <w:ind w:left="800" w:hanging="317"/>
        <w:spacing w:after="0" w:line="294" w:lineRule="auto"/>
        <w:tabs>
          <w:tab w:leader="none" w:pos="795"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Portfolio Program and the Purchase Program have different levels of risk in relation to credit losses. Under the Portfolio Program, the impact of negative variances in Consumer Loan performance is mitigated by Dealer Holdback and the cross-collateralization of Consumer Loan assignments. Under the Purchase Program, we are impacted by the full amount of negative variances in Consumer Loan performance.</w:t>
      </w:r>
    </w:p>
    <w:p>
      <w:pPr>
        <w:spacing w:after="0" w:line="2" w:lineRule="exact"/>
        <w:rPr>
          <w:rFonts w:ascii="Arial" w:cs="Arial" w:eastAsia="Arial" w:hAnsi="Arial"/>
          <w:sz w:val="15"/>
          <w:szCs w:val="15"/>
          <w:color w:val="auto"/>
        </w:rPr>
      </w:pPr>
    </w:p>
    <w:p>
      <w:pPr>
        <w:jc w:val="both"/>
        <w:ind w:left="800" w:hanging="317"/>
        <w:spacing w:after="0" w:line="248" w:lineRule="auto"/>
        <w:tabs>
          <w:tab w:leader="none" w:pos="7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model is narrowly focused on Consumer Loan assignments from one industry with expected cash flows that are significantly lower than the contractual cash flows owed to us due to credit quality. We do not believe that it is meaningful to disaggregate our Loan portfolio beyond the Dealer Loans and Purchased Loans portfolio segments.</w:t>
      </w:r>
    </w:p>
    <w:p>
      <w:pPr>
        <w:spacing w:after="0" w:line="221"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Each portfolio segment consists of one class of Consumer Loan assignments, which is Consumer Loans originated by Dealers to finance purchases of vehicles and related ancillary products by consumers with impaired or limited credit histories. Our determination is based on the following:</w:t>
      </w:r>
    </w:p>
    <w:p>
      <w:pPr>
        <w:spacing w:after="0" w:line="1" w:lineRule="exact"/>
        <w:rPr>
          <w:sz w:val="20"/>
          <w:szCs w:val="20"/>
          <w:color w:val="auto"/>
        </w:rPr>
      </w:pPr>
    </w:p>
    <w:p>
      <w:pPr>
        <w:ind w:left="800" w:hanging="317"/>
        <w:spacing w:after="0" w:line="245" w:lineRule="auto"/>
        <w:tabs>
          <w:tab w:leader="none" w:pos="7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of the Consumer Loans assigned to us have similar risk characteristics in relation to the categorization of borrowers, type of financing receivable, industry sector and type of collateral.</w:t>
      </w:r>
    </w:p>
    <w:p>
      <w:pPr>
        <w:spacing w:after="0" w:line="1" w:lineRule="exact"/>
        <w:rPr>
          <w:rFonts w:ascii="Arial" w:cs="Arial" w:eastAsia="Arial" w:hAnsi="Arial"/>
          <w:sz w:val="18"/>
          <w:szCs w:val="18"/>
          <w:color w:val="auto"/>
        </w:rPr>
      </w:pPr>
    </w:p>
    <w:p>
      <w:pPr>
        <w:ind w:left="800" w:hanging="317"/>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only accept Consumer Loan assignments from Dealers located within the United States.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Recognition and Measurement Policies. </w:t>
      </w:r>
      <w:r>
        <w:rPr>
          <w:rFonts w:ascii="Arial" w:cs="Arial" w:eastAsia="Arial" w:hAnsi="Arial"/>
          <w:sz w:val="18"/>
          <w:szCs w:val="18"/>
          <w:color w:val="auto"/>
        </w:rPr>
        <w:t>On January 1, 2020, we adopted Accounting Standards Update 2016-13, Measurement of Credit Losses on</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which is known as the current expected credit loss model, or CECL. Loans outstanding prior to the adoption date qualified for transition relief and are accounted for as purchased financial assets with credit deterioration (“PCD Method”).</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Under the PCD Method, for each reporting period subsequent to the adoption of CECL, we:</w:t>
      </w:r>
    </w:p>
    <w:p>
      <w:pPr>
        <w:spacing w:after="0" w:line="16" w:lineRule="exact"/>
        <w:rPr>
          <w:sz w:val="20"/>
          <w:szCs w:val="20"/>
          <w:color w:val="auto"/>
        </w:rPr>
      </w:pPr>
    </w:p>
    <w:p>
      <w:pPr>
        <w:ind w:left="800" w:hanging="317"/>
        <w:spacing w:after="0" w:line="245" w:lineRule="auto"/>
        <w:tabs>
          <w:tab w:leader="none" w:pos="7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recognize finance charge revenue using the effective interest rate that was calculated on the adoption date based on expected future net cash flows; and</w:t>
      </w:r>
    </w:p>
    <w:p>
      <w:pPr>
        <w:spacing w:after="0" w:line="1" w:lineRule="exact"/>
        <w:rPr>
          <w:rFonts w:ascii="Arial" w:cs="Arial" w:eastAsia="Arial" w:hAnsi="Arial"/>
          <w:sz w:val="18"/>
          <w:szCs w:val="18"/>
          <w:color w:val="auto"/>
        </w:rPr>
      </w:pPr>
    </w:p>
    <w:p>
      <w:pPr>
        <w:jc w:val="both"/>
        <w:ind w:left="800" w:hanging="317"/>
        <w:spacing w:after="0" w:line="248" w:lineRule="auto"/>
        <w:tabs>
          <w:tab w:leader="none" w:pos="7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 the allowance for credit losses so that the net carrying amount of each Loan equals the present value of expected future net cash flows discounted at the effective interest rate. The adjustment to the allowance for credit losses is recognized as either provision for credit losses expense or a reversal of provision for credit losses expense.</w:t>
      </w:r>
    </w:p>
    <w:p>
      <w:pPr>
        <w:spacing w:after="0" w:line="22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Consumer Loans assigned to us on or subsequent to January 1, 2020 do not qualify for the PCD Method and are accounted for as originated financial assets (“Originated Method”). While the cash flows we expect to collect at the time of assignment are significantly lower than the contractual cash flows owed to us due to credit quality, our Loans do not qualify for the PCD Method because the assignment of the Consumer Loan to us occurs a moment after the Consumer Loan is originated by the Dealer, so “a more-than-insignificant deterioration in credit quality since origination” has not occurred at the time of assignment. In addition, Dealer Loans also do not qualify for the PCD Method because Consumer Loans assigned to us under the Portfolio Program are considered to be advances under Dealer Loans originated by us rather than Consumer Loans purchased by us.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Under the Originated Method, at the time of assignment, we:</w:t>
      </w:r>
    </w:p>
    <w:p>
      <w:pPr>
        <w:spacing w:after="0" w:line="16" w:lineRule="exact"/>
        <w:rPr>
          <w:sz w:val="20"/>
          <w:szCs w:val="20"/>
          <w:color w:val="auto"/>
        </w:rPr>
      </w:pPr>
    </w:p>
    <w:p>
      <w:pPr>
        <w:ind w:left="800" w:hanging="317"/>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calculate the effective interest rate based on contractual future net cash flows;</w:t>
      </w:r>
    </w:p>
    <w:p>
      <w:pPr>
        <w:spacing w:after="0" w:line="5" w:lineRule="exact"/>
        <w:rPr>
          <w:rFonts w:ascii="Arial" w:cs="Arial" w:eastAsia="Arial" w:hAnsi="Arial"/>
          <w:sz w:val="18"/>
          <w:szCs w:val="18"/>
          <w:color w:val="auto"/>
        </w:rPr>
      </w:pPr>
    </w:p>
    <w:p>
      <w:pPr>
        <w:ind w:left="800" w:hanging="317"/>
        <w:spacing w:after="0" w:line="245" w:lineRule="auto"/>
        <w:tabs>
          <w:tab w:leader="none" w:pos="7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record a Loan receivable equal to the advance paid to the Dealer under the Portfolio Program or purchase price paid to the Dealer under the Purchase Program; and</w:t>
      </w:r>
    </w:p>
    <w:p>
      <w:pPr>
        <w:spacing w:after="0" w:line="1" w:lineRule="exact"/>
        <w:rPr>
          <w:rFonts w:ascii="Arial" w:cs="Arial" w:eastAsia="Arial" w:hAnsi="Arial"/>
          <w:sz w:val="18"/>
          <w:szCs w:val="18"/>
          <w:color w:val="auto"/>
        </w:rPr>
      </w:pPr>
    </w:p>
    <w:p>
      <w:pPr>
        <w:ind w:left="800" w:hanging="317"/>
        <w:spacing w:after="0" w:line="349" w:lineRule="auto"/>
        <w:tabs>
          <w:tab w:leader="none" w:pos="795"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record an allowance for credit losses equal to the difference between the initial Loan receivable balance and the present value of expected future net cash flows discounted at the effective interest rate. The initial allowance for credit losses is recognized as provision for credit losses expense.</w:t>
      </w:r>
    </w:p>
    <w:p>
      <w:pPr>
        <w:spacing w:after="0" w:line="1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Under the Originated Method, for each reporting period subsequent to assignment, we:</w:t>
      </w:r>
    </w:p>
    <w:p>
      <w:pPr>
        <w:spacing w:after="0" w:line="16" w:lineRule="exact"/>
        <w:rPr>
          <w:sz w:val="20"/>
          <w:szCs w:val="20"/>
          <w:color w:val="auto"/>
        </w:rPr>
      </w:pPr>
    </w:p>
    <w:p>
      <w:pPr>
        <w:ind w:left="800" w:hanging="317"/>
        <w:spacing w:after="0" w:line="245" w:lineRule="auto"/>
        <w:tabs>
          <w:tab w:leader="none" w:pos="7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recognize finance charge revenue using the effective interest rate that was calculated at the time of assignment based on contractual future net cash flows; and</w:t>
      </w:r>
    </w:p>
    <w:p>
      <w:pPr>
        <w:spacing w:after="0" w:line="1" w:lineRule="exact"/>
        <w:rPr>
          <w:rFonts w:ascii="Arial" w:cs="Arial" w:eastAsia="Arial" w:hAnsi="Arial"/>
          <w:sz w:val="18"/>
          <w:szCs w:val="18"/>
          <w:color w:val="auto"/>
        </w:rPr>
      </w:pPr>
    </w:p>
    <w:p>
      <w:pPr>
        <w:jc w:val="both"/>
        <w:ind w:left="800" w:hanging="317"/>
        <w:spacing w:after="0" w:line="248" w:lineRule="auto"/>
        <w:tabs>
          <w:tab w:leader="none" w:pos="7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 the allowance for credit losses so that the net carrying amount of each Loan equals the present value of expected future net cash flows discounted at the effective interest rate. The adjustment to the allowance for credit losses is recognized as either provision for credit losses expense or a reversal of provision for credit losses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i w:val="1"/>
          <w:iCs w:val="1"/>
          <w:color w:val="auto"/>
        </w:rPr>
        <w:t>Loans Receivable</w:t>
      </w:r>
      <w:r>
        <w:rPr>
          <w:rFonts w:ascii="Arial" w:cs="Arial" w:eastAsia="Arial" w:hAnsi="Arial"/>
          <w:sz w:val="17"/>
          <w:szCs w:val="17"/>
          <w:color w:val="auto"/>
        </w:rPr>
        <w:t>. Amounts advanced to Dealers for Consumer Loans assigned under the Portfolio Program are recorded as Dealer Loans and are</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aggregated by Dealer for purposes of recognizing revenue and measuring credit losses. Amounts paid to Dealers for Consumer Loans assigned under the Purchase Program are recorded as Purchased Loans and, for purposes of recognizing revenue and measuring credit losses, are:</w:t>
      </w:r>
    </w:p>
    <w:p>
      <w:pPr>
        <w:spacing w:after="0" w:line="2" w:lineRule="exact"/>
        <w:rPr>
          <w:sz w:val="20"/>
          <w:szCs w:val="20"/>
          <w:color w:val="auto"/>
        </w:rPr>
      </w:pPr>
    </w:p>
    <w:p>
      <w:pPr>
        <w:ind w:left="800" w:hanging="317"/>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aggregated, if assigned on or subsequent to January 1, 2020; or</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aggregated into pools based on the month of purchase, if assigned prior to January 1, 2020.</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outstanding balance of each Loan included in Loans receivable is comprised of the following:</w:t>
      </w:r>
    </w:p>
    <w:p>
      <w:pPr>
        <w:spacing w:after="0" w:line="16" w:lineRule="exact"/>
        <w:rPr>
          <w:sz w:val="20"/>
          <w:szCs w:val="20"/>
          <w:color w:val="auto"/>
        </w:rPr>
      </w:pPr>
    </w:p>
    <w:p>
      <w:pPr>
        <w:ind w:left="800" w:hanging="317"/>
        <w:spacing w:after="0" w:line="245" w:lineRule="auto"/>
        <w:tabs>
          <w:tab w:leader="none" w:pos="7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paid to the Dealer (or to third party ancillary product providers on the Dealer’s behalf) for the Consumer Loan assignment (advance under the Portfolio Program or one-time purchase payment under the Purchase Program);</w:t>
      </w:r>
    </w:p>
    <w:p>
      <w:pPr>
        <w:spacing w:after="0" w:line="1" w:lineRule="exact"/>
        <w:rPr>
          <w:rFonts w:ascii="Arial" w:cs="Arial" w:eastAsia="Arial" w:hAnsi="Arial"/>
          <w:sz w:val="18"/>
          <w:szCs w:val="18"/>
          <w:color w:val="auto"/>
        </w:rPr>
      </w:pPr>
    </w:p>
    <w:p>
      <w:pPr>
        <w:ind w:left="800" w:hanging="317"/>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finance charges;</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Dealer Holdback payments;</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accelerated Dealer Holdback payments;</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recoveries;</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transfers in;</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less: collections (net of certain collection costs);</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less: write-offs; and</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less: transfers out.</w:t>
      </w:r>
    </w:p>
    <w:p>
      <w:pPr>
        <w:spacing w:after="0" w:line="23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Under our Portfolio Program, certain events may result in Dealers forfeiting their rights to Dealer Holdback. We transfer the Dealer’s outstanding Dealer Loan balance and the related allowance for credit losses balance to Purchased Loans in the period this forfeiture occurs. We aggregate these Purchased Loans by Dealer for purposes of recognizing revenue and measuring credit losses.</w:t>
      </w:r>
    </w:p>
    <w:p>
      <w:pPr>
        <w:spacing w:after="0" w:line="21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Allowance for Credit Losses. </w:t>
      </w:r>
      <w:r>
        <w:rPr>
          <w:rFonts w:ascii="Arial" w:cs="Arial" w:eastAsia="Arial" w:hAnsi="Arial"/>
          <w:sz w:val="18"/>
          <w:szCs w:val="18"/>
          <w:color w:val="auto"/>
        </w:rPr>
        <w:t>The outstanding balance of the allowance for credit losses of each Loan represents the amount required to reduce net</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amount of Loans (Loans receivable less allowance for credit losses) to the present value of expected future net cash flows discounted at the effective interest rate. Expected future net cash flows for Dealer Loans are comprised of expected future collections on the assigned Consumer Loans, less any expected future Dealer Holdback payments. Expected future net cash flows for Purchased Loans are comprised of expected future collections on the assigned Consumer Loans.</w:t>
      </w:r>
    </w:p>
    <w:p>
      <w:pPr>
        <w:spacing w:after="0" w:line="22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Expected future collections are forecasted for each individual Consumer Loan based on the historical performance of Consumer Loans with similar characteristics, adjusted for recent trends in payment patterns and economic conditions. Our forecast of expected future collections includes estimates for prepayments and post-contractual-term cash flows. Unless the consumer is no longer contractually obligated to pay us, we forecast future collections on each Consumer Loan for a 120 month period after the origination date. Expected future Dealer Holdback payments are forecasted for each individual Dealer based on the expected future collections and current advance balance of each Dealer Loan.</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fully write off the outstanding balances of a Loan and the related allowance for credit losses once we are no longer forecasting any expected future net cash flows on the Loan. Under our partial write-off policy, we write off the amount of the outstanding balances of a Loan and the related allowance for credit losses, if any, that exceeds 200% of the present value of expected future net cash flows on the Loan, as we deem this amount to be uncollectable.</w:t>
      </w:r>
    </w:p>
    <w:p>
      <w:pPr>
        <w:spacing w:after="0" w:line="16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i w:val="1"/>
          <w:iCs w:val="1"/>
          <w:color w:val="auto"/>
        </w:rPr>
        <w:t xml:space="preserve">Credit Quality. </w:t>
      </w:r>
      <w:r>
        <w:rPr>
          <w:rFonts w:ascii="Arial" w:cs="Arial" w:eastAsia="Arial" w:hAnsi="Arial"/>
          <w:sz w:val="15"/>
          <w:szCs w:val="15"/>
          <w:color w:val="auto"/>
        </w:rPr>
        <w:t>The vast majority of the Consumer Loans assigned to us are made to individuals with impaired or limited credit histories. Consumer</w:t>
      </w:r>
      <w:r>
        <w:rPr>
          <w:rFonts w:ascii="Arial" w:cs="Arial" w:eastAsia="Arial" w:hAnsi="Arial"/>
          <w:sz w:val="15"/>
          <w:szCs w:val="15"/>
          <w:i w:val="1"/>
          <w:iCs w:val="1"/>
          <w:color w:val="auto"/>
        </w:rPr>
        <w:t xml:space="preserve"> </w:t>
      </w:r>
      <w:r>
        <w:rPr>
          <w:rFonts w:ascii="Arial" w:cs="Arial" w:eastAsia="Arial" w:hAnsi="Arial"/>
          <w:sz w:val="15"/>
          <w:szCs w:val="15"/>
          <w:color w:val="auto"/>
        </w:rPr>
        <w:t>Loans made to these individuals generally entail a higher risk of delinquency, default and repossession and higher losses than loans made to consumers with better credit. Since most of our revenue and cash flows are generated from these Consumer Loans, our ability to accurately forecast Consumer Loan performance is critical to our business and financial results. At the time a Consumer Loan is submitted to us for assignment, we forecast future expected cash flows from the Consumer Loan. Based on these forecasts, an advance or one-time purchase payment is made to the related Dealer at a price designed to maximize our economic profit, a non-GAAP financial measure that considers our return on capital, our cost of capital and the amount of capital invested.</w:t>
      </w:r>
    </w:p>
    <w:p>
      <w:pPr>
        <w:spacing w:after="0" w:line="17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monitor and evaluate the credit quality of Consumer Loans on a monthly basis by comparing our current forecasted collection rates to our initial expectations. We use a statistical model that considers a number of credit quality indicators to estimate the expected collection rate for each Consumer Loan at the time of assignment. The credit quality indicators considered in our model include attributes contained in the consumer’s credit bureau report, data contained in the consumer’s credit application, the structure of the proposed transaction, vehicle information and other factors. We continue to evaluate the expected collection rate of each Consumer Loan subsequent to assignment primarily through the monitoring of consumer payment behavior. Our evaluation becomes more accurate as the Consumer Loans age, as we use actual performance data in our forecast. Since all known, significant credit quality indicators have already been factored into our forecasts and pricing, we are not able to use any specific credit quality indicators to predict or explain variances in actual performance from our initial expectations. Any variances in performance from our initial expectations are the result of Consumer Loans performing differently from historical Consumer Loans with similar characteristics. We periodically adjust our statistical pricing model for new trends that we identify through our evaluation of these forecasted collection rate variances.</w:t>
      </w:r>
    </w:p>
    <w:p>
      <w:pPr>
        <w:spacing w:after="0" w:line="20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When overall forecasted collection rates underperform our initial expectations, the decline in forecasted collections has a more adverse impact on the profitability of the Purchased Loans than on the profitability of the Dealer Loans. For Purchased Loans, the decline in forecasted collections is absorbed entirely by us. For Dealer Loans, the decline in the forecasted collections is substantially offset by a decline in forecasted payments of Dealer Holdback.</w:t>
      </w:r>
    </w:p>
    <w:p>
      <w:pPr>
        <w:spacing w:after="0" w:line="16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Methodology Changes</w:t>
      </w:r>
      <w:r>
        <w:rPr>
          <w:rFonts w:ascii="Arial" w:cs="Arial" w:eastAsia="Arial" w:hAnsi="Arial"/>
          <w:sz w:val="18"/>
          <w:szCs w:val="18"/>
          <w:color w:val="auto"/>
        </w:rPr>
        <w:t>. During the first quarter of 2022, we removed the COVID forecast adjustment from our estimate of future net cash flows and</w:t>
      </w:r>
      <w:r>
        <w:rPr>
          <w:rFonts w:ascii="Arial" w:cs="Arial" w:eastAsia="Arial" w:hAnsi="Arial"/>
          <w:sz w:val="18"/>
          <w:szCs w:val="18"/>
          <w:i w:val="1"/>
          <w:iCs w:val="1"/>
          <w:color w:val="auto"/>
        </w:rPr>
        <w:t xml:space="preserve"> </w:t>
      </w:r>
      <w:r>
        <w:rPr>
          <w:rFonts w:ascii="Arial" w:cs="Arial" w:eastAsia="Arial" w:hAnsi="Arial"/>
          <w:sz w:val="18"/>
          <w:szCs w:val="18"/>
          <w:color w:val="auto"/>
        </w:rPr>
        <w:t>enhanced our methodology for forecasting the amount and timing of future net cash flows from our Loan portfolio through the utilization of more recent data and new forecast variables. For additional information, see Note 6. For the three and six months ended June 30, 2022 and 2021, we did not make any other methodology changes for Loans that had a material impact on our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Charges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Sources of Revenue. </w:t>
      </w:r>
      <w:r>
        <w:rPr>
          <w:rFonts w:ascii="Arial" w:cs="Arial" w:eastAsia="Arial" w:hAnsi="Arial"/>
          <w:sz w:val="18"/>
          <w:szCs w:val="18"/>
          <w:color w:val="auto"/>
        </w:rPr>
        <w:t>Finance charges is comprised of: (1) interest income earned on Loans; (2) administrative fees earned from ancillary products; (3)</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fees charged to Dealers under the Portfolio Program; (4) Consumer Loan assignment fees charged to Dealers; and (5) direct origination costs incurred on Dealer Loans.</w:t>
      </w:r>
    </w:p>
    <w:p>
      <w:pPr>
        <w:spacing w:after="0" w:line="21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provide Dealers the ability to offer vehicle service contracts to consumers through our relationships with Third Party Providers (“TPPs”). A vehicle service contract provides the consumer protection by paying for the repair or replacement of certain components of the vehicle in the event of a mechanical failure. The retail price of the vehicle service contract is included in the principal balance of the Consumer Loan. The wholesale cost of the vehicle service contract is paid to the TPP, net of an administrative fee retained by us. The difference between the wholesale cost and the retail price to the consumer is paid to the Dealer as a commission. Under the Portfolio Program, the wholesale cost of the vehicle service contract and the commission paid to the Dealer are charged to the Dealer’s advance balance. TPPs process claims on vehicle service contracts that are underwritten by third party insurers. We bear the risk of loss for claims on certain vehicle service contracts that are reinsured by us. We market the vehicle service contracts directly to our Dealers.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provide Dealers the ability to offer Guaranteed Asset Protection (“GAP”) to consumers through our relationships with TPPs. GAP provides the consumer protection by paying the difference between the loan balance and the amount covered by the consumer’s insurance policy in the event of a total loss of the vehicle due to severe damage or theft. The retail price of GAP is included in the principal balance of the Consumer Loan. The wholesale cost of GAP is paid to the TPP, net of an administrative fee retained by us. The difference between the wholesale cost and the retail price to the consumer is paid to the Dealer as a commission. Under the Portfolio Program, the wholesale cost of GAP and the commission paid to the Dealer are charged to the Dealer’s advance balance. TPPs process claims on GAP contracts that are underwritten by third party insurers.</w:t>
      </w:r>
    </w:p>
    <w:p>
      <w:pPr>
        <w:spacing w:after="0" w:line="206"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Program fees represent monthly fees charged to Dealers for access to our Credit Approval Processing System (“CAPS”); administration, servicing and collection services offered by us; documentation related to or affecting our program; and all tangible and intangible property owned by Credit Acceptance. We charge a monthly fee of $599 to Dealers participating in our Portfolio Program and we collect it from future Dealer Holdback payments.</w:t>
      </w:r>
    </w:p>
    <w:p>
      <w:pPr>
        <w:spacing w:after="0" w:line="16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Recognition Policy. </w:t>
      </w:r>
      <w:r>
        <w:rPr>
          <w:rFonts w:ascii="Arial" w:cs="Arial" w:eastAsia="Arial" w:hAnsi="Arial"/>
          <w:sz w:val="18"/>
          <w:szCs w:val="18"/>
          <w:color w:val="auto"/>
        </w:rPr>
        <w:t>We recognize finance charges under the interest method such that revenue is recognized on a level-yield basis over the life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Loan. We calculate finance charges on a monthly basis by applying the effective interest rate of the Loan to the net carrying amount of the Loan (Loan receivable less the related allowance for credit losses). For Consumer Loans assigned on or subsequent to January 1, 2020, the effective interest rate is based on contractual future net cash flows. For Consumer Loans assigned prior to January 1, 2020, the effective interest rate was determined based on expected future net cash flows.</w:t>
      </w:r>
    </w:p>
    <w:p>
      <w:pPr>
        <w:spacing w:after="0" w:line="22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report the change in the present value of credit losses attributable to the passage of time as a reduction to finance charges. Accordingly, we allocate finance charges recognized on each Loan between the Loan receivable and the related allowance for credit losses. The amount of finance charges allocated to the Loan receivable is equal to the effective interest rate applied to the Loans receivable balance. The reduction of finance charges allocated to the allowance for credit losses is equal to the effective interest rate applied to the allowance for credit losses balance.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5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VSC Re Company (“VSC Re”), our wholly owned subsidiary, is engaged in the business of reinsuring coverage under vehicle service contracts sold to consumers by Dealers on vehicles financed by us. VSC Re currently reinsures vehicle service contracts that are offered through one of our third party providers. Vehicle service contract premiums, which represent the selling price of the vehicle service contract to the consumer, less fees and certain administrative costs, are contributed to a trust account controlled by VSC Re. These premiums are used to fund claims covered under the vehicle service contracts. VSC Re is a bankruptcy remote entity. As such, our exposure to fund claims is limited to the trust assets controlled by VSC Re and our net investment in VSC Re.</w:t>
      </w:r>
    </w:p>
    <w:p>
      <w:pPr>
        <w:spacing w:after="0" w:line="22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Premiums from the reinsurance of vehicle service contracts are recognized over the life of the policy in proportion to expected costs of servicing those contracts. Expected costs are determined based on our historical claims experience. Claims are expensed through a provision for claims in the period the claim was incurred. Capitalized acquisition costs are comprised of premium taxes and are amortized as general and administrative expense over the life of the contracts in proportion to premiums earned.</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consolidated the trust within our financial statements based on our determination of the following:</w:t>
      </w:r>
    </w:p>
    <w:p>
      <w:pPr>
        <w:spacing w:after="0" w:line="16" w:lineRule="exact"/>
        <w:rPr>
          <w:sz w:val="20"/>
          <w:szCs w:val="20"/>
          <w:color w:val="auto"/>
        </w:rPr>
      </w:pPr>
    </w:p>
    <w:p>
      <w:pPr>
        <w:jc w:val="both"/>
        <w:ind w:left="800" w:hanging="317"/>
        <w:spacing w:after="0" w:line="245" w:lineRule="auto"/>
        <w:tabs>
          <w:tab w:leader="none" w:pos="79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We have a variable interest in the trust. </w:t>
      </w:r>
      <w:r>
        <w:rPr>
          <w:rFonts w:ascii="Arial" w:cs="Arial" w:eastAsia="Arial" w:hAnsi="Arial"/>
          <w:sz w:val="18"/>
          <w:szCs w:val="18"/>
          <w:color w:val="auto"/>
        </w:rPr>
        <w:t>We have a residual interest in the assets of the trust, which is variable in nature, given that it increases or</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decreases based upon the actual loss experience of the related service contracts. In addition, VSC Re is required to absorb any losses in excess of the trust's assets.</w:t>
      </w:r>
    </w:p>
    <w:p>
      <w:pPr>
        <w:spacing w:after="0" w:line="2" w:lineRule="exact"/>
        <w:rPr>
          <w:rFonts w:ascii="Arial" w:cs="Arial" w:eastAsia="Arial" w:hAnsi="Arial"/>
          <w:sz w:val="18"/>
          <w:szCs w:val="18"/>
          <w:color w:val="auto"/>
        </w:rPr>
      </w:pPr>
    </w:p>
    <w:p>
      <w:pPr>
        <w:ind w:left="800" w:hanging="317"/>
        <w:spacing w:after="0" w:line="245" w:lineRule="auto"/>
        <w:tabs>
          <w:tab w:leader="none" w:pos="79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The trust is a variable interest entity. </w:t>
      </w:r>
      <w:r>
        <w:rPr>
          <w:rFonts w:ascii="Arial" w:cs="Arial" w:eastAsia="Arial" w:hAnsi="Arial"/>
          <w:sz w:val="18"/>
          <w:szCs w:val="18"/>
          <w:color w:val="auto"/>
        </w:rPr>
        <w:t>The trust has insufficient equity at risk as no parties to the trust were required to contribute assets that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them with any ownership interest.</w:t>
      </w:r>
    </w:p>
    <w:p>
      <w:pPr>
        <w:spacing w:after="0" w:line="1" w:lineRule="exact"/>
        <w:rPr>
          <w:rFonts w:ascii="Arial" w:cs="Arial" w:eastAsia="Arial" w:hAnsi="Arial"/>
          <w:sz w:val="18"/>
          <w:szCs w:val="18"/>
          <w:color w:val="auto"/>
        </w:rPr>
      </w:pPr>
    </w:p>
    <w:p>
      <w:pPr>
        <w:jc w:val="both"/>
        <w:ind w:left="800" w:hanging="317"/>
        <w:spacing w:after="0" w:line="247" w:lineRule="auto"/>
        <w:tabs>
          <w:tab w:leader="none" w:pos="79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We are the primary beneficiary of the trust. </w:t>
      </w:r>
      <w:r>
        <w:rPr>
          <w:rFonts w:ascii="Arial" w:cs="Arial" w:eastAsia="Arial" w:hAnsi="Arial"/>
          <w:sz w:val="18"/>
          <w:szCs w:val="18"/>
          <w:color w:val="auto"/>
        </w:rPr>
        <w:t>We control the amount of premiums written and placed in the trust through Consumer Loan</w:t>
      </w:r>
      <w:r>
        <w:rPr>
          <w:rFonts w:ascii="Arial" w:cs="Arial" w:eastAsia="Arial" w:hAnsi="Arial"/>
          <w:sz w:val="18"/>
          <w:szCs w:val="18"/>
          <w:i w:val="1"/>
          <w:iCs w:val="1"/>
          <w:color w:val="auto"/>
        </w:rPr>
        <w:t xml:space="preserve"> </w:t>
      </w:r>
      <w:r>
        <w:rPr>
          <w:rFonts w:ascii="Arial" w:cs="Arial" w:eastAsia="Arial" w:hAnsi="Arial"/>
          <w:sz w:val="18"/>
          <w:szCs w:val="18"/>
          <w:color w:val="auto"/>
        </w:rPr>
        <w:t>assignments under our Programs, which is the activity that most significantly impacts the economic performance of the trust. We have the right to receive benefits from the trust that could potentially be significant. In addition, VSC Re has the obligation to absorb losses of the trust that could potentially be significant.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Update Not Yet Adopted</w:t>
      </w:r>
    </w:p>
    <w:p>
      <w:pPr>
        <w:spacing w:after="0" w:line="25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i w:val="1"/>
          <w:iCs w:val="1"/>
          <w:color w:val="auto"/>
        </w:rPr>
        <w:t xml:space="preserve">Troubled Debt Restructurings and Vintage Disclosures. </w:t>
      </w:r>
      <w:r>
        <w:rPr>
          <w:rFonts w:ascii="Arial" w:cs="Arial" w:eastAsia="Arial" w:hAnsi="Arial"/>
          <w:sz w:val="15"/>
          <w:szCs w:val="15"/>
          <w:color w:val="auto"/>
        </w:rPr>
        <w:t>In March 2022, the Financial Accounting Standards Board issued Accounting Standards Update</w:t>
      </w:r>
      <w:r>
        <w:rPr>
          <w:rFonts w:ascii="Arial" w:cs="Arial" w:eastAsia="Arial" w:hAnsi="Arial"/>
          <w:sz w:val="15"/>
          <w:szCs w:val="15"/>
          <w:i w:val="1"/>
          <w:iCs w:val="1"/>
          <w:color w:val="auto"/>
        </w:rPr>
        <w:t xml:space="preserve"> </w:t>
      </w:r>
      <w:r>
        <w:rPr>
          <w:rFonts w:ascii="Arial" w:cs="Arial" w:eastAsia="Arial" w:hAnsi="Arial"/>
          <w:sz w:val="15"/>
          <w:szCs w:val="15"/>
          <w:color w:val="auto"/>
        </w:rPr>
        <w:t>(“ASU”) 2022-02, which intends to improve the usefulness of information provided to investors about certain loan refinancings, restructurings, and write-offs. ASU 2022-02 is effective for fiscal years, and interim periods, beginning after December 15, 2022. Early application is permitted, but we have not yet adopted ASU 2022-02. We are currently assessing the impact the adoption of ASU 2022-02 will have on our consolidated financial statements and related disclosures.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p>
      <w:pPr>
        <w:ind w:left="620" w:hanging="614"/>
        <w:spacing w:after="0"/>
        <w:tabs>
          <w:tab w:leader="none" w:pos="6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 for which it is practicable to estimate their value.</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Cash and Cash Equivalents and Restricted Cash and Cash Equivalents</w:t>
      </w:r>
      <w:r>
        <w:rPr>
          <w:rFonts w:ascii="Arial" w:cs="Arial" w:eastAsia="Arial" w:hAnsi="Arial"/>
          <w:sz w:val="18"/>
          <w:szCs w:val="18"/>
          <w:color w:val="auto"/>
        </w:rPr>
        <w:t>. The carrying amounts approximate their fair value due to the short maturity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instruments.</w:t>
      </w:r>
    </w:p>
    <w:p>
      <w:pPr>
        <w:spacing w:after="0" w:line="2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Restricted Securities Available for Sale. </w:t>
      </w:r>
      <w:r>
        <w:rPr>
          <w:rFonts w:ascii="Arial" w:cs="Arial" w:eastAsia="Arial" w:hAnsi="Arial"/>
          <w:sz w:val="18"/>
          <w:szCs w:val="18"/>
          <w:color w:val="auto"/>
        </w:rPr>
        <w:t>The fair value of U.S. Government and agency securities and corporate bonds is based on quoted market values in</w:t>
      </w:r>
      <w:r>
        <w:rPr>
          <w:rFonts w:ascii="Arial" w:cs="Arial" w:eastAsia="Arial" w:hAnsi="Arial"/>
          <w:sz w:val="18"/>
          <w:szCs w:val="18"/>
          <w:i w:val="1"/>
          <w:iCs w:val="1"/>
          <w:color w:val="auto"/>
        </w:rPr>
        <w:t xml:space="preserve"> </w:t>
      </w:r>
      <w:r>
        <w:rPr>
          <w:rFonts w:ascii="Arial" w:cs="Arial" w:eastAsia="Arial" w:hAnsi="Arial"/>
          <w:sz w:val="18"/>
          <w:szCs w:val="18"/>
          <w:color w:val="auto"/>
        </w:rPr>
        <w:t>active markets. For asset-backed securities, mortgage-backed securities and commercial paper we use model-based valuation techniques for which all significant assumptions are observable in the market.</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Loans Receivable, net. </w:t>
      </w:r>
      <w:r>
        <w:rPr>
          <w:rFonts w:ascii="Arial" w:cs="Arial" w:eastAsia="Arial" w:hAnsi="Arial"/>
          <w:sz w:val="18"/>
          <w:szCs w:val="18"/>
          <w:color w:val="auto"/>
        </w:rPr>
        <w:t>The fair value is determined by calculating the present value of expected future net cash flows estimated by us by utilizing the</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 rate used to calculate the value of our Loans under our non-GAAP floating yield methodology.</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Revolving Secured Line of Credit. </w:t>
      </w:r>
      <w:r>
        <w:rPr>
          <w:rFonts w:ascii="Arial" w:cs="Arial" w:eastAsia="Arial" w:hAnsi="Arial"/>
          <w:sz w:val="18"/>
          <w:szCs w:val="18"/>
          <w:color w:val="auto"/>
        </w:rPr>
        <w:t>The fair value is determined by calculating the present value of the debt instrument based on current rates for debt with</w:t>
      </w:r>
      <w:r>
        <w:rPr>
          <w:rFonts w:ascii="Arial" w:cs="Arial" w:eastAsia="Arial" w:hAnsi="Arial"/>
          <w:sz w:val="18"/>
          <w:szCs w:val="18"/>
          <w:i w:val="1"/>
          <w:iCs w:val="1"/>
          <w:color w:val="auto"/>
        </w:rPr>
        <w:t xml:space="preserve"> </w:t>
      </w:r>
      <w:r>
        <w:rPr>
          <w:rFonts w:ascii="Arial" w:cs="Arial" w:eastAsia="Arial" w:hAnsi="Arial"/>
          <w:sz w:val="18"/>
          <w:szCs w:val="18"/>
          <w:color w:val="auto"/>
        </w:rPr>
        <w:t>a similar risk profile and maturity.</w:t>
      </w:r>
    </w:p>
    <w:p>
      <w:pPr>
        <w:spacing w:after="0" w:line="2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Secured Financing. </w:t>
      </w:r>
      <w:r>
        <w:rPr>
          <w:rFonts w:ascii="Arial" w:cs="Arial" w:eastAsia="Arial" w:hAnsi="Arial"/>
          <w:sz w:val="18"/>
          <w:szCs w:val="18"/>
          <w:color w:val="auto"/>
        </w:rPr>
        <w:t>The fair value of our asset-backed secured financings (“Term ABS”) is determined using quoted market prices; however, these</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trade in a market with a low trading volume. For our warehouse facilities, the fair values are determined by calculating the present value of each debt instrument based on current rates for debt with similar risk profiles and maturities.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The fair value is determined using quoted market prices in an active market.</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Mortgage Note. </w:t>
      </w:r>
      <w:r>
        <w:rPr>
          <w:rFonts w:ascii="Arial" w:cs="Arial" w:eastAsia="Arial" w:hAnsi="Arial"/>
          <w:sz w:val="18"/>
          <w:szCs w:val="18"/>
          <w:color w:val="auto"/>
        </w:rPr>
        <w:t>The fair value is determined by calculating the present value of the debt instrument based on current rates for debt with a similar risk</w:t>
      </w:r>
      <w:r>
        <w:rPr>
          <w:rFonts w:ascii="Arial" w:cs="Arial" w:eastAsia="Arial" w:hAnsi="Arial"/>
          <w:sz w:val="18"/>
          <w:szCs w:val="18"/>
          <w:i w:val="1"/>
          <w:iCs w:val="1"/>
          <w:color w:val="auto"/>
        </w:rPr>
        <w:t xml:space="preserve"> </w:t>
      </w:r>
      <w:r>
        <w:rPr>
          <w:rFonts w:ascii="Arial" w:cs="Arial" w:eastAsia="Arial" w:hAnsi="Arial"/>
          <w:sz w:val="18"/>
          <w:szCs w:val="18"/>
          <w:color w:val="auto"/>
        </w:rPr>
        <w:t>profile and maturity.</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comparison of the carrying amount and estimated fair value of these financial instruments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2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7"/>
                <w:szCs w:val="17"/>
                <w:color w:val="auto"/>
              </w:rPr>
            </w:pPr>
          </w:p>
        </w:tc>
        <w:tc>
          <w:tcPr>
            <w:tcW w:w="3180" w:type="dxa"/>
            <w:vAlign w:val="bottom"/>
            <w:gridSpan w:val="5"/>
          </w:tcPr>
          <w:p>
            <w:pPr>
              <w:ind w:left="780"/>
              <w:spacing w:after="0"/>
              <w:rPr>
                <w:sz w:val="20"/>
                <w:szCs w:val="20"/>
                <w:color w:val="auto"/>
              </w:rPr>
            </w:pPr>
            <w:r>
              <w:rPr>
                <w:rFonts w:ascii="Arial" w:cs="Arial" w:eastAsia="Arial" w:hAnsi="Arial"/>
                <w:sz w:val="14"/>
                <w:szCs w:val="14"/>
                <w:b w:val="1"/>
                <w:bCs w:val="1"/>
                <w:color w:val="auto"/>
              </w:rPr>
              <w:t>As of June 30, 2022</w:t>
            </w:r>
          </w:p>
        </w:tc>
        <w:tc>
          <w:tcPr>
            <w:tcW w:w="320" w:type="dxa"/>
            <w:vAlign w:val="bottom"/>
          </w:tcPr>
          <w:p>
            <w:pPr>
              <w:spacing w:after="0"/>
              <w:rPr>
                <w:sz w:val="17"/>
                <w:szCs w:val="17"/>
                <w:color w:val="auto"/>
              </w:rPr>
            </w:pPr>
          </w:p>
        </w:tc>
        <w:tc>
          <w:tcPr>
            <w:tcW w:w="3160" w:type="dxa"/>
            <w:vAlign w:val="bottom"/>
            <w:gridSpan w:val="5"/>
          </w:tcPr>
          <w:p>
            <w:pPr>
              <w:ind w:left="640"/>
              <w:spacing w:after="0"/>
              <w:rPr>
                <w:sz w:val="20"/>
                <w:szCs w:val="20"/>
                <w:color w:val="auto"/>
              </w:rPr>
            </w:pPr>
            <w:r>
              <w:rPr>
                <w:rFonts w:ascii="Arial" w:cs="Arial" w:eastAsia="Arial" w:hAnsi="Arial"/>
                <w:sz w:val="14"/>
                <w:szCs w:val="14"/>
                <w:b w:val="1"/>
                <w:bCs w:val="1"/>
                <w:color w:val="auto"/>
              </w:rPr>
              <w:t>As of December 31, 2021</w:t>
            </w:r>
          </w:p>
        </w:tc>
      </w:tr>
      <w:tr>
        <w:trPr>
          <w:trHeight w:val="133"/>
        </w:trPr>
        <w:tc>
          <w:tcPr>
            <w:tcW w:w="42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center"/>
              <w:ind w:right="155"/>
              <w:spacing w:after="0" w:line="133" w:lineRule="exact"/>
              <w:rPr>
                <w:sz w:val="20"/>
                <w:szCs w:val="20"/>
                <w:color w:val="auto"/>
              </w:rPr>
            </w:pPr>
            <w:r>
              <w:rPr>
                <w:rFonts w:ascii="Arial" w:cs="Arial" w:eastAsia="Arial" w:hAnsi="Arial"/>
                <w:sz w:val="14"/>
                <w:szCs w:val="14"/>
                <w:b w:val="1"/>
                <w:bCs w:val="1"/>
                <w:color w:val="auto"/>
                <w:w w:val="93"/>
              </w:rPr>
              <w:t>Estimated Fair</w:t>
            </w: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center"/>
              <w:ind w:right="155"/>
              <w:spacing w:after="0" w:line="133" w:lineRule="exact"/>
              <w:rPr>
                <w:sz w:val="20"/>
                <w:szCs w:val="20"/>
                <w:color w:val="auto"/>
              </w:rPr>
            </w:pPr>
            <w:r>
              <w:rPr>
                <w:rFonts w:ascii="Arial" w:cs="Arial" w:eastAsia="Arial" w:hAnsi="Arial"/>
                <w:sz w:val="14"/>
                <w:szCs w:val="14"/>
                <w:b w:val="1"/>
                <w:bCs w:val="1"/>
                <w:color w:val="auto"/>
                <w:w w:val="93"/>
              </w:rPr>
              <w:t>Estimated Fair</w:t>
            </w:r>
          </w:p>
        </w:tc>
        <w:tc>
          <w:tcPr>
            <w:tcW w:w="60" w:type="dxa"/>
            <w:vAlign w:val="bottom"/>
          </w:tcPr>
          <w:p>
            <w:pPr>
              <w:spacing w:after="0"/>
              <w:rPr>
                <w:sz w:val="11"/>
                <w:szCs w:val="11"/>
                <w:color w:val="auto"/>
              </w:rPr>
            </w:pPr>
          </w:p>
        </w:tc>
      </w:tr>
      <w:tr>
        <w:trPr>
          <w:trHeight w:val="192"/>
        </w:trPr>
        <w:tc>
          <w:tcPr>
            <w:tcW w:w="4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320" w:type="dxa"/>
            <w:vAlign w:val="bottom"/>
          </w:tcPr>
          <w:p>
            <w:pPr>
              <w:spacing w:after="0"/>
              <w:rPr>
                <w:sz w:val="16"/>
                <w:szCs w:val="16"/>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r>
      <w:tr>
        <w:trPr>
          <w:trHeight w:val="212"/>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26"/>
        </w:trPr>
        <w:tc>
          <w:tcPr>
            <w:tcW w:w="4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60" w:type="dxa"/>
            <w:vAlign w:val="bottom"/>
          </w:tcPr>
          <w:p>
            <w:pPr>
              <w:spacing w:after="0"/>
              <w:rPr>
                <w:sz w:val="19"/>
                <w:szCs w:val="19"/>
                <w:color w:val="auto"/>
              </w:rPr>
            </w:pPr>
          </w:p>
        </w:tc>
      </w:tr>
      <w:tr>
        <w:trPr>
          <w:trHeight w:val="225"/>
        </w:trPr>
        <w:tc>
          <w:tcPr>
            <w:tcW w:w="4240" w:type="dxa"/>
            <w:vAlign w:val="bottom"/>
          </w:tcPr>
          <w:p>
            <w:pPr>
              <w:ind w:left="460"/>
              <w:spacing w:after="0"/>
              <w:rPr>
                <w:sz w:val="20"/>
                <w:szCs w:val="20"/>
                <w:color w:val="auto"/>
              </w:rPr>
            </w:pPr>
            <w:r>
              <w:rPr>
                <w:rFonts w:ascii="Arial" w:cs="Arial" w:eastAsia="Arial" w:hAnsi="Arial"/>
                <w:sz w:val="18"/>
                <w:szCs w:val="18"/>
                <w:color w:val="auto"/>
              </w:rPr>
              <w:t>Restricted cash and cash equivalents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410.9</w:t>
            </w:r>
          </w:p>
        </w:tc>
        <w:tc>
          <w:tcPr>
            <w:tcW w:w="60" w:type="dxa"/>
            <w:vAlign w:val="bottom"/>
          </w:tcPr>
          <w:p>
            <w:pPr>
              <w:spacing w:after="0"/>
              <w:rPr>
                <w:sz w:val="19"/>
                <w:szCs w:val="19"/>
                <w:color w:val="auto"/>
              </w:rPr>
            </w:pPr>
          </w:p>
        </w:tc>
      </w:tr>
      <w:tr>
        <w:trPr>
          <w:trHeight w:val="226"/>
        </w:trPr>
        <w:tc>
          <w:tcPr>
            <w:tcW w:w="4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Restricted securities available for sale</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60" w:type="dxa"/>
            <w:vAlign w:val="bottom"/>
          </w:tcPr>
          <w:p>
            <w:pPr>
              <w:spacing w:after="0"/>
              <w:rPr>
                <w:sz w:val="19"/>
                <w:szCs w:val="19"/>
                <w:color w:val="auto"/>
              </w:rPr>
            </w:pPr>
          </w:p>
        </w:tc>
      </w:tr>
      <w:tr>
        <w:trPr>
          <w:trHeight w:val="225"/>
        </w:trPr>
        <w:tc>
          <w:tcPr>
            <w:tcW w:w="4240" w:type="dxa"/>
            <w:vAlign w:val="bottom"/>
          </w:tcPr>
          <w:p>
            <w:pPr>
              <w:ind w:left="460"/>
              <w:spacing w:after="0"/>
              <w:rPr>
                <w:sz w:val="20"/>
                <w:szCs w:val="20"/>
                <w:color w:val="auto"/>
              </w:rPr>
            </w:pPr>
            <w:r>
              <w:rPr>
                <w:rFonts w:ascii="Arial" w:cs="Arial" w:eastAsia="Arial" w:hAnsi="Arial"/>
                <w:sz w:val="18"/>
                <w:szCs w:val="18"/>
                <w:color w:val="auto"/>
              </w:rPr>
              <w:t>Loans receivable, net</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6,323.7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6,643.1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6,336.3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6,580.4</w:t>
            </w:r>
          </w:p>
        </w:tc>
        <w:tc>
          <w:tcPr>
            <w:tcW w:w="60" w:type="dxa"/>
            <w:vAlign w:val="bottom"/>
          </w:tcPr>
          <w:p>
            <w:pPr>
              <w:spacing w:after="0"/>
              <w:rPr>
                <w:sz w:val="19"/>
                <w:szCs w:val="19"/>
                <w:color w:val="auto"/>
              </w:rPr>
            </w:pPr>
          </w:p>
        </w:tc>
      </w:tr>
      <w:tr>
        <w:trPr>
          <w:trHeight w:val="22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5"/>
        </w:trPr>
        <w:tc>
          <w:tcPr>
            <w:tcW w:w="4240" w:type="dxa"/>
            <w:vAlign w:val="bottom"/>
          </w:tcPr>
          <w:p>
            <w:pPr>
              <w:ind w:left="460"/>
              <w:spacing w:after="0"/>
              <w:rPr>
                <w:sz w:val="20"/>
                <w:szCs w:val="20"/>
                <w:color w:val="auto"/>
              </w:rPr>
            </w:pPr>
            <w:r>
              <w:rPr>
                <w:rFonts w:ascii="Arial" w:cs="Arial" w:eastAsia="Arial" w:hAnsi="Arial"/>
                <w:sz w:val="18"/>
                <w:szCs w:val="18"/>
                <w:color w:val="auto"/>
              </w:rPr>
              <w:t>Revolving secured line of credit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220.7</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r>
      <w:tr>
        <w:trPr>
          <w:trHeight w:val="226"/>
        </w:trPr>
        <w:tc>
          <w:tcPr>
            <w:tcW w:w="4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Secured financing</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3,832.1</w:t>
            </w:r>
          </w:p>
        </w:tc>
        <w:tc>
          <w:tcPr>
            <w:tcW w:w="60" w:type="dxa"/>
            <w:vAlign w:val="bottom"/>
          </w:tcPr>
          <w:p>
            <w:pPr>
              <w:spacing w:after="0"/>
              <w:rPr>
                <w:sz w:val="19"/>
                <w:szCs w:val="19"/>
                <w:color w:val="auto"/>
              </w:rPr>
            </w:pPr>
          </w:p>
        </w:tc>
      </w:tr>
      <w:tr>
        <w:trPr>
          <w:trHeight w:val="225"/>
        </w:trPr>
        <w:tc>
          <w:tcPr>
            <w:tcW w:w="4240" w:type="dxa"/>
            <w:vAlign w:val="bottom"/>
          </w:tcPr>
          <w:p>
            <w:pPr>
              <w:ind w:left="460"/>
              <w:spacing w:after="0"/>
              <w:rPr>
                <w:sz w:val="20"/>
                <w:szCs w:val="20"/>
                <w:color w:val="auto"/>
              </w:rPr>
            </w:pPr>
            <w:r>
              <w:rPr>
                <w:rFonts w:ascii="Arial" w:cs="Arial" w:eastAsia="Arial" w:hAnsi="Arial"/>
                <w:sz w:val="18"/>
                <w:szCs w:val="18"/>
                <w:color w:val="auto"/>
              </w:rPr>
              <w:t>Senior notes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825.8</w:t>
            </w:r>
          </w:p>
        </w:tc>
        <w:tc>
          <w:tcPr>
            <w:tcW w:w="60" w:type="dxa"/>
            <w:vAlign w:val="bottom"/>
          </w:tcPr>
          <w:p>
            <w:pPr>
              <w:spacing w:after="0"/>
              <w:rPr>
                <w:sz w:val="19"/>
                <w:szCs w:val="19"/>
                <w:color w:val="auto"/>
              </w:rPr>
            </w:pPr>
          </w:p>
        </w:tc>
      </w:tr>
      <w:tr>
        <w:trPr>
          <w:trHeight w:val="226"/>
        </w:trPr>
        <w:tc>
          <w:tcPr>
            <w:tcW w:w="4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Mortgage note</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9"/>
                <w:szCs w:val="19"/>
                <w:color w:val="auto"/>
              </w:rPr>
            </w:pPr>
          </w:p>
        </w:tc>
      </w:tr>
      <w:tr>
        <w:trPr>
          <w:trHeight w:val="648"/>
        </w:trPr>
        <w:tc>
          <w:tcPr>
            <w:tcW w:w="4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jc w:val="right"/>
              <w:ind w:right="76"/>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2"/>
        </w:trPr>
        <w:tc>
          <w:tcPr>
            <w:tcW w:w="4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We group assets and liabilities at fair value in three levels, based on the markets in which the assets and liabilities are traded and the reliability of the assumptions used to determine fair value. These levels are:</w:t>
      </w:r>
    </w:p>
    <w:p>
      <w:pPr>
        <w:sectPr>
          <w:pgSz w:w="11900" w:h="16838" w:orient="portrait"/>
          <w:cols w:equalWidth="0" w:num="1">
            <w:col w:w="11240"/>
          </w:cols>
          <w:pgMar w:left="320" w:top="127" w:right="339" w:bottom="1440" w:gutter="0" w:footer="0" w:header="0"/>
        </w:sect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5"/>
          <w:szCs w:val="15"/>
          <w:color w:val="auto"/>
        </w:rPr>
        <w:t>Level 1</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Valuation is based upon quoted prices for identical instruments traded in active markets.</w:t>
      </w:r>
    </w:p>
    <w:p>
      <w:pPr>
        <w:spacing w:after="0" w:line="200" w:lineRule="exact"/>
        <w:rPr>
          <w:sz w:val="20"/>
          <w:szCs w:val="20"/>
          <w:color w:val="auto"/>
        </w:rPr>
      </w:pPr>
    </w:p>
    <w:p>
      <w:pPr>
        <w:sectPr>
          <w:pgSz w:w="11900" w:h="16838" w:orient="portrait"/>
          <w:cols w:equalWidth="0" w:num="2">
            <w:col w:w="820" w:space="720"/>
            <w:col w:w="9700"/>
          </w:cols>
          <w:pgMar w:left="320" w:top="127" w:right="339" w:bottom="1440" w:gutter="0" w:footer="0" w:header="0"/>
          <w:type w:val="continuous"/>
        </w:sectPr>
      </w:pPr>
    </w:p>
    <w:p>
      <w:pPr>
        <w:spacing w:after="0" w:line="12" w:lineRule="exact"/>
        <w:rPr>
          <w:sz w:val="20"/>
          <w:szCs w:val="20"/>
          <w:color w:val="auto"/>
        </w:rPr>
      </w:pPr>
    </w:p>
    <w:p>
      <w:pPr>
        <w:ind w:left="20"/>
        <w:spacing w:after="0"/>
        <w:rPr>
          <w:sz w:val="20"/>
          <w:szCs w:val="20"/>
          <w:color w:val="auto"/>
        </w:rPr>
      </w:pPr>
      <w:r>
        <w:rPr>
          <w:rFonts w:ascii="Arial" w:cs="Arial" w:eastAsia="Arial" w:hAnsi="Arial"/>
          <w:sz w:val="15"/>
          <w:szCs w:val="15"/>
          <w:color w:val="auto"/>
        </w:rPr>
        <w:t>Level 2</w:t>
      </w:r>
    </w:p>
    <w:p>
      <w:pPr>
        <w:spacing w:after="0" w:line="20" w:lineRule="exact"/>
        <w:rPr>
          <w:sz w:val="20"/>
          <w:szCs w:val="20"/>
          <w:color w:val="auto"/>
        </w:rPr>
      </w:pPr>
      <w:r>
        <w:rPr>
          <w:sz w:val="20"/>
          <w:szCs w:val="20"/>
          <w:color w:val="auto"/>
        </w:rPr>
        <w:br w:type="column"/>
      </w:r>
    </w:p>
    <w:p>
      <w:pPr>
        <w:ind w:right="20"/>
        <w:spacing w:after="0" w:line="310" w:lineRule="auto"/>
        <w:rPr>
          <w:sz w:val="20"/>
          <w:szCs w:val="20"/>
          <w:color w:val="auto"/>
        </w:rPr>
      </w:pPr>
      <w:r>
        <w:rPr>
          <w:rFonts w:ascii="Arial" w:cs="Arial" w:eastAsia="Arial" w:hAnsi="Arial"/>
          <w:sz w:val="15"/>
          <w:szCs w:val="15"/>
          <w:color w:val="auto"/>
        </w:rPr>
        <w:t>Valuation is based upon quoted prices for similar instruments in active markets, quoted prices for identical or similar instruments in markets that are not active, and model-based valuation techniques for which all significant assumptions are observable in the market.</w:t>
      </w:r>
    </w:p>
    <w:p>
      <w:pPr>
        <w:spacing w:after="0" w:line="111" w:lineRule="exact"/>
        <w:rPr>
          <w:sz w:val="20"/>
          <w:szCs w:val="20"/>
          <w:color w:val="auto"/>
        </w:rPr>
      </w:pPr>
    </w:p>
    <w:p>
      <w:pPr>
        <w:sectPr>
          <w:pgSz w:w="11900" w:h="16838" w:orient="portrait"/>
          <w:cols w:equalWidth="0" w:num="2">
            <w:col w:w="820" w:space="720"/>
            <w:col w:w="9700"/>
          </w:cols>
          <w:pgMar w:left="320" w:top="127" w:right="33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Level 3</w:t>
      </w:r>
    </w:p>
    <w:p>
      <w:pPr>
        <w:spacing w:after="0" w:line="20" w:lineRule="exact"/>
        <w:rPr>
          <w:sz w:val="20"/>
          <w:szCs w:val="20"/>
          <w:color w:val="auto"/>
        </w:rPr>
      </w:pPr>
      <w:r>
        <w:rPr>
          <w:sz w:val="20"/>
          <w:szCs w:val="20"/>
          <w:color w:val="auto"/>
        </w:rPr>
        <w:br w:type="column"/>
      </w:r>
    </w:p>
    <w:p>
      <w:pPr>
        <w:ind w:right="20"/>
        <w:spacing w:after="0" w:line="310" w:lineRule="auto"/>
        <w:rPr>
          <w:sz w:val="20"/>
          <w:szCs w:val="20"/>
          <w:color w:val="auto"/>
        </w:rPr>
      </w:pPr>
      <w:r>
        <w:rPr>
          <w:rFonts w:ascii="Arial" w:cs="Arial" w:eastAsia="Arial" w:hAnsi="Arial"/>
          <w:sz w:val="15"/>
          <w:szCs w:val="15"/>
          <w:color w:val="auto"/>
        </w:rPr>
        <w:t>Valuation is generated from model-based techniques that use at least one significant assumption not observable in the market. These unobservable assumptions reflect estimates or assumptions that market participants would use in pricing the asset or liability.</w:t>
      </w:r>
    </w:p>
    <w:p>
      <w:pPr>
        <w:spacing w:after="0" w:line="200" w:lineRule="exact"/>
        <w:rPr>
          <w:sz w:val="20"/>
          <w:szCs w:val="20"/>
          <w:color w:val="auto"/>
        </w:rPr>
      </w:pPr>
    </w:p>
    <w:p>
      <w:pPr>
        <w:sectPr>
          <w:pgSz w:w="11900" w:h="16838" w:orient="portrait"/>
          <w:cols w:equalWidth="0" w:num="2">
            <w:col w:w="820" w:space="720"/>
            <w:col w:w="9700"/>
          </w:cols>
          <w:pgMar w:left="320" w:top="127" w:right="339" w:bottom="1440" w:gutter="0" w:footer="0" w:header="0"/>
          <w:type w:val="continuous"/>
        </w:sectPr>
      </w:pPr>
    </w:p>
    <w:p>
      <w:pPr>
        <w:spacing w:after="0" w:line="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 provides the level of measurement used to determine the fair value for each of our financial instruments measured or disclosed at fair value: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2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438"/>
              <w:spacing w:after="0"/>
              <w:rPr>
                <w:sz w:val="20"/>
                <w:szCs w:val="20"/>
                <w:color w:val="auto"/>
              </w:rPr>
            </w:pPr>
            <w:r>
              <w:rPr>
                <w:rFonts w:ascii="Arial" w:cs="Arial" w:eastAsia="Arial" w:hAnsi="Arial"/>
                <w:sz w:val="14"/>
                <w:szCs w:val="14"/>
                <w:b w:val="1"/>
                <w:bCs w:val="1"/>
                <w:color w:val="auto"/>
                <w:w w:val="93"/>
              </w:rPr>
              <w:t>As of June 30, 2022</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r>
        <w:trPr>
          <w:trHeight w:val="192"/>
        </w:trPr>
        <w:tc>
          <w:tcPr>
            <w:tcW w:w="428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Total Fair Value</w:t>
            </w:r>
          </w:p>
        </w:tc>
      </w:tr>
      <w:tr>
        <w:trPr>
          <w:trHeight w:val="211"/>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6"/>
        </w:trPr>
        <w:tc>
          <w:tcPr>
            <w:tcW w:w="4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Cash and cash equivalents (1)</w:t>
            </w:r>
          </w:p>
        </w:tc>
        <w:tc>
          <w:tcPr>
            <w:tcW w:w="1100" w:type="dxa"/>
            <w:vAlign w:val="bottom"/>
            <w:shd w:val="clear" w:color="auto" w:fill="CCEEFF"/>
          </w:tcPr>
          <w:p>
            <w:pPr>
              <w:jc w:val="right"/>
              <w:ind w:right="918"/>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878"/>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5"/>
        </w:trPr>
        <w:tc>
          <w:tcPr>
            <w:tcW w:w="4280" w:type="dxa"/>
            <w:vAlign w:val="bottom"/>
          </w:tcPr>
          <w:p>
            <w:pPr>
              <w:ind w:left="460"/>
              <w:spacing w:after="0"/>
              <w:rPr>
                <w:sz w:val="20"/>
                <w:szCs w:val="20"/>
                <w:color w:val="auto"/>
              </w:rPr>
            </w:pPr>
            <w:r>
              <w:rPr>
                <w:rFonts w:ascii="Arial" w:cs="Arial" w:eastAsia="Arial" w:hAnsi="Arial"/>
                <w:sz w:val="18"/>
                <w:szCs w:val="18"/>
                <w:color w:val="auto"/>
              </w:rPr>
              <w:t>Restricted cash and cash equivalents (1)</w:t>
            </w: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426.7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426.7</w:t>
            </w:r>
          </w:p>
        </w:tc>
      </w:tr>
      <w:tr>
        <w:trPr>
          <w:trHeight w:val="226"/>
        </w:trPr>
        <w:tc>
          <w:tcPr>
            <w:tcW w:w="4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Restricted securities available for sale (2)</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r>
      <w:tr>
        <w:trPr>
          <w:trHeight w:val="225"/>
        </w:trPr>
        <w:tc>
          <w:tcPr>
            <w:tcW w:w="4280" w:type="dxa"/>
            <w:vAlign w:val="bottom"/>
          </w:tcPr>
          <w:p>
            <w:pPr>
              <w:ind w:left="460"/>
              <w:spacing w:after="0"/>
              <w:rPr>
                <w:sz w:val="20"/>
                <w:szCs w:val="20"/>
                <w:color w:val="auto"/>
              </w:rPr>
            </w:pPr>
            <w:r>
              <w:rPr>
                <w:rFonts w:ascii="Arial" w:cs="Arial" w:eastAsia="Arial" w:hAnsi="Arial"/>
                <w:sz w:val="18"/>
                <w:szCs w:val="18"/>
                <w:color w:val="auto"/>
              </w:rPr>
              <w:t>Loans receivable, net (1)</w:t>
            </w:r>
          </w:p>
        </w:tc>
        <w:tc>
          <w:tcPr>
            <w:tcW w:w="11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3"/>
              </w:rPr>
              <w:t>6,643.1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6,643.1</w:t>
            </w:r>
          </w:p>
        </w:tc>
      </w:tr>
      <w:tr>
        <w:trPr>
          <w:trHeight w:val="22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5"/>
        </w:trPr>
        <w:tc>
          <w:tcPr>
            <w:tcW w:w="4280" w:type="dxa"/>
            <w:vAlign w:val="bottom"/>
          </w:tcPr>
          <w:p>
            <w:pPr>
              <w:ind w:left="460"/>
              <w:spacing w:after="0"/>
              <w:rPr>
                <w:sz w:val="20"/>
                <w:szCs w:val="20"/>
                <w:color w:val="auto"/>
              </w:rPr>
            </w:pPr>
            <w:r>
              <w:rPr>
                <w:rFonts w:ascii="Arial" w:cs="Arial" w:eastAsia="Arial" w:hAnsi="Arial"/>
                <w:sz w:val="18"/>
                <w:szCs w:val="18"/>
                <w:color w:val="auto"/>
              </w:rPr>
              <w:t>Revolving secured line of credit (1)</w:t>
            </w:r>
          </w:p>
        </w:tc>
        <w:tc>
          <w:tcPr>
            <w:tcW w:w="1100" w:type="dxa"/>
            <w:vAlign w:val="bottom"/>
          </w:tcPr>
          <w:p>
            <w:pPr>
              <w:jc w:val="right"/>
              <w:ind w:right="918"/>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7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19"/>
                <w:szCs w:val="19"/>
                <w:color w:val="auto"/>
              </w:rPr>
            </w:pPr>
          </w:p>
        </w:tc>
        <w:tc>
          <w:tcPr>
            <w:tcW w:w="1060" w:type="dxa"/>
            <w:vAlign w:val="bottom"/>
          </w:tcPr>
          <w:p>
            <w:pPr>
              <w:jc w:val="right"/>
              <w:ind w:right="878"/>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220.7</w:t>
            </w:r>
          </w:p>
        </w:tc>
      </w:tr>
      <w:tr>
        <w:trPr>
          <w:trHeight w:val="226"/>
        </w:trPr>
        <w:tc>
          <w:tcPr>
            <w:tcW w:w="4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Secured financing (1)</w:t>
            </w:r>
          </w:p>
        </w:tc>
        <w:tc>
          <w:tcPr>
            <w:tcW w:w="1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3,660.2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3,660.2</w:t>
            </w:r>
          </w:p>
        </w:tc>
      </w:tr>
      <w:tr>
        <w:trPr>
          <w:trHeight w:val="225"/>
        </w:trPr>
        <w:tc>
          <w:tcPr>
            <w:tcW w:w="4280" w:type="dxa"/>
            <w:vAlign w:val="bottom"/>
          </w:tcPr>
          <w:p>
            <w:pPr>
              <w:ind w:left="460"/>
              <w:spacing w:after="0"/>
              <w:rPr>
                <w:sz w:val="20"/>
                <w:szCs w:val="20"/>
                <w:color w:val="auto"/>
              </w:rPr>
            </w:pPr>
            <w:r>
              <w:rPr>
                <w:rFonts w:ascii="Arial" w:cs="Arial" w:eastAsia="Arial" w:hAnsi="Arial"/>
                <w:sz w:val="18"/>
                <w:szCs w:val="18"/>
                <w:color w:val="auto"/>
              </w:rPr>
              <w:t>Senior notes (1)</w:t>
            </w: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761.0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761.0</w:t>
            </w:r>
          </w:p>
        </w:tc>
      </w:tr>
      <w:tr>
        <w:trPr>
          <w:trHeight w:val="226"/>
        </w:trPr>
        <w:tc>
          <w:tcPr>
            <w:tcW w:w="4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Mortgage note (1)</w:t>
            </w:r>
          </w:p>
        </w:tc>
        <w:tc>
          <w:tcPr>
            <w:tcW w:w="1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536"/>
        </w:trPr>
        <w:tc>
          <w:tcPr>
            <w:tcW w:w="42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278"/>
              <w:spacing w:after="0"/>
              <w:rPr>
                <w:sz w:val="20"/>
                <w:szCs w:val="20"/>
                <w:color w:val="auto"/>
              </w:rPr>
            </w:pPr>
            <w:r>
              <w:rPr>
                <w:rFonts w:ascii="Arial" w:cs="Arial" w:eastAsia="Arial" w:hAnsi="Arial"/>
                <w:sz w:val="14"/>
                <w:szCs w:val="14"/>
                <w:b w:val="1"/>
                <w:bCs w:val="1"/>
                <w:color w:val="auto"/>
              </w:rPr>
              <w:t>As of December 31, 2021</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192"/>
        </w:trPr>
        <w:tc>
          <w:tcPr>
            <w:tcW w:w="428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Total Fair Value</w:t>
            </w:r>
          </w:p>
        </w:tc>
      </w:tr>
      <w:tr>
        <w:trPr>
          <w:trHeight w:val="211"/>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6"/>
        </w:trPr>
        <w:tc>
          <w:tcPr>
            <w:tcW w:w="4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Cash and cash equivalents (1)</w:t>
            </w:r>
          </w:p>
        </w:tc>
        <w:tc>
          <w:tcPr>
            <w:tcW w:w="1100" w:type="dxa"/>
            <w:vAlign w:val="bottom"/>
            <w:shd w:val="clear" w:color="auto" w:fill="CCEEFF"/>
          </w:tcPr>
          <w:p>
            <w:pPr>
              <w:jc w:val="right"/>
              <w:ind w:right="918"/>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878"/>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25"/>
        </w:trPr>
        <w:tc>
          <w:tcPr>
            <w:tcW w:w="4280" w:type="dxa"/>
            <w:vAlign w:val="bottom"/>
          </w:tcPr>
          <w:p>
            <w:pPr>
              <w:ind w:left="460"/>
              <w:spacing w:after="0"/>
              <w:rPr>
                <w:sz w:val="20"/>
                <w:szCs w:val="20"/>
                <w:color w:val="auto"/>
              </w:rPr>
            </w:pPr>
            <w:r>
              <w:rPr>
                <w:rFonts w:ascii="Arial" w:cs="Arial" w:eastAsia="Arial" w:hAnsi="Arial"/>
                <w:sz w:val="18"/>
                <w:szCs w:val="18"/>
                <w:color w:val="auto"/>
              </w:rPr>
              <w:t>Restricted cash and cash equivalents (1)</w:t>
            </w: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410.9</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410.9</w:t>
            </w:r>
          </w:p>
        </w:tc>
      </w:tr>
      <w:tr>
        <w:trPr>
          <w:trHeight w:val="226"/>
        </w:trPr>
        <w:tc>
          <w:tcPr>
            <w:tcW w:w="4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Restricted securities available for sale (2)</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25"/>
        </w:trPr>
        <w:tc>
          <w:tcPr>
            <w:tcW w:w="4280" w:type="dxa"/>
            <w:vAlign w:val="bottom"/>
          </w:tcPr>
          <w:p>
            <w:pPr>
              <w:ind w:left="460"/>
              <w:spacing w:after="0"/>
              <w:rPr>
                <w:sz w:val="20"/>
                <w:szCs w:val="20"/>
                <w:color w:val="auto"/>
              </w:rPr>
            </w:pPr>
            <w:r>
              <w:rPr>
                <w:rFonts w:ascii="Arial" w:cs="Arial" w:eastAsia="Arial" w:hAnsi="Arial"/>
                <w:sz w:val="18"/>
                <w:szCs w:val="18"/>
                <w:color w:val="auto"/>
              </w:rPr>
              <w:t>Loans receivable, net (1)</w:t>
            </w:r>
          </w:p>
        </w:tc>
        <w:tc>
          <w:tcPr>
            <w:tcW w:w="11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3"/>
              </w:rPr>
              <w:t>6,580.4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6,580.4</w:t>
            </w:r>
          </w:p>
        </w:tc>
      </w:tr>
      <w:tr>
        <w:trPr>
          <w:trHeight w:val="22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5"/>
        </w:trPr>
        <w:tc>
          <w:tcPr>
            <w:tcW w:w="4280" w:type="dxa"/>
            <w:vAlign w:val="bottom"/>
          </w:tcPr>
          <w:p>
            <w:pPr>
              <w:ind w:left="460"/>
              <w:spacing w:after="0"/>
              <w:rPr>
                <w:sz w:val="20"/>
                <w:szCs w:val="20"/>
                <w:color w:val="auto"/>
              </w:rPr>
            </w:pPr>
            <w:r>
              <w:rPr>
                <w:rFonts w:ascii="Arial" w:cs="Arial" w:eastAsia="Arial" w:hAnsi="Arial"/>
                <w:sz w:val="18"/>
                <w:szCs w:val="18"/>
                <w:color w:val="auto"/>
              </w:rPr>
              <w:t>Revolving secured line of credit (1)</w:t>
            </w:r>
          </w:p>
        </w:tc>
        <w:tc>
          <w:tcPr>
            <w:tcW w:w="1100" w:type="dxa"/>
            <w:vAlign w:val="bottom"/>
          </w:tcPr>
          <w:p>
            <w:pPr>
              <w:jc w:val="right"/>
              <w:ind w:right="918"/>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7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060" w:type="dxa"/>
            <w:vAlign w:val="bottom"/>
          </w:tcPr>
          <w:p>
            <w:pPr>
              <w:jc w:val="right"/>
              <w:ind w:right="878"/>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6"/>
        </w:trPr>
        <w:tc>
          <w:tcPr>
            <w:tcW w:w="4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Secured financing (1)</w:t>
            </w:r>
          </w:p>
        </w:tc>
        <w:tc>
          <w:tcPr>
            <w:tcW w:w="1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3,832.1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3,832.1</w:t>
            </w:r>
          </w:p>
        </w:tc>
      </w:tr>
      <w:tr>
        <w:trPr>
          <w:trHeight w:val="225"/>
        </w:trPr>
        <w:tc>
          <w:tcPr>
            <w:tcW w:w="4280" w:type="dxa"/>
            <w:vAlign w:val="bottom"/>
          </w:tcPr>
          <w:p>
            <w:pPr>
              <w:ind w:left="460"/>
              <w:spacing w:after="0"/>
              <w:rPr>
                <w:sz w:val="20"/>
                <w:szCs w:val="20"/>
                <w:color w:val="auto"/>
              </w:rPr>
            </w:pPr>
            <w:r>
              <w:rPr>
                <w:rFonts w:ascii="Arial" w:cs="Arial" w:eastAsia="Arial" w:hAnsi="Arial"/>
                <w:sz w:val="18"/>
                <w:szCs w:val="18"/>
                <w:color w:val="auto"/>
              </w:rPr>
              <w:t>Senior notes (1)</w:t>
            </w: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825.8</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825.8</w:t>
            </w:r>
          </w:p>
        </w:tc>
      </w:tr>
      <w:tr>
        <w:trPr>
          <w:trHeight w:val="226"/>
        </w:trPr>
        <w:tc>
          <w:tcPr>
            <w:tcW w:w="4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Mortgage note (1)</w:t>
            </w:r>
          </w:p>
        </w:tc>
        <w:tc>
          <w:tcPr>
            <w:tcW w:w="1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bl>
    <w:p>
      <w:pPr>
        <w:spacing w:after="0" w:line="299" w:lineRule="exact"/>
        <w:rPr>
          <w:sz w:val="20"/>
          <w:szCs w:val="20"/>
          <w:color w:val="auto"/>
        </w:rPr>
      </w:pPr>
    </w:p>
    <w:p>
      <w:pPr>
        <w:ind w:left="480" w:hanging="315"/>
        <w:spacing w:after="0"/>
        <w:tabs>
          <w:tab w:leader="none" w:pos="4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Measured at amortized cost with fair value disclosed.</w:t>
      </w:r>
    </w:p>
    <w:p>
      <w:pPr>
        <w:spacing w:after="0" w:line="10" w:lineRule="exact"/>
        <w:rPr>
          <w:rFonts w:ascii="Arial" w:cs="Arial" w:eastAsia="Arial" w:hAnsi="Arial"/>
          <w:sz w:val="14"/>
          <w:szCs w:val="14"/>
          <w:color w:val="auto"/>
        </w:rPr>
      </w:pPr>
    </w:p>
    <w:p>
      <w:pPr>
        <w:ind w:left="480" w:hanging="315"/>
        <w:spacing w:after="0"/>
        <w:tabs>
          <w:tab w:leader="none" w:pos="4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Measured at fair value on a recurring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p>
      <w:pPr>
        <w:ind w:left="620" w:hanging="614"/>
        <w:spacing w:after="0"/>
        <w:tabs>
          <w:tab w:leader="none" w:pos="6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SECURITIES AVAILABLE FOR SALE</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Restricted securities available for sale consist of the following: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2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As of June 30, 2022</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4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Gross Unrealized</w:t>
            </w:r>
          </w:p>
        </w:tc>
        <w:tc>
          <w:tcPr>
            <w:tcW w:w="220" w:type="dxa"/>
            <w:vAlign w:val="bottom"/>
          </w:tcPr>
          <w:p>
            <w:pPr>
              <w:spacing w:after="0"/>
              <w:rPr>
                <w:sz w:val="11"/>
                <w:szCs w:val="11"/>
                <w:color w:val="auto"/>
              </w:rPr>
            </w:pPr>
          </w:p>
        </w:tc>
        <w:tc>
          <w:tcPr>
            <w:tcW w:w="154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Gross Unrealized</w:t>
            </w:r>
          </w:p>
        </w:tc>
        <w:tc>
          <w:tcPr>
            <w:tcW w:w="240" w:type="dxa"/>
            <w:vAlign w:val="bottom"/>
          </w:tcPr>
          <w:p>
            <w:pPr>
              <w:spacing w:after="0"/>
              <w:rPr>
                <w:sz w:val="11"/>
                <w:szCs w:val="11"/>
                <w:color w:val="auto"/>
              </w:rPr>
            </w:pPr>
          </w:p>
        </w:tc>
        <w:tc>
          <w:tcPr>
            <w:tcW w:w="1420" w:type="dxa"/>
            <w:vAlign w:val="bottom"/>
          </w:tcPr>
          <w:p>
            <w:pPr>
              <w:jc w:val="right"/>
              <w:ind w:right="296"/>
              <w:spacing w:after="0" w:line="133" w:lineRule="exact"/>
              <w:rPr>
                <w:sz w:val="20"/>
                <w:szCs w:val="20"/>
                <w:color w:val="auto"/>
              </w:rPr>
            </w:pPr>
            <w:r>
              <w:rPr>
                <w:rFonts w:ascii="Arial" w:cs="Arial" w:eastAsia="Arial" w:hAnsi="Arial"/>
                <w:sz w:val="14"/>
                <w:szCs w:val="14"/>
                <w:b w:val="1"/>
                <w:bCs w:val="1"/>
                <w:color w:val="auto"/>
              </w:rPr>
              <w:t>Estimated Fair</w:t>
            </w:r>
          </w:p>
        </w:tc>
        <w:tc>
          <w:tcPr>
            <w:tcW w:w="0" w:type="dxa"/>
            <w:vAlign w:val="bottom"/>
          </w:tcPr>
          <w:p>
            <w:pPr>
              <w:spacing w:after="0"/>
              <w:rPr>
                <w:sz w:val="1"/>
                <w:szCs w:val="1"/>
                <w:color w:val="auto"/>
              </w:rPr>
            </w:pPr>
          </w:p>
        </w:tc>
      </w:tr>
      <w:tr>
        <w:trPr>
          <w:trHeight w:val="192"/>
        </w:trPr>
        <w:tc>
          <w:tcPr>
            <w:tcW w:w="42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5"/>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5"/>
        </w:trPr>
        <w:tc>
          <w:tcPr>
            <w:tcW w:w="4280" w:type="dxa"/>
            <w:vAlign w:val="bottom"/>
          </w:tcPr>
          <w:p>
            <w:pPr>
              <w:ind w:left="20"/>
              <w:spacing w:after="0"/>
              <w:rPr>
                <w:sz w:val="20"/>
                <w:szCs w:val="20"/>
                <w:color w:val="auto"/>
              </w:rPr>
            </w:pPr>
            <w:r>
              <w:rPr>
                <w:rFonts w:ascii="Arial" w:cs="Arial" w:eastAsia="Arial" w:hAnsi="Arial"/>
                <w:sz w:val="18"/>
                <w:szCs w:val="18"/>
                <w:color w:val="auto"/>
              </w:rPr>
              <w:t>U.S. Government and agency securities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5"/>
        </w:trPr>
        <w:tc>
          <w:tcPr>
            <w:tcW w:w="42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2"/>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Mortgage-backed securities</w:t>
            </w:r>
          </w:p>
        </w:tc>
        <w:tc>
          <w:tcPr>
            <w:tcW w:w="2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5"/>
        </w:trPr>
        <w:tc>
          <w:tcPr>
            <w:tcW w:w="4280" w:type="dxa"/>
            <w:vAlign w:val="bottom"/>
          </w:tcPr>
          <w:p>
            <w:pPr>
              <w:ind w:left="220"/>
              <w:spacing w:after="0"/>
              <w:rPr>
                <w:sz w:val="20"/>
                <w:szCs w:val="20"/>
                <w:color w:val="auto"/>
              </w:rPr>
            </w:pPr>
            <w:r>
              <w:rPr>
                <w:rFonts w:ascii="Arial" w:cs="Arial" w:eastAsia="Arial" w:hAnsi="Arial"/>
                <w:sz w:val="18"/>
                <w:szCs w:val="18"/>
                <w:color w:val="auto"/>
              </w:rPr>
              <w:t>Total restricted securities available for sale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3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Corporate bonds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 Government and agency securities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Asset-backed securities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Mortgage-backed securities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Total restricted securities available for sale</w:t>
      </w:r>
    </w:p>
    <w:p>
      <w:pPr>
        <w:spacing w:after="0" w:line="20" w:lineRule="exact"/>
        <w:rPr>
          <w:sz w:val="20"/>
          <w:szCs w:val="20"/>
          <w:color w:val="auto"/>
        </w:rPr>
      </w:pPr>
      <w:r>
        <w:rPr>
          <w:sz w:val="20"/>
          <w:szCs w:val="20"/>
          <w:color w:val="auto"/>
        </w:rPr>
        <w:br w:type="column"/>
      </w:r>
    </w:p>
    <w:p>
      <w:pPr>
        <w:ind w:left="2720"/>
        <w:spacing w:after="0"/>
        <w:rPr>
          <w:sz w:val="20"/>
          <w:szCs w:val="20"/>
          <w:color w:val="auto"/>
        </w:rPr>
      </w:pPr>
      <w:r>
        <w:rPr>
          <w:rFonts w:ascii="Arial" w:cs="Arial" w:eastAsia="Arial" w:hAnsi="Arial"/>
          <w:sz w:val="14"/>
          <w:szCs w:val="14"/>
          <w:b w:val="1"/>
          <w:bCs w:val="1"/>
          <w:color w:val="auto"/>
        </w:rPr>
        <w:t>As of December 31,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Amortized Cost</w:t>
            </w:r>
          </w:p>
        </w:tc>
        <w:tc>
          <w:tcPr>
            <w:tcW w:w="1360" w:type="dxa"/>
            <w:vAlign w:val="bottom"/>
            <w:tcBorders>
              <w:top w:val="single" w:sz="8" w:color="auto"/>
            </w:tcBorders>
          </w:tcPr>
          <w:p>
            <w:pPr>
              <w:jc w:val="right"/>
              <w:spacing w:after="0" w:line="150" w:lineRule="exact"/>
              <w:rPr>
                <w:sz w:val="20"/>
                <w:szCs w:val="20"/>
                <w:color w:val="auto"/>
              </w:rPr>
            </w:pPr>
            <w:r>
              <w:rPr>
                <w:rFonts w:ascii="Arial" w:cs="Arial" w:eastAsia="Arial" w:hAnsi="Arial"/>
                <w:sz w:val="14"/>
                <w:szCs w:val="14"/>
                <w:b w:val="1"/>
                <w:bCs w:val="1"/>
                <w:color w:val="auto"/>
              </w:rPr>
              <w:t>Gross Unrealized</w:t>
            </w:r>
          </w:p>
        </w:tc>
        <w:tc>
          <w:tcPr>
            <w:tcW w:w="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2"/>
          </w:tcPr>
          <w:p>
            <w:pPr>
              <w:jc w:val="center"/>
              <w:ind w:right="300"/>
              <w:spacing w:after="0" w:line="150" w:lineRule="exact"/>
              <w:rPr>
                <w:sz w:val="20"/>
                <w:szCs w:val="20"/>
                <w:color w:val="auto"/>
              </w:rPr>
            </w:pPr>
            <w:r>
              <w:rPr>
                <w:rFonts w:ascii="Arial" w:cs="Arial" w:eastAsia="Arial" w:hAnsi="Arial"/>
                <w:sz w:val="14"/>
                <w:szCs w:val="14"/>
                <w:b w:val="1"/>
                <w:bCs w:val="1"/>
                <w:color w:val="auto"/>
                <w:w w:val="90"/>
              </w:rPr>
              <w:t>Gross Unrealized</w:t>
            </w:r>
          </w:p>
        </w:tc>
        <w:tc>
          <w:tcPr>
            <w:tcW w:w="2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297"/>
              <w:spacing w:after="0" w:line="150" w:lineRule="exact"/>
              <w:rPr>
                <w:sz w:val="20"/>
                <w:szCs w:val="20"/>
                <w:color w:val="auto"/>
              </w:rPr>
            </w:pPr>
            <w:r>
              <w:rPr>
                <w:rFonts w:ascii="Arial" w:cs="Arial" w:eastAsia="Arial" w:hAnsi="Arial"/>
                <w:sz w:val="14"/>
                <w:szCs w:val="14"/>
                <w:b w:val="1"/>
                <w:bCs w:val="1"/>
                <w:color w:val="auto"/>
              </w:rPr>
              <w:t>Estimated Fair</w:t>
            </w: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360" w:type="dxa"/>
            <w:vAlign w:val="bottom"/>
          </w:tcPr>
          <w:p>
            <w:pPr>
              <w:jc w:val="right"/>
              <w:ind w:right="281"/>
              <w:spacing w:after="0"/>
              <w:rPr>
                <w:sz w:val="20"/>
                <w:szCs w:val="20"/>
                <w:color w:val="auto"/>
              </w:rPr>
            </w:pPr>
            <w:r>
              <w:rPr>
                <w:rFonts w:ascii="Arial" w:cs="Arial" w:eastAsia="Arial" w:hAnsi="Arial"/>
                <w:sz w:val="14"/>
                <w:szCs w:val="14"/>
                <w:b w:val="1"/>
                <w:bCs w:val="1"/>
                <w:color w:val="auto"/>
              </w:rPr>
              <w:t>Gains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8"/>
              </w:rPr>
              <w:t>Losses</w:t>
            </w:r>
          </w:p>
        </w:tc>
        <w:tc>
          <w:tcPr>
            <w:tcW w:w="240" w:type="dxa"/>
            <w:vAlign w:val="bottom"/>
          </w:tcPr>
          <w:p>
            <w:pPr>
              <w:spacing w:after="0"/>
              <w:rPr>
                <w:sz w:val="16"/>
                <w:szCs w:val="16"/>
                <w:color w:val="auto"/>
              </w:rPr>
            </w:pPr>
          </w:p>
        </w:tc>
        <w:tc>
          <w:tcPr>
            <w:tcW w:w="1420" w:type="dxa"/>
            <w:vAlign w:val="bottom"/>
          </w:tcPr>
          <w:p>
            <w:pPr>
              <w:jc w:val="right"/>
              <w:ind w:right="57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1360" w:type="dxa"/>
            <w:vAlign w:val="bottom"/>
            <w:tcBorders>
              <w:top w:val="single" w:sz="8" w:color="auto"/>
            </w:tcBorders>
          </w:tcPr>
          <w:p>
            <w:pPr>
              <w:jc w:val="right"/>
              <w:ind w:right="1181"/>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0.3</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5"/>
        </w:trPr>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5"/>
        </w:trPr>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3"/>
        </w:trPr>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5"/>
        </w:trPr>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1181"/>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0.5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-2713355</wp:posOffset>
            </wp:positionH>
            <wp:positionV relativeFrom="paragraph">
              <wp:posOffset>-773430</wp:posOffset>
            </wp:positionV>
            <wp:extent cx="7109460" cy="151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9460" cy="151130"/>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-478790</wp:posOffset>
            </wp:positionV>
            <wp:extent cx="7109460" cy="142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9460" cy="142875"/>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-184785</wp:posOffset>
            </wp:positionV>
            <wp:extent cx="7109460" cy="168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9460"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720"/>
            <w:col w:w="6960"/>
          </w:cols>
          <w:pgMar w:left="320" w:top="127" w:right="339" w:bottom="1440" w:gutter="0" w:footer="0" w:header="0"/>
          <w:type w:val="continuous"/>
        </w:sectPr>
      </w:pPr>
    </w:p>
    <w:p>
      <w:pPr>
        <w:spacing w:after="0" w:line="10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fair value and gross unrealized losses for restricted securities available for sale, aggregated by investment category and length of time that individual securities have been in a continuous unrealized loss position, are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6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20" w:type="dxa"/>
            <w:vAlign w:val="bottom"/>
            <w:tcBorders>
              <w:bottom w:val="single" w:sz="8" w:color="auto"/>
            </w:tcBorders>
            <w:gridSpan w:val="11"/>
          </w:tcPr>
          <w:p>
            <w:pPr>
              <w:jc w:val="center"/>
              <w:ind w:right="320"/>
              <w:spacing w:after="0"/>
              <w:rPr>
                <w:sz w:val="20"/>
                <w:szCs w:val="20"/>
                <w:color w:val="auto"/>
              </w:rPr>
            </w:pPr>
            <w:r>
              <w:rPr>
                <w:rFonts w:ascii="Arial" w:cs="Arial" w:eastAsia="Arial" w:hAnsi="Arial"/>
                <w:sz w:val="14"/>
                <w:szCs w:val="14"/>
                <w:b w:val="1"/>
                <w:bCs w:val="1"/>
                <w:color w:val="auto"/>
                <w:w w:val="89"/>
              </w:rPr>
              <w:t>Securities Available for Sale with Gross Unrealized Losses as of June 30, 2022</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198"/>
              <w:spacing w:after="0"/>
              <w:rPr>
                <w:sz w:val="20"/>
                <w:szCs w:val="20"/>
                <w:color w:val="auto"/>
              </w:rPr>
            </w:pPr>
            <w:r>
              <w:rPr>
                <w:rFonts w:ascii="Arial" w:cs="Arial" w:eastAsia="Arial" w:hAnsi="Arial"/>
                <w:sz w:val="14"/>
                <w:szCs w:val="14"/>
                <w:b w:val="1"/>
                <w:bCs w:val="1"/>
                <w:color w:val="auto"/>
                <w:w w:val="93"/>
              </w:rPr>
              <w:t>12 Months or More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0"/>
                <w:szCs w:val="10"/>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0"/>
                <w:szCs w:val="10"/>
                <w:color w:val="auto"/>
              </w:rPr>
            </w:pPr>
          </w:p>
        </w:tc>
        <w:tc>
          <w:tcPr>
            <w:tcW w:w="1120" w:type="dxa"/>
            <w:vAlign w:val="bottom"/>
          </w:tcPr>
          <w:p>
            <w:pPr>
              <w:jc w:val="center"/>
              <w:ind w:right="140"/>
              <w:spacing w:after="0" w:line="119"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40"/>
              <w:spacing w:after="0" w:line="133" w:lineRule="exact"/>
              <w:rPr>
                <w:sz w:val="20"/>
                <w:szCs w:val="20"/>
                <w:color w:val="auto"/>
              </w:rPr>
            </w:pPr>
            <w:r>
              <w:rPr>
                <w:rFonts w:ascii="Arial" w:cs="Arial" w:eastAsia="Arial" w:hAnsi="Arial"/>
                <w:sz w:val="14"/>
                <w:szCs w:val="14"/>
                <w:b w:val="1"/>
                <w:bCs w:val="1"/>
                <w:color w:val="auto"/>
                <w:w w:val="83"/>
              </w:rPr>
              <w:t>Gross</w:t>
            </w: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2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11"/>
                <w:szCs w:val="11"/>
                <w:color w:val="auto"/>
              </w:rPr>
            </w:pPr>
          </w:p>
        </w:tc>
        <w:tc>
          <w:tcPr>
            <w:tcW w:w="1120" w:type="dxa"/>
            <w:vAlign w:val="bottom"/>
          </w:tcPr>
          <w:p>
            <w:pPr>
              <w:jc w:val="center"/>
              <w:ind w:right="140"/>
              <w:spacing w:after="0" w:line="13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78"/>
              </w:rPr>
              <w:t>Losses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2"/>
              </w:rPr>
              <w:t>Fair Value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160"/>
        </w:trPr>
        <w:tc>
          <w:tcPr>
            <w:tcW w:w="2600" w:type="dxa"/>
            <w:vAlign w:val="bottom"/>
            <w:shd w:val="clear" w:color="auto" w:fill="CCEEFF"/>
          </w:tcPr>
          <w:p>
            <w:pPr>
              <w:ind w:left="20"/>
              <w:spacing w:after="0" w:line="160" w:lineRule="exact"/>
              <w:rPr>
                <w:sz w:val="20"/>
                <w:szCs w:val="20"/>
                <w:color w:val="auto"/>
              </w:rPr>
            </w:pPr>
            <w:r>
              <w:rPr>
                <w:rFonts w:ascii="Arial" w:cs="Arial" w:eastAsia="Arial" w:hAnsi="Arial"/>
                <w:sz w:val="18"/>
                <w:szCs w:val="18"/>
                <w:color w:val="auto"/>
              </w:rPr>
              <w:t>U.S. Government and agency</w:t>
            </w:r>
          </w:p>
        </w:tc>
        <w:tc>
          <w:tcPr>
            <w:tcW w:w="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gridSpan w:val="2"/>
            <w:vMerge w:val="restart"/>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4"/>
        </w:trPr>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60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ind w:left="760"/>
              <w:spacing w:after="0"/>
              <w:rPr>
                <w:sz w:val="20"/>
                <w:szCs w:val="20"/>
                <w:color w:val="auto"/>
              </w:rPr>
            </w:pPr>
            <w:r>
              <w:rPr>
                <w:rFonts w:ascii="Arial" w:cs="Arial" w:eastAsia="Arial" w:hAnsi="Arial"/>
                <w:sz w:val="18"/>
                <w:szCs w:val="18"/>
                <w:color w:val="auto"/>
                <w:w w:val="91"/>
              </w:rPr>
              <w:t>(0.4)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6"/>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1"/>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5"/>
        </w:trPr>
        <w:tc>
          <w:tcPr>
            <w:tcW w:w="260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6"/>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Mortgage-backed securities</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6"/>
        </w:trPr>
        <w:tc>
          <w:tcPr>
            <w:tcW w:w="2600" w:type="dxa"/>
            <w:vAlign w:val="bottom"/>
            <w:tcBorders>
              <w:top w:val="single" w:sz="8" w:color="CCEEFF"/>
            </w:tcBorders>
          </w:tcPr>
          <w:p>
            <w:pPr>
              <w:ind w:left="180"/>
              <w:spacing w:after="0" w:line="146" w:lineRule="exact"/>
              <w:rPr>
                <w:sz w:val="20"/>
                <w:szCs w:val="20"/>
                <w:color w:val="auto"/>
              </w:rPr>
            </w:pPr>
            <w:r>
              <w:rPr>
                <w:rFonts w:ascii="Arial" w:cs="Arial" w:eastAsia="Arial" w:hAnsi="Arial"/>
                <w:sz w:val="15"/>
                <w:szCs w:val="15"/>
                <w:color w:val="auto"/>
              </w:rPr>
              <w:t>Total restricted securities</w:t>
            </w:r>
          </w:p>
        </w:tc>
        <w:tc>
          <w:tcPr>
            <w:tcW w:w="24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ind w:left="760"/>
              <w:spacing w:after="0"/>
              <w:rPr>
                <w:sz w:val="20"/>
                <w:szCs w:val="20"/>
                <w:color w:val="auto"/>
              </w:rPr>
            </w:pPr>
            <w:r>
              <w:rPr>
                <w:rFonts w:ascii="Arial" w:cs="Arial" w:eastAsia="Arial" w:hAnsi="Arial"/>
                <w:sz w:val="18"/>
                <w:szCs w:val="18"/>
                <w:color w:val="auto"/>
                <w:w w:val="91"/>
              </w:rPr>
              <w:t>(0.5)</w:t>
            </w:r>
          </w:p>
        </w:tc>
        <w:tc>
          <w:tcPr>
            <w:tcW w:w="12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2600" w:type="dxa"/>
            <w:vAlign w:val="bottom"/>
          </w:tcPr>
          <w:p>
            <w:pPr>
              <w:ind w:left="340"/>
              <w:spacing w:after="0" w:line="198" w:lineRule="exact"/>
              <w:rPr>
                <w:sz w:val="20"/>
                <w:szCs w:val="20"/>
                <w:color w:val="auto"/>
              </w:rPr>
            </w:pPr>
            <w:r>
              <w:rPr>
                <w:rFonts w:ascii="Arial" w:cs="Arial" w:eastAsia="Arial" w:hAnsi="Arial"/>
                <w:sz w:val="18"/>
                <w:szCs w:val="18"/>
                <w:color w:val="auto"/>
              </w:rPr>
              <w:t>available for sale</w:t>
            </w:r>
          </w:p>
        </w:tc>
        <w:tc>
          <w:tcPr>
            <w:tcW w:w="2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26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gridSpan w:val="11"/>
          </w:tcPr>
          <w:p>
            <w:pPr>
              <w:jc w:val="center"/>
              <w:ind w:right="320"/>
              <w:spacing w:after="0"/>
              <w:rPr>
                <w:sz w:val="20"/>
                <w:szCs w:val="20"/>
                <w:color w:val="auto"/>
              </w:rPr>
            </w:pPr>
            <w:r>
              <w:rPr>
                <w:rFonts w:ascii="Arial" w:cs="Arial" w:eastAsia="Arial" w:hAnsi="Arial"/>
                <w:sz w:val="14"/>
                <w:szCs w:val="14"/>
                <w:b w:val="1"/>
                <w:bCs w:val="1"/>
                <w:color w:val="auto"/>
                <w:w w:val="89"/>
              </w:rPr>
              <w:t>Securities Available for Sale with Gross Unrealized Losses as of December 31, 2021</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198"/>
              <w:spacing w:after="0"/>
              <w:rPr>
                <w:sz w:val="20"/>
                <w:szCs w:val="20"/>
                <w:color w:val="auto"/>
              </w:rPr>
            </w:pPr>
            <w:r>
              <w:rPr>
                <w:rFonts w:ascii="Arial" w:cs="Arial" w:eastAsia="Arial" w:hAnsi="Arial"/>
                <w:sz w:val="14"/>
                <w:szCs w:val="14"/>
                <w:b w:val="1"/>
                <w:bCs w:val="1"/>
                <w:color w:val="auto"/>
                <w:w w:val="93"/>
              </w:rPr>
              <w:t>12 Months or More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0"/>
                <w:szCs w:val="10"/>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0"/>
                <w:szCs w:val="10"/>
                <w:color w:val="auto"/>
              </w:rPr>
            </w:pPr>
          </w:p>
        </w:tc>
        <w:tc>
          <w:tcPr>
            <w:tcW w:w="1120" w:type="dxa"/>
            <w:vAlign w:val="bottom"/>
          </w:tcPr>
          <w:p>
            <w:pPr>
              <w:jc w:val="center"/>
              <w:ind w:right="140"/>
              <w:spacing w:after="0" w:line="119"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40"/>
              <w:spacing w:after="0" w:line="133" w:lineRule="exact"/>
              <w:rPr>
                <w:sz w:val="20"/>
                <w:szCs w:val="20"/>
                <w:color w:val="auto"/>
              </w:rPr>
            </w:pPr>
            <w:r>
              <w:rPr>
                <w:rFonts w:ascii="Arial" w:cs="Arial" w:eastAsia="Arial" w:hAnsi="Arial"/>
                <w:sz w:val="14"/>
                <w:szCs w:val="14"/>
                <w:b w:val="1"/>
                <w:bCs w:val="1"/>
                <w:color w:val="auto"/>
                <w:w w:val="83"/>
              </w:rPr>
              <w:t>Gross</w:t>
            </w: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2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11"/>
                <w:szCs w:val="11"/>
                <w:color w:val="auto"/>
              </w:rPr>
            </w:pPr>
          </w:p>
        </w:tc>
        <w:tc>
          <w:tcPr>
            <w:tcW w:w="1120" w:type="dxa"/>
            <w:vAlign w:val="bottom"/>
          </w:tcPr>
          <w:p>
            <w:pPr>
              <w:jc w:val="center"/>
              <w:ind w:right="140"/>
              <w:spacing w:after="0" w:line="13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78"/>
              </w:rPr>
              <w:t>Losses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2"/>
              </w:rPr>
              <w:t>Fair Value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160"/>
        </w:trPr>
        <w:tc>
          <w:tcPr>
            <w:tcW w:w="2600" w:type="dxa"/>
            <w:vAlign w:val="bottom"/>
            <w:shd w:val="clear" w:color="auto" w:fill="CCEEFF"/>
          </w:tcPr>
          <w:p>
            <w:pPr>
              <w:ind w:left="20"/>
              <w:spacing w:after="0" w:line="160" w:lineRule="exact"/>
              <w:rPr>
                <w:sz w:val="20"/>
                <w:szCs w:val="20"/>
                <w:color w:val="auto"/>
              </w:rPr>
            </w:pPr>
            <w:r>
              <w:rPr>
                <w:rFonts w:ascii="Arial" w:cs="Arial" w:eastAsia="Arial" w:hAnsi="Arial"/>
                <w:sz w:val="18"/>
                <w:szCs w:val="18"/>
                <w:color w:val="auto"/>
              </w:rPr>
              <w:t>U.S. Government and agency</w:t>
            </w:r>
          </w:p>
        </w:tc>
        <w:tc>
          <w:tcPr>
            <w:tcW w:w="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gridSpan w:val="2"/>
            <w:vMerge w:val="restart"/>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4"/>
        </w:trPr>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60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6"/>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2"/>
        </w:trPr>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Mortgage-backed securities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0"/>
        </w:trPr>
        <w:tc>
          <w:tcPr>
            <w:tcW w:w="2600" w:type="dxa"/>
            <w:vAlign w:val="bottom"/>
            <w:shd w:val="clear" w:color="auto" w:fill="CCEEFF"/>
          </w:tcPr>
          <w:p>
            <w:pPr>
              <w:ind w:left="180"/>
              <w:spacing w:after="0" w:line="160" w:lineRule="exact"/>
              <w:rPr>
                <w:sz w:val="20"/>
                <w:szCs w:val="20"/>
                <w:color w:val="auto"/>
              </w:rPr>
            </w:pPr>
            <w:r>
              <w:rPr>
                <w:rFonts w:ascii="Arial" w:cs="Arial" w:eastAsia="Arial" w:hAnsi="Arial"/>
                <w:sz w:val="18"/>
                <w:szCs w:val="18"/>
                <w:color w:val="auto"/>
              </w:rPr>
              <w:t>Total restricted securities</w:t>
            </w:r>
          </w:p>
        </w:tc>
        <w:tc>
          <w:tcPr>
            <w:tcW w:w="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gridSpan w:val="2"/>
            <w:vMerge w:val="restart"/>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8"/>
        </w:trPr>
        <w:tc>
          <w:tcPr>
            <w:tcW w:w="2600" w:type="dxa"/>
            <w:vAlign w:val="bottom"/>
            <w:shd w:val="clear" w:color="auto" w:fill="CCEEFF"/>
          </w:tcPr>
          <w:p>
            <w:pPr>
              <w:ind w:left="340"/>
              <w:spacing w:after="0" w:line="198" w:lineRule="exact"/>
              <w:rPr>
                <w:sz w:val="20"/>
                <w:szCs w:val="20"/>
                <w:color w:val="auto"/>
              </w:rPr>
            </w:pPr>
            <w:r>
              <w:rPr>
                <w:rFonts w:ascii="Arial" w:cs="Arial" w:eastAsia="Arial" w:hAnsi="Arial"/>
                <w:sz w:val="18"/>
                <w:szCs w:val="18"/>
                <w:color w:val="auto"/>
              </w:rPr>
              <w:t>available for sale</w:t>
            </w:r>
          </w:p>
        </w:tc>
        <w:tc>
          <w:tcPr>
            <w:tcW w:w="24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17</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cost and estimated fair values of debt securities by contractual maturity were as follows (securities with multiple maturity dates are classified in the period of final maturity). Expected maturities will differ from contractual maturities because borrowers may have the right to call or prepay obligations with or without call or prepayment penalties.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46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gridSpan w:val="5"/>
          </w:tcPr>
          <w:p>
            <w:pPr>
              <w:ind w:left="86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6"/>
                <w:szCs w:val="16"/>
                <w:color w:val="auto"/>
              </w:rPr>
            </w:pPr>
          </w:p>
        </w:tc>
        <w:tc>
          <w:tcPr>
            <w:tcW w:w="2680" w:type="dxa"/>
            <w:vAlign w:val="bottom"/>
            <w:gridSpan w:val="4"/>
          </w:tcPr>
          <w:p>
            <w:pPr>
              <w:jc w:val="right"/>
              <w:ind w:right="757"/>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33"/>
        </w:trPr>
        <w:tc>
          <w:tcPr>
            <w:tcW w:w="5360" w:type="dxa"/>
            <w:vAlign w:val="bottom"/>
            <w:vMerge w:val="restart"/>
          </w:tcPr>
          <w:p>
            <w:pPr>
              <w:ind w:left="2020"/>
              <w:spacing w:after="0"/>
              <w:rPr>
                <w:sz w:val="20"/>
                <w:szCs w:val="20"/>
                <w:color w:val="auto"/>
              </w:rPr>
            </w:pPr>
            <w:r>
              <w:rPr>
                <w:rFonts w:ascii="Arial" w:cs="Arial" w:eastAsia="Arial" w:hAnsi="Arial"/>
                <w:sz w:val="14"/>
                <w:szCs w:val="14"/>
                <w:b w:val="1"/>
                <w:bCs w:val="1"/>
                <w:color w:val="auto"/>
              </w:rPr>
              <w:t>Contractual Maturity</w:t>
            </w:r>
          </w:p>
        </w:tc>
        <w:tc>
          <w:tcPr>
            <w:tcW w:w="100" w:type="dxa"/>
            <w:vAlign w:val="bottom"/>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vMerge w:val="restart"/>
          </w:tcPr>
          <w:p>
            <w:pPr>
              <w:jc w:val="right"/>
              <w:ind w:right="117"/>
              <w:spacing w:after="0"/>
              <w:rPr>
                <w:sz w:val="20"/>
                <w:szCs w:val="20"/>
                <w:color w:val="auto"/>
              </w:rPr>
            </w:pPr>
            <w:r>
              <w:rPr>
                <w:rFonts w:ascii="Arial" w:cs="Arial" w:eastAsia="Arial" w:hAnsi="Arial"/>
                <w:sz w:val="14"/>
                <w:szCs w:val="14"/>
                <w:b w:val="1"/>
                <w:bCs w:val="1"/>
                <w:color w:val="auto"/>
                <w:w w:val="94"/>
              </w:rPr>
              <w:t>Amortized Cost</w:t>
            </w:r>
          </w:p>
        </w:tc>
        <w:tc>
          <w:tcPr>
            <w:tcW w:w="120" w:type="dxa"/>
            <w:vAlign w:val="bottom"/>
            <w:tcBorders>
              <w:top w:val="single" w:sz="8" w:color="auto"/>
            </w:tcBorders>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138"/>
              <w:spacing w:after="0" w:line="133" w:lineRule="exact"/>
              <w:rPr>
                <w:sz w:val="20"/>
                <w:szCs w:val="20"/>
                <w:color w:val="auto"/>
              </w:rPr>
            </w:pPr>
            <w:r>
              <w:rPr>
                <w:rFonts w:ascii="Arial" w:cs="Arial" w:eastAsia="Arial" w:hAnsi="Arial"/>
                <w:sz w:val="14"/>
                <w:szCs w:val="14"/>
                <w:b w:val="1"/>
                <w:bCs w:val="1"/>
                <w:color w:val="auto"/>
                <w:w w:val="99"/>
              </w:rPr>
              <w:t>Estimated Fair</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jc w:val="right"/>
              <w:ind w:right="137"/>
              <w:spacing w:after="0"/>
              <w:rPr>
                <w:sz w:val="20"/>
                <w:szCs w:val="20"/>
                <w:color w:val="auto"/>
              </w:rPr>
            </w:pPr>
            <w:r>
              <w:rPr>
                <w:rFonts w:ascii="Arial" w:cs="Arial" w:eastAsia="Arial" w:hAnsi="Arial"/>
                <w:sz w:val="14"/>
                <w:szCs w:val="14"/>
                <w:b w:val="1"/>
                <w:bCs w:val="1"/>
                <w:color w:val="auto"/>
                <w:w w:val="94"/>
              </w:rPr>
              <w:t>Amortized Cost</w:t>
            </w:r>
          </w:p>
        </w:tc>
        <w:tc>
          <w:tcPr>
            <w:tcW w:w="100" w:type="dxa"/>
            <w:vAlign w:val="bottom"/>
            <w:tcBorders>
              <w:top w:val="single" w:sz="8" w:color="auto"/>
            </w:tcBorders>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137"/>
              <w:spacing w:after="0" w:line="133" w:lineRule="exact"/>
              <w:rPr>
                <w:sz w:val="20"/>
                <w:szCs w:val="20"/>
                <w:color w:val="auto"/>
              </w:rPr>
            </w:pPr>
            <w:r>
              <w:rPr>
                <w:rFonts w:ascii="Arial" w:cs="Arial" w:eastAsia="Arial" w:hAnsi="Arial"/>
                <w:sz w:val="14"/>
                <w:szCs w:val="14"/>
                <w:b w:val="1"/>
                <w:bCs w:val="1"/>
                <w:color w:val="auto"/>
                <w:w w:val="99"/>
              </w:rPr>
              <w:t>Estimated Fair</w:t>
            </w:r>
          </w:p>
        </w:tc>
        <w:tc>
          <w:tcPr>
            <w:tcW w:w="0" w:type="dxa"/>
            <w:vAlign w:val="bottom"/>
          </w:tcPr>
          <w:p>
            <w:pPr>
              <w:spacing w:after="0"/>
              <w:rPr>
                <w:sz w:val="1"/>
                <w:szCs w:val="1"/>
                <w:color w:val="auto"/>
              </w:rPr>
            </w:pPr>
          </w:p>
        </w:tc>
      </w:tr>
      <w:tr>
        <w:trPr>
          <w:trHeight w:val="192"/>
        </w:trPr>
        <w:tc>
          <w:tcPr>
            <w:tcW w:w="5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5"/>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Within one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5"/>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Over one year to five years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2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Over five years to ten years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2"/>
        </w:trPr>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Over ten years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restricted securities available for sale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left="620" w:hanging="614"/>
        <w:spacing w:after="0"/>
        <w:tabs>
          <w:tab w:leader="none" w:pos="6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LOANS RECEIVABLE</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Loans receivable and allowance for credit losses consist of the following:</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77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980" w:type="dxa"/>
            <w:vAlign w:val="bottom"/>
          </w:tcPr>
          <w:p>
            <w:pPr>
              <w:jc w:val="center"/>
              <w:ind w:right="49"/>
              <w:spacing w:after="0"/>
              <w:rPr>
                <w:sz w:val="20"/>
                <w:szCs w:val="20"/>
                <w:color w:val="auto"/>
              </w:rPr>
            </w:pPr>
            <w:r>
              <w:rPr>
                <w:rFonts w:ascii="Arial" w:cs="Arial" w:eastAsia="Arial" w:hAnsi="Arial"/>
                <w:sz w:val="14"/>
                <w:szCs w:val="14"/>
                <w:b w:val="1"/>
                <w:bCs w:val="1"/>
                <w:color w:val="auto"/>
                <w:w w:val="90"/>
              </w:rPr>
              <w:t>As of June 30, 2022</w:t>
            </w:r>
          </w:p>
        </w:tc>
        <w:tc>
          <w:tcPr>
            <w:tcW w:w="1420" w:type="dxa"/>
            <w:vAlign w:val="bottom"/>
          </w:tcPr>
          <w:p>
            <w:pPr>
              <w:spacing w:after="0"/>
              <w:rPr>
                <w:sz w:val="17"/>
                <w:szCs w:val="17"/>
                <w:color w:val="auto"/>
              </w:rPr>
            </w:pPr>
          </w:p>
        </w:tc>
      </w:tr>
      <w:tr>
        <w:trPr>
          <w:trHeight w:val="184"/>
        </w:trPr>
        <w:tc>
          <w:tcPr>
            <w:tcW w:w="6240" w:type="dxa"/>
            <w:vAlign w:val="bottom"/>
          </w:tcPr>
          <w:p>
            <w:pPr>
              <w:spacing w:after="0"/>
              <w:rPr>
                <w:sz w:val="15"/>
                <w:szCs w:val="15"/>
                <w:color w:val="auto"/>
              </w:rPr>
            </w:pPr>
          </w:p>
        </w:tc>
        <w:tc>
          <w:tcPr>
            <w:tcW w:w="1540" w:type="dxa"/>
            <w:vAlign w:val="bottom"/>
            <w:tcBorders>
              <w:top w:val="single" w:sz="8" w:color="auto"/>
            </w:tcBorders>
          </w:tcPr>
          <w:p>
            <w:pPr>
              <w:ind w:left="380"/>
              <w:spacing w:after="0"/>
              <w:rPr>
                <w:sz w:val="20"/>
                <w:szCs w:val="20"/>
                <w:color w:val="auto"/>
              </w:rPr>
            </w:pPr>
            <w:r>
              <w:rPr>
                <w:rFonts w:ascii="Arial" w:cs="Arial" w:eastAsia="Arial" w:hAnsi="Arial"/>
                <w:sz w:val="14"/>
                <w:szCs w:val="14"/>
                <w:b w:val="1"/>
                <w:bCs w:val="1"/>
                <w:color w:val="auto"/>
              </w:rPr>
              <w:t>Dealer Loans</w:t>
            </w:r>
          </w:p>
        </w:tc>
        <w:tc>
          <w:tcPr>
            <w:tcW w:w="1980" w:type="dxa"/>
            <w:vAlign w:val="bottom"/>
            <w:tcBorders>
              <w:top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87"/>
              </w:rPr>
              <w:t>Purchased Loans</w:t>
            </w:r>
          </w:p>
        </w:tc>
        <w:tc>
          <w:tcPr>
            <w:tcW w:w="1420" w:type="dxa"/>
            <w:vAlign w:val="bottom"/>
            <w:tcBorders>
              <w:top w:val="single" w:sz="8" w:color="auto"/>
            </w:tcBorders>
          </w:tcPr>
          <w:p>
            <w:pPr>
              <w:ind w:left="480"/>
              <w:spacing w:after="0"/>
              <w:rPr>
                <w:sz w:val="20"/>
                <w:szCs w:val="20"/>
                <w:color w:val="auto"/>
              </w:rPr>
            </w:pPr>
            <w:r>
              <w:rPr>
                <w:rFonts w:ascii="Arial" w:cs="Arial" w:eastAsia="Arial" w:hAnsi="Arial"/>
                <w:sz w:val="14"/>
                <w:szCs w:val="14"/>
                <w:b w:val="1"/>
                <w:bCs w:val="1"/>
                <w:color w:val="auto"/>
              </w:rPr>
              <w:t>Total</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Loans receivable</w:t>
            </w:r>
          </w:p>
        </w:tc>
        <w:tc>
          <w:tcPr>
            <w:tcW w:w="25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center"/>
              <w:ind w:left="574"/>
              <w:spacing w:after="0"/>
              <w:rPr>
                <w:sz w:val="20"/>
                <w:szCs w:val="20"/>
                <w:color w:val="auto"/>
              </w:rPr>
            </w:pPr>
            <w:r>
              <w:rPr>
                <w:rFonts w:ascii="Arial" w:cs="Arial" w:eastAsia="Arial" w:hAnsi="Arial"/>
                <w:sz w:val="18"/>
                <w:szCs w:val="18"/>
                <w:color w:val="auto"/>
                <w:w w:val="86"/>
              </w:rPr>
              <w:t>5,832.9</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center"/>
              <w:ind w:left="614"/>
              <w:spacing w:after="0"/>
              <w:rPr>
                <w:sz w:val="20"/>
                <w:szCs w:val="20"/>
                <w:color w:val="auto"/>
              </w:rPr>
            </w:pPr>
            <w:r>
              <w:rPr>
                <w:rFonts w:ascii="Arial" w:cs="Arial" w:eastAsia="Arial" w:hAnsi="Arial"/>
                <w:sz w:val="18"/>
                <w:szCs w:val="18"/>
                <w:color w:val="auto"/>
                <w:w w:val="86"/>
              </w:rPr>
              <w:t>3,357.7</w:t>
            </w: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center"/>
              <w:ind w:left="454"/>
              <w:spacing w:after="0"/>
              <w:rPr>
                <w:sz w:val="20"/>
                <w:szCs w:val="20"/>
                <w:color w:val="auto"/>
              </w:rPr>
            </w:pPr>
            <w:r>
              <w:rPr>
                <w:rFonts w:ascii="Arial" w:cs="Arial" w:eastAsia="Arial" w:hAnsi="Arial"/>
                <w:sz w:val="18"/>
                <w:szCs w:val="18"/>
                <w:color w:val="auto"/>
                <w:w w:val="89"/>
              </w:rPr>
              <w:t>9,190.6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25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left="554"/>
              <w:spacing w:after="0"/>
              <w:rPr>
                <w:sz w:val="20"/>
                <w:szCs w:val="20"/>
                <w:color w:val="auto"/>
              </w:rPr>
            </w:pPr>
            <w:r>
              <w:rPr>
                <w:rFonts w:ascii="Arial" w:cs="Arial" w:eastAsia="Arial" w:hAnsi="Arial"/>
                <w:sz w:val="18"/>
                <w:szCs w:val="18"/>
                <w:color w:val="auto"/>
                <w:w w:val="91"/>
              </w:rPr>
              <w:t>(1,844.8)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left="594"/>
              <w:spacing w:after="0"/>
              <w:rPr>
                <w:sz w:val="20"/>
                <w:szCs w:val="20"/>
                <w:color w:val="auto"/>
              </w:rPr>
            </w:pPr>
            <w:r>
              <w:rPr>
                <w:rFonts w:ascii="Arial" w:cs="Arial" w:eastAsia="Arial" w:hAnsi="Arial"/>
                <w:sz w:val="18"/>
                <w:szCs w:val="18"/>
                <w:color w:val="auto"/>
                <w:w w:val="91"/>
              </w:rPr>
              <w:t>(1,022.1)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left="414"/>
              <w:spacing w:after="0"/>
              <w:rPr>
                <w:sz w:val="20"/>
                <w:szCs w:val="20"/>
                <w:color w:val="auto"/>
              </w:rPr>
            </w:pPr>
            <w:r>
              <w:rPr>
                <w:rFonts w:ascii="Arial" w:cs="Arial" w:eastAsia="Arial" w:hAnsi="Arial"/>
                <w:sz w:val="18"/>
                <w:szCs w:val="18"/>
                <w:color w:val="auto"/>
                <w:w w:val="91"/>
              </w:rPr>
              <w:t>(2,866.9)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Loans receivable, net</w:t>
            </w:r>
          </w:p>
        </w:tc>
        <w:tc>
          <w:tcPr>
            <w:tcW w:w="2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center"/>
              <w:ind w:left="574"/>
              <w:spacing w:after="0"/>
              <w:rPr>
                <w:sz w:val="20"/>
                <w:szCs w:val="20"/>
                <w:color w:val="auto"/>
              </w:rPr>
            </w:pPr>
            <w:r>
              <w:rPr>
                <w:rFonts w:ascii="Arial" w:cs="Arial" w:eastAsia="Arial" w:hAnsi="Arial"/>
                <w:sz w:val="18"/>
                <w:szCs w:val="18"/>
                <w:color w:val="auto"/>
                <w:w w:val="86"/>
              </w:rPr>
              <w:t>3,988.1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center"/>
              <w:ind w:left="614"/>
              <w:spacing w:after="0"/>
              <w:rPr>
                <w:sz w:val="20"/>
                <w:szCs w:val="20"/>
                <w:color w:val="auto"/>
              </w:rPr>
            </w:pPr>
            <w:r>
              <w:rPr>
                <w:rFonts w:ascii="Arial" w:cs="Arial" w:eastAsia="Arial" w:hAnsi="Arial"/>
                <w:sz w:val="18"/>
                <w:szCs w:val="18"/>
                <w:color w:val="auto"/>
                <w:w w:val="86"/>
              </w:rPr>
              <w:t>2,335.6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454"/>
              <w:spacing w:after="0"/>
              <w:rPr>
                <w:sz w:val="20"/>
                <w:szCs w:val="20"/>
                <w:color w:val="auto"/>
              </w:rPr>
            </w:pPr>
            <w:r>
              <w:rPr>
                <w:rFonts w:ascii="Arial" w:cs="Arial" w:eastAsia="Arial" w:hAnsi="Arial"/>
                <w:sz w:val="18"/>
                <w:szCs w:val="18"/>
                <w:color w:val="auto"/>
                <w:w w:val="89"/>
              </w:rPr>
              <w:t>6,323.7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37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0"/>
              </w:rPr>
              <w:t>As of December 31, 2021</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tcPr>
          <w:p>
            <w:pPr>
              <w:spacing w:after="0"/>
              <w:rPr>
                <w:sz w:val="16"/>
                <w:szCs w:val="16"/>
                <w:color w:val="auto"/>
              </w:rPr>
            </w:pPr>
          </w:p>
        </w:tc>
        <w:tc>
          <w:tcPr>
            <w:tcW w:w="25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Dealer Loans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7"/>
              </w:rPr>
              <w:t>Purchased Loans</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receivable</w:t>
            </w:r>
          </w:p>
        </w:tc>
        <w:tc>
          <w:tcPr>
            <w:tcW w:w="2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center"/>
              <w:ind w:left="574"/>
              <w:spacing w:after="0"/>
              <w:rPr>
                <w:sz w:val="20"/>
                <w:szCs w:val="20"/>
                <w:color w:val="auto"/>
              </w:rPr>
            </w:pPr>
            <w:r>
              <w:rPr>
                <w:rFonts w:ascii="Arial" w:cs="Arial" w:eastAsia="Arial" w:hAnsi="Arial"/>
                <w:sz w:val="18"/>
                <w:szCs w:val="18"/>
                <w:color w:val="auto"/>
                <w:w w:val="86"/>
              </w:rPr>
              <w:t>5,655.1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86"/>
              </w:rPr>
              <w:t>3,694.7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454"/>
              <w:spacing w:after="0"/>
              <w:rPr>
                <w:sz w:val="20"/>
                <w:szCs w:val="20"/>
                <w:color w:val="auto"/>
              </w:rPr>
            </w:pPr>
            <w:r>
              <w:rPr>
                <w:rFonts w:ascii="Arial" w:cs="Arial" w:eastAsia="Arial" w:hAnsi="Arial"/>
                <w:sz w:val="18"/>
                <w:szCs w:val="18"/>
                <w:color w:val="auto"/>
                <w:w w:val="89"/>
              </w:rPr>
              <w:t>9,349.8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25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left="554"/>
              <w:spacing w:after="0"/>
              <w:rPr>
                <w:sz w:val="20"/>
                <w:szCs w:val="20"/>
                <w:color w:val="auto"/>
              </w:rPr>
            </w:pPr>
            <w:r>
              <w:rPr>
                <w:rFonts w:ascii="Arial" w:cs="Arial" w:eastAsia="Arial" w:hAnsi="Arial"/>
                <w:sz w:val="18"/>
                <w:szCs w:val="18"/>
                <w:color w:val="auto"/>
                <w:w w:val="91"/>
              </w:rPr>
              <w:t>(1,767.8)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left="594"/>
              <w:spacing w:after="0"/>
              <w:rPr>
                <w:sz w:val="20"/>
                <w:szCs w:val="20"/>
                <w:color w:val="auto"/>
              </w:rPr>
            </w:pPr>
            <w:r>
              <w:rPr>
                <w:rFonts w:ascii="Arial" w:cs="Arial" w:eastAsia="Arial" w:hAnsi="Arial"/>
                <w:sz w:val="18"/>
                <w:szCs w:val="18"/>
                <w:color w:val="auto"/>
                <w:w w:val="91"/>
              </w:rPr>
              <w:t>(1,245.7)</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left="414"/>
              <w:spacing w:after="0"/>
              <w:rPr>
                <w:sz w:val="20"/>
                <w:szCs w:val="20"/>
                <w:color w:val="auto"/>
              </w:rPr>
            </w:pPr>
            <w:r>
              <w:rPr>
                <w:rFonts w:ascii="Arial" w:cs="Arial" w:eastAsia="Arial" w:hAnsi="Arial"/>
                <w:sz w:val="18"/>
                <w:szCs w:val="18"/>
                <w:color w:val="auto"/>
                <w:w w:val="91"/>
              </w:rPr>
              <w:t>(3,013.5)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Loans receivable, net</w:t>
            </w:r>
          </w:p>
        </w:tc>
        <w:tc>
          <w:tcPr>
            <w:tcW w:w="2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center"/>
              <w:ind w:left="574"/>
              <w:spacing w:after="0"/>
              <w:rPr>
                <w:sz w:val="20"/>
                <w:szCs w:val="20"/>
                <w:color w:val="auto"/>
              </w:rPr>
            </w:pPr>
            <w:r>
              <w:rPr>
                <w:rFonts w:ascii="Arial" w:cs="Arial" w:eastAsia="Arial" w:hAnsi="Arial"/>
                <w:sz w:val="18"/>
                <w:szCs w:val="18"/>
                <w:color w:val="auto"/>
                <w:w w:val="86"/>
              </w:rPr>
              <w:t>3,887.3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86"/>
              </w:rPr>
              <w:t>2,449.0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454"/>
              <w:spacing w:after="0"/>
              <w:rPr>
                <w:sz w:val="20"/>
                <w:szCs w:val="20"/>
                <w:color w:val="auto"/>
              </w:rPr>
            </w:pPr>
            <w:r>
              <w:rPr>
                <w:rFonts w:ascii="Arial" w:cs="Arial" w:eastAsia="Arial" w:hAnsi="Arial"/>
                <w:sz w:val="18"/>
                <w:szCs w:val="18"/>
                <w:color w:val="auto"/>
                <w:w w:val="89"/>
              </w:rPr>
              <w:t>6,336.3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CCEEFF"/>
            </w:tcBorders>
            <w:vMerge w:val="restart"/>
          </w:tcPr>
          <w:p>
            <w:pPr>
              <w:jc w:val="right"/>
              <w:ind w:right="452"/>
              <w:spacing w:after="0"/>
              <w:rPr>
                <w:sz w:val="20"/>
                <w:szCs w:val="20"/>
                <w:color w:val="auto"/>
              </w:rPr>
            </w:pPr>
            <w:r>
              <w:rPr>
                <w:rFonts w:ascii="Arial" w:cs="Arial" w:eastAsia="Arial" w:hAnsi="Arial"/>
                <w:sz w:val="18"/>
                <w:szCs w:val="18"/>
                <w:color w:val="auto"/>
              </w:rPr>
              <w:t>18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0"/>
        </w:trPr>
        <w:tc>
          <w:tcPr>
            <w:tcW w:w="376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376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changes in Loans receivable and allowance for credit losses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91"/>
              </w:rPr>
              <w:t>For the Three Months Ended June 30, 2022</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960" w:type="dxa"/>
            <w:vAlign w:val="bottom"/>
          </w:tcPr>
          <w:p>
            <w:pPr>
              <w:ind w:left="6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Loans Receivable</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6"/>
          </w:tcPr>
          <w:p>
            <w:pPr>
              <w:jc w:val="center"/>
              <w:ind w:left="402"/>
              <w:spacing w:after="0"/>
              <w:rPr>
                <w:sz w:val="20"/>
                <w:szCs w:val="20"/>
                <w:color w:val="auto"/>
              </w:rPr>
            </w:pPr>
            <w:r>
              <w:rPr>
                <w:rFonts w:ascii="Arial" w:cs="Arial" w:eastAsia="Arial" w:hAnsi="Arial"/>
                <w:sz w:val="14"/>
                <w:szCs w:val="14"/>
                <w:b w:val="1"/>
                <w:bCs w:val="1"/>
                <w:color w:val="auto"/>
                <w:w w:val="89"/>
              </w:rPr>
              <w:t>Allowance for Credit Losses</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6"/>
          </w:tcPr>
          <w:p>
            <w:pPr>
              <w:jc w:val="center"/>
              <w:ind w:left="421"/>
              <w:spacing w:after="0"/>
              <w:rPr>
                <w:sz w:val="20"/>
                <w:szCs w:val="20"/>
                <w:color w:val="auto"/>
              </w:rPr>
            </w:pPr>
            <w:r>
              <w:rPr>
                <w:rFonts w:ascii="Arial" w:cs="Arial" w:eastAsia="Arial" w:hAnsi="Arial"/>
                <w:sz w:val="14"/>
                <w:szCs w:val="14"/>
                <w:b w:val="1"/>
                <w:bCs w:val="1"/>
                <w:color w:val="auto"/>
                <w:w w:val="90"/>
              </w:rPr>
              <w:t>Loans Receivable, Net</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19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1960" w:type="dxa"/>
            <w:vAlign w:val="bottom"/>
          </w:tcPr>
          <w:p>
            <w:pPr>
              <w:spacing w:after="0"/>
              <w:rPr>
                <w:sz w:val="11"/>
                <w:szCs w:val="11"/>
                <w:color w:val="auto"/>
              </w:rPr>
            </w:pPr>
          </w:p>
        </w:tc>
        <w:tc>
          <w:tcPr>
            <w:tcW w:w="900" w:type="dxa"/>
            <w:vAlign w:val="bottom"/>
            <w:gridSpan w:val="2"/>
            <w:vMerge w:val="restart"/>
          </w:tcPr>
          <w:p>
            <w:pPr>
              <w:jc w:val="right"/>
              <w:ind w:right="1"/>
              <w:spacing w:after="0"/>
              <w:rPr>
                <w:sz w:val="20"/>
                <w:szCs w:val="20"/>
                <w:color w:val="auto"/>
              </w:rPr>
            </w:pPr>
            <w:r>
              <w:rPr>
                <w:rFonts w:ascii="Arial" w:cs="Arial" w:eastAsia="Arial" w:hAnsi="Arial"/>
                <w:sz w:val="13"/>
                <w:szCs w:val="13"/>
                <w:b w:val="1"/>
                <w:bCs w:val="1"/>
                <w:color w:val="auto"/>
                <w:w w:val="97"/>
              </w:rPr>
              <w:t>Dealer Loans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60"/>
              <w:spacing w:after="0" w:line="133" w:lineRule="exact"/>
              <w:rPr>
                <w:sz w:val="20"/>
                <w:szCs w:val="20"/>
                <w:color w:val="auto"/>
              </w:rPr>
            </w:pPr>
            <w:r>
              <w:rPr>
                <w:rFonts w:ascii="Arial" w:cs="Arial" w:eastAsia="Arial" w:hAnsi="Arial"/>
                <w:sz w:val="13"/>
                <w:szCs w:val="13"/>
                <w:b w:val="1"/>
                <w:bCs w:val="1"/>
                <w:color w:val="auto"/>
                <w:w w:val="87"/>
              </w:rPr>
              <w:t>Purchased</w:t>
            </w:r>
          </w:p>
        </w:tc>
        <w:tc>
          <w:tcPr>
            <w:tcW w:w="200" w:type="dxa"/>
            <w:vAlign w:val="bottom"/>
          </w:tcPr>
          <w:p>
            <w:pPr>
              <w:spacing w:after="0"/>
              <w:rPr>
                <w:sz w:val="11"/>
                <w:szCs w:val="11"/>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Total</w:t>
            </w:r>
          </w:p>
        </w:tc>
        <w:tc>
          <w:tcPr>
            <w:tcW w:w="100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Dealer Loans</w:t>
            </w:r>
          </w:p>
        </w:tc>
        <w:tc>
          <w:tcPr>
            <w:tcW w:w="160" w:type="dxa"/>
            <w:vAlign w:val="bottom"/>
          </w:tcPr>
          <w:p>
            <w:pPr>
              <w:spacing w:after="0"/>
              <w:rPr>
                <w:sz w:val="11"/>
                <w:szCs w:val="11"/>
                <w:color w:val="auto"/>
              </w:rPr>
            </w:pPr>
          </w:p>
        </w:tc>
        <w:tc>
          <w:tcPr>
            <w:tcW w:w="940" w:type="dxa"/>
            <w:vAlign w:val="bottom"/>
            <w:gridSpan w:val="2"/>
          </w:tcPr>
          <w:p>
            <w:pPr>
              <w:jc w:val="center"/>
              <w:ind w:right="280"/>
              <w:spacing w:after="0" w:line="133" w:lineRule="exact"/>
              <w:rPr>
                <w:sz w:val="20"/>
                <w:szCs w:val="20"/>
                <w:color w:val="auto"/>
              </w:rPr>
            </w:pPr>
            <w:r>
              <w:rPr>
                <w:rFonts w:ascii="Arial" w:cs="Arial" w:eastAsia="Arial" w:hAnsi="Arial"/>
                <w:sz w:val="13"/>
                <w:szCs w:val="13"/>
                <w:b w:val="1"/>
                <w:bCs w:val="1"/>
                <w:color w:val="auto"/>
                <w:w w:val="87"/>
              </w:rPr>
              <w:t>Purchased</w:t>
            </w:r>
          </w:p>
        </w:tc>
        <w:tc>
          <w:tcPr>
            <w:tcW w:w="260" w:type="dxa"/>
            <w:vAlign w:val="bottom"/>
          </w:tcPr>
          <w:p>
            <w:pPr>
              <w:spacing w:after="0"/>
              <w:rPr>
                <w:sz w:val="11"/>
                <w:szCs w:val="11"/>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Total</w:t>
            </w:r>
          </w:p>
        </w:tc>
        <w:tc>
          <w:tcPr>
            <w:tcW w:w="102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Dealer Loans</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3" w:lineRule="exact"/>
              <w:rPr>
                <w:sz w:val="20"/>
                <w:szCs w:val="20"/>
                <w:color w:val="auto"/>
              </w:rPr>
            </w:pPr>
            <w:r>
              <w:rPr>
                <w:rFonts w:ascii="Arial" w:cs="Arial" w:eastAsia="Arial" w:hAnsi="Arial"/>
                <w:sz w:val="13"/>
                <w:szCs w:val="13"/>
                <w:b w:val="1"/>
                <w:bCs w:val="1"/>
                <w:color w:val="auto"/>
                <w:w w:val="87"/>
              </w:rPr>
              <w:t>Purchased</w:t>
            </w:r>
          </w:p>
        </w:tc>
        <w:tc>
          <w:tcPr>
            <w:tcW w:w="200" w:type="dxa"/>
            <w:vAlign w:val="bottom"/>
          </w:tcPr>
          <w:p>
            <w:pPr>
              <w:spacing w:after="0"/>
              <w:rPr>
                <w:sz w:val="11"/>
                <w:szCs w:val="11"/>
                <w:color w:val="auto"/>
              </w:rPr>
            </w:pPr>
          </w:p>
        </w:tc>
        <w:tc>
          <w:tcPr>
            <w:tcW w:w="720" w:type="dxa"/>
            <w:vAlign w:val="bottom"/>
            <w:vMerge w:val="restart"/>
          </w:tcPr>
          <w:p>
            <w:pPr>
              <w:jc w:val="right"/>
              <w:ind w:right="24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7"/>
        </w:trPr>
        <w:tc>
          <w:tcPr>
            <w:tcW w:w="19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Loans</w:t>
            </w: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3"/>
              </w:rPr>
              <w:t>Loans</w:t>
            </w:r>
          </w:p>
        </w:tc>
        <w:tc>
          <w:tcPr>
            <w:tcW w:w="2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Loans</w:t>
            </w: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19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Balance, beginning of period</w:t>
            </w: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5,689.5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3,508.5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9,198.0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(2,870.8)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3,920.6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2,406.6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6,327.2</w:t>
            </w:r>
          </w:p>
        </w:tc>
        <w:tc>
          <w:tcPr>
            <w:tcW w:w="0" w:type="dxa"/>
            <w:vAlign w:val="bottom"/>
          </w:tcPr>
          <w:p>
            <w:pPr>
              <w:spacing w:after="0"/>
              <w:rPr>
                <w:sz w:val="1"/>
                <w:szCs w:val="1"/>
                <w:color w:val="auto"/>
              </w:rPr>
            </w:pPr>
          </w:p>
        </w:tc>
      </w:tr>
      <w:tr>
        <w:trPr>
          <w:trHeight w:val="249"/>
        </w:trPr>
        <w:tc>
          <w:tcPr>
            <w:tcW w:w="1960" w:type="dxa"/>
            <w:vAlign w:val="bottom"/>
          </w:tcPr>
          <w:p>
            <w:pPr>
              <w:ind w:left="20"/>
              <w:spacing w:after="0"/>
              <w:rPr>
                <w:sz w:val="20"/>
                <w:szCs w:val="20"/>
                <w:color w:val="auto"/>
              </w:rPr>
            </w:pPr>
            <w:r>
              <w:rPr>
                <w:rFonts w:ascii="Arial" w:cs="Arial" w:eastAsia="Arial" w:hAnsi="Arial"/>
                <w:sz w:val="16"/>
                <w:szCs w:val="16"/>
                <w:color w:val="auto"/>
              </w:rPr>
              <w:t>Finance charges</w:t>
            </w:r>
          </w:p>
        </w:tc>
        <w:tc>
          <w:tcPr>
            <w:tcW w:w="220" w:type="dxa"/>
            <w:vAlign w:val="bottom"/>
          </w:tcPr>
          <w:p>
            <w:pPr>
              <w:spacing w:after="0"/>
              <w:rPr>
                <w:sz w:val="21"/>
                <w:szCs w:val="21"/>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343.2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189.7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425.6</w:t>
            </w:r>
          </w:p>
        </w:tc>
        <w:tc>
          <w:tcPr>
            <w:tcW w:w="0" w:type="dxa"/>
            <w:vAlign w:val="bottom"/>
          </w:tcPr>
          <w:p>
            <w:pPr>
              <w:spacing w:after="0"/>
              <w:rPr>
                <w:sz w:val="1"/>
                <w:szCs w:val="1"/>
                <w:color w:val="auto"/>
              </w:rPr>
            </w:pPr>
          </w:p>
        </w:tc>
      </w:tr>
      <w:tr>
        <w:trPr>
          <w:trHeight w:val="254"/>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credit losses</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0" w:type="dxa"/>
            <w:vAlign w:val="bottom"/>
          </w:tcPr>
          <w:p>
            <w:pPr>
              <w:spacing w:after="0"/>
              <w:rPr>
                <w:sz w:val="1"/>
                <w:szCs w:val="1"/>
                <w:color w:val="auto"/>
              </w:rPr>
            </w:pP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color w:val="auto"/>
              </w:rPr>
              <w:t>New Consumer Loan</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960" w:type="dxa"/>
            <w:vAlign w:val="bottom"/>
          </w:tcPr>
          <w:p>
            <w:pPr>
              <w:ind w:left="180"/>
              <w:spacing w:after="0"/>
              <w:rPr>
                <w:sz w:val="20"/>
                <w:szCs w:val="20"/>
                <w:color w:val="auto"/>
              </w:rPr>
            </w:pPr>
            <w:r>
              <w:rPr>
                <w:rFonts w:ascii="Arial" w:cs="Arial" w:eastAsia="Arial" w:hAnsi="Arial"/>
                <w:sz w:val="16"/>
                <w:szCs w:val="16"/>
                <w:color w:val="auto"/>
              </w:rPr>
              <w:t>assignments (1)</w:t>
            </w:r>
          </w:p>
        </w:tc>
        <w:tc>
          <w:tcPr>
            <w:tcW w:w="220" w:type="dxa"/>
            <w:vAlign w:val="bottom"/>
          </w:tcPr>
          <w:p>
            <w:pPr>
              <w:spacing w:after="0"/>
              <w:rPr>
                <w:sz w:val="21"/>
                <w:szCs w:val="21"/>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686.2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974.9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686.2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288.7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974.9</w:t>
            </w:r>
          </w:p>
        </w:tc>
        <w:tc>
          <w:tcPr>
            <w:tcW w:w="0" w:type="dxa"/>
            <w:vAlign w:val="bottom"/>
          </w:tcPr>
          <w:p>
            <w:pPr>
              <w:spacing w:after="0"/>
              <w:rPr>
                <w:sz w:val="1"/>
                <w:szCs w:val="1"/>
                <w:color w:val="auto"/>
              </w:rPr>
            </w:pPr>
          </w:p>
        </w:tc>
      </w:tr>
      <w:tr>
        <w:trPr>
          <w:trHeight w:val="254"/>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Collections (2)</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(1,321.4)</w:t>
            </w:r>
          </w:p>
        </w:tc>
        <w:tc>
          <w:tcPr>
            <w:tcW w:w="0" w:type="dxa"/>
            <w:vAlign w:val="bottom"/>
          </w:tcPr>
          <w:p>
            <w:pPr>
              <w:spacing w:after="0"/>
              <w:rPr>
                <w:sz w:val="1"/>
                <w:szCs w:val="1"/>
                <w:color w:val="auto"/>
              </w:rPr>
            </w:pP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color w:val="auto"/>
              </w:rPr>
              <w:t>Accelerated Dealer</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960" w:type="dxa"/>
            <w:vAlign w:val="bottom"/>
          </w:tcPr>
          <w:p>
            <w:pPr>
              <w:ind w:left="180"/>
              <w:spacing w:after="0"/>
              <w:rPr>
                <w:sz w:val="20"/>
                <w:szCs w:val="20"/>
                <w:color w:val="auto"/>
              </w:rPr>
            </w:pPr>
            <w:r>
              <w:rPr>
                <w:rFonts w:ascii="Arial" w:cs="Arial" w:eastAsia="Arial" w:hAnsi="Arial"/>
                <w:sz w:val="16"/>
                <w:szCs w:val="16"/>
                <w:color w:val="auto"/>
              </w:rPr>
              <w:t>Holdback payments</w:t>
            </w:r>
          </w:p>
        </w:tc>
        <w:tc>
          <w:tcPr>
            <w:tcW w:w="220" w:type="dxa"/>
            <w:vAlign w:val="bottom"/>
          </w:tcPr>
          <w:p>
            <w:pPr>
              <w:spacing w:after="0"/>
              <w:rPr>
                <w:sz w:val="21"/>
                <w:szCs w:val="21"/>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54"/>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Dealer Holdback payments</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49"/>
        </w:trPr>
        <w:tc>
          <w:tcPr>
            <w:tcW w:w="1960" w:type="dxa"/>
            <w:vAlign w:val="bottom"/>
          </w:tcPr>
          <w:p>
            <w:pPr>
              <w:ind w:left="20"/>
              <w:spacing w:after="0"/>
              <w:rPr>
                <w:sz w:val="20"/>
                <w:szCs w:val="20"/>
                <w:color w:val="auto"/>
              </w:rPr>
            </w:pPr>
            <w:r>
              <w:rPr>
                <w:rFonts w:ascii="Arial" w:cs="Arial" w:eastAsia="Arial" w:hAnsi="Arial"/>
                <w:sz w:val="16"/>
                <w:szCs w:val="16"/>
                <w:color w:val="auto"/>
              </w:rPr>
              <w:t>Transfers (3)</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4"/>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100.9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225.1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9"/>
        </w:trPr>
        <w:tc>
          <w:tcPr>
            <w:tcW w:w="1960" w:type="dxa"/>
            <w:vAlign w:val="bottom"/>
          </w:tcPr>
          <w:p>
            <w:pPr>
              <w:ind w:left="20"/>
              <w:spacing w:after="0"/>
              <w:rPr>
                <w:sz w:val="20"/>
                <w:szCs w:val="20"/>
                <w:color w:val="auto"/>
              </w:rPr>
            </w:pPr>
            <w:r>
              <w:rPr>
                <w:rFonts w:ascii="Arial" w:cs="Arial" w:eastAsia="Arial" w:hAnsi="Arial"/>
                <w:sz w:val="16"/>
                <w:szCs w:val="16"/>
                <w:color w:val="auto"/>
              </w:rPr>
              <w:t>Recoveries (4)</w:t>
            </w:r>
          </w:p>
        </w:tc>
        <w:tc>
          <w:tcPr>
            <w:tcW w:w="220" w:type="dxa"/>
            <w:vAlign w:val="bottom"/>
          </w:tcPr>
          <w:p>
            <w:pPr>
              <w:spacing w:after="0"/>
              <w:rPr>
                <w:sz w:val="21"/>
                <w:szCs w:val="21"/>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196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9"/>
              </w:rPr>
              <w:t>Deferral of Loan origination</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costs</w:t>
            </w: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8"/>
        </w:trPr>
        <w:tc>
          <w:tcPr>
            <w:tcW w:w="196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22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5,832.9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3,357.7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9,190.6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(1,844.8)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(2,866.9)</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3,988.1</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2,335.6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6,323.7</w:t>
            </w: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19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91"/>
              </w:rPr>
              <w:t>For the Three Months Ended June 30, 2021</w:t>
            </w: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960" w:type="dxa"/>
            <w:vAlign w:val="bottom"/>
          </w:tcPr>
          <w:p>
            <w:pPr>
              <w:ind w:left="6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Loans Receivable</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6"/>
          </w:tcPr>
          <w:p>
            <w:pPr>
              <w:jc w:val="center"/>
              <w:ind w:left="402"/>
              <w:spacing w:after="0"/>
              <w:rPr>
                <w:sz w:val="20"/>
                <w:szCs w:val="20"/>
                <w:color w:val="auto"/>
              </w:rPr>
            </w:pPr>
            <w:r>
              <w:rPr>
                <w:rFonts w:ascii="Arial" w:cs="Arial" w:eastAsia="Arial" w:hAnsi="Arial"/>
                <w:sz w:val="14"/>
                <w:szCs w:val="14"/>
                <w:b w:val="1"/>
                <w:bCs w:val="1"/>
                <w:color w:val="auto"/>
                <w:w w:val="89"/>
              </w:rPr>
              <w:t>Allowance for Credit Losses</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6"/>
          </w:tcPr>
          <w:p>
            <w:pPr>
              <w:jc w:val="center"/>
              <w:ind w:left="421"/>
              <w:spacing w:after="0"/>
              <w:rPr>
                <w:sz w:val="20"/>
                <w:szCs w:val="20"/>
                <w:color w:val="auto"/>
              </w:rPr>
            </w:pPr>
            <w:r>
              <w:rPr>
                <w:rFonts w:ascii="Arial" w:cs="Arial" w:eastAsia="Arial" w:hAnsi="Arial"/>
                <w:sz w:val="14"/>
                <w:szCs w:val="14"/>
                <w:b w:val="1"/>
                <w:bCs w:val="1"/>
                <w:color w:val="auto"/>
                <w:w w:val="90"/>
              </w:rPr>
              <w:t>Loans Receivable, Net</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19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1960" w:type="dxa"/>
            <w:vAlign w:val="bottom"/>
          </w:tcPr>
          <w:p>
            <w:pPr>
              <w:spacing w:after="0"/>
              <w:rPr>
                <w:sz w:val="11"/>
                <w:szCs w:val="11"/>
                <w:color w:val="auto"/>
              </w:rPr>
            </w:pPr>
          </w:p>
        </w:tc>
        <w:tc>
          <w:tcPr>
            <w:tcW w:w="900" w:type="dxa"/>
            <w:vAlign w:val="bottom"/>
            <w:gridSpan w:val="2"/>
            <w:vMerge w:val="restart"/>
          </w:tcPr>
          <w:p>
            <w:pPr>
              <w:jc w:val="right"/>
              <w:ind w:right="1"/>
              <w:spacing w:after="0"/>
              <w:rPr>
                <w:sz w:val="20"/>
                <w:szCs w:val="20"/>
                <w:color w:val="auto"/>
              </w:rPr>
            </w:pPr>
            <w:r>
              <w:rPr>
                <w:rFonts w:ascii="Arial" w:cs="Arial" w:eastAsia="Arial" w:hAnsi="Arial"/>
                <w:sz w:val="13"/>
                <w:szCs w:val="13"/>
                <w:b w:val="1"/>
                <w:bCs w:val="1"/>
                <w:color w:val="auto"/>
                <w:w w:val="97"/>
              </w:rPr>
              <w:t>Dealer Loans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60"/>
              <w:spacing w:after="0" w:line="133" w:lineRule="exact"/>
              <w:rPr>
                <w:sz w:val="20"/>
                <w:szCs w:val="20"/>
                <w:color w:val="auto"/>
              </w:rPr>
            </w:pPr>
            <w:r>
              <w:rPr>
                <w:rFonts w:ascii="Arial" w:cs="Arial" w:eastAsia="Arial" w:hAnsi="Arial"/>
                <w:sz w:val="13"/>
                <w:szCs w:val="13"/>
                <w:b w:val="1"/>
                <w:bCs w:val="1"/>
                <w:color w:val="auto"/>
                <w:w w:val="87"/>
              </w:rPr>
              <w:t>Purchased</w:t>
            </w:r>
          </w:p>
        </w:tc>
        <w:tc>
          <w:tcPr>
            <w:tcW w:w="200" w:type="dxa"/>
            <w:vAlign w:val="bottom"/>
          </w:tcPr>
          <w:p>
            <w:pPr>
              <w:spacing w:after="0"/>
              <w:rPr>
                <w:sz w:val="11"/>
                <w:szCs w:val="11"/>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Total</w:t>
            </w:r>
          </w:p>
        </w:tc>
        <w:tc>
          <w:tcPr>
            <w:tcW w:w="100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Dealer Loans</w:t>
            </w:r>
          </w:p>
        </w:tc>
        <w:tc>
          <w:tcPr>
            <w:tcW w:w="160" w:type="dxa"/>
            <w:vAlign w:val="bottom"/>
          </w:tcPr>
          <w:p>
            <w:pPr>
              <w:spacing w:after="0"/>
              <w:rPr>
                <w:sz w:val="11"/>
                <w:szCs w:val="11"/>
                <w:color w:val="auto"/>
              </w:rPr>
            </w:pPr>
          </w:p>
        </w:tc>
        <w:tc>
          <w:tcPr>
            <w:tcW w:w="940" w:type="dxa"/>
            <w:vAlign w:val="bottom"/>
            <w:gridSpan w:val="2"/>
          </w:tcPr>
          <w:p>
            <w:pPr>
              <w:jc w:val="center"/>
              <w:ind w:right="280"/>
              <w:spacing w:after="0" w:line="133" w:lineRule="exact"/>
              <w:rPr>
                <w:sz w:val="20"/>
                <w:szCs w:val="20"/>
                <w:color w:val="auto"/>
              </w:rPr>
            </w:pPr>
            <w:r>
              <w:rPr>
                <w:rFonts w:ascii="Arial" w:cs="Arial" w:eastAsia="Arial" w:hAnsi="Arial"/>
                <w:sz w:val="13"/>
                <w:szCs w:val="13"/>
                <w:b w:val="1"/>
                <w:bCs w:val="1"/>
                <w:color w:val="auto"/>
                <w:w w:val="87"/>
              </w:rPr>
              <w:t>Purchased</w:t>
            </w:r>
          </w:p>
        </w:tc>
        <w:tc>
          <w:tcPr>
            <w:tcW w:w="260" w:type="dxa"/>
            <w:vAlign w:val="bottom"/>
          </w:tcPr>
          <w:p>
            <w:pPr>
              <w:spacing w:after="0"/>
              <w:rPr>
                <w:sz w:val="11"/>
                <w:szCs w:val="11"/>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Total</w:t>
            </w:r>
          </w:p>
        </w:tc>
        <w:tc>
          <w:tcPr>
            <w:tcW w:w="102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Dealer Loans</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3" w:lineRule="exact"/>
              <w:rPr>
                <w:sz w:val="20"/>
                <w:szCs w:val="20"/>
                <w:color w:val="auto"/>
              </w:rPr>
            </w:pPr>
            <w:r>
              <w:rPr>
                <w:rFonts w:ascii="Arial" w:cs="Arial" w:eastAsia="Arial" w:hAnsi="Arial"/>
                <w:sz w:val="13"/>
                <w:szCs w:val="13"/>
                <w:b w:val="1"/>
                <w:bCs w:val="1"/>
                <w:color w:val="auto"/>
                <w:w w:val="87"/>
              </w:rPr>
              <w:t>Purchased</w:t>
            </w:r>
          </w:p>
        </w:tc>
        <w:tc>
          <w:tcPr>
            <w:tcW w:w="200" w:type="dxa"/>
            <w:vAlign w:val="bottom"/>
          </w:tcPr>
          <w:p>
            <w:pPr>
              <w:spacing w:after="0"/>
              <w:rPr>
                <w:sz w:val="11"/>
                <w:szCs w:val="11"/>
                <w:color w:val="auto"/>
              </w:rPr>
            </w:pPr>
          </w:p>
        </w:tc>
        <w:tc>
          <w:tcPr>
            <w:tcW w:w="720" w:type="dxa"/>
            <w:vAlign w:val="bottom"/>
            <w:vMerge w:val="restart"/>
          </w:tcPr>
          <w:p>
            <w:pPr>
              <w:jc w:val="right"/>
              <w:ind w:right="24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7"/>
        </w:trPr>
        <w:tc>
          <w:tcPr>
            <w:tcW w:w="19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Loans</w:t>
            </w: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3"/>
              </w:rPr>
              <w:t>Loans</w:t>
            </w:r>
          </w:p>
        </w:tc>
        <w:tc>
          <w:tcPr>
            <w:tcW w:w="2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Loans</w:t>
            </w: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19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Balance, beginning of period</w:t>
            </w: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5,933.5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4,224.5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10,158.0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(1,727.6)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(1,555.1)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(3,282.7)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4,205.9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2,669.4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6,875.3</w:t>
            </w:r>
          </w:p>
        </w:tc>
        <w:tc>
          <w:tcPr>
            <w:tcW w:w="0" w:type="dxa"/>
            <w:vAlign w:val="bottom"/>
          </w:tcPr>
          <w:p>
            <w:pPr>
              <w:spacing w:after="0"/>
              <w:rPr>
                <w:sz w:val="1"/>
                <w:szCs w:val="1"/>
                <w:color w:val="auto"/>
              </w:rPr>
            </w:pPr>
          </w:p>
        </w:tc>
      </w:tr>
      <w:tr>
        <w:trPr>
          <w:trHeight w:val="249"/>
        </w:trPr>
        <w:tc>
          <w:tcPr>
            <w:tcW w:w="1960" w:type="dxa"/>
            <w:vAlign w:val="bottom"/>
          </w:tcPr>
          <w:p>
            <w:pPr>
              <w:ind w:left="20"/>
              <w:spacing w:after="0"/>
              <w:rPr>
                <w:sz w:val="20"/>
                <w:szCs w:val="20"/>
                <w:color w:val="auto"/>
              </w:rPr>
            </w:pPr>
            <w:r>
              <w:rPr>
                <w:rFonts w:ascii="Arial" w:cs="Arial" w:eastAsia="Arial" w:hAnsi="Arial"/>
                <w:sz w:val="16"/>
                <w:szCs w:val="16"/>
                <w:color w:val="auto"/>
              </w:rPr>
              <w:t>Finance charges</w:t>
            </w:r>
          </w:p>
        </w:tc>
        <w:tc>
          <w:tcPr>
            <w:tcW w:w="220" w:type="dxa"/>
            <w:vAlign w:val="bottom"/>
          </w:tcPr>
          <w:p>
            <w:pPr>
              <w:spacing w:after="0"/>
              <w:rPr>
                <w:sz w:val="21"/>
                <w:szCs w:val="21"/>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351.7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638.1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196.8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445.4</w:t>
            </w:r>
          </w:p>
        </w:tc>
        <w:tc>
          <w:tcPr>
            <w:tcW w:w="0" w:type="dxa"/>
            <w:vAlign w:val="bottom"/>
          </w:tcPr>
          <w:p>
            <w:pPr>
              <w:spacing w:after="0"/>
              <w:rPr>
                <w:sz w:val="1"/>
                <w:szCs w:val="1"/>
                <w:color w:val="auto"/>
              </w:rPr>
            </w:pPr>
          </w:p>
        </w:tc>
      </w:tr>
      <w:tr>
        <w:trPr>
          <w:trHeight w:val="254"/>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credit losses</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color w:val="auto"/>
              </w:rPr>
              <w:t>New Consumer Loan</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960" w:type="dxa"/>
            <w:vAlign w:val="bottom"/>
          </w:tcPr>
          <w:p>
            <w:pPr>
              <w:ind w:left="180"/>
              <w:spacing w:after="0"/>
              <w:rPr>
                <w:sz w:val="20"/>
                <w:szCs w:val="20"/>
                <w:color w:val="auto"/>
              </w:rPr>
            </w:pPr>
            <w:r>
              <w:rPr>
                <w:rFonts w:ascii="Arial" w:cs="Arial" w:eastAsia="Arial" w:hAnsi="Arial"/>
                <w:sz w:val="16"/>
                <w:szCs w:val="16"/>
                <w:color w:val="auto"/>
              </w:rPr>
              <w:t>assignments (1)</w:t>
            </w:r>
          </w:p>
        </w:tc>
        <w:tc>
          <w:tcPr>
            <w:tcW w:w="220" w:type="dxa"/>
            <w:vAlign w:val="bottom"/>
          </w:tcPr>
          <w:p>
            <w:pPr>
              <w:spacing w:after="0"/>
              <w:rPr>
                <w:sz w:val="21"/>
                <w:szCs w:val="21"/>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511.6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799.2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287.6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799.2</w:t>
            </w:r>
          </w:p>
        </w:tc>
        <w:tc>
          <w:tcPr>
            <w:tcW w:w="0" w:type="dxa"/>
            <w:vAlign w:val="bottom"/>
          </w:tcPr>
          <w:p>
            <w:pPr>
              <w:spacing w:after="0"/>
              <w:rPr>
                <w:sz w:val="1"/>
                <w:szCs w:val="1"/>
                <w:color w:val="auto"/>
              </w:rPr>
            </w:pPr>
          </w:p>
        </w:tc>
      </w:tr>
      <w:tr>
        <w:trPr>
          <w:trHeight w:val="254"/>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Collections (2)</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(1,441.0)</w:t>
            </w:r>
          </w:p>
        </w:tc>
        <w:tc>
          <w:tcPr>
            <w:tcW w:w="0" w:type="dxa"/>
            <w:vAlign w:val="bottom"/>
          </w:tcPr>
          <w:p>
            <w:pPr>
              <w:spacing w:after="0"/>
              <w:rPr>
                <w:sz w:val="1"/>
                <w:szCs w:val="1"/>
                <w:color w:val="auto"/>
              </w:rPr>
            </w:pP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color w:val="auto"/>
              </w:rPr>
              <w:t>Accelerated Dealer</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960" w:type="dxa"/>
            <w:vAlign w:val="bottom"/>
          </w:tcPr>
          <w:p>
            <w:pPr>
              <w:ind w:left="180"/>
              <w:spacing w:after="0"/>
              <w:rPr>
                <w:sz w:val="20"/>
                <w:szCs w:val="20"/>
                <w:color w:val="auto"/>
              </w:rPr>
            </w:pPr>
            <w:r>
              <w:rPr>
                <w:rFonts w:ascii="Arial" w:cs="Arial" w:eastAsia="Arial" w:hAnsi="Arial"/>
                <w:sz w:val="16"/>
                <w:szCs w:val="16"/>
                <w:color w:val="auto"/>
              </w:rPr>
              <w:t>Holdback payments</w:t>
            </w:r>
          </w:p>
        </w:tc>
        <w:tc>
          <w:tcPr>
            <w:tcW w:w="220" w:type="dxa"/>
            <w:vAlign w:val="bottom"/>
          </w:tcPr>
          <w:p>
            <w:pPr>
              <w:spacing w:after="0"/>
              <w:rPr>
                <w:sz w:val="21"/>
                <w:szCs w:val="21"/>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54"/>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Dealer Holdback payments</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49"/>
        </w:trPr>
        <w:tc>
          <w:tcPr>
            <w:tcW w:w="1960" w:type="dxa"/>
            <w:vAlign w:val="bottom"/>
          </w:tcPr>
          <w:p>
            <w:pPr>
              <w:ind w:left="20"/>
              <w:spacing w:after="0"/>
              <w:rPr>
                <w:sz w:val="20"/>
                <w:szCs w:val="20"/>
                <w:color w:val="auto"/>
              </w:rPr>
            </w:pPr>
            <w:r>
              <w:rPr>
                <w:rFonts w:ascii="Arial" w:cs="Arial" w:eastAsia="Arial" w:hAnsi="Arial"/>
                <w:sz w:val="16"/>
                <w:szCs w:val="16"/>
                <w:color w:val="auto"/>
              </w:rPr>
              <w:t>Transfers (3)</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4"/>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184.6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9"/>
        </w:trPr>
        <w:tc>
          <w:tcPr>
            <w:tcW w:w="1960" w:type="dxa"/>
            <w:vAlign w:val="bottom"/>
          </w:tcPr>
          <w:p>
            <w:pPr>
              <w:ind w:left="20"/>
              <w:spacing w:after="0"/>
              <w:rPr>
                <w:sz w:val="20"/>
                <w:szCs w:val="20"/>
                <w:color w:val="auto"/>
              </w:rPr>
            </w:pPr>
            <w:r>
              <w:rPr>
                <w:rFonts w:ascii="Arial" w:cs="Arial" w:eastAsia="Arial" w:hAnsi="Arial"/>
                <w:sz w:val="16"/>
                <w:szCs w:val="16"/>
                <w:color w:val="auto"/>
              </w:rPr>
              <w:t>Recoveries (4)</w:t>
            </w:r>
          </w:p>
        </w:tc>
        <w:tc>
          <w:tcPr>
            <w:tcW w:w="220" w:type="dxa"/>
            <w:vAlign w:val="bottom"/>
          </w:tcPr>
          <w:p>
            <w:pPr>
              <w:spacing w:after="0"/>
              <w:rPr>
                <w:sz w:val="21"/>
                <w:szCs w:val="21"/>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196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9"/>
              </w:rPr>
              <w:t>Deferral of Loan origination</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costs</w:t>
            </w: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8"/>
        </w:trPr>
        <w:tc>
          <w:tcPr>
            <w:tcW w:w="196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220" w:type="dxa"/>
            <w:vAlign w:val="bottom"/>
          </w:tcPr>
          <w:p>
            <w:pPr>
              <w:jc w:val="right"/>
              <w:ind w:right="46"/>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5,869.3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4,097.2</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9,966.5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(1,733.4)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(1,465.0)</w:t>
            </w:r>
          </w:p>
        </w:tc>
        <w:tc>
          <w:tcPr>
            <w:tcW w:w="10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0"/>
              </w:rPr>
              <w:t>(3,198.4)</w:t>
            </w:r>
          </w:p>
        </w:tc>
        <w:tc>
          <w:tcPr>
            <w:tcW w:w="120" w:type="dxa"/>
            <w:vAlign w:val="bottom"/>
          </w:tcPr>
          <w:p>
            <w:pPr>
              <w:spacing w:after="0"/>
              <w:rPr>
                <w:sz w:val="17"/>
                <w:szCs w:val="17"/>
                <w:color w:val="auto"/>
              </w:rPr>
            </w:pPr>
          </w:p>
        </w:tc>
        <w:tc>
          <w:tcPr>
            <w:tcW w:w="220" w:type="dxa"/>
            <w:vAlign w:val="bottom"/>
          </w:tcPr>
          <w:p>
            <w:pPr>
              <w:jc w:val="right"/>
              <w:ind w:right="46"/>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4,135.9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2,632.2</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6,768.1</w:t>
            </w: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9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14"/>
                <w:szCs w:val="14"/>
                <w:b w:val="1"/>
                <w:bCs w:val="1"/>
                <w:color w:val="auto"/>
                <w:w w:val="91"/>
              </w:rPr>
              <w:t>For the Six Months Ended June 30, 2022</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9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Loans Receivable</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center"/>
              <w:ind w:left="463"/>
              <w:spacing w:after="0"/>
              <w:rPr>
                <w:sz w:val="20"/>
                <w:szCs w:val="20"/>
                <w:color w:val="auto"/>
              </w:rPr>
            </w:pPr>
            <w:r>
              <w:rPr>
                <w:rFonts w:ascii="Arial" w:cs="Arial" w:eastAsia="Arial" w:hAnsi="Arial"/>
                <w:sz w:val="14"/>
                <w:szCs w:val="14"/>
                <w:b w:val="1"/>
                <w:bCs w:val="1"/>
                <w:color w:val="auto"/>
                <w:w w:val="90"/>
              </w:rPr>
              <w:t>Allowance for Credit Losses</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center"/>
              <w:ind w:left="562"/>
              <w:spacing w:after="0"/>
              <w:rPr>
                <w:sz w:val="20"/>
                <w:szCs w:val="20"/>
                <w:color w:val="auto"/>
              </w:rPr>
            </w:pPr>
            <w:r>
              <w:rPr>
                <w:rFonts w:ascii="Arial" w:cs="Arial" w:eastAsia="Arial" w:hAnsi="Arial"/>
                <w:sz w:val="14"/>
                <w:szCs w:val="14"/>
                <w:b w:val="1"/>
                <w:bCs w:val="1"/>
                <w:color w:val="auto"/>
                <w:w w:val="90"/>
              </w:rPr>
              <w:t>Loans Receivable, Net</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ind w:right="22"/>
              <w:spacing w:after="0"/>
              <w:rPr>
                <w:sz w:val="20"/>
                <w:szCs w:val="20"/>
                <w:color w:val="auto"/>
              </w:rPr>
            </w:pPr>
            <w:r>
              <w:rPr>
                <w:rFonts w:ascii="Arial" w:cs="Arial" w:eastAsia="Arial" w:hAnsi="Arial"/>
                <w:sz w:val="13"/>
                <w:szCs w:val="13"/>
                <w:b w:val="1"/>
                <w:bCs w:val="1"/>
                <w:color w:val="auto"/>
                <w:w w:val="85"/>
              </w:rPr>
              <w:t>Dealer Loans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20"/>
              <w:spacing w:after="0" w:line="133" w:lineRule="exact"/>
              <w:rPr>
                <w:sz w:val="20"/>
                <w:szCs w:val="20"/>
                <w:color w:val="auto"/>
              </w:rPr>
            </w:pPr>
            <w:r>
              <w:rPr>
                <w:rFonts w:ascii="Arial" w:cs="Arial" w:eastAsia="Arial" w:hAnsi="Arial"/>
                <w:sz w:val="13"/>
                <w:szCs w:val="13"/>
                <w:b w:val="1"/>
                <w:bCs w:val="1"/>
                <w:color w:val="auto"/>
                <w:w w:val="87"/>
              </w:rPr>
              <w:t>Purchased</w:t>
            </w:r>
          </w:p>
        </w:tc>
        <w:tc>
          <w:tcPr>
            <w:tcW w:w="220" w:type="dxa"/>
            <w:vAlign w:val="bottom"/>
          </w:tcPr>
          <w:p>
            <w:pPr>
              <w:spacing w:after="0"/>
              <w:rPr>
                <w:sz w:val="11"/>
                <w:szCs w:val="11"/>
                <w:color w:val="auto"/>
              </w:rPr>
            </w:pPr>
          </w:p>
        </w:tc>
        <w:tc>
          <w:tcPr>
            <w:tcW w:w="720" w:type="dxa"/>
            <w:vAlign w:val="bottom"/>
            <w:vMerge w:val="restart"/>
          </w:tcPr>
          <w:p>
            <w:pPr>
              <w:jc w:val="right"/>
              <w:ind w:right="242"/>
              <w:spacing w:after="0"/>
              <w:rPr>
                <w:sz w:val="20"/>
                <w:szCs w:val="20"/>
                <w:color w:val="auto"/>
              </w:rPr>
            </w:pPr>
            <w:r>
              <w:rPr>
                <w:rFonts w:ascii="Arial" w:cs="Arial" w:eastAsia="Arial" w:hAnsi="Arial"/>
                <w:sz w:val="13"/>
                <w:szCs w:val="13"/>
                <w:b w:val="1"/>
                <w:bCs w:val="1"/>
                <w:color w:val="auto"/>
              </w:rPr>
              <w:t>Total</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ind w:right="23"/>
              <w:spacing w:after="0"/>
              <w:rPr>
                <w:sz w:val="20"/>
                <w:szCs w:val="20"/>
                <w:color w:val="auto"/>
              </w:rPr>
            </w:pPr>
            <w:r>
              <w:rPr>
                <w:rFonts w:ascii="Arial" w:cs="Arial" w:eastAsia="Arial" w:hAnsi="Arial"/>
                <w:sz w:val="13"/>
                <w:szCs w:val="13"/>
                <w:b w:val="1"/>
                <w:bCs w:val="1"/>
                <w:color w:val="auto"/>
                <w:w w:val="88"/>
              </w:rPr>
              <w:t>Dealer Loans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20"/>
              <w:spacing w:after="0" w:line="133" w:lineRule="exact"/>
              <w:rPr>
                <w:sz w:val="20"/>
                <w:szCs w:val="20"/>
                <w:color w:val="auto"/>
              </w:rPr>
            </w:pPr>
            <w:r>
              <w:rPr>
                <w:rFonts w:ascii="Arial" w:cs="Arial" w:eastAsia="Arial" w:hAnsi="Arial"/>
                <w:sz w:val="13"/>
                <w:szCs w:val="13"/>
                <w:b w:val="1"/>
                <w:bCs w:val="1"/>
                <w:color w:val="auto"/>
                <w:w w:val="87"/>
              </w:rPr>
              <w:t>Purchased</w:t>
            </w:r>
          </w:p>
        </w:tc>
        <w:tc>
          <w:tcPr>
            <w:tcW w:w="320" w:type="dxa"/>
            <w:vAlign w:val="bottom"/>
          </w:tcPr>
          <w:p>
            <w:pPr>
              <w:spacing w:after="0"/>
              <w:rPr>
                <w:sz w:val="11"/>
                <w:szCs w:val="11"/>
                <w:color w:val="auto"/>
              </w:rPr>
            </w:pPr>
          </w:p>
        </w:tc>
        <w:tc>
          <w:tcPr>
            <w:tcW w:w="620" w:type="dxa"/>
            <w:vAlign w:val="bottom"/>
            <w:vMerge w:val="restart"/>
          </w:tcPr>
          <w:p>
            <w:pPr>
              <w:jc w:val="right"/>
              <w:ind w:right="242"/>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ind w:right="22"/>
              <w:spacing w:after="0"/>
              <w:rPr>
                <w:sz w:val="20"/>
                <w:szCs w:val="20"/>
                <w:color w:val="auto"/>
              </w:rPr>
            </w:pPr>
            <w:r>
              <w:rPr>
                <w:rFonts w:ascii="Arial" w:cs="Arial" w:eastAsia="Arial" w:hAnsi="Arial"/>
                <w:sz w:val="13"/>
                <w:szCs w:val="13"/>
                <w:b w:val="1"/>
                <w:bCs w:val="1"/>
                <w:color w:val="auto"/>
                <w:w w:val="88"/>
              </w:rPr>
              <w:t>Dealer Loans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20"/>
              <w:spacing w:after="0" w:line="133" w:lineRule="exact"/>
              <w:rPr>
                <w:sz w:val="20"/>
                <w:szCs w:val="20"/>
                <w:color w:val="auto"/>
              </w:rPr>
            </w:pPr>
            <w:r>
              <w:rPr>
                <w:rFonts w:ascii="Arial" w:cs="Arial" w:eastAsia="Arial" w:hAnsi="Arial"/>
                <w:sz w:val="13"/>
                <w:szCs w:val="13"/>
                <w:b w:val="1"/>
                <w:bCs w:val="1"/>
                <w:color w:val="auto"/>
                <w:w w:val="87"/>
              </w:rPr>
              <w:t>Purchased</w:t>
            </w:r>
          </w:p>
        </w:tc>
        <w:tc>
          <w:tcPr>
            <w:tcW w:w="220" w:type="dxa"/>
            <w:vAlign w:val="bottom"/>
          </w:tcPr>
          <w:p>
            <w:pPr>
              <w:spacing w:after="0"/>
              <w:rPr>
                <w:sz w:val="11"/>
                <w:szCs w:val="11"/>
                <w:color w:val="auto"/>
              </w:rPr>
            </w:pPr>
          </w:p>
        </w:tc>
        <w:tc>
          <w:tcPr>
            <w:tcW w:w="720" w:type="dxa"/>
            <w:vAlign w:val="bottom"/>
            <w:vMerge w:val="restart"/>
          </w:tcPr>
          <w:p>
            <w:pPr>
              <w:jc w:val="right"/>
              <w:ind w:right="24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5"/>
        </w:trPr>
        <w:tc>
          <w:tcPr>
            <w:tcW w:w="19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88"/>
              </w:rPr>
              <w:t>Loans</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88"/>
              </w:rPr>
              <w:t>Loans</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88"/>
              </w:rPr>
              <w:t>Loans</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Balance,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3,694.7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(3,013.5)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2,449.0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6,336.3</w:t>
            </w:r>
          </w:p>
        </w:tc>
        <w:tc>
          <w:tcPr>
            <w:tcW w:w="0" w:type="dxa"/>
            <w:vAlign w:val="bottom"/>
          </w:tcPr>
          <w:p>
            <w:pPr>
              <w:spacing w:after="0"/>
              <w:rPr>
                <w:sz w:val="1"/>
                <w:szCs w:val="1"/>
                <w:color w:val="auto"/>
              </w:rPr>
            </w:pPr>
          </w:p>
        </w:tc>
      </w:tr>
      <w:tr>
        <w:trPr>
          <w:trHeight w:val="210"/>
        </w:trPr>
        <w:tc>
          <w:tcPr>
            <w:tcW w:w="1960" w:type="dxa"/>
            <w:vAlign w:val="bottom"/>
          </w:tcPr>
          <w:p>
            <w:pPr>
              <w:ind w:left="20"/>
              <w:spacing w:after="0"/>
              <w:rPr>
                <w:sz w:val="20"/>
                <w:szCs w:val="20"/>
                <w:color w:val="auto"/>
              </w:rPr>
            </w:pPr>
            <w:r>
              <w:rPr>
                <w:rFonts w:ascii="Arial" w:cs="Arial" w:eastAsia="Arial" w:hAnsi="Arial"/>
                <w:sz w:val="16"/>
                <w:szCs w:val="16"/>
                <w:color w:val="auto"/>
              </w:rPr>
              <w:t>Finance charges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519.8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1,199.1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382.4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849.7</w:t>
            </w:r>
          </w:p>
        </w:tc>
        <w:tc>
          <w:tcPr>
            <w:tcW w:w="0" w:type="dxa"/>
            <w:vAlign w:val="bottom"/>
          </w:tcPr>
          <w:p>
            <w:pPr>
              <w:spacing w:after="0"/>
              <w:rPr>
                <w:sz w:val="1"/>
                <w:szCs w:val="1"/>
                <w:color w:val="auto"/>
              </w:rPr>
            </w:pPr>
          </w:p>
        </w:tc>
      </w:tr>
      <w:tr>
        <w:trPr>
          <w:trHeight w:val="214"/>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credit losses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(170.8)</w:t>
            </w:r>
          </w:p>
        </w:tc>
        <w:tc>
          <w:tcPr>
            <w:tcW w:w="0" w:type="dxa"/>
            <w:vAlign w:val="bottom"/>
          </w:tcPr>
          <w:p>
            <w:pPr>
              <w:spacing w:after="0"/>
              <w:rPr>
                <w:sz w:val="1"/>
                <w:szCs w:val="1"/>
                <w:color w:val="auto"/>
              </w:rPr>
            </w:pP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color w:val="auto"/>
              </w:rPr>
              <w:t>New Consumer Loan</w:t>
            </w: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1,320.0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ind w:right="3"/>
              <w:spacing w:after="0"/>
              <w:rPr>
                <w:sz w:val="20"/>
                <w:szCs w:val="20"/>
                <w:color w:val="auto"/>
              </w:rPr>
            </w:pPr>
            <w:r>
              <w:rPr>
                <w:rFonts w:ascii="Arial" w:cs="Arial" w:eastAsia="Arial" w:hAnsi="Arial"/>
                <w:sz w:val="16"/>
                <w:szCs w:val="16"/>
                <w:color w:val="auto"/>
              </w:rPr>
              <w:t>578.4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1,898.4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1,320.0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ind w:right="3"/>
              <w:spacing w:after="0"/>
              <w:rPr>
                <w:sz w:val="20"/>
                <w:szCs w:val="20"/>
                <w:color w:val="auto"/>
              </w:rPr>
            </w:pPr>
            <w:r>
              <w:rPr>
                <w:rFonts w:ascii="Arial" w:cs="Arial" w:eastAsia="Arial" w:hAnsi="Arial"/>
                <w:sz w:val="16"/>
                <w:szCs w:val="16"/>
                <w:color w:val="auto"/>
              </w:rPr>
              <w:t>578.4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1,898.4</w:t>
            </w:r>
          </w:p>
        </w:tc>
        <w:tc>
          <w:tcPr>
            <w:tcW w:w="0" w:type="dxa"/>
            <w:vAlign w:val="bottom"/>
          </w:tcPr>
          <w:p>
            <w:pPr>
              <w:spacing w:after="0"/>
              <w:rPr>
                <w:sz w:val="1"/>
                <w:szCs w:val="1"/>
                <w:color w:val="auto"/>
              </w:rPr>
            </w:pPr>
          </w:p>
        </w:tc>
      </w:tr>
      <w:tr>
        <w:trPr>
          <w:trHeight w:val="206"/>
        </w:trPr>
        <w:tc>
          <w:tcPr>
            <w:tcW w:w="1960" w:type="dxa"/>
            <w:vAlign w:val="bottom"/>
          </w:tcPr>
          <w:p>
            <w:pPr>
              <w:ind w:left="20"/>
              <w:spacing w:after="0"/>
              <w:rPr>
                <w:sz w:val="20"/>
                <w:szCs w:val="20"/>
                <w:color w:val="auto"/>
              </w:rPr>
            </w:pPr>
            <w:r>
              <w:rPr>
                <w:rFonts w:ascii="Arial" w:cs="Arial" w:eastAsia="Arial" w:hAnsi="Arial"/>
                <w:sz w:val="16"/>
                <w:szCs w:val="16"/>
                <w:color w:val="auto"/>
              </w:rPr>
              <w:t>assignments (1)</w:t>
            </w: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Collections (2)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(2,709.6)</w:t>
            </w:r>
          </w:p>
        </w:tc>
        <w:tc>
          <w:tcPr>
            <w:tcW w:w="0" w:type="dxa"/>
            <w:vAlign w:val="bottom"/>
          </w:tcPr>
          <w:p>
            <w:pPr>
              <w:spacing w:after="0"/>
              <w:rPr>
                <w:sz w:val="1"/>
                <w:szCs w:val="1"/>
                <w:color w:val="auto"/>
              </w:rPr>
            </w:pP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color w:val="auto"/>
                <w:w w:val="92"/>
              </w:rPr>
              <w:t>Accelerated Dealer Holdback</w:t>
            </w: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06"/>
        </w:trPr>
        <w:tc>
          <w:tcPr>
            <w:tcW w:w="1960" w:type="dxa"/>
            <w:vAlign w:val="bottom"/>
          </w:tcPr>
          <w:p>
            <w:pPr>
              <w:ind w:left="20"/>
              <w:spacing w:after="0"/>
              <w:rPr>
                <w:sz w:val="20"/>
                <w:szCs w:val="20"/>
                <w:color w:val="auto"/>
              </w:rPr>
            </w:pPr>
            <w:r>
              <w:rPr>
                <w:rFonts w:ascii="Arial" w:cs="Arial" w:eastAsia="Arial" w:hAnsi="Arial"/>
                <w:sz w:val="16"/>
                <w:szCs w:val="16"/>
                <w:color w:val="auto"/>
              </w:rPr>
              <w:t>payments</w:t>
            </w: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Dealer Holdback payments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0" w:type="dxa"/>
            <w:vAlign w:val="bottom"/>
          </w:tcPr>
          <w:p>
            <w:pPr>
              <w:spacing w:after="0"/>
              <w:rPr>
                <w:sz w:val="1"/>
                <w:szCs w:val="1"/>
                <w:color w:val="auto"/>
              </w:rPr>
            </w:pPr>
          </w:p>
        </w:tc>
      </w:tr>
      <w:tr>
        <w:trPr>
          <w:trHeight w:val="209"/>
        </w:trPr>
        <w:tc>
          <w:tcPr>
            <w:tcW w:w="1960" w:type="dxa"/>
            <w:vAlign w:val="bottom"/>
          </w:tcPr>
          <w:p>
            <w:pPr>
              <w:ind w:left="20"/>
              <w:spacing w:after="0"/>
              <w:rPr>
                <w:sz w:val="20"/>
                <w:szCs w:val="20"/>
                <w:color w:val="auto"/>
              </w:rPr>
            </w:pPr>
            <w:r>
              <w:rPr>
                <w:rFonts w:ascii="Arial" w:cs="Arial" w:eastAsia="Arial" w:hAnsi="Arial"/>
                <w:sz w:val="16"/>
                <w:szCs w:val="16"/>
                <w:color w:val="auto"/>
              </w:rPr>
              <w:t>Transfers (3)</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43.2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32.6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469.1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960" w:type="dxa"/>
            <w:vAlign w:val="bottom"/>
          </w:tcPr>
          <w:p>
            <w:pPr>
              <w:ind w:left="20"/>
              <w:spacing w:after="0"/>
              <w:rPr>
                <w:sz w:val="20"/>
                <w:szCs w:val="20"/>
                <w:color w:val="auto"/>
              </w:rPr>
            </w:pPr>
            <w:r>
              <w:rPr>
                <w:rFonts w:ascii="Arial" w:cs="Arial" w:eastAsia="Arial" w:hAnsi="Arial"/>
                <w:sz w:val="16"/>
                <w:szCs w:val="16"/>
                <w:color w:val="auto"/>
              </w:rPr>
              <w:t>Recoveries (4)</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196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9"/>
              </w:rPr>
              <w:t>Deferral of Loan origination</w:t>
            </w: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2"/>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costs</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vMerge w:val="continue"/>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vMerge w:val="continue"/>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vMerge w:val="continue"/>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6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5,832.9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3,357.7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9,190.6</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(1,844.8)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(1,022.1)</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(2,866.9)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3,988.1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2,335.6</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6,323.7</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19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14"/>
                <w:szCs w:val="14"/>
                <w:b w:val="1"/>
                <w:bCs w:val="1"/>
                <w:color w:val="auto"/>
                <w:w w:val="91"/>
              </w:rPr>
              <w:t>For the Six Months Ended June 30, 2021</w:t>
            </w: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9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Loans Receivable</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center"/>
              <w:ind w:left="463"/>
              <w:spacing w:after="0"/>
              <w:rPr>
                <w:sz w:val="20"/>
                <w:szCs w:val="20"/>
                <w:color w:val="auto"/>
              </w:rPr>
            </w:pPr>
            <w:r>
              <w:rPr>
                <w:rFonts w:ascii="Arial" w:cs="Arial" w:eastAsia="Arial" w:hAnsi="Arial"/>
                <w:sz w:val="14"/>
                <w:szCs w:val="14"/>
                <w:b w:val="1"/>
                <w:bCs w:val="1"/>
                <w:color w:val="auto"/>
                <w:w w:val="90"/>
              </w:rPr>
              <w:t>Allowance for Credit Losses</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center"/>
              <w:ind w:left="562"/>
              <w:spacing w:after="0"/>
              <w:rPr>
                <w:sz w:val="20"/>
                <w:szCs w:val="20"/>
                <w:color w:val="auto"/>
              </w:rPr>
            </w:pPr>
            <w:r>
              <w:rPr>
                <w:rFonts w:ascii="Arial" w:cs="Arial" w:eastAsia="Arial" w:hAnsi="Arial"/>
                <w:sz w:val="14"/>
                <w:szCs w:val="14"/>
                <w:b w:val="1"/>
                <w:bCs w:val="1"/>
                <w:color w:val="auto"/>
                <w:w w:val="90"/>
              </w:rPr>
              <w:t>Loans Receivable, Net</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ind w:right="22"/>
              <w:spacing w:after="0"/>
              <w:rPr>
                <w:sz w:val="20"/>
                <w:szCs w:val="20"/>
                <w:color w:val="auto"/>
              </w:rPr>
            </w:pPr>
            <w:r>
              <w:rPr>
                <w:rFonts w:ascii="Arial" w:cs="Arial" w:eastAsia="Arial" w:hAnsi="Arial"/>
                <w:sz w:val="13"/>
                <w:szCs w:val="13"/>
                <w:b w:val="1"/>
                <w:bCs w:val="1"/>
                <w:color w:val="auto"/>
                <w:w w:val="85"/>
              </w:rPr>
              <w:t>Dealer Loans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20"/>
              <w:spacing w:after="0" w:line="133" w:lineRule="exact"/>
              <w:rPr>
                <w:sz w:val="20"/>
                <w:szCs w:val="20"/>
                <w:color w:val="auto"/>
              </w:rPr>
            </w:pPr>
            <w:r>
              <w:rPr>
                <w:rFonts w:ascii="Arial" w:cs="Arial" w:eastAsia="Arial" w:hAnsi="Arial"/>
                <w:sz w:val="13"/>
                <w:szCs w:val="13"/>
                <w:b w:val="1"/>
                <w:bCs w:val="1"/>
                <w:color w:val="auto"/>
                <w:w w:val="87"/>
              </w:rPr>
              <w:t>Purchased</w:t>
            </w:r>
          </w:p>
        </w:tc>
        <w:tc>
          <w:tcPr>
            <w:tcW w:w="220" w:type="dxa"/>
            <w:vAlign w:val="bottom"/>
          </w:tcPr>
          <w:p>
            <w:pPr>
              <w:spacing w:after="0"/>
              <w:rPr>
                <w:sz w:val="11"/>
                <w:szCs w:val="11"/>
                <w:color w:val="auto"/>
              </w:rPr>
            </w:pPr>
          </w:p>
        </w:tc>
        <w:tc>
          <w:tcPr>
            <w:tcW w:w="720" w:type="dxa"/>
            <w:vAlign w:val="bottom"/>
            <w:vMerge w:val="restart"/>
          </w:tcPr>
          <w:p>
            <w:pPr>
              <w:jc w:val="right"/>
              <w:ind w:right="242"/>
              <w:spacing w:after="0"/>
              <w:rPr>
                <w:sz w:val="20"/>
                <w:szCs w:val="20"/>
                <w:color w:val="auto"/>
              </w:rPr>
            </w:pPr>
            <w:r>
              <w:rPr>
                <w:rFonts w:ascii="Arial" w:cs="Arial" w:eastAsia="Arial" w:hAnsi="Arial"/>
                <w:sz w:val="13"/>
                <w:szCs w:val="13"/>
                <w:b w:val="1"/>
                <w:bCs w:val="1"/>
                <w:color w:val="auto"/>
              </w:rPr>
              <w:t>Total</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ind w:right="23"/>
              <w:spacing w:after="0"/>
              <w:rPr>
                <w:sz w:val="20"/>
                <w:szCs w:val="20"/>
                <w:color w:val="auto"/>
              </w:rPr>
            </w:pPr>
            <w:r>
              <w:rPr>
                <w:rFonts w:ascii="Arial" w:cs="Arial" w:eastAsia="Arial" w:hAnsi="Arial"/>
                <w:sz w:val="13"/>
                <w:szCs w:val="13"/>
                <w:b w:val="1"/>
                <w:bCs w:val="1"/>
                <w:color w:val="auto"/>
                <w:w w:val="88"/>
              </w:rPr>
              <w:t>Dealer Loans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20"/>
              <w:spacing w:after="0" w:line="133" w:lineRule="exact"/>
              <w:rPr>
                <w:sz w:val="20"/>
                <w:szCs w:val="20"/>
                <w:color w:val="auto"/>
              </w:rPr>
            </w:pPr>
            <w:r>
              <w:rPr>
                <w:rFonts w:ascii="Arial" w:cs="Arial" w:eastAsia="Arial" w:hAnsi="Arial"/>
                <w:sz w:val="13"/>
                <w:szCs w:val="13"/>
                <w:b w:val="1"/>
                <w:bCs w:val="1"/>
                <w:color w:val="auto"/>
                <w:w w:val="87"/>
              </w:rPr>
              <w:t>Purchased</w:t>
            </w:r>
          </w:p>
        </w:tc>
        <w:tc>
          <w:tcPr>
            <w:tcW w:w="320" w:type="dxa"/>
            <w:vAlign w:val="bottom"/>
          </w:tcPr>
          <w:p>
            <w:pPr>
              <w:spacing w:after="0"/>
              <w:rPr>
                <w:sz w:val="11"/>
                <w:szCs w:val="11"/>
                <w:color w:val="auto"/>
              </w:rPr>
            </w:pPr>
          </w:p>
        </w:tc>
        <w:tc>
          <w:tcPr>
            <w:tcW w:w="620" w:type="dxa"/>
            <w:vAlign w:val="bottom"/>
            <w:vMerge w:val="restart"/>
          </w:tcPr>
          <w:p>
            <w:pPr>
              <w:jc w:val="right"/>
              <w:ind w:right="242"/>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ind w:right="22"/>
              <w:spacing w:after="0"/>
              <w:rPr>
                <w:sz w:val="20"/>
                <w:szCs w:val="20"/>
                <w:color w:val="auto"/>
              </w:rPr>
            </w:pPr>
            <w:r>
              <w:rPr>
                <w:rFonts w:ascii="Arial" w:cs="Arial" w:eastAsia="Arial" w:hAnsi="Arial"/>
                <w:sz w:val="13"/>
                <w:szCs w:val="13"/>
                <w:b w:val="1"/>
                <w:bCs w:val="1"/>
                <w:color w:val="auto"/>
                <w:w w:val="88"/>
              </w:rPr>
              <w:t>Dealer Loans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20"/>
              <w:spacing w:after="0" w:line="133" w:lineRule="exact"/>
              <w:rPr>
                <w:sz w:val="20"/>
                <w:szCs w:val="20"/>
                <w:color w:val="auto"/>
              </w:rPr>
            </w:pPr>
            <w:r>
              <w:rPr>
                <w:rFonts w:ascii="Arial" w:cs="Arial" w:eastAsia="Arial" w:hAnsi="Arial"/>
                <w:sz w:val="13"/>
                <w:szCs w:val="13"/>
                <w:b w:val="1"/>
                <w:bCs w:val="1"/>
                <w:color w:val="auto"/>
                <w:w w:val="87"/>
              </w:rPr>
              <w:t>Purchased</w:t>
            </w:r>
          </w:p>
        </w:tc>
        <w:tc>
          <w:tcPr>
            <w:tcW w:w="220" w:type="dxa"/>
            <w:vAlign w:val="bottom"/>
          </w:tcPr>
          <w:p>
            <w:pPr>
              <w:spacing w:after="0"/>
              <w:rPr>
                <w:sz w:val="11"/>
                <w:szCs w:val="11"/>
                <w:color w:val="auto"/>
              </w:rPr>
            </w:pPr>
          </w:p>
        </w:tc>
        <w:tc>
          <w:tcPr>
            <w:tcW w:w="720" w:type="dxa"/>
            <w:vAlign w:val="bottom"/>
            <w:vMerge w:val="restart"/>
          </w:tcPr>
          <w:p>
            <w:pPr>
              <w:jc w:val="right"/>
              <w:ind w:right="24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5"/>
        </w:trPr>
        <w:tc>
          <w:tcPr>
            <w:tcW w:w="19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88"/>
              </w:rPr>
              <w:t>Loans</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88"/>
              </w:rPr>
              <w:t>Loans</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88"/>
              </w:rPr>
              <w:t>Loans</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Balance,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4,255.2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(3,336.9)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2,620.4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6,787.9</w:t>
            </w:r>
          </w:p>
        </w:tc>
        <w:tc>
          <w:tcPr>
            <w:tcW w:w="0" w:type="dxa"/>
            <w:vAlign w:val="bottom"/>
          </w:tcPr>
          <w:p>
            <w:pPr>
              <w:spacing w:after="0"/>
              <w:rPr>
                <w:sz w:val="1"/>
                <w:szCs w:val="1"/>
                <w:color w:val="auto"/>
              </w:rPr>
            </w:pPr>
          </w:p>
        </w:tc>
      </w:tr>
      <w:tr>
        <w:trPr>
          <w:trHeight w:val="209"/>
        </w:trPr>
        <w:tc>
          <w:tcPr>
            <w:tcW w:w="1960" w:type="dxa"/>
            <w:vAlign w:val="bottom"/>
          </w:tcPr>
          <w:p>
            <w:pPr>
              <w:ind w:left="20"/>
              <w:spacing w:after="0"/>
              <w:rPr>
                <w:sz w:val="20"/>
                <w:szCs w:val="20"/>
                <w:color w:val="auto"/>
              </w:rPr>
            </w:pPr>
            <w:r>
              <w:rPr>
                <w:rFonts w:ascii="Arial" w:cs="Arial" w:eastAsia="Arial" w:hAnsi="Arial"/>
                <w:sz w:val="16"/>
                <w:szCs w:val="16"/>
                <w:color w:val="auto"/>
              </w:rPr>
              <w:t>Finance charges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561.6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1,257.5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379.2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870.3</w:t>
            </w:r>
          </w:p>
        </w:tc>
        <w:tc>
          <w:tcPr>
            <w:tcW w:w="0" w:type="dxa"/>
            <w:vAlign w:val="bottom"/>
          </w:tcPr>
          <w:p>
            <w:pPr>
              <w:spacing w:after="0"/>
              <w:rPr>
                <w:sz w:val="1"/>
                <w:szCs w:val="1"/>
                <w:color w:val="auto"/>
              </w:rPr>
            </w:pPr>
          </w:p>
        </w:tc>
      </w:tr>
      <w:tr>
        <w:trPr>
          <w:trHeight w:val="215"/>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credit losses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color w:val="auto"/>
              </w:rPr>
              <w:t>New Consumer Loan</w:t>
            </w: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1,158.7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ind w:right="3"/>
              <w:spacing w:after="0"/>
              <w:rPr>
                <w:sz w:val="20"/>
                <w:szCs w:val="20"/>
                <w:color w:val="auto"/>
              </w:rPr>
            </w:pPr>
            <w:r>
              <w:rPr>
                <w:rFonts w:ascii="Arial" w:cs="Arial" w:eastAsia="Arial" w:hAnsi="Arial"/>
                <w:sz w:val="16"/>
                <w:szCs w:val="16"/>
                <w:color w:val="auto"/>
              </w:rPr>
              <w:t>672.8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1,831.5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1,158.7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ind w:right="3"/>
              <w:spacing w:after="0"/>
              <w:rPr>
                <w:sz w:val="20"/>
                <w:szCs w:val="20"/>
                <w:color w:val="auto"/>
              </w:rPr>
            </w:pPr>
            <w:r>
              <w:rPr>
                <w:rFonts w:ascii="Arial" w:cs="Arial" w:eastAsia="Arial" w:hAnsi="Arial"/>
                <w:sz w:val="16"/>
                <w:szCs w:val="16"/>
                <w:color w:val="auto"/>
              </w:rPr>
              <w:t>672.8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1,831.5</w:t>
            </w:r>
          </w:p>
        </w:tc>
        <w:tc>
          <w:tcPr>
            <w:tcW w:w="0" w:type="dxa"/>
            <w:vAlign w:val="bottom"/>
          </w:tcPr>
          <w:p>
            <w:pPr>
              <w:spacing w:after="0"/>
              <w:rPr>
                <w:sz w:val="1"/>
                <w:szCs w:val="1"/>
                <w:color w:val="auto"/>
              </w:rPr>
            </w:pPr>
          </w:p>
        </w:tc>
      </w:tr>
      <w:tr>
        <w:trPr>
          <w:trHeight w:val="206"/>
        </w:trPr>
        <w:tc>
          <w:tcPr>
            <w:tcW w:w="1960" w:type="dxa"/>
            <w:vAlign w:val="bottom"/>
          </w:tcPr>
          <w:p>
            <w:pPr>
              <w:ind w:left="20"/>
              <w:spacing w:after="0"/>
              <w:rPr>
                <w:sz w:val="20"/>
                <w:szCs w:val="20"/>
                <w:color w:val="auto"/>
              </w:rPr>
            </w:pPr>
            <w:r>
              <w:rPr>
                <w:rFonts w:ascii="Arial" w:cs="Arial" w:eastAsia="Arial" w:hAnsi="Arial"/>
                <w:sz w:val="16"/>
                <w:szCs w:val="16"/>
                <w:color w:val="auto"/>
              </w:rPr>
              <w:t>assignments (1)</w:t>
            </w: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Collections (2)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(2,841.1)</w:t>
            </w:r>
          </w:p>
        </w:tc>
        <w:tc>
          <w:tcPr>
            <w:tcW w:w="0" w:type="dxa"/>
            <w:vAlign w:val="bottom"/>
          </w:tcPr>
          <w:p>
            <w:pPr>
              <w:spacing w:after="0"/>
              <w:rPr>
                <w:sz w:val="1"/>
                <w:szCs w:val="1"/>
                <w:color w:val="auto"/>
              </w:rPr>
            </w:pP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color w:val="auto"/>
                <w:w w:val="92"/>
              </w:rPr>
              <w:t>Accelerated Dealer Holdback</w:t>
            </w: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06"/>
        </w:trPr>
        <w:tc>
          <w:tcPr>
            <w:tcW w:w="1960" w:type="dxa"/>
            <w:vAlign w:val="bottom"/>
          </w:tcPr>
          <w:p>
            <w:pPr>
              <w:ind w:left="20"/>
              <w:spacing w:after="0"/>
              <w:rPr>
                <w:sz w:val="20"/>
                <w:szCs w:val="20"/>
                <w:color w:val="auto"/>
              </w:rPr>
            </w:pPr>
            <w:r>
              <w:rPr>
                <w:rFonts w:ascii="Arial" w:cs="Arial" w:eastAsia="Arial" w:hAnsi="Arial"/>
                <w:sz w:val="16"/>
                <w:szCs w:val="16"/>
                <w:color w:val="auto"/>
              </w:rPr>
              <w:t>payments</w:t>
            </w: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Dealer Holdback payments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0" w:type="dxa"/>
            <w:vAlign w:val="bottom"/>
          </w:tcPr>
          <w:p>
            <w:pPr>
              <w:spacing w:after="0"/>
              <w:rPr>
                <w:sz w:val="1"/>
                <w:szCs w:val="1"/>
                <w:color w:val="auto"/>
              </w:rPr>
            </w:pPr>
          </w:p>
        </w:tc>
      </w:tr>
      <w:tr>
        <w:trPr>
          <w:trHeight w:val="210"/>
        </w:trPr>
        <w:tc>
          <w:tcPr>
            <w:tcW w:w="1960" w:type="dxa"/>
            <w:vAlign w:val="bottom"/>
          </w:tcPr>
          <w:p>
            <w:pPr>
              <w:ind w:left="20"/>
              <w:spacing w:after="0"/>
              <w:rPr>
                <w:sz w:val="20"/>
                <w:szCs w:val="20"/>
                <w:color w:val="auto"/>
              </w:rPr>
            </w:pPr>
            <w:r>
              <w:rPr>
                <w:rFonts w:ascii="Arial" w:cs="Arial" w:eastAsia="Arial" w:hAnsi="Arial"/>
                <w:sz w:val="16"/>
                <w:szCs w:val="16"/>
                <w:color w:val="auto"/>
              </w:rPr>
              <w:t>Transfers (3)</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66.9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45.8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392.6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960" w:type="dxa"/>
            <w:vAlign w:val="bottom"/>
          </w:tcPr>
          <w:p>
            <w:pPr>
              <w:ind w:left="20"/>
              <w:spacing w:after="0"/>
              <w:rPr>
                <w:sz w:val="20"/>
                <w:szCs w:val="20"/>
                <w:color w:val="auto"/>
              </w:rPr>
            </w:pPr>
            <w:r>
              <w:rPr>
                <w:rFonts w:ascii="Arial" w:cs="Arial" w:eastAsia="Arial" w:hAnsi="Arial"/>
                <w:sz w:val="16"/>
                <w:szCs w:val="16"/>
                <w:color w:val="auto"/>
              </w:rPr>
              <w:t>Recoveries (4)</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196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9"/>
              </w:rPr>
              <w:t>Deferral of Loan origination</w:t>
            </w: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2"/>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costs</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vMerge w:val="continue"/>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vMerge w:val="continue"/>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vMerge w:val="continue"/>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6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5,869.3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4,097.2</w:t>
            </w:r>
          </w:p>
        </w:tc>
        <w:tc>
          <w:tcPr>
            <w:tcW w:w="8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9,966.5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(1,733.4)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(1,465.0)</w:t>
            </w:r>
          </w:p>
        </w:tc>
        <w:tc>
          <w:tcPr>
            <w:tcW w:w="8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0"/>
              </w:rPr>
              <w:t>(3,198.4)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4,135.9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2,632.2</w:t>
            </w:r>
          </w:p>
        </w:tc>
        <w:tc>
          <w:tcPr>
            <w:tcW w:w="8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6,768.1</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ind w:left="480" w:right="20" w:hanging="315"/>
        <w:spacing w:after="0" w:line="245" w:lineRule="auto"/>
        <w:tabs>
          <w:tab w:leader="none" w:pos="472"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Dealer Loans amount represents advances paid to Dealers on Consumer Loans assigned under our Portfolio Program. The Purchased Loans amount represents one-time payments made to Dealers to purchase Consumer Loans assigned under our Purchase Program.</w:t>
      </w:r>
    </w:p>
    <w:p>
      <w:pPr>
        <w:spacing w:after="0" w:line="1" w:lineRule="exact"/>
        <w:rPr>
          <w:rFonts w:ascii="Arial" w:cs="Arial" w:eastAsia="Arial" w:hAnsi="Arial"/>
          <w:sz w:val="14"/>
          <w:szCs w:val="14"/>
          <w:color w:val="auto"/>
        </w:rPr>
      </w:pPr>
    </w:p>
    <w:p>
      <w:pPr>
        <w:ind w:left="480" w:hanging="315"/>
        <w:spacing w:after="0" w:line="237" w:lineRule="auto"/>
        <w:tabs>
          <w:tab w:leader="none" w:pos="4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repayments that we collected on Consumer Loans assigned under our programs.</w:t>
      </w:r>
    </w:p>
    <w:p>
      <w:pPr>
        <w:ind w:left="480" w:hanging="315"/>
        <w:spacing w:after="0" w:line="237" w:lineRule="auto"/>
        <w:tabs>
          <w:tab w:leader="none" w:pos="472" w:val="left"/>
        </w:tabs>
        <w:numPr>
          <w:ilvl w:val="0"/>
          <w:numId w:val="25"/>
        </w:numPr>
        <w:rPr>
          <w:rFonts w:ascii="Arial" w:cs="Arial" w:eastAsia="Arial" w:hAnsi="Arial"/>
          <w:sz w:val="14"/>
          <w:szCs w:val="14"/>
          <w:color w:val="auto"/>
        </w:rPr>
      </w:pPr>
      <w:r>
        <w:rPr>
          <w:rFonts w:ascii="Arial" w:cs="Arial" w:eastAsia="Arial" w:hAnsi="Arial"/>
          <w:sz w:val="14"/>
          <w:szCs w:val="14"/>
          <w:color w:val="auto"/>
        </w:rPr>
        <w:t>Under our Portfolio Program, certain events may result in Dealers forfeiting their rights to Dealer Holdback. We transfer the Dealer’s outstanding Dealer Loan balance and related allowance for credit losses balance to Purchased Loans in the period this forfeiture occurs.</w:t>
      </w:r>
    </w:p>
    <w:p>
      <w:pPr>
        <w:ind w:left="480" w:hanging="315"/>
        <w:spacing w:after="0" w:line="247" w:lineRule="auto"/>
        <w:tabs>
          <w:tab w:leader="none" w:pos="472"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Dealer Loans amount represents net cash flows received (collections less any related Dealer Holdback payments) on Dealer Loans that were previously written off in full. The Purchased Loans amount represents collections received on Purchased Loans that were previously written off in full.</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recognize provision for credit losses on new Consumer Loan assignments for contractual net cash flows that were not expected to be realized at the time of assignment. We also recognize provision for credit losses on forecast changes in the amount and timing of expected future net cash flows subsequent to assignment. The following table summarizes the provision for credit losses for each of these components:</w:t>
      </w:r>
    </w:p>
    <w:p>
      <w:pPr>
        <w:spacing w:after="0" w:line="85" w:lineRule="exact"/>
        <w:rPr>
          <w:sz w:val="20"/>
          <w:szCs w:val="20"/>
          <w:color w:val="auto"/>
        </w:rPr>
      </w:pPr>
    </w:p>
    <w:tbl>
      <w:tblPr>
        <w:tblLayout w:type="fixed"/>
        <w:tblInd w:w="60" w:type="dxa"/>
        <w:tblCellMar>
          <w:top w:w="0" w:type="dxa"/>
          <w:left w:w="0" w:type="dxa"/>
          <w:bottom w:w="0" w:type="dxa"/>
          <w:right w:w="0" w:type="dxa"/>
        </w:tblCellMar>
      </w:tblPr>
      <w:tr>
        <w:trPr>
          <w:trHeight w:val="224"/>
        </w:trPr>
        <w:tc>
          <w:tcPr>
            <w:tcW w:w="6020" w:type="dxa"/>
            <w:vAlign w:val="bottom"/>
          </w:tcPr>
          <w:p>
            <w:pPr>
              <w:spacing w:after="0"/>
              <w:rPr>
                <w:sz w:val="20"/>
                <w:szCs w:val="20"/>
                <w:color w:val="auto"/>
              </w:rPr>
            </w:pPr>
            <w:r>
              <w:rPr>
                <w:rFonts w:ascii="Arial" w:cs="Arial" w:eastAsia="Arial" w:hAnsi="Arial"/>
                <w:sz w:val="14"/>
                <w:szCs w:val="14"/>
                <w:color w:val="auto"/>
              </w:rPr>
              <w:t>(In millions)</w:t>
            </w:r>
          </w:p>
        </w:tc>
        <w:tc>
          <w:tcPr>
            <w:tcW w:w="12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1"/>
              </w:rPr>
              <w:t>For the Three Months Ended June 30, 2022</w:t>
            </w:r>
          </w:p>
        </w:tc>
        <w:tc>
          <w:tcPr>
            <w:tcW w:w="1120" w:type="dxa"/>
            <w:vAlign w:val="bottom"/>
            <w:tcBorders>
              <w:bottom w:val="single" w:sz="8" w:color="auto"/>
            </w:tcBorders>
          </w:tcPr>
          <w:p>
            <w:pPr>
              <w:spacing w:after="0"/>
              <w:rPr>
                <w:sz w:val="19"/>
                <w:szCs w:val="19"/>
                <w:color w:val="auto"/>
              </w:rPr>
            </w:pPr>
          </w:p>
        </w:tc>
      </w:tr>
      <w:tr>
        <w:trPr>
          <w:trHeight w:val="188"/>
        </w:trPr>
        <w:tc>
          <w:tcPr>
            <w:tcW w:w="6020" w:type="dxa"/>
            <w:vAlign w:val="bottom"/>
          </w:tcPr>
          <w:p>
            <w:pPr>
              <w:ind w:left="2160"/>
              <w:spacing w:after="0"/>
              <w:rPr>
                <w:sz w:val="20"/>
                <w:szCs w:val="20"/>
                <w:color w:val="auto"/>
              </w:rPr>
            </w:pPr>
            <w:r>
              <w:rPr>
                <w:rFonts w:ascii="Arial" w:cs="Arial" w:eastAsia="Arial" w:hAnsi="Arial"/>
                <w:sz w:val="14"/>
                <w:szCs w:val="14"/>
                <w:b w:val="1"/>
                <w:bCs w:val="1"/>
                <w:color w:val="auto"/>
              </w:rPr>
              <w:t>Provision for Credit Losses</w:t>
            </w:r>
          </w:p>
        </w:tc>
        <w:tc>
          <w:tcPr>
            <w:tcW w:w="1240" w:type="dxa"/>
            <w:vAlign w:val="bottom"/>
          </w:tcPr>
          <w:p>
            <w:pPr>
              <w:ind w:left="420"/>
              <w:spacing w:after="0"/>
              <w:rPr>
                <w:sz w:val="20"/>
                <w:szCs w:val="20"/>
                <w:color w:val="auto"/>
              </w:rPr>
            </w:pPr>
            <w:r>
              <w:rPr>
                <w:rFonts w:ascii="Arial" w:cs="Arial" w:eastAsia="Arial" w:hAnsi="Arial"/>
                <w:sz w:val="14"/>
                <w:szCs w:val="14"/>
                <w:b w:val="1"/>
                <w:bCs w:val="1"/>
                <w:color w:val="auto"/>
                <w:w w:val="90"/>
              </w:rPr>
              <w:t>Dealer Loans</w:t>
            </w:r>
          </w:p>
        </w:tc>
        <w:tc>
          <w:tcPr>
            <w:tcW w:w="2780" w:type="dxa"/>
            <w:vAlign w:val="bottom"/>
          </w:tcPr>
          <w:p>
            <w:pPr>
              <w:jc w:val="center"/>
              <w:ind w:right="69"/>
              <w:spacing w:after="0"/>
              <w:rPr>
                <w:sz w:val="20"/>
                <w:szCs w:val="20"/>
                <w:color w:val="auto"/>
              </w:rPr>
            </w:pPr>
            <w:r>
              <w:rPr>
                <w:rFonts w:ascii="Arial" w:cs="Arial" w:eastAsia="Arial" w:hAnsi="Arial"/>
                <w:sz w:val="14"/>
                <w:szCs w:val="14"/>
                <w:b w:val="1"/>
                <w:bCs w:val="1"/>
                <w:color w:val="auto"/>
                <w:w w:val="89"/>
              </w:rPr>
              <w:t>Purchased Loans</w:t>
            </w:r>
          </w:p>
        </w:tc>
        <w:tc>
          <w:tcPr>
            <w:tcW w:w="1120" w:type="dxa"/>
            <w:vAlign w:val="bottom"/>
          </w:tcPr>
          <w:p>
            <w:pPr>
              <w:ind w:left="140"/>
              <w:spacing w:after="0"/>
              <w:rPr>
                <w:sz w:val="20"/>
                <w:szCs w:val="20"/>
                <w:color w:val="auto"/>
              </w:rPr>
            </w:pPr>
            <w:r>
              <w:rPr>
                <w:rFonts w:ascii="Arial" w:cs="Arial" w:eastAsia="Arial" w:hAnsi="Arial"/>
                <w:sz w:val="14"/>
                <w:szCs w:val="14"/>
                <w:b w:val="1"/>
                <w:bCs w:val="1"/>
                <w:color w:val="auto"/>
              </w:rPr>
              <w:t>Total</w:t>
            </w: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608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New Consumer Loan assignments</w:t>
            </w: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45.6</w:t>
            </w: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Borders>
              <w:top w:val="single" w:sz="8" w:color="CCEEFF"/>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58"/>
        </w:trPr>
        <w:tc>
          <w:tcPr>
            <w:tcW w:w="608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Forecast changes</w:t>
            </w:r>
          </w:p>
        </w:tc>
        <w:tc>
          <w:tcPr>
            <w:tcW w:w="2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6080" w:type="dxa"/>
            <w:vAlign w:val="bottom"/>
          </w:tcPr>
          <w:p>
            <w:pPr>
              <w:ind w:left="6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6"/>
          </w:tcPr>
          <w:p>
            <w:pPr>
              <w:ind w:left="1000"/>
              <w:spacing w:after="0"/>
              <w:rPr>
                <w:sz w:val="20"/>
                <w:szCs w:val="20"/>
                <w:color w:val="auto"/>
              </w:rPr>
            </w:pPr>
            <w:r>
              <w:rPr>
                <w:rFonts w:ascii="Arial" w:cs="Arial" w:eastAsia="Arial" w:hAnsi="Arial"/>
                <w:sz w:val="14"/>
                <w:szCs w:val="14"/>
                <w:b w:val="1"/>
                <w:bCs w:val="1"/>
                <w:color w:val="auto"/>
                <w:w w:val="96"/>
              </w:rPr>
              <w:t>For the Three Months Ended June 30, 2021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080" w:type="dxa"/>
            <w:vAlign w:val="bottom"/>
          </w:tcPr>
          <w:p>
            <w:pPr>
              <w:ind w:left="2220"/>
              <w:spacing w:after="0"/>
              <w:rPr>
                <w:sz w:val="20"/>
                <w:szCs w:val="20"/>
                <w:color w:val="auto"/>
              </w:rPr>
            </w:pPr>
            <w:r>
              <w:rPr>
                <w:rFonts w:ascii="Arial" w:cs="Arial" w:eastAsia="Arial" w:hAnsi="Arial"/>
                <w:sz w:val="14"/>
                <w:szCs w:val="14"/>
                <w:b w:val="1"/>
                <w:bCs w:val="1"/>
                <w:color w:val="auto"/>
              </w:rPr>
              <w:t>Provision for Credit Losses</w:t>
            </w:r>
          </w:p>
        </w:tc>
        <w:tc>
          <w:tcPr>
            <w:tcW w:w="26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Dealer Loans</w:t>
            </w:r>
          </w:p>
        </w:tc>
        <w:tc>
          <w:tcPr>
            <w:tcW w:w="200" w:type="dxa"/>
            <w:vAlign w:val="bottom"/>
          </w:tcPr>
          <w:p>
            <w:pPr>
              <w:spacing w:after="0"/>
              <w:rPr>
                <w:sz w:val="16"/>
                <w:szCs w:val="16"/>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Purchased Loans</w:t>
            </w:r>
          </w:p>
        </w:tc>
        <w:tc>
          <w:tcPr>
            <w:tcW w:w="520" w:type="dxa"/>
            <w:vAlign w:val="bottom"/>
          </w:tcPr>
          <w:p>
            <w:pPr>
              <w:spacing w:after="0"/>
              <w:rPr>
                <w:sz w:val="16"/>
                <w:szCs w:val="16"/>
                <w:color w:val="auto"/>
              </w:rPr>
            </w:pPr>
          </w:p>
        </w:tc>
        <w:tc>
          <w:tcPr>
            <w:tcW w:w="1120" w:type="dxa"/>
            <w:vAlign w:val="bottom"/>
          </w:tcPr>
          <w:p>
            <w:pPr>
              <w:jc w:val="right"/>
              <w:ind w:right="5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5"/>
        </w:trPr>
        <w:tc>
          <w:tcPr>
            <w:tcW w:w="608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New Consumer Loan assignments</w:t>
            </w: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36.5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32"/>
        </w:trPr>
        <w:tc>
          <w:tcPr>
            <w:tcW w:w="608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Forecast changes</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080" w:type="dxa"/>
            <w:vAlign w:val="bottom"/>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6"/>
          </w:tcPr>
          <w:p>
            <w:pPr>
              <w:jc w:val="center"/>
              <w:ind w:left="758"/>
              <w:spacing w:after="0"/>
              <w:rPr>
                <w:sz w:val="20"/>
                <w:szCs w:val="20"/>
                <w:color w:val="auto"/>
              </w:rPr>
            </w:pPr>
            <w:r>
              <w:rPr>
                <w:rFonts w:ascii="Arial" w:cs="Arial" w:eastAsia="Arial" w:hAnsi="Arial"/>
                <w:sz w:val="14"/>
                <w:szCs w:val="14"/>
                <w:b w:val="1"/>
                <w:bCs w:val="1"/>
                <w:color w:val="auto"/>
                <w:w w:val="91"/>
              </w:rPr>
              <w:t>For the Six Months Ended June 30, 2022</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080" w:type="dxa"/>
            <w:vAlign w:val="bottom"/>
          </w:tcPr>
          <w:p>
            <w:pPr>
              <w:ind w:left="2220"/>
              <w:spacing w:after="0"/>
              <w:rPr>
                <w:sz w:val="20"/>
                <w:szCs w:val="20"/>
                <w:color w:val="auto"/>
              </w:rPr>
            </w:pPr>
            <w:r>
              <w:rPr>
                <w:rFonts w:ascii="Arial" w:cs="Arial" w:eastAsia="Arial" w:hAnsi="Arial"/>
                <w:sz w:val="14"/>
                <w:szCs w:val="14"/>
                <w:b w:val="1"/>
                <w:bCs w:val="1"/>
                <w:color w:val="auto"/>
              </w:rPr>
              <w:t>Provision for Credit Losses</w:t>
            </w:r>
          </w:p>
        </w:tc>
        <w:tc>
          <w:tcPr>
            <w:tcW w:w="26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Dealer Loans</w:t>
            </w:r>
          </w:p>
        </w:tc>
        <w:tc>
          <w:tcPr>
            <w:tcW w:w="200" w:type="dxa"/>
            <w:vAlign w:val="bottom"/>
          </w:tcPr>
          <w:p>
            <w:pPr>
              <w:spacing w:after="0"/>
              <w:rPr>
                <w:sz w:val="16"/>
                <w:szCs w:val="16"/>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Purchased Loans</w:t>
            </w:r>
          </w:p>
        </w:tc>
        <w:tc>
          <w:tcPr>
            <w:tcW w:w="520" w:type="dxa"/>
            <w:vAlign w:val="bottom"/>
          </w:tcPr>
          <w:p>
            <w:pPr>
              <w:spacing w:after="0"/>
              <w:rPr>
                <w:sz w:val="16"/>
                <w:szCs w:val="16"/>
                <w:color w:val="auto"/>
              </w:rPr>
            </w:pPr>
          </w:p>
        </w:tc>
        <w:tc>
          <w:tcPr>
            <w:tcW w:w="1120" w:type="dxa"/>
            <w:vAlign w:val="bottom"/>
          </w:tcPr>
          <w:p>
            <w:pPr>
              <w:jc w:val="right"/>
              <w:ind w:right="5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4"/>
        </w:trPr>
        <w:tc>
          <w:tcPr>
            <w:tcW w:w="60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6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New Consumer Loan assignments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58"/>
        </w:trPr>
        <w:tc>
          <w:tcPr>
            <w:tcW w:w="608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Forecast changes</w:t>
            </w:r>
          </w:p>
        </w:tc>
        <w:tc>
          <w:tcPr>
            <w:tcW w:w="2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6080" w:type="dxa"/>
            <w:vAlign w:val="bottom"/>
          </w:tcPr>
          <w:p>
            <w:pPr>
              <w:ind w:left="6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6"/>
          </w:tcPr>
          <w:p>
            <w:pPr>
              <w:jc w:val="center"/>
              <w:ind w:left="758"/>
              <w:spacing w:after="0"/>
              <w:rPr>
                <w:sz w:val="20"/>
                <w:szCs w:val="20"/>
                <w:color w:val="auto"/>
              </w:rPr>
            </w:pPr>
            <w:r>
              <w:rPr>
                <w:rFonts w:ascii="Arial" w:cs="Arial" w:eastAsia="Arial" w:hAnsi="Arial"/>
                <w:sz w:val="14"/>
                <w:szCs w:val="14"/>
                <w:b w:val="1"/>
                <w:bCs w:val="1"/>
                <w:color w:val="auto"/>
                <w:w w:val="91"/>
              </w:rPr>
              <w:t>For the Six Months Ended June 30, 2021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080" w:type="dxa"/>
            <w:vAlign w:val="bottom"/>
          </w:tcPr>
          <w:p>
            <w:pPr>
              <w:ind w:left="2220"/>
              <w:spacing w:after="0"/>
              <w:rPr>
                <w:sz w:val="20"/>
                <w:szCs w:val="20"/>
                <w:color w:val="auto"/>
              </w:rPr>
            </w:pPr>
            <w:r>
              <w:rPr>
                <w:rFonts w:ascii="Arial" w:cs="Arial" w:eastAsia="Arial" w:hAnsi="Arial"/>
                <w:sz w:val="14"/>
                <w:szCs w:val="14"/>
                <w:b w:val="1"/>
                <w:bCs w:val="1"/>
                <w:color w:val="auto"/>
              </w:rPr>
              <w:t>Provision for Credit Losses</w:t>
            </w:r>
          </w:p>
        </w:tc>
        <w:tc>
          <w:tcPr>
            <w:tcW w:w="26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Dealer Loans</w:t>
            </w:r>
          </w:p>
        </w:tc>
        <w:tc>
          <w:tcPr>
            <w:tcW w:w="200" w:type="dxa"/>
            <w:vAlign w:val="bottom"/>
          </w:tcPr>
          <w:p>
            <w:pPr>
              <w:spacing w:after="0"/>
              <w:rPr>
                <w:sz w:val="16"/>
                <w:szCs w:val="16"/>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Purchased Loans</w:t>
            </w:r>
          </w:p>
        </w:tc>
        <w:tc>
          <w:tcPr>
            <w:tcW w:w="520" w:type="dxa"/>
            <w:vAlign w:val="bottom"/>
          </w:tcPr>
          <w:p>
            <w:pPr>
              <w:spacing w:after="0"/>
              <w:rPr>
                <w:sz w:val="16"/>
                <w:szCs w:val="16"/>
                <w:color w:val="auto"/>
              </w:rPr>
            </w:pPr>
          </w:p>
        </w:tc>
        <w:tc>
          <w:tcPr>
            <w:tcW w:w="1120" w:type="dxa"/>
            <w:vAlign w:val="bottom"/>
          </w:tcPr>
          <w:p>
            <w:pPr>
              <w:jc w:val="right"/>
              <w:ind w:right="5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5"/>
        </w:trPr>
        <w:tc>
          <w:tcPr>
            <w:tcW w:w="608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New Consumer Loan assignments</w:t>
            </w: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91.2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32"/>
        </w:trPr>
        <w:tc>
          <w:tcPr>
            <w:tcW w:w="608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Forecast changes</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The net Loan income (finance charge revenue less provision for credit losses expense) that we will recognize over the life of a Loan equals the cash we collect from the underlying Consumer Loan less the cash we pay to the Dealer. Under CECL, we are required to recognize a significant provision for credit losses expense at the time of assignment for contractual net cash flows we never expect to realize and to recognize in subsequent periods finance charge revenue that is significantly in excess of our expected yields. Additional information related to new Consumer Loan assignments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60" w:type="dxa"/>
            <w:vAlign w:val="bottom"/>
          </w:tcPr>
          <w:p>
            <w:pPr>
              <w:ind w:left="60"/>
              <w:spacing w:after="0"/>
              <w:rPr>
                <w:sz w:val="20"/>
                <w:szCs w:val="20"/>
                <w:color w:val="auto"/>
              </w:rPr>
            </w:pPr>
            <w:r>
              <w:rPr>
                <w:rFonts w:ascii="Arial" w:cs="Arial" w:eastAsia="Arial" w:hAnsi="Arial"/>
                <w:sz w:val="14"/>
                <w:szCs w:val="14"/>
                <w:color w:val="auto"/>
              </w:rPr>
              <w:t>(In millions)</w:t>
            </w:r>
          </w:p>
        </w:tc>
        <w:tc>
          <w:tcPr>
            <w:tcW w:w="1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6"/>
          </w:tcPr>
          <w:p>
            <w:pPr>
              <w:jc w:val="right"/>
              <w:ind w:right="52"/>
              <w:spacing w:after="0"/>
              <w:rPr>
                <w:sz w:val="20"/>
                <w:szCs w:val="20"/>
                <w:color w:val="auto"/>
              </w:rPr>
            </w:pPr>
            <w:r>
              <w:rPr>
                <w:rFonts w:ascii="Arial" w:cs="Arial" w:eastAsia="Arial" w:hAnsi="Arial"/>
                <w:sz w:val="14"/>
                <w:szCs w:val="14"/>
                <w:b w:val="1"/>
                <w:bCs w:val="1"/>
                <w:color w:val="auto"/>
              </w:rPr>
              <w:t>For the Three Months Ended June 30, 2022</w:t>
            </w:r>
          </w:p>
        </w:tc>
        <w:tc>
          <w:tcPr>
            <w:tcW w:w="11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960" w:type="dxa"/>
            <w:vAlign w:val="bottom"/>
          </w:tcPr>
          <w:p>
            <w:pPr>
              <w:ind w:left="2000"/>
              <w:spacing w:after="0"/>
              <w:rPr>
                <w:sz w:val="20"/>
                <w:szCs w:val="20"/>
                <w:color w:val="auto"/>
              </w:rPr>
            </w:pPr>
            <w:r>
              <w:rPr>
                <w:rFonts w:ascii="Arial" w:cs="Arial" w:eastAsia="Arial" w:hAnsi="Arial"/>
                <w:sz w:val="14"/>
                <w:szCs w:val="14"/>
                <w:b w:val="1"/>
                <w:bCs w:val="1"/>
                <w:color w:val="auto"/>
              </w:rPr>
              <w:t>New Consumer Loan Assignments</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Dealer Loans</w:t>
            </w:r>
          </w:p>
        </w:tc>
        <w:tc>
          <w:tcPr>
            <w:tcW w:w="20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Purchased Loans</w:t>
            </w:r>
          </w:p>
        </w:tc>
        <w:tc>
          <w:tcPr>
            <w:tcW w:w="520" w:type="dxa"/>
            <w:vAlign w:val="bottom"/>
          </w:tcPr>
          <w:p>
            <w:pPr>
              <w:spacing w:after="0"/>
              <w:rPr>
                <w:sz w:val="16"/>
                <w:szCs w:val="16"/>
                <w:color w:val="auto"/>
              </w:rPr>
            </w:pPr>
          </w:p>
        </w:tc>
        <w:tc>
          <w:tcPr>
            <w:tcW w:w="1120" w:type="dxa"/>
            <w:vAlign w:val="bottom"/>
          </w:tcPr>
          <w:p>
            <w:pPr>
              <w:jc w:val="right"/>
              <w:ind w:right="574"/>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496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4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Contractual net cash flows at the time of assignment (1)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572.3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960" w:type="dxa"/>
            <w:vAlign w:val="bottom"/>
          </w:tcPr>
          <w:p>
            <w:pPr>
              <w:ind w:left="60"/>
              <w:spacing w:after="0"/>
              <w:rPr>
                <w:sz w:val="20"/>
                <w:szCs w:val="20"/>
                <w:color w:val="auto"/>
              </w:rPr>
            </w:pPr>
            <w:r>
              <w:rPr>
                <w:rFonts w:ascii="Arial" w:cs="Arial" w:eastAsia="Arial" w:hAnsi="Arial"/>
                <w:sz w:val="18"/>
                <w:szCs w:val="18"/>
                <w:color w:val="auto"/>
              </w:rPr>
              <w:t>Expected net cash flows at the time of assignment (2)</w:t>
            </w: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951.4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ind w:left="960"/>
              <w:spacing w:after="0"/>
              <w:rPr>
                <w:sz w:val="20"/>
                <w:szCs w:val="20"/>
                <w:color w:val="auto"/>
              </w:rPr>
            </w:pPr>
            <w:r>
              <w:rPr>
                <w:rFonts w:ascii="Arial" w:cs="Arial" w:eastAsia="Arial" w:hAnsi="Arial"/>
                <w:sz w:val="18"/>
                <w:szCs w:val="18"/>
                <w:color w:val="auto"/>
              </w:rPr>
              <w:t>393.4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1,344.8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Loans receivable at the time of assignment (3)</w:t>
            </w:r>
          </w:p>
        </w:tc>
        <w:tc>
          <w:tcPr>
            <w:tcW w:w="1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288.7</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4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Provision for credit losses expense at the time of assignment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ind w:left="980"/>
              <w:spacing w:after="0"/>
              <w:rPr>
                <w:sz w:val="20"/>
                <w:szCs w:val="20"/>
                <w:color w:val="auto"/>
              </w:rPr>
            </w:pPr>
            <w:r>
              <w:rPr>
                <w:rFonts w:ascii="Arial" w:cs="Arial" w:eastAsia="Arial" w:hAnsi="Arial"/>
                <w:sz w:val="18"/>
                <w:szCs w:val="18"/>
                <w:color w:val="auto"/>
                <w:w w:val="93"/>
              </w:rPr>
              <w:t>(51.9)</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49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w w:val="99"/>
              </w:rPr>
              <w:t>Expected future finance charges at the time of assignment (4)</w:t>
            </w:r>
          </w:p>
        </w:tc>
        <w:tc>
          <w:tcPr>
            <w:tcW w:w="1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156.6</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Expected net Loan income at the time of assignment (5)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104.7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ind w:right="252"/>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496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49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60" w:type="dxa"/>
            <w:vAlign w:val="bottom"/>
          </w:tcPr>
          <w:p>
            <w:pPr>
              <w:ind w:left="6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7"/>
          </w:tcPr>
          <w:p>
            <w:pPr>
              <w:jc w:val="center"/>
              <w:ind w:left="776"/>
              <w:spacing w:after="0"/>
              <w:rPr>
                <w:sz w:val="20"/>
                <w:szCs w:val="20"/>
                <w:color w:val="auto"/>
              </w:rPr>
            </w:pPr>
            <w:r>
              <w:rPr>
                <w:rFonts w:ascii="Arial" w:cs="Arial" w:eastAsia="Arial" w:hAnsi="Arial"/>
                <w:sz w:val="14"/>
                <w:szCs w:val="14"/>
                <w:b w:val="1"/>
                <w:bCs w:val="1"/>
                <w:color w:val="auto"/>
                <w:w w:val="91"/>
              </w:rPr>
              <w:t>For the Three Months Ended June 30, 2021</w:t>
            </w:r>
          </w:p>
        </w:tc>
        <w:tc>
          <w:tcPr>
            <w:tcW w:w="1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88"/>
        </w:trPr>
        <w:tc>
          <w:tcPr>
            <w:tcW w:w="6060" w:type="dxa"/>
            <w:vAlign w:val="bottom"/>
          </w:tcPr>
          <w:p>
            <w:pPr>
              <w:ind w:left="2000"/>
              <w:spacing w:after="0"/>
              <w:rPr>
                <w:sz w:val="20"/>
                <w:szCs w:val="20"/>
                <w:color w:val="auto"/>
              </w:rPr>
            </w:pPr>
            <w:r>
              <w:rPr>
                <w:rFonts w:ascii="Arial" w:cs="Arial" w:eastAsia="Arial" w:hAnsi="Arial"/>
                <w:sz w:val="14"/>
                <w:szCs w:val="14"/>
                <w:b w:val="1"/>
                <w:bCs w:val="1"/>
                <w:color w:val="auto"/>
              </w:rPr>
              <w:t>New Consumer Loan Assignments</w:t>
            </w:r>
          </w:p>
        </w:tc>
        <w:tc>
          <w:tcPr>
            <w:tcW w:w="260" w:type="dxa"/>
            <w:vAlign w:val="bottom"/>
          </w:tcPr>
          <w:p>
            <w:pPr>
              <w:spacing w:after="0"/>
              <w:rPr>
                <w:sz w:val="16"/>
                <w:szCs w:val="16"/>
                <w:color w:val="auto"/>
              </w:rPr>
            </w:pPr>
          </w:p>
        </w:tc>
        <w:tc>
          <w:tcPr>
            <w:tcW w:w="1500" w:type="dxa"/>
            <w:vAlign w:val="bottom"/>
            <w:gridSpan w:val="3"/>
          </w:tcPr>
          <w:p>
            <w:pPr>
              <w:ind w:left="160"/>
              <w:spacing w:after="0"/>
              <w:rPr>
                <w:sz w:val="20"/>
                <w:szCs w:val="20"/>
                <w:color w:val="auto"/>
              </w:rPr>
            </w:pPr>
            <w:r>
              <w:rPr>
                <w:rFonts w:ascii="Arial" w:cs="Arial" w:eastAsia="Arial" w:hAnsi="Arial"/>
                <w:sz w:val="14"/>
                <w:szCs w:val="14"/>
                <w:b w:val="1"/>
                <w:bCs w:val="1"/>
                <w:color w:val="auto"/>
              </w:rPr>
              <w:t>Dealer Loans</w:t>
            </w:r>
          </w:p>
        </w:tc>
        <w:tc>
          <w:tcPr>
            <w:tcW w:w="20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Purchased Loans</w:t>
            </w:r>
          </w:p>
        </w:tc>
        <w:tc>
          <w:tcPr>
            <w:tcW w:w="520" w:type="dxa"/>
            <w:vAlign w:val="bottom"/>
          </w:tcPr>
          <w:p>
            <w:pPr>
              <w:spacing w:after="0"/>
              <w:rPr>
                <w:sz w:val="16"/>
                <w:szCs w:val="16"/>
                <w:color w:val="auto"/>
              </w:rPr>
            </w:pPr>
          </w:p>
        </w:tc>
        <w:tc>
          <w:tcPr>
            <w:tcW w:w="1120" w:type="dxa"/>
            <w:vAlign w:val="bottom"/>
          </w:tcPr>
          <w:p>
            <w:pPr>
              <w:jc w:val="right"/>
              <w:ind w:right="57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r>
      <w:tr>
        <w:trPr>
          <w:trHeight w:val="44"/>
        </w:trPr>
        <w:tc>
          <w:tcPr>
            <w:tcW w:w="60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52"/>
        </w:trPr>
        <w:tc>
          <w:tcPr>
            <w:tcW w:w="6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Contractual net cash flows at the time of assignment (1)</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607.1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1,409.9</w:t>
            </w:r>
          </w:p>
        </w:tc>
        <w:tc>
          <w:tcPr>
            <w:tcW w:w="20" w:type="dxa"/>
            <w:vAlign w:val="bottom"/>
          </w:tcPr>
          <w:p>
            <w:pPr>
              <w:spacing w:after="0"/>
              <w:rPr>
                <w:sz w:val="21"/>
                <w:szCs w:val="21"/>
                <w:color w:val="auto"/>
              </w:rPr>
            </w:pPr>
          </w:p>
        </w:tc>
      </w:tr>
      <w:tr>
        <w:trPr>
          <w:trHeight w:val="264"/>
        </w:trPr>
        <w:tc>
          <w:tcPr>
            <w:tcW w:w="6060" w:type="dxa"/>
            <w:vAlign w:val="bottom"/>
          </w:tcPr>
          <w:p>
            <w:pPr>
              <w:ind w:left="60"/>
              <w:spacing w:after="0"/>
              <w:rPr>
                <w:sz w:val="20"/>
                <w:szCs w:val="20"/>
                <w:color w:val="auto"/>
              </w:rPr>
            </w:pPr>
            <w:r>
              <w:rPr>
                <w:rFonts w:ascii="Arial" w:cs="Arial" w:eastAsia="Arial" w:hAnsi="Arial"/>
                <w:sz w:val="18"/>
                <w:szCs w:val="18"/>
                <w:color w:val="auto"/>
              </w:rPr>
              <w:t>Expected net cash flows at the time of assignment (2)</w:t>
            </w:r>
          </w:p>
        </w:tc>
        <w:tc>
          <w:tcPr>
            <w:tcW w:w="2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724.6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ind w:left="960"/>
              <w:spacing w:after="0"/>
              <w:rPr>
                <w:sz w:val="20"/>
                <w:szCs w:val="20"/>
                <w:color w:val="auto"/>
              </w:rPr>
            </w:pPr>
            <w:r>
              <w:rPr>
                <w:rFonts w:ascii="Arial" w:cs="Arial" w:eastAsia="Arial" w:hAnsi="Arial"/>
                <w:sz w:val="18"/>
                <w:szCs w:val="18"/>
                <w:color w:val="auto"/>
              </w:rPr>
              <w:t>405.1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1,129.7</w:t>
            </w:r>
          </w:p>
        </w:tc>
        <w:tc>
          <w:tcPr>
            <w:tcW w:w="20" w:type="dxa"/>
            <w:vAlign w:val="bottom"/>
          </w:tcPr>
          <w:p>
            <w:pPr>
              <w:spacing w:after="0"/>
              <w:rPr>
                <w:sz w:val="23"/>
                <w:szCs w:val="23"/>
                <w:color w:val="auto"/>
              </w:rPr>
            </w:pPr>
          </w:p>
        </w:tc>
      </w:tr>
      <w:tr>
        <w:trPr>
          <w:trHeight w:val="266"/>
        </w:trPr>
        <w:tc>
          <w:tcPr>
            <w:tcW w:w="6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Loans receivable at the time of assignment (3)</w:t>
            </w: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287.6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799.2</w:t>
            </w:r>
          </w:p>
        </w:tc>
        <w:tc>
          <w:tcPr>
            <w:tcW w:w="20" w:type="dxa"/>
            <w:vAlign w:val="bottom"/>
          </w:tcPr>
          <w:p>
            <w:pPr>
              <w:spacing w:after="0"/>
              <w:rPr>
                <w:sz w:val="23"/>
                <w:szCs w:val="23"/>
                <w:color w:val="auto"/>
              </w:rPr>
            </w:pPr>
          </w:p>
        </w:tc>
      </w:tr>
      <w:tr>
        <w:trPr>
          <w:trHeight w:val="252"/>
        </w:trPr>
        <w:tc>
          <w:tcPr>
            <w:tcW w:w="6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5"/>
        </w:trPr>
        <w:tc>
          <w:tcPr>
            <w:tcW w:w="6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Provision for credit losses expense at the time of assignment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ind w:left="980"/>
              <w:spacing w:after="0"/>
              <w:rPr>
                <w:sz w:val="20"/>
                <w:szCs w:val="20"/>
                <w:color w:val="auto"/>
              </w:rPr>
            </w:pPr>
            <w:r>
              <w:rPr>
                <w:rFonts w:ascii="Arial" w:cs="Arial" w:eastAsia="Arial" w:hAnsi="Arial"/>
                <w:sz w:val="18"/>
                <w:szCs w:val="18"/>
                <w:color w:val="auto"/>
                <w:w w:val="93"/>
              </w:rPr>
              <w:t>(55.1)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0" w:type="dxa"/>
            <w:vAlign w:val="bottom"/>
          </w:tcPr>
          <w:p>
            <w:pPr>
              <w:spacing w:after="0"/>
              <w:rPr>
                <w:sz w:val="23"/>
                <w:szCs w:val="23"/>
                <w:color w:val="auto"/>
              </w:rPr>
            </w:pPr>
          </w:p>
        </w:tc>
      </w:tr>
      <w:tr>
        <w:trPr>
          <w:trHeight w:val="258"/>
        </w:trPr>
        <w:tc>
          <w:tcPr>
            <w:tcW w:w="60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Expected future finance charges at the time of assignment (4)</w:t>
            </w:r>
          </w:p>
        </w:tc>
        <w:tc>
          <w:tcPr>
            <w:tcW w:w="2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172.6</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422.1</w:t>
            </w:r>
          </w:p>
        </w:tc>
        <w:tc>
          <w:tcPr>
            <w:tcW w:w="20" w:type="dxa"/>
            <w:vAlign w:val="bottom"/>
          </w:tcPr>
          <w:p>
            <w:pPr>
              <w:spacing w:after="0"/>
              <w:rPr>
                <w:sz w:val="22"/>
                <w:szCs w:val="2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Expected net Loan income at the time of assignment (5)</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7"/>
              </w:rPr>
              <w:t>117.5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20" w:type="dxa"/>
            <w:vAlign w:val="bottom"/>
          </w:tcPr>
          <w:p>
            <w:pPr>
              <w:spacing w:after="0"/>
              <w:rPr>
                <w:sz w:val="21"/>
                <w:szCs w:val="2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5"/>
        </w:trPr>
        <w:tc>
          <w:tcPr>
            <w:tcW w:w="60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7"/>
          </w:tcPr>
          <w:p>
            <w:pPr>
              <w:jc w:val="center"/>
              <w:ind w:left="796"/>
              <w:spacing w:after="0"/>
              <w:rPr>
                <w:sz w:val="20"/>
                <w:szCs w:val="20"/>
                <w:color w:val="auto"/>
              </w:rPr>
            </w:pPr>
            <w:r>
              <w:rPr>
                <w:rFonts w:ascii="Arial" w:cs="Arial" w:eastAsia="Arial" w:hAnsi="Arial"/>
                <w:sz w:val="14"/>
                <w:szCs w:val="14"/>
                <w:b w:val="1"/>
                <w:bCs w:val="1"/>
                <w:color w:val="auto"/>
                <w:w w:val="91"/>
              </w:rPr>
              <w:t>For the Six Months Ended June 30, 2022</w:t>
            </w: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2"/>
        </w:trPr>
        <w:tc>
          <w:tcPr>
            <w:tcW w:w="6060" w:type="dxa"/>
            <w:vAlign w:val="bottom"/>
          </w:tcPr>
          <w:p>
            <w:pPr>
              <w:ind w:left="2000"/>
              <w:spacing w:after="0"/>
              <w:rPr>
                <w:sz w:val="20"/>
                <w:szCs w:val="20"/>
                <w:color w:val="auto"/>
              </w:rPr>
            </w:pPr>
            <w:r>
              <w:rPr>
                <w:rFonts w:ascii="Arial" w:cs="Arial" w:eastAsia="Arial" w:hAnsi="Arial"/>
                <w:sz w:val="14"/>
                <w:szCs w:val="14"/>
                <w:b w:val="1"/>
                <w:bCs w:val="1"/>
                <w:color w:val="auto"/>
              </w:rPr>
              <w:t>New Consumer Loan Assignments</w:t>
            </w:r>
          </w:p>
        </w:tc>
        <w:tc>
          <w:tcPr>
            <w:tcW w:w="260" w:type="dxa"/>
            <w:vAlign w:val="bottom"/>
          </w:tcPr>
          <w:p>
            <w:pPr>
              <w:spacing w:after="0"/>
              <w:rPr>
                <w:sz w:val="16"/>
                <w:szCs w:val="16"/>
                <w:color w:val="auto"/>
              </w:rPr>
            </w:pPr>
          </w:p>
        </w:tc>
        <w:tc>
          <w:tcPr>
            <w:tcW w:w="1500" w:type="dxa"/>
            <w:vAlign w:val="bottom"/>
            <w:gridSpan w:val="3"/>
          </w:tcPr>
          <w:p>
            <w:pPr>
              <w:ind w:left="160"/>
              <w:spacing w:after="0"/>
              <w:rPr>
                <w:sz w:val="20"/>
                <w:szCs w:val="20"/>
                <w:color w:val="auto"/>
              </w:rPr>
            </w:pPr>
            <w:r>
              <w:rPr>
                <w:rFonts w:ascii="Arial" w:cs="Arial" w:eastAsia="Arial" w:hAnsi="Arial"/>
                <w:sz w:val="14"/>
                <w:szCs w:val="14"/>
                <w:b w:val="1"/>
                <w:bCs w:val="1"/>
                <w:color w:val="auto"/>
              </w:rPr>
              <w:t>Dealer Loans</w:t>
            </w:r>
          </w:p>
        </w:tc>
        <w:tc>
          <w:tcPr>
            <w:tcW w:w="20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Purchased Loans</w:t>
            </w:r>
          </w:p>
        </w:tc>
        <w:tc>
          <w:tcPr>
            <w:tcW w:w="520" w:type="dxa"/>
            <w:vAlign w:val="bottom"/>
          </w:tcPr>
          <w:p>
            <w:pPr>
              <w:spacing w:after="0"/>
              <w:rPr>
                <w:sz w:val="16"/>
                <w:szCs w:val="16"/>
                <w:color w:val="auto"/>
              </w:rPr>
            </w:pPr>
          </w:p>
        </w:tc>
        <w:tc>
          <w:tcPr>
            <w:tcW w:w="1120" w:type="dxa"/>
            <w:vAlign w:val="bottom"/>
          </w:tcPr>
          <w:p>
            <w:pPr>
              <w:jc w:val="right"/>
              <w:ind w:right="57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r>
      <w:tr>
        <w:trPr>
          <w:trHeight w:val="225"/>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net cash flows at the time of assignment (1)</w:t>
            </w: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96"/>
              </w:rPr>
              <w:t>1,150.1</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3,167.3</w:t>
            </w:r>
          </w:p>
        </w:tc>
        <w:tc>
          <w:tcPr>
            <w:tcW w:w="20" w:type="dxa"/>
            <w:vAlign w:val="bottom"/>
            <w:tcBorders>
              <w:top w:val="single" w:sz="8" w:color="auto"/>
            </w:tcBorders>
            <w:shd w:val="clear" w:color="auto" w:fill="CCEEFF"/>
          </w:tcPr>
          <w:p>
            <w:pPr>
              <w:spacing w:after="0"/>
              <w:rPr>
                <w:sz w:val="19"/>
                <w:szCs w:val="19"/>
                <w:color w:val="auto"/>
              </w:rPr>
            </w:pPr>
          </w:p>
        </w:tc>
      </w:tr>
      <w:tr>
        <w:trPr>
          <w:trHeight w:val="225"/>
        </w:trPr>
        <w:tc>
          <w:tcPr>
            <w:tcW w:w="6060" w:type="dxa"/>
            <w:vAlign w:val="bottom"/>
          </w:tcPr>
          <w:p>
            <w:pPr>
              <w:ind w:left="20"/>
              <w:spacing w:after="0"/>
              <w:rPr>
                <w:sz w:val="20"/>
                <w:szCs w:val="20"/>
                <w:color w:val="auto"/>
              </w:rPr>
            </w:pPr>
            <w:r>
              <w:rPr>
                <w:rFonts w:ascii="Arial" w:cs="Arial" w:eastAsia="Arial" w:hAnsi="Arial"/>
                <w:sz w:val="18"/>
                <w:szCs w:val="18"/>
                <w:color w:val="auto"/>
              </w:rPr>
              <w:t>Expected net cash flows at the time of assignment (2)</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1,830.8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ind w:left="980"/>
              <w:spacing w:after="0"/>
              <w:rPr>
                <w:sz w:val="20"/>
                <w:szCs w:val="20"/>
                <w:color w:val="auto"/>
              </w:rPr>
            </w:pPr>
            <w:r>
              <w:rPr>
                <w:rFonts w:ascii="Arial" w:cs="Arial" w:eastAsia="Arial" w:hAnsi="Arial"/>
                <w:sz w:val="18"/>
                <w:szCs w:val="18"/>
                <w:color w:val="auto"/>
                <w:w w:val="97"/>
              </w:rPr>
              <w:t>784.7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2,615.5</w:t>
            </w:r>
          </w:p>
        </w:tc>
        <w:tc>
          <w:tcPr>
            <w:tcW w:w="20" w:type="dxa"/>
            <w:vAlign w:val="bottom"/>
          </w:tcPr>
          <w:p>
            <w:pPr>
              <w:spacing w:after="0"/>
              <w:rPr>
                <w:sz w:val="19"/>
                <w:szCs w:val="19"/>
                <w:color w:val="auto"/>
              </w:rPr>
            </w:pPr>
          </w:p>
        </w:tc>
      </w:tr>
      <w:tr>
        <w:trPr>
          <w:trHeight w:val="22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receivable at the time of assignment (3)</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ind w:left="980"/>
              <w:spacing w:after="0"/>
              <w:rPr>
                <w:sz w:val="20"/>
                <w:szCs w:val="20"/>
                <w:color w:val="auto"/>
              </w:rPr>
            </w:pPr>
            <w:r>
              <w:rPr>
                <w:rFonts w:ascii="Arial" w:cs="Arial" w:eastAsia="Arial" w:hAnsi="Arial"/>
                <w:sz w:val="18"/>
                <w:szCs w:val="18"/>
                <w:color w:val="auto"/>
                <w:w w:val="97"/>
              </w:rPr>
              <w:t>578.4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1,898.4</w:t>
            </w:r>
          </w:p>
        </w:tc>
        <w:tc>
          <w:tcPr>
            <w:tcW w:w="20" w:type="dxa"/>
            <w:vAlign w:val="bottom"/>
            <w:shd w:val="clear" w:color="auto" w:fill="CCEEFF"/>
          </w:tcPr>
          <w:p>
            <w:pPr>
              <w:spacing w:after="0"/>
              <w:rPr>
                <w:sz w:val="19"/>
                <w:szCs w:val="19"/>
                <w:color w:val="auto"/>
              </w:rPr>
            </w:pPr>
          </w:p>
        </w:tc>
      </w:tr>
      <w:tr>
        <w:trPr>
          <w:trHeight w:val="252"/>
        </w:trPr>
        <w:tc>
          <w:tcPr>
            <w:tcW w:w="6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5"/>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 expense at the time of assignment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1"/>
              </w:rPr>
              <w:t>(107.0)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20" w:type="dxa"/>
            <w:vAlign w:val="bottom"/>
            <w:shd w:val="clear" w:color="auto" w:fill="CCEEFF"/>
          </w:tcPr>
          <w:p>
            <w:pPr>
              <w:spacing w:after="0"/>
              <w:rPr>
                <w:sz w:val="19"/>
                <w:szCs w:val="19"/>
                <w:color w:val="auto"/>
              </w:rPr>
            </w:pPr>
          </w:p>
        </w:tc>
      </w:tr>
      <w:tr>
        <w:trPr>
          <w:trHeight w:val="232"/>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Expected future finance charges at the time of assignment (4)</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603.9</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97"/>
              </w:rPr>
              <w:t>313.3</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917.2</w:t>
            </w:r>
          </w:p>
        </w:tc>
        <w:tc>
          <w:tcPr>
            <w:tcW w:w="20" w:type="dxa"/>
            <w:vAlign w:val="bottom"/>
            <w:tcBorders>
              <w:bottom w:val="single" w:sz="8" w:color="auto"/>
            </w:tcBorders>
          </w:tcPr>
          <w:p>
            <w:pPr>
              <w:spacing w:after="0"/>
              <w:rPr>
                <w:sz w:val="20"/>
                <w:szCs w:val="20"/>
                <w:color w:val="auto"/>
              </w:rPr>
            </w:pPr>
          </w:p>
        </w:tc>
      </w:tr>
      <w:tr>
        <w:trPr>
          <w:trHeight w:val="250"/>
        </w:trPr>
        <w:tc>
          <w:tcPr>
            <w:tcW w:w="6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Expected net Loan income at the time of assignment (5)</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7"/>
              </w:rPr>
              <w:t>206.3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717.1</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390"/>
        </w:trPr>
        <w:tc>
          <w:tcPr>
            <w:tcW w:w="60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7"/>
          </w:tcPr>
          <w:p>
            <w:pPr>
              <w:jc w:val="center"/>
              <w:ind w:left="796"/>
              <w:spacing w:after="0"/>
              <w:rPr>
                <w:sz w:val="20"/>
                <w:szCs w:val="20"/>
                <w:color w:val="auto"/>
              </w:rPr>
            </w:pPr>
            <w:r>
              <w:rPr>
                <w:rFonts w:ascii="Arial" w:cs="Arial" w:eastAsia="Arial" w:hAnsi="Arial"/>
                <w:sz w:val="14"/>
                <w:szCs w:val="14"/>
                <w:b w:val="1"/>
                <w:bCs w:val="1"/>
                <w:color w:val="auto"/>
                <w:w w:val="91"/>
              </w:rPr>
              <w:t>For the Six Months Ended June 30, 2021</w:t>
            </w: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2"/>
        </w:trPr>
        <w:tc>
          <w:tcPr>
            <w:tcW w:w="6060" w:type="dxa"/>
            <w:vAlign w:val="bottom"/>
          </w:tcPr>
          <w:p>
            <w:pPr>
              <w:ind w:left="2000"/>
              <w:spacing w:after="0"/>
              <w:rPr>
                <w:sz w:val="20"/>
                <w:szCs w:val="20"/>
                <w:color w:val="auto"/>
              </w:rPr>
            </w:pPr>
            <w:r>
              <w:rPr>
                <w:rFonts w:ascii="Arial" w:cs="Arial" w:eastAsia="Arial" w:hAnsi="Arial"/>
                <w:sz w:val="14"/>
                <w:szCs w:val="14"/>
                <w:b w:val="1"/>
                <w:bCs w:val="1"/>
                <w:color w:val="auto"/>
              </w:rPr>
              <w:t>New Consumer Loan Assignments</w:t>
            </w:r>
          </w:p>
        </w:tc>
        <w:tc>
          <w:tcPr>
            <w:tcW w:w="260" w:type="dxa"/>
            <w:vAlign w:val="bottom"/>
          </w:tcPr>
          <w:p>
            <w:pPr>
              <w:spacing w:after="0"/>
              <w:rPr>
                <w:sz w:val="16"/>
                <w:szCs w:val="16"/>
                <w:color w:val="auto"/>
              </w:rPr>
            </w:pPr>
          </w:p>
        </w:tc>
        <w:tc>
          <w:tcPr>
            <w:tcW w:w="1500" w:type="dxa"/>
            <w:vAlign w:val="bottom"/>
            <w:gridSpan w:val="3"/>
          </w:tcPr>
          <w:p>
            <w:pPr>
              <w:ind w:left="160"/>
              <w:spacing w:after="0"/>
              <w:rPr>
                <w:sz w:val="20"/>
                <w:szCs w:val="20"/>
                <w:color w:val="auto"/>
              </w:rPr>
            </w:pPr>
            <w:r>
              <w:rPr>
                <w:rFonts w:ascii="Arial" w:cs="Arial" w:eastAsia="Arial" w:hAnsi="Arial"/>
                <w:sz w:val="14"/>
                <w:szCs w:val="14"/>
                <w:b w:val="1"/>
                <w:bCs w:val="1"/>
                <w:color w:val="auto"/>
              </w:rPr>
              <w:t>Dealer Loans</w:t>
            </w:r>
          </w:p>
        </w:tc>
        <w:tc>
          <w:tcPr>
            <w:tcW w:w="20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Purchased Loans</w:t>
            </w:r>
          </w:p>
        </w:tc>
        <w:tc>
          <w:tcPr>
            <w:tcW w:w="520" w:type="dxa"/>
            <w:vAlign w:val="bottom"/>
          </w:tcPr>
          <w:p>
            <w:pPr>
              <w:spacing w:after="0"/>
              <w:rPr>
                <w:sz w:val="16"/>
                <w:szCs w:val="16"/>
                <w:color w:val="auto"/>
              </w:rPr>
            </w:pPr>
          </w:p>
        </w:tc>
        <w:tc>
          <w:tcPr>
            <w:tcW w:w="1120" w:type="dxa"/>
            <w:vAlign w:val="bottom"/>
          </w:tcPr>
          <w:p>
            <w:pPr>
              <w:jc w:val="right"/>
              <w:ind w:right="57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r>
      <w:tr>
        <w:trPr>
          <w:trHeight w:val="225"/>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net cash flows at the time of assignment (1)</w:t>
            </w: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96"/>
              </w:rPr>
              <w:t>1,439.2</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3,259.5</w:t>
            </w:r>
          </w:p>
        </w:tc>
        <w:tc>
          <w:tcPr>
            <w:tcW w:w="20" w:type="dxa"/>
            <w:vAlign w:val="bottom"/>
            <w:tcBorders>
              <w:top w:val="single" w:sz="8" w:color="auto"/>
            </w:tcBorders>
            <w:shd w:val="clear" w:color="auto" w:fill="CCEEFF"/>
          </w:tcPr>
          <w:p>
            <w:pPr>
              <w:spacing w:after="0"/>
              <w:rPr>
                <w:sz w:val="19"/>
                <w:szCs w:val="19"/>
                <w:color w:val="auto"/>
              </w:rPr>
            </w:pPr>
          </w:p>
        </w:tc>
      </w:tr>
      <w:tr>
        <w:trPr>
          <w:trHeight w:val="225"/>
        </w:trPr>
        <w:tc>
          <w:tcPr>
            <w:tcW w:w="6060" w:type="dxa"/>
            <w:vAlign w:val="bottom"/>
          </w:tcPr>
          <w:p>
            <w:pPr>
              <w:ind w:left="20"/>
              <w:spacing w:after="0"/>
              <w:rPr>
                <w:sz w:val="20"/>
                <w:szCs w:val="20"/>
                <w:color w:val="auto"/>
              </w:rPr>
            </w:pPr>
            <w:r>
              <w:rPr>
                <w:rFonts w:ascii="Arial" w:cs="Arial" w:eastAsia="Arial" w:hAnsi="Arial"/>
                <w:sz w:val="18"/>
                <w:szCs w:val="18"/>
                <w:color w:val="auto"/>
              </w:rPr>
              <w:t>Expected net cash flows at the time of assignment (2)</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1,636.0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ind w:left="980"/>
              <w:spacing w:after="0"/>
              <w:rPr>
                <w:sz w:val="20"/>
                <w:szCs w:val="20"/>
                <w:color w:val="auto"/>
              </w:rPr>
            </w:pPr>
            <w:r>
              <w:rPr>
                <w:rFonts w:ascii="Arial" w:cs="Arial" w:eastAsia="Arial" w:hAnsi="Arial"/>
                <w:sz w:val="18"/>
                <w:szCs w:val="18"/>
                <w:color w:val="auto"/>
                <w:w w:val="97"/>
              </w:rPr>
              <w:t>949.4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2,585.4</w:t>
            </w:r>
          </w:p>
        </w:tc>
        <w:tc>
          <w:tcPr>
            <w:tcW w:w="20" w:type="dxa"/>
            <w:vAlign w:val="bottom"/>
          </w:tcPr>
          <w:p>
            <w:pPr>
              <w:spacing w:after="0"/>
              <w:rPr>
                <w:sz w:val="19"/>
                <w:szCs w:val="19"/>
                <w:color w:val="auto"/>
              </w:rPr>
            </w:pPr>
          </w:p>
        </w:tc>
      </w:tr>
      <w:tr>
        <w:trPr>
          <w:trHeight w:val="22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receivable at the time of assignment (3)</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ind w:left="980"/>
              <w:spacing w:after="0"/>
              <w:rPr>
                <w:sz w:val="20"/>
                <w:szCs w:val="20"/>
                <w:color w:val="auto"/>
              </w:rPr>
            </w:pPr>
            <w:r>
              <w:rPr>
                <w:rFonts w:ascii="Arial" w:cs="Arial" w:eastAsia="Arial" w:hAnsi="Arial"/>
                <w:sz w:val="18"/>
                <w:szCs w:val="18"/>
                <w:color w:val="auto"/>
                <w:w w:val="97"/>
              </w:rPr>
              <w:t>672.8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1,831.5</w:t>
            </w:r>
          </w:p>
        </w:tc>
        <w:tc>
          <w:tcPr>
            <w:tcW w:w="20" w:type="dxa"/>
            <w:vAlign w:val="bottom"/>
            <w:shd w:val="clear" w:color="auto" w:fill="CCEEFF"/>
          </w:tcPr>
          <w:p>
            <w:pPr>
              <w:spacing w:after="0"/>
              <w:rPr>
                <w:sz w:val="19"/>
                <w:szCs w:val="19"/>
                <w:color w:val="auto"/>
              </w:rPr>
            </w:pPr>
          </w:p>
        </w:tc>
      </w:tr>
      <w:tr>
        <w:trPr>
          <w:trHeight w:val="252"/>
        </w:trPr>
        <w:tc>
          <w:tcPr>
            <w:tcW w:w="6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5"/>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 expense at the time of assignment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1"/>
              </w:rPr>
              <w:t>(132.2)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20" w:type="dxa"/>
            <w:vAlign w:val="bottom"/>
            <w:shd w:val="clear" w:color="auto" w:fill="CCEEFF"/>
          </w:tcPr>
          <w:p>
            <w:pPr>
              <w:spacing w:after="0"/>
              <w:rPr>
                <w:sz w:val="19"/>
                <w:szCs w:val="19"/>
                <w:color w:val="auto"/>
              </w:rPr>
            </w:pPr>
          </w:p>
        </w:tc>
      </w:tr>
      <w:tr>
        <w:trPr>
          <w:trHeight w:val="232"/>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Expected future finance charges at the time of assignment (4)</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568.5</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97"/>
              </w:rPr>
              <w:t>408.8</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977.3</w:t>
            </w:r>
          </w:p>
        </w:tc>
        <w:tc>
          <w:tcPr>
            <w:tcW w:w="20" w:type="dxa"/>
            <w:vAlign w:val="bottom"/>
            <w:tcBorders>
              <w:bottom w:val="single" w:sz="8" w:color="auto"/>
            </w:tcBorders>
          </w:tcPr>
          <w:p>
            <w:pPr>
              <w:spacing w:after="0"/>
              <w:rPr>
                <w:sz w:val="20"/>
                <w:szCs w:val="20"/>
                <w:color w:val="auto"/>
              </w:rPr>
            </w:pPr>
          </w:p>
        </w:tc>
      </w:tr>
      <w:tr>
        <w:trPr>
          <w:trHeight w:val="250"/>
        </w:trPr>
        <w:tc>
          <w:tcPr>
            <w:tcW w:w="6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Expected net Loan income at the time of assignment (5)</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7"/>
              </w:rPr>
              <w:t>276.6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753.9</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ind w:left="480" w:hanging="315"/>
        <w:spacing w:after="0" w:line="242" w:lineRule="auto"/>
        <w:tabs>
          <w:tab w:leader="none" w:pos="472"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Dealer Loans amount represents repayments that we were contractually owed at the time of assignment on Consumer Loans assigned under our Portfolio Program, less the related Dealer Holdback payments that we would be required to make if we collected all of the contractual repayments. The Purchased Loans amount represents repayments that we were contractually owed at the time of assignment on Consumer Loans assigned under our Purchase Program.</w:t>
      </w:r>
    </w:p>
    <w:p>
      <w:pPr>
        <w:spacing w:after="0" w:line="1" w:lineRule="exact"/>
        <w:rPr>
          <w:rFonts w:ascii="Arial" w:cs="Arial" w:eastAsia="Arial" w:hAnsi="Arial"/>
          <w:sz w:val="14"/>
          <w:szCs w:val="14"/>
          <w:color w:val="auto"/>
        </w:rPr>
      </w:pPr>
    </w:p>
    <w:p>
      <w:pPr>
        <w:jc w:val="both"/>
        <w:ind w:left="480" w:hanging="315"/>
        <w:spacing w:after="0" w:line="237" w:lineRule="auto"/>
        <w:tabs>
          <w:tab w:leader="none" w:pos="472"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Dealer Loans amount represents repayments that we expected to collect at the time of assignment on Consumer Loans assigned under our Portfolio Program, less the related Dealer Holdback payments that we expected to make. The Purchased Loans amount represents repayments that we expected to collect at the time of assignment on Consumer Loans assigned under our Purchase Program. The Loan amounts also represent the fair value at the time of assignment.</w:t>
      </w:r>
    </w:p>
    <w:p>
      <w:pPr>
        <w:ind w:left="480" w:right="20" w:hanging="315"/>
        <w:spacing w:after="0" w:line="237" w:lineRule="auto"/>
        <w:tabs>
          <w:tab w:leader="none" w:pos="472"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Dealer Loans amount represents advances paid to Dealers on Consumer Loans assigned under our Portfolio Program. The Purchased Loans amount represents one-time payments made to Dealers to purchase Consumer Loans assigned under our Purchase Program.</w:t>
      </w:r>
    </w:p>
    <w:p>
      <w:pPr>
        <w:ind w:left="480" w:hanging="315"/>
        <w:spacing w:after="0" w:line="237" w:lineRule="auto"/>
        <w:tabs>
          <w:tab w:leader="none" w:pos="4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revenue that is expected to be recognized on a level-yield basis over the lives of the Loans.</w:t>
      </w:r>
    </w:p>
    <w:p>
      <w:pPr>
        <w:ind w:left="480" w:hanging="315"/>
        <w:spacing w:after="0"/>
        <w:tabs>
          <w:tab w:leader="none" w:pos="4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the amount that expected net cash flows at the time of assignment (2) exceed Loans receivable at the time of assignment (3).</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changes in expected future net cash flows is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60" w:type="dxa"/>
            <w:vAlign w:val="bottom"/>
          </w:tcPr>
          <w:p>
            <w:pPr>
              <w:ind w:left="6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7"/>
          </w:tcPr>
          <w:p>
            <w:pPr>
              <w:jc w:val="center"/>
              <w:ind w:left="776"/>
              <w:spacing w:after="0"/>
              <w:rPr>
                <w:sz w:val="20"/>
                <w:szCs w:val="20"/>
                <w:color w:val="auto"/>
              </w:rPr>
            </w:pPr>
            <w:r>
              <w:rPr>
                <w:rFonts w:ascii="Arial" w:cs="Arial" w:eastAsia="Arial" w:hAnsi="Arial"/>
                <w:sz w:val="14"/>
                <w:szCs w:val="14"/>
                <w:b w:val="1"/>
                <w:bCs w:val="1"/>
                <w:color w:val="auto"/>
                <w:w w:val="91"/>
              </w:rPr>
              <w:t>For the Three Months Ended June 30, 2022</w:t>
            </w:r>
          </w:p>
        </w:tc>
        <w:tc>
          <w:tcPr>
            <w:tcW w:w="1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060" w:type="dxa"/>
            <w:vAlign w:val="bottom"/>
          </w:tcPr>
          <w:p>
            <w:pPr>
              <w:ind w:left="2040"/>
              <w:spacing w:after="0"/>
              <w:rPr>
                <w:sz w:val="20"/>
                <w:szCs w:val="20"/>
                <w:color w:val="auto"/>
              </w:rPr>
            </w:pPr>
            <w:r>
              <w:rPr>
                <w:rFonts w:ascii="Arial" w:cs="Arial" w:eastAsia="Arial" w:hAnsi="Arial"/>
                <w:sz w:val="14"/>
                <w:szCs w:val="14"/>
                <w:b w:val="1"/>
                <w:bCs w:val="1"/>
                <w:color w:val="auto"/>
              </w:rPr>
              <w:t>Expected Future Net Cash Flows</w:t>
            </w:r>
          </w:p>
        </w:tc>
        <w:tc>
          <w:tcPr>
            <w:tcW w:w="260" w:type="dxa"/>
            <w:vAlign w:val="bottom"/>
          </w:tcPr>
          <w:p>
            <w:pPr>
              <w:spacing w:after="0"/>
              <w:rPr>
                <w:sz w:val="16"/>
                <w:szCs w:val="16"/>
                <w:color w:val="auto"/>
              </w:rPr>
            </w:pPr>
          </w:p>
        </w:tc>
        <w:tc>
          <w:tcPr>
            <w:tcW w:w="1500" w:type="dxa"/>
            <w:vAlign w:val="bottom"/>
            <w:gridSpan w:val="3"/>
          </w:tcPr>
          <w:p>
            <w:pPr>
              <w:ind w:left="160"/>
              <w:spacing w:after="0"/>
              <w:rPr>
                <w:sz w:val="20"/>
                <w:szCs w:val="20"/>
                <w:color w:val="auto"/>
              </w:rPr>
            </w:pPr>
            <w:r>
              <w:rPr>
                <w:rFonts w:ascii="Arial" w:cs="Arial" w:eastAsia="Arial" w:hAnsi="Arial"/>
                <w:sz w:val="14"/>
                <w:szCs w:val="14"/>
                <w:b w:val="1"/>
                <w:bCs w:val="1"/>
                <w:color w:val="auto"/>
              </w:rPr>
              <w:t>Dealer Loans</w:t>
            </w:r>
          </w:p>
        </w:tc>
        <w:tc>
          <w:tcPr>
            <w:tcW w:w="20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Purchased Loans</w:t>
            </w:r>
          </w:p>
        </w:tc>
        <w:tc>
          <w:tcPr>
            <w:tcW w:w="520" w:type="dxa"/>
            <w:vAlign w:val="bottom"/>
          </w:tcPr>
          <w:p>
            <w:pPr>
              <w:spacing w:after="0"/>
              <w:rPr>
                <w:sz w:val="16"/>
                <w:szCs w:val="16"/>
                <w:color w:val="auto"/>
              </w:rPr>
            </w:pPr>
          </w:p>
        </w:tc>
        <w:tc>
          <w:tcPr>
            <w:tcW w:w="1120" w:type="dxa"/>
            <w:vAlign w:val="bottom"/>
          </w:tcPr>
          <w:p>
            <w:pPr>
              <w:jc w:val="right"/>
              <w:ind w:right="57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0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6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Balance, beginning of period</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060" w:type="dxa"/>
            <w:vAlign w:val="bottom"/>
          </w:tcPr>
          <w:p>
            <w:pPr>
              <w:ind w:left="60"/>
              <w:spacing w:after="0"/>
              <w:rPr>
                <w:sz w:val="20"/>
                <w:szCs w:val="20"/>
                <w:color w:val="auto"/>
              </w:rPr>
            </w:pPr>
            <w:r>
              <w:rPr>
                <w:rFonts w:ascii="Arial" w:cs="Arial" w:eastAsia="Arial" w:hAnsi="Arial"/>
                <w:sz w:val="18"/>
                <w:szCs w:val="18"/>
                <w:color w:val="auto"/>
              </w:rPr>
              <w:t>New Consumer Loan assignments (1)</w:t>
            </w:r>
          </w:p>
        </w:tc>
        <w:tc>
          <w:tcPr>
            <w:tcW w:w="2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951.4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393.4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1,344.8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Realized net cash flows (2)</w:t>
            </w: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060" w:type="dxa"/>
            <w:vAlign w:val="bottom"/>
          </w:tcPr>
          <w:p>
            <w:pPr>
              <w:ind w:left="60"/>
              <w:spacing w:after="0"/>
              <w:rPr>
                <w:sz w:val="20"/>
                <w:szCs w:val="20"/>
                <w:color w:val="auto"/>
              </w:rPr>
            </w:pPr>
            <w:r>
              <w:rPr>
                <w:rFonts w:ascii="Arial" w:cs="Arial" w:eastAsia="Arial" w:hAnsi="Arial"/>
                <w:sz w:val="18"/>
                <w:szCs w:val="18"/>
                <w:color w:val="auto"/>
              </w:rPr>
              <w:t>Forecast changes</w:t>
            </w:r>
          </w:p>
        </w:tc>
        <w:tc>
          <w:tcPr>
            <w:tcW w:w="2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60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Transfers (3)</w:t>
            </w:r>
          </w:p>
        </w:tc>
        <w:tc>
          <w:tcPr>
            <w:tcW w:w="2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6060" w:type="dxa"/>
            <w:vAlign w:val="bottom"/>
          </w:tcPr>
          <w:p>
            <w:pPr>
              <w:ind w:left="380"/>
              <w:spacing w:after="0" w:line="203" w:lineRule="exact"/>
              <w:rPr>
                <w:sz w:val="20"/>
                <w:szCs w:val="20"/>
                <w:color w:val="auto"/>
              </w:rPr>
            </w:pPr>
            <w:r>
              <w:rPr>
                <w:rFonts w:ascii="Arial" w:cs="Arial" w:eastAsia="Arial" w:hAnsi="Arial"/>
                <w:sz w:val="18"/>
                <w:szCs w:val="18"/>
                <w:color w:val="auto"/>
              </w:rPr>
              <w:t>Balance, end of period</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3,573.6</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60" w:type="dxa"/>
            <w:vAlign w:val="bottom"/>
            <w:vMerge w:val="restart"/>
          </w:tcPr>
          <w:p>
            <w:pPr>
              <w:ind w:left="6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3"/>
        </w:trPr>
        <w:tc>
          <w:tcPr>
            <w:tcW w:w="6060" w:type="dxa"/>
            <w:vAlign w:val="bottom"/>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7"/>
          </w:tcPr>
          <w:p>
            <w:pPr>
              <w:jc w:val="center"/>
              <w:ind w:left="776"/>
              <w:spacing w:after="0"/>
              <w:rPr>
                <w:sz w:val="20"/>
                <w:szCs w:val="20"/>
                <w:color w:val="auto"/>
              </w:rPr>
            </w:pPr>
            <w:r>
              <w:rPr>
                <w:rFonts w:ascii="Arial" w:cs="Arial" w:eastAsia="Arial" w:hAnsi="Arial"/>
                <w:sz w:val="14"/>
                <w:szCs w:val="14"/>
                <w:b w:val="1"/>
                <w:bCs w:val="1"/>
                <w:color w:val="auto"/>
                <w:w w:val="91"/>
              </w:rPr>
              <w:t>For the Three Months Ended June 30, 2021</w:t>
            </w: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060" w:type="dxa"/>
            <w:vAlign w:val="bottom"/>
          </w:tcPr>
          <w:p>
            <w:pPr>
              <w:ind w:left="2040"/>
              <w:spacing w:after="0"/>
              <w:rPr>
                <w:sz w:val="20"/>
                <w:szCs w:val="20"/>
                <w:color w:val="auto"/>
              </w:rPr>
            </w:pPr>
            <w:r>
              <w:rPr>
                <w:rFonts w:ascii="Arial" w:cs="Arial" w:eastAsia="Arial" w:hAnsi="Arial"/>
                <w:sz w:val="14"/>
                <w:szCs w:val="14"/>
                <w:b w:val="1"/>
                <w:bCs w:val="1"/>
                <w:color w:val="auto"/>
              </w:rPr>
              <w:t>Expected Future Net Cash Flows</w:t>
            </w:r>
          </w:p>
        </w:tc>
        <w:tc>
          <w:tcPr>
            <w:tcW w:w="260" w:type="dxa"/>
            <w:vAlign w:val="bottom"/>
          </w:tcPr>
          <w:p>
            <w:pPr>
              <w:spacing w:after="0"/>
              <w:rPr>
                <w:sz w:val="16"/>
                <w:szCs w:val="16"/>
                <w:color w:val="auto"/>
              </w:rPr>
            </w:pPr>
          </w:p>
        </w:tc>
        <w:tc>
          <w:tcPr>
            <w:tcW w:w="1500" w:type="dxa"/>
            <w:vAlign w:val="bottom"/>
            <w:gridSpan w:val="3"/>
          </w:tcPr>
          <w:p>
            <w:pPr>
              <w:ind w:left="160"/>
              <w:spacing w:after="0"/>
              <w:rPr>
                <w:sz w:val="20"/>
                <w:szCs w:val="20"/>
                <w:color w:val="auto"/>
              </w:rPr>
            </w:pPr>
            <w:r>
              <w:rPr>
                <w:rFonts w:ascii="Arial" w:cs="Arial" w:eastAsia="Arial" w:hAnsi="Arial"/>
                <w:sz w:val="14"/>
                <w:szCs w:val="14"/>
                <w:b w:val="1"/>
                <w:bCs w:val="1"/>
                <w:color w:val="auto"/>
              </w:rPr>
              <w:t>Dealer Loans</w:t>
            </w:r>
          </w:p>
        </w:tc>
        <w:tc>
          <w:tcPr>
            <w:tcW w:w="20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Purchased Loans</w:t>
            </w:r>
          </w:p>
        </w:tc>
        <w:tc>
          <w:tcPr>
            <w:tcW w:w="520" w:type="dxa"/>
            <w:vAlign w:val="bottom"/>
          </w:tcPr>
          <w:p>
            <w:pPr>
              <w:spacing w:after="0"/>
              <w:rPr>
                <w:sz w:val="16"/>
                <w:szCs w:val="16"/>
                <w:color w:val="auto"/>
              </w:rPr>
            </w:pPr>
          </w:p>
        </w:tc>
        <w:tc>
          <w:tcPr>
            <w:tcW w:w="1120" w:type="dxa"/>
            <w:vAlign w:val="bottom"/>
          </w:tcPr>
          <w:p>
            <w:pPr>
              <w:jc w:val="right"/>
              <w:ind w:right="57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0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6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Balance, beginning of period</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060" w:type="dxa"/>
            <w:vAlign w:val="bottom"/>
          </w:tcPr>
          <w:p>
            <w:pPr>
              <w:ind w:left="60"/>
              <w:spacing w:after="0"/>
              <w:rPr>
                <w:sz w:val="20"/>
                <w:szCs w:val="20"/>
                <w:color w:val="auto"/>
              </w:rPr>
            </w:pPr>
            <w:r>
              <w:rPr>
                <w:rFonts w:ascii="Arial" w:cs="Arial" w:eastAsia="Arial" w:hAnsi="Arial"/>
                <w:sz w:val="18"/>
                <w:szCs w:val="18"/>
                <w:color w:val="auto"/>
              </w:rPr>
              <w:t>New Consumer Loan assignments (1)</w:t>
            </w:r>
          </w:p>
        </w:tc>
        <w:tc>
          <w:tcPr>
            <w:tcW w:w="2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724.6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405.1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1,129.7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Realized net cash flows (2)</w:t>
            </w: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060" w:type="dxa"/>
            <w:vAlign w:val="bottom"/>
          </w:tcPr>
          <w:p>
            <w:pPr>
              <w:ind w:left="60"/>
              <w:spacing w:after="0"/>
              <w:rPr>
                <w:sz w:val="20"/>
                <w:szCs w:val="20"/>
                <w:color w:val="auto"/>
              </w:rPr>
            </w:pPr>
            <w:r>
              <w:rPr>
                <w:rFonts w:ascii="Arial" w:cs="Arial" w:eastAsia="Arial" w:hAnsi="Arial"/>
                <w:sz w:val="18"/>
                <w:szCs w:val="18"/>
                <w:color w:val="auto"/>
              </w:rPr>
              <w:t>Forecast changes</w:t>
            </w:r>
          </w:p>
        </w:tc>
        <w:tc>
          <w:tcPr>
            <w:tcW w:w="2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60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Transfers (3)</w:t>
            </w:r>
          </w:p>
        </w:tc>
        <w:tc>
          <w:tcPr>
            <w:tcW w:w="2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6060" w:type="dxa"/>
            <w:vAlign w:val="bottom"/>
          </w:tcPr>
          <w:p>
            <w:pPr>
              <w:ind w:left="380"/>
              <w:spacing w:after="0" w:line="203" w:lineRule="exact"/>
              <w:rPr>
                <w:sz w:val="20"/>
                <w:szCs w:val="20"/>
                <w:color w:val="auto"/>
              </w:rPr>
            </w:pPr>
            <w:r>
              <w:rPr>
                <w:rFonts w:ascii="Arial" w:cs="Arial" w:eastAsia="Arial" w:hAnsi="Arial"/>
                <w:sz w:val="18"/>
                <w:szCs w:val="18"/>
                <w:color w:val="auto"/>
              </w:rPr>
              <w:t>Balance, end of period</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3,984.7</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60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7"/>
          </w:tcPr>
          <w:p>
            <w:pPr>
              <w:jc w:val="center"/>
              <w:ind w:left="796"/>
              <w:spacing w:after="0"/>
              <w:rPr>
                <w:sz w:val="20"/>
                <w:szCs w:val="20"/>
                <w:color w:val="auto"/>
              </w:rPr>
            </w:pPr>
            <w:r>
              <w:rPr>
                <w:rFonts w:ascii="Arial" w:cs="Arial" w:eastAsia="Arial" w:hAnsi="Arial"/>
                <w:sz w:val="14"/>
                <w:szCs w:val="14"/>
                <w:b w:val="1"/>
                <w:bCs w:val="1"/>
                <w:color w:val="auto"/>
                <w:w w:val="91"/>
              </w:rPr>
              <w:t>For the Six Months Ended June 30, 2022</w:t>
            </w: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060" w:type="dxa"/>
            <w:vAlign w:val="bottom"/>
          </w:tcPr>
          <w:p>
            <w:pPr>
              <w:ind w:left="2040"/>
              <w:spacing w:after="0"/>
              <w:rPr>
                <w:sz w:val="20"/>
                <w:szCs w:val="20"/>
                <w:color w:val="auto"/>
              </w:rPr>
            </w:pPr>
            <w:r>
              <w:rPr>
                <w:rFonts w:ascii="Arial" w:cs="Arial" w:eastAsia="Arial" w:hAnsi="Arial"/>
                <w:sz w:val="14"/>
                <w:szCs w:val="14"/>
                <w:b w:val="1"/>
                <w:bCs w:val="1"/>
                <w:color w:val="auto"/>
              </w:rPr>
              <w:t>Expected Future Net Cash Flows</w:t>
            </w:r>
          </w:p>
        </w:tc>
        <w:tc>
          <w:tcPr>
            <w:tcW w:w="260" w:type="dxa"/>
            <w:vAlign w:val="bottom"/>
          </w:tcPr>
          <w:p>
            <w:pPr>
              <w:spacing w:after="0"/>
              <w:rPr>
                <w:sz w:val="16"/>
                <w:szCs w:val="16"/>
                <w:color w:val="auto"/>
              </w:rPr>
            </w:pPr>
          </w:p>
        </w:tc>
        <w:tc>
          <w:tcPr>
            <w:tcW w:w="1500" w:type="dxa"/>
            <w:vAlign w:val="bottom"/>
            <w:gridSpan w:val="3"/>
          </w:tcPr>
          <w:p>
            <w:pPr>
              <w:ind w:left="160"/>
              <w:spacing w:after="0"/>
              <w:rPr>
                <w:sz w:val="20"/>
                <w:szCs w:val="20"/>
                <w:color w:val="auto"/>
              </w:rPr>
            </w:pPr>
            <w:r>
              <w:rPr>
                <w:rFonts w:ascii="Arial" w:cs="Arial" w:eastAsia="Arial" w:hAnsi="Arial"/>
                <w:sz w:val="14"/>
                <w:szCs w:val="14"/>
                <w:b w:val="1"/>
                <w:bCs w:val="1"/>
                <w:color w:val="auto"/>
              </w:rPr>
              <w:t>Dealer Loans</w:t>
            </w:r>
          </w:p>
        </w:tc>
        <w:tc>
          <w:tcPr>
            <w:tcW w:w="20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Purchased Loans</w:t>
            </w:r>
          </w:p>
        </w:tc>
        <w:tc>
          <w:tcPr>
            <w:tcW w:w="520" w:type="dxa"/>
            <w:vAlign w:val="bottom"/>
          </w:tcPr>
          <w:p>
            <w:pPr>
              <w:spacing w:after="0"/>
              <w:rPr>
                <w:sz w:val="16"/>
                <w:szCs w:val="16"/>
                <w:color w:val="auto"/>
              </w:rPr>
            </w:pPr>
          </w:p>
        </w:tc>
        <w:tc>
          <w:tcPr>
            <w:tcW w:w="1120" w:type="dxa"/>
            <w:vAlign w:val="bottom"/>
          </w:tcPr>
          <w:p>
            <w:pPr>
              <w:jc w:val="right"/>
              <w:ind w:right="57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5,249.7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3,698.6</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8,948.3</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20"/>
              <w:spacing w:after="0"/>
              <w:rPr>
                <w:sz w:val="20"/>
                <w:szCs w:val="20"/>
                <w:color w:val="auto"/>
              </w:rPr>
            </w:pPr>
            <w:r>
              <w:rPr>
                <w:rFonts w:ascii="Arial" w:cs="Arial" w:eastAsia="Arial" w:hAnsi="Arial"/>
                <w:sz w:val="18"/>
                <w:szCs w:val="18"/>
                <w:color w:val="auto"/>
              </w:rPr>
              <w:t>New Consumer Loan assignments (1)</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1,830.8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784.7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net cash flows (2)</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20"/>
              <w:spacing w:after="0"/>
              <w:rPr>
                <w:sz w:val="20"/>
                <w:szCs w:val="20"/>
                <w:color w:val="auto"/>
              </w:rPr>
            </w:pPr>
            <w:r>
              <w:rPr>
                <w:rFonts w:ascii="Arial" w:cs="Arial" w:eastAsia="Arial" w:hAnsi="Arial"/>
                <w:sz w:val="18"/>
                <w:szCs w:val="18"/>
                <w:color w:val="auto"/>
              </w:rPr>
              <w:t>Forecast changes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Transfers (3)</w:t>
            </w:r>
          </w:p>
        </w:tc>
        <w:tc>
          <w:tcPr>
            <w:tcW w:w="2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5,468.6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3,573.6</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9,042.2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6060" w:type="dxa"/>
            <w:vAlign w:val="bottom"/>
          </w:tcPr>
          <w:p>
            <w:pPr>
              <w:ind w:left="6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7"/>
          </w:tcPr>
          <w:p>
            <w:pPr>
              <w:jc w:val="center"/>
              <w:ind w:left="796"/>
              <w:spacing w:after="0"/>
              <w:rPr>
                <w:sz w:val="20"/>
                <w:szCs w:val="20"/>
                <w:color w:val="auto"/>
              </w:rPr>
            </w:pPr>
            <w:r>
              <w:rPr>
                <w:rFonts w:ascii="Arial" w:cs="Arial" w:eastAsia="Arial" w:hAnsi="Arial"/>
                <w:sz w:val="14"/>
                <w:szCs w:val="14"/>
                <w:b w:val="1"/>
                <w:bCs w:val="1"/>
                <w:color w:val="auto"/>
                <w:w w:val="91"/>
              </w:rPr>
              <w:t>For the Six Months Ended June 30, 2021</w:t>
            </w: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060" w:type="dxa"/>
            <w:vAlign w:val="bottom"/>
          </w:tcPr>
          <w:p>
            <w:pPr>
              <w:ind w:left="2040"/>
              <w:spacing w:after="0"/>
              <w:rPr>
                <w:sz w:val="20"/>
                <w:szCs w:val="20"/>
                <w:color w:val="auto"/>
              </w:rPr>
            </w:pPr>
            <w:r>
              <w:rPr>
                <w:rFonts w:ascii="Arial" w:cs="Arial" w:eastAsia="Arial" w:hAnsi="Arial"/>
                <w:sz w:val="14"/>
                <w:szCs w:val="14"/>
                <w:b w:val="1"/>
                <w:bCs w:val="1"/>
                <w:color w:val="auto"/>
              </w:rPr>
              <w:t>Expected Future Net Cash Flows</w:t>
            </w:r>
          </w:p>
        </w:tc>
        <w:tc>
          <w:tcPr>
            <w:tcW w:w="260" w:type="dxa"/>
            <w:vAlign w:val="bottom"/>
          </w:tcPr>
          <w:p>
            <w:pPr>
              <w:spacing w:after="0"/>
              <w:rPr>
                <w:sz w:val="16"/>
                <w:szCs w:val="16"/>
                <w:color w:val="auto"/>
              </w:rPr>
            </w:pPr>
          </w:p>
        </w:tc>
        <w:tc>
          <w:tcPr>
            <w:tcW w:w="1500" w:type="dxa"/>
            <w:vAlign w:val="bottom"/>
            <w:gridSpan w:val="3"/>
          </w:tcPr>
          <w:p>
            <w:pPr>
              <w:ind w:left="160"/>
              <w:spacing w:after="0"/>
              <w:rPr>
                <w:sz w:val="20"/>
                <w:szCs w:val="20"/>
                <w:color w:val="auto"/>
              </w:rPr>
            </w:pPr>
            <w:r>
              <w:rPr>
                <w:rFonts w:ascii="Arial" w:cs="Arial" w:eastAsia="Arial" w:hAnsi="Arial"/>
                <w:sz w:val="14"/>
                <w:szCs w:val="14"/>
                <w:b w:val="1"/>
                <w:bCs w:val="1"/>
                <w:color w:val="auto"/>
              </w:rPr>
              <w:t>Dealer Loans</w:t>
            </w:r>
          </w:p>
        </w:tc>
        <w:tc>
          <w:tcPr>
            <w:tcW w:w="20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Purchased Loans</w:t>
            </w:r>
          </w:p>
        </w:tc>
        <w:tc>
          <w:tcPr>
            <w:tcW w:w="520" w:type="dxa"/>
            <w:vAlign w:val="bottom"/>
          </w:tcPr>
          <w:p>
            <w:pPr>
              <w:spacing w:after="0"/>
              <w:rPr>
                <w:sz w:val="16"/>
                <w:szCs w:val="16"/>
                <w:color w:val="auto"/>
              </w:rPr>
            </w:pPr>
          </w:p>
        </w:tc>
        <w:tc>
          <w:tcPr>
            <w:tcW w:w="1120" w:type="dxa"/>
            <w:vAlign w:val="bottom"/>
          </w:tcPr>
          <w:p>
            <w:pPr>
              <w:jc w:val="right"/>
              <w:ind w:right="57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0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Balance, beginning of period</w:t>
            </w: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5,664.3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3,880.1</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9,544.4</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60"/>
              <w:spacing w:after="0"/>
              <w:rPr>
                <w:sz w:val="20"/>
                <w:szCs w:val="20"/>
                <w:color w:val="auto"/>
              </w:rPr>
            </w:pPr>
            <w:r>
              <w:rPr>
                <w:rFonts w:ascii="Arial" w:cs="Arial" w:eastAsia="Arial" w:hAnsi="Arial"/>
                <w:sz w:val="18"/>
                <w:szCs w:val="18"/>
                <w:color w:val="auto"/>
              </w:rPr>
              <w:t>New Consumer Loan assignments (1)</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1,636.0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949.4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Realized net cash flows (2)</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60"/>
              <w:spacing w:after="0"/>
              <w:rPr>
                <w:sz w:val="20"/>
                <w:szCs w:val="20"/>
                <w:color w:val="auto"/>
              </w:rPr>
            </w:pPr>
            <w:r>
              <w:rPr>
                <w:rFonts w:ascii="Arial" w:cs="Arial" w:eastAsia="Arial" w:hAnsi="Arial"/>
                <w:sz w:val="18"/>
                <w:szCs w:val="18"/>
                <w:color w:val="auto"/>
              </w:rPr>
              <w:t>Forecast changes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0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Transfers (3)</w:t>
            </w:r>
          </w:p>
        </w:tc>
        <w:tc>
          <w:tcPr>
            <w:tcW w:w="2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380"/>
              <w:spacing w:after="0"/>
              <w:rPr>
                <w:sz w:val="20"/>
                <w:szCs w:val="20"/>
                <w:color w:val="auto"/>
              </w:rPr>
            </w:pPr>
            <w:r>
              <w:rPr>
                <w:rFonts w:ascii="Arial" w:cs="Arial" w:eastAsia="Arial" w:hAnsi="Arial"/>
                <w:sz w:val="18"/>
                <w:szCs w:val="18"/>
                <w:color w:val="auto"/>
              </w:rPr>
              <w:t>Balance, end of period</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5,626.5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9,611.2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jc w:val="both"/>
        <w:ind w:left="480" w:hanging="315"/>
        <w:spacing w:after="0" w:line="242" w:lineRule="auto"/>
        <w:tabs>
          <w:tab w:leader="none" w:pos="472"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Dealer Loans amount represents repayments that we expected to collect at the time of assignment on Consumer Loans assigned under our Portfolio Program, less the related Dealer Holdback payments that we expected to make. The Purchased Loans amount represents repayments that we expected to collect at the time of assignment on Consumer Loans assigned under our Purchase Program.</w:t>
      </w:r>
    </w:p>
    <w:p>
      <w:pPr>
        <w:spacing w:after="0" w:line="1" w:lineRule="exact"/>
        <w:rPr>
          <w:rFonts w:ascii="Arial" w:cs="Arial" w:eastAsia="Arial" w:hAnsi="Arial"/>
          <w:sz w:val="14"/>
          <w:szCs w:val="14"/>
          <w:color w:val="auto"/>
        </w:rPr>
      </w:pPr>
    </w:p>
    <w:p>
      <w:pPr>
        <w:ind w:left="480" w:hanging="315"/>
        <w:spacing w:after="0" w:line="237" w:lineRule="auto"/>
        <w:tabs>
          <w:tab w:leader="none" w:pos="472"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Dealer Loans amount represents repayments that we collected on Consumer Loans assigned under our Portfolio Program, less the Dealer Holdback and Accelerated Dealer Holdback payments that we made. Purchased Loans amount represents repayments that we collected on Consumer Loans assigned under our Purchase Program.</w:t>
      </w:r>
    </w:p>
    <w:p>
      <w:pPr>
        <w:ind w:left="480" w:hanging="315"/>
        <w:spacing w:after="0" w:line="247" w:lineRule="auto"/>
        <w:tabs>
          <w:tab w:leader="none" w:pos="472" w:val="left"/>
        </w:tabs>
        <w:numPr>
          <w:ilvl w:val="0"/>
          <w:numId w:val="27"/>
        </w:numPr>
        <w:rPr>
          <w:rFonts w:ascii="Arial" w:cs="Arial" w:eastAsia="Arial" w:hAnsi="Arial"/>
          <w:sz w:val="14"/>
          <w:szCs w:val="14"/>
          <w:color w:val="auto"/>
        </w:rPr>
      </w:pPr>
      <w:r>
        <w:rPr>
          <w:rFonts w:ascii="Arial" w:cs="Arial" w:eastAsia="Arial" w:hAnsi="Arial"/>
          <w:sz w:val="14"/>
          <w:szCs w:val="14"/>
          <w:color w:val="auto"/>
        </w:rPr>
        <w:t>Under our Portfolio Program, certain events may result in Dealers forfeiting their rights to Dealer Holdback. We transfer the Dealer’s outstanding Dealer Loan balance, related allowance for credit losses balance and related expected future net cash flows to Purchased Loans in the period this forfeiture occurs.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monitor and evaluate the credit quality of Consumer Loans assigned under our Portfolio and Purchase Programs on a monthly basis by comparing our current forecasted collection rates to our prior forecasted collection rates and our initial expectations. For additional information regarding credit quality, see Note 3.</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compares our forecast of Consumer Loan collection rates as of June 30, 2022 with the forecasts as of March 31, 2022, as of</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at the time of assignment, segmented by year of assignment: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300" w:type="dxa"/>
            <w:vAlign w:val="bottom"/>
            <w:tcBorders>
              <w:bottom w:val="single" w:sz="8" w:color="auto"/>
            </w:tcBorders>
            <w:gridSpan w:val="12"/>
          </w:tcPr>
          <w:p>
            <w:pPr>
              <w:jc w:val="center"/>
              <w:spacing w:after="0"/>
              <w:rPr>
                <w:sz w:val="20"/>
                <w:szCs w:val="20"/>
                <w:color w:val="auto"/>
              </w:rPr>
            </w:pPr>
            <w:r>
              <w:rPr>
                <w:rFonts w:ascii="Arial" w:cs="Arial" w:eastAsia="Arial" w:hAnsi="Arial"/>
                <w:sz w:val="14"/>
                <w:szCs w:val="14"/>
                <w:b w:val="1"/>
                <w:bCs w:val="1"/>
                <w:color w:val="auto"/>
                <w:w w:val="89"/>
              </w:rPr>
              <w:t>Total Loans as of June 30, 2022</w:t>
            </w:r>
          </w:p>
        </w:tc>
        <w:tc>
          <w:tcPr>
            <w:tcW w:w="1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w w:val="88"/>
              </w:rPr>
              <w:t>Forecasted Collection Percentage as of (1)</w:t>
            </w:r>
          </w:p>
        </w:tc>
        <w:tc>
          <w:tcPr>
            <w:tcW w:w="10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center"/>
              <w:ind w:left="909"/>
              <w:spacing w:after="0"/>
              <w:rPr>
                <w:sz w:val="20"/>
                <w:szCs w:val="20"/>
                <w:color w:val="auto"/>
              </w:rPr>
            </w:pPr>
            <w:r>
              <w:rPr>
                <w:rFonts w:ascii="Arial" w:cs="Arial" w:eastAsia="Arial" w:hAnsi="Arial"/>
                <w:sz w:val="14"/>
                <w:szCs w:val="14"/>
                <w:b w:val="1"/>
                <w:bCs w:val="1"/>
                <w:color w:val="auto"/>
                <w:w w:val="92"/>
              </w:rPr>
              <w:t>Current Forecast Variance from</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440" w:type="dxa"/>
            <w:vAlign w:val="bottom"/>
            <w:gridSpan w:val="2"/>
          </w:tcPr>
          <w:p>
            <w:pPr>
              <w:jc w:val="center"/>
              <w:ind w:right="60"/>
              <w:spacing w:after="0" w:line="133" w:lineRule="exact"/>
              <w:rPr>
                <w:sz w:val="20"/>
                <w:szCs w:val="20"/>
                <w:color w:val="auto"/>
              </w:rPr>
            </w:pPr>
            <w:r>
              <w:rPr>
                <w:rFonts w:ascii="Arial" w:cs="Arial" w:eastAsia="Arial" w:hAnsi="Arial"/>
                <w:sz w:val="14"/>
                <w:szCs w:val="14"/>
                <w:b w:val="1"/>
                <w:bCs w:val="1"/>
                <w:color w:val="auto"/>
                <w:w w:val="91"/>
              </w:rPr>
              <w:t>Consumer Loan</w:t>
            </w:r>
          </w:p>
        </w:tc>
        <w:tc>
          <w:tcPr>
            <w:tcW w:w="20" w:type="dxa"/>
            <w:vAlign w:val="bottom"/>
          </w:tcPr>
          <w:p>
            <w:pPr>
              <w:spacing w:after="0"/>
              <w:rPr>
                <w:sz w:val="11"/>
                <w:szCs w:val="11"/>
                <w:color w:val="auto"/>
              </w:rPr>
            </w:pPr>
          </w:p>
        </w:tc>
        <w:tc>
          <w:tcPr>
            <w:tcW w:w="13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June 30, 2022</w:t>
            </w:r>
          </w:p>
        </w:tc>
        <w:tc>
          <w:tcPr>
            <w:tcW w:w="20" w:type="dxa"/>
            <w:vAlign w:val="bottom"/>
          </w:tcPr>
          <w:p>
            <w:pPr>
              <w:spacing w:after="0"/>
              <w:rPr>
                <w:sz w:val="11"/>
                <w:szCs w:val="11"/>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March 31, 2022</w:t>
            </w:r>
          </w:p>
        </w:tc>
        <w:tc>
          <w:tcPr>
            <w:tcW w:w="20" w:type="dxa"/>
            <w:vAlign w:val="bottom"/>
          </w:tcPr>
          <w:p>
            <w:pPr>
              <w:spacing w:after="0"/>
              <w:rPr>
                <w:sz w:val="11"/>
                <w:szCs w:val="11"/>
                <w:color w:val="auto"/>
              </w:rPr>
            </w:pPr>
          </w:p>
        </w:tc>
        <w:tc>
          <w:tcPr>
            <w:tcW w:w="168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w w:val="95"/>
              </w:rPr>
              <w:t>December 31, 2021</w:t>
            </w:r>
          </w:p>
        </w:tc>
        <w:tc>
          <w:tcPr>
            <w:tcW w:w="1060" w:type="dxa"/>
            <w:vAlign w:val="bottom"/>
          </w:tcPr>
          <w:p>
            <w:pPr>
              <w:jc w:val="center"/>
              <w:ind w:right="215"/>
              <w:spacing w:after="0" w:line="133" w:lineRule="exact"/>
              <w:rPr>
                <w:sz w:val="20"/>
                <w:szCs w:val="20"/>
                <w:color w:val="auto"/>
              </w:rPr>
            </w:pPr>
            <w:r>
              <w:rPr>
                <w:rFonts w:ascii="Arial" w:cs="Arial" w:eastAsia="Arial" w:hAnsi="Arial"/>
                <w:sz w:val="14"/>
                <w:szCs w:val="14"/>
                <w:b w:val="1"/>
                <w:bCs w:val="1"/>
                <w:color w:val="auto"/>
                <w:w w:val="98"/>
              </w:rPr>
              <w:t>Initial</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March 31, 2022</w:t>
            </w:r>
          </w:p>
        </w:tc>
        <w:tc>
          <w:tcPr>
            <w:tcW w:w="174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0"/>
              </w:rPr>
              <w:t>December 31, 2021</w:t>
            </w:r>
          </w:p>
        </w:tc>
        <w:tc>
          <w:tcPr>
            <w:tcW w:w="1020" w:type="dxa"/>
            <w:vAlign w:val="bottom"/>
          </w:tcPr>
          <w:p>
            <w:pPr>
              <w:jc w:val="center"/>
              <w:ind w:right="255"/>
              <w:spacing w:after="0" w:line="133" w:lineRule="exact"/>
              <w:rPr>
                <w:sz w:val="20"/>
                <w:szCs w:val="20"/>
                <w:color w:val="auto"/>
              </w:rPr>
            </w:pPr>
            <w:r>
              <w:rPr>
                <w:rFonts w:ascii="Arial" w:cs="Arial" w:eastAsia="Arial" w:hAnsi="Arial"/>
                <w:sz w:val="14"/>
                <w:szCs w:val="14"/>
                <w:b w:val="1"/>
                <w:bCs w:val="1"/>
                <w:color w:val="auto"/>
                <w:w w:val="98"/>
              </w:rPr>
              <w:t>Initial</w:t>
            </w:r>
          </w:p>
        </w:tc>
        <w:tc>
          <w:tcPr>
            <w:tcW w:w="0" w:type="dxa"/>
            <w:vAlign w:val="bottom"/>
          </w:tcPr>
          <w:p>
            <w:pPr>
              <w:spacing w:after="0"/>
              <w:rPr>
                <w:sz w:val="1"/>
                <w:szCs w:val="1"/>
                <w:color w:val="auto"/>
              </w:rPr>
            </w:pPr>
          </w:p>
        </w:tc>
      </w:tr>
      <w:tr>
        <w:trPr>
          <w:trHeight w:val="192"/>
        </w:trPr>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Assignment Year</w:t>
            </w:r>
          </w:p>
        </w:tc>
        <w:tc>
          <w:tcPr>
            <w:tcW w:w="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gridSpan w:val="5"/>
            <w:vMerge w:val="continue"/>
          </w:tcPr>
          <w:p>
            <w:pPr>
              <w:spacing w:after="0"/>
              <w:rPr>
                <w:sz w:val="16"/>
                <w:szCs w:val="16"/>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Forecast</w:t>
            </w:r>
          </w:p>
        </w:tc>
        <w:tc>
          <w:tcPr>
            <w:tcW w:w="4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1020" w:type="dxa"/>
            <w:vAlign w:val="bottom"/>
          </w:tcPr>
          <w:p>
            <w:pPr>
              <w:jc w:val="center"/>
              <w:ind w:right="215"/>
              <w:spacing w:after="0"/>
              <w:rPr>
                <w:sz w:val="20"/>
                <w:szCs w:val="20"/>
                <w:color w:val="auto"/>
              </w:rPr>
            </w:pPr>
            <w:r>
              <w:rPr>
                <w:rFonts w:ascii="Arial" w:cs="Arial" w:eastAsia="Arial" w:hAnsi="Arial"/>
                <w:sz w:val="14"/>
                <w:szCs w:val="14"/>
                <w:b w:val="1"/>
                <w:bCs w:val="1"/>
                <w:color w:val="auto"/>
                <w:w w:val="89"/>
              </w:rPr>
              <w:t>Forecast</w:t>
            </w:r>
          </w:p>
        </w:tc>
        <w:tc>
          <w:tcPr>
            <w:tcW w:w="0" w:type="dxa"/>
            <w:vAlign w:val="bottom"/>
          </w:tcPr>
          <w:p>
            <w:pPr>
              <w:spacing w:after="0"/>
              <w:rPr>
                <w:sz w:val="1"/>
                <w:szCs w:val="1"/>
                <w:color w:val="auto"/>
              </w:rPr>
            </w:pPr>
          </w:p>
        </w:tc>
      </w:tr>
      <w:tr>
        <w:trPr>
          <w:trHeight w:val="225"/>
        </w:trPr>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2013</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73.4 %</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73.4 %</w:t>
            </w: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73.4 %</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72.0 %</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5"/>
        </w:trPr>
        <w:tc>
          <w:tcPr>
            <w:tcW w:w="1340" w:type="dxa"/>
            <w:vAlign w:val="bottom"/>
          </w:tcPr>
          <w:p>
            <w:pPr>
              <w:jc w:val="center"/>
              <w:spacing w:after="0"/>
              <w:rPr>
                <w:sz w:val="20"/>
                <w:szCs w:val="20"/>
                <w:color w:val="auto"/>
              </w:rPr>
            </w:pPr>
            <w:r>
              <w:rPr>
                <w:rFonts w:ascii="Arial" w:cs="Arial" w:eastAsia="Arial" w:hAnsi="Arial"/>
                <w:sz w:val="18"/>
                <w:szCs w:val="18"/>
                <w:color w:val="auto"/>
                <w:w w:val="84"/>
              </w:rPr>
              <w:t>2014</w:t>
            </w: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71.7 %</w:t>
            </w: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71.6 %</w:t>
            </w:r>
          </w:p>
        </w:tc>
        <w:tc>
          <w:tcPr>
            <w:tcW w:w="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71.5 %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71.8 %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26"/>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2015</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65.2 %</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65.2 %</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5"/>
        </w:trPr>
        <w:tc>
          <w:tcPr>
            <w:tcW w:w="1340" w:type="dxa"/>
            <w:vAlign w:val="bottom"/>
          </w:tcPr>
          <w:p>
            <w:pPr>
              <w:jc w:val="center"/>
              <w:spacing w:after="0"/>
              <w:rPr>
                <w:sz w:val="20"/>
                <w:szCs w:val="20"/>
                <w:color w:val="auto"/>
              </w:rPr>
            </w:pPr>
            <w:r>
              <w:rPr>
                <w:rFonts w:ascii="Arial" w:cs="Arial" w:eastAsia="Arial" w:hAnsi="Arial"/>
                <w:sz w:val="18"/>
                <w:szCs w:val="18"/>
                <w:color w:val="auto"/>
                <w:w w:val="84"/>
              </w:rPr>
              <w:t>2016</w:t>
            </w: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63.8 %</w:t>
            </w: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63.8 %</w:t>
            </w:r>
          </w:p>
        </w:tc>
        <w:tc>
          <w:tcPr>
            <w:tcW w:w="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63.6 %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65.4 %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6"/>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2017</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64.6 %</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64.6 %</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25"/>
        </w:trPr>
        <w:tc>
          <w:tcPr>
            <w:tcW w:w="1340" w:type="dxa"/>
            <w:vAlign w:val="bottom"/>
          </w:tcPr>
          <w:p>
            <w:pPr>
              <w:jc w:val="center"/>
              <w:spacing w:after="0"/>
              <w:rPr>
                <w:sz w:val="20"/>
                <w:szCs w:val="20"/>
                <w:color w:val="auto"/>
              </w:rPr>
            </w:pPr>
            <w:r>
              <w:rPr>
                <w:rFonts w:ascii="Arial" w:cs="Arial" w:eastAsia="Arial" w:hAnsi="Arial"/>
                <w:sz w:val="18"/>
                <w:szCs w:val="18"/>
                <w:color w:val="auto"/>
                <w:w w:val="84"/>
              </w:rPr>
              <w:t>2018</w:t>
            </w: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65.1 %</w:t>
            </w: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65.1 %</w:t>
            </w:r>
          </w:p>
        </w:tc>
        <w:tc>
          <w:tcPr>
            <w:tcW w:w="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65.1 %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63.6 %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6"/>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2019</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66.7 %</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66.8 %</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5"/>
        </w:trPr>
        <w:tc>
          <w:tcPr>
            <w:tcW w:w="1340" w:type="dxa"/>
            <w:vAlign w:val="bottom"/>
          </w:tcPr>
          <w:p>
            <w:pPr>
              <w:jc w:val="center"/>
              <w:spacing w:after="0"/>
              <w:rPr>
                <w:sz w:val="20"/>
                <w:szCs w:val="20"/>
                <w:color w:val="auto"/>
              </w:rPr>
            </w:pPr>
            <w:r>
              <w:rPr>
                <w:rFonts w:ascii="Arial" w:cs="Arial" w:eastAsia="Arial" w:hAnsi="Arial"/>
                <w:sz w:val="18"/>
                <w:szCs w:val="18"/>
                <w:color w:val="auto"/>
                <w:w w:val="84"/>
              </w:rPr>
              <w:t>2020</w:t>
            </w: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68.4 %</w:t>
            </w: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68.8 %</w:t>
            </w:r>
          </w:p>
        </w:tc>
        <w:tc>
          <w:tcPr>
            <w:tcW w:w="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67.9 %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63.4 %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-0.4 %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6"/>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2021</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67.6 %</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68.4 %</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4"/>
        </w:trPr>
        <w:tc>
          <w:tcPr>
            <w:tcW w:w="1340" w:type="dxa"/>
            <w:vAlign w:val="bottom"/>
          </w:tcPr>
          <w:p>
            <w:pPr>
              <w:jc w:val="center"/>
              <w:spacing w:after="0"/>
              <w:rPr>
                <w:sz w:val="20"/>
                <w:szCs w:val="20"/>
                <w:color w:val="auto"/>
              </w:rPr>
            </w:pPr>
            <w:r>
              <w:rPr>
                <w:rFonts w:ascii="Arial" w:cs="Arial" w:eastAsia="Arial" w:hAnsi="Arial"/>
                <w:sz w:val="18"/>
                <w:szCs w:val="18"/>
                <w:color w:val="auto"/>
                <w:w w:val="84"/>
              </w:rPr>
              <w:t>2022</w:t>
            </w: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67.1 %</w:t>
            </w: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66.9 %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gridSpan w:val="5"/>
          </w:tcPr>
          <w:p>
            <w:pPr>
              <w:jc w:val="right"/>
              <w:ind w:right="5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67.6 %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99"/>
        </w:trPr>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12"/>
          </w:tcPr>
          <w:p>
            <w:pPr>
              <w:jc w:val="center"/>
              <w:spacing w:after="0"/>
              <w:rPr>
                <w:sz w:val="20"/>
                <w:szCs w:val="20"/>
                <w:color w:val="auto"/>
              </w:rPr>
            </w:pPr>
            <w:r>
              <w:rPr>
                <w:rFonts w:ascii="Arial" w:cs="Arial" w:eastAsia="Arial" w:hAnsi="Arial"/>
                <w:sz w:val="14"/>
                <w:szCs w:val="14"/>
                <w:b w:val="1"/>
                <w:bCs w:val="1"/>
                <w:color w:val="auto"/>
                <w:w w:val="90"/>
              </w:rPr>
              <w:t>Dealer Loans as of June 30, 2022</w:t>
            </w: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89"/>
              </w:rPr>
              <w:t>Forecasted Collection Percentage as of (1) (2)</w:t>
            </w:r>
          </w:p>
        </w:tc>
        <w:tc>
          <w:tcPr>
            <w:tcW w:w="10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60" w:type="dxa"/>
            <w:vAlign w:val="bottom"/>
            <w:tcBorders>
              <w:bottom w:val="single" w:sz="8" w:color="auto"/>
            </w:tcBorders>
            <w:gridSpan w:val="6"/>
          </w:tcPr>
          <w:p>
            <w:pPr>
              <w:jc w:val="center"/>
              <w:ind w:left="949"/>
              <w:spacing w:after="0"/>
              <w:rPr>
                <w:sz w:val="20"/>
                <w:szCs w:val="20"/>
                <w:color w:val="auto"/>
              </w:rPr>
            </w:pPr>
            <w:r>
              <w:rPr>
                <w:rFonts w:ascii="Arial" w:cs="Arial" w:eastAsia="Arial" w:hAnsi="Arial"/>
                <w:sz w:val="14"/>
                <w:szCs w:val="14"/>
                <w:b w:val="1"/>
                <w:bCs w:val="1"/>
                <w:color w:val="auto"/>
                <w:w w:val="92"/>
              </w:rPr>
              <w:t>Current Forecast Variance from</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440" w:type="dxa"/>
            <w:vAlign w:val="bottom"/>
            <w:gridSpan w:val="2"/>
          </w:tcPr>
          <w:p>
            <w:pPr>
              <w:jc w:val="center"/>
              <w:ind w:right="60"/>
              <w:spacing w:after="0" w:line="133" w:lineRule="exact"/>
              <w:rPr>
                <w:sz w:val="20"/>
                <w:szCs w:val="20"/>
                <w:color w:val="auto"/>
              </w:rPr>
            </w:pPr>
            <w:r>
              <w:rPr>
                <w:rFonts w:ascii="Arial" w:cs="Arial" w:eastAsia="Arial" w:hAnsi="Arial"/>
                <w:sz w:val="14"/>
                <w:szCs w:val="14"/>
                <w:b w:val="1"/>
                <w:bCs w:val="1"/>
                <w:color w:val="auto"/>
                <w:w w:val="91"/>
              </w:rPr>
              <w:t>Consumer Loan</w:t>
            </w:r>
          </w:p>
        </w:tc>
        <w:tc>
          <w:tcPr>
            <w:tcW w:w="20" w:type="dxa"/>
            <w:vAlign w:val="bottom"/>
          </w:tcPr>
          <w:p>
            <w:pPr>
              <w:spacing w:after="0"/>
              <w:rPr>
                <w:sz w:val="11"/>
                <w:szCs w:val="11"/>
                <w:color w:val="auto"/>
              </w:rPr>
            </w:pPr>
          </w:p>
        </w:tc>
        <w:tc>
          <w:tcPr>
            <w:tcW w:w="124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June 30, 2022</w:t>
            </w:r>
          </w:p>
        </w:tc>
        <w:tc>
          <w:tcPr>
            <w:tcW w:w="10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March 31, 2022</w:t>
            </w:r>
          </w:p>
        </w:tc>
        <w:tc>
          <w:tcPr>
            <w:tcW w:w="8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6"/>
              </w:rPr>
              <w:t>December 31, 2021</w:t>
            </w:r>
          </w:p>
        </w:tc>
        <w:tc>
          <w:tcPr>
            <w:tcW w:w="100" w:type="dxa"/>
            <w:vAlign w:val="bottom"/>
            <w:gridSpan w:val="2"/>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1100" w:type="dxa"/>
            <w:vAlign w:val="bottom"/>
            <w:gridSpan w:val="2"/>
          </w:tcPr>
          <w:p>
            <w:pPr>
              <w:jc w:val="right"/>
              <w:ind w:right="500"/>
              <w:spacing w:after="0" w:line="133" w:lineRule="exact"/>
              <w:rPr>
                <w:sz w:val="20"/>
                <w:szCs w:val="20"/>
                <w:color w:val="auto"/>
              </w:rPr>
            </w:pPr>
            <w:r>
              <w:rPr>
                <w:rFonts w:ascii="Arial" w:cs="Arial" w:eastAsia="Arial" w:hAnsi="Arial"/>
                <w:sz w:val="14"/>
                <w:szCs w:val="14"/>
                <w:b w:val="1"/>
                <w:bCs w:val="1"/>
                <w:color w:val="auto"/>
              </w:rPr>
              <w:t>Initial</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vMerge w:val="restart"/>
          </w:tcPr>
          <w:p>
            <w:pPr>
              <w:spacing w:after="0"/>
              <w:rPr>
                <w:sz w:val="11"/>
                <w:szCs w:val="11"/>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December 31, 2021</w:t>
            </w:r>
          </w:p>
        </w:tc>
        <w:tc>
          <w:tcPr>
            <w:tcW w:w="100" w:type="dxa"/>
            <w:vAlign w:val="bottom"/>
            <w:vMerge w:val="restart"/>
          </w:tcPr>
          <w:p>
            <w:pPr>
              <w:spacing w:after="0"/>
              <w:rPr>
                <w:sz w:val="11"/>
                <w:szCs w:val="11"/>
                <w:color w:val="auto"/>
              </w:rPr>
            </w:pPr>
          </w:p>
        </w:tc>
        <w:tc>
          <w:tcPr>
            <w:tcW w:w="300" w:type="dxa"/>
            <w:vAlign w:val="bottom"/>
            <w:vMerge w:val="restart"/>
          </w:tcPr>
          <w:p>
            <w:pPr>
              <w:spacing w:after="0"/>
              <w:rPr>
                <w:sz w:val="11"/>
                <w:szCs w:val="11"/>
                <w:color w:val="auto"/>
              </w:rPr>
            </w:pPr>
          </w:p>
        </w:tc>
        <w:tc>
          <w:tcPr>
            <w:tcW w:w="1020" w:type="dxa"/>
            <w:vAlign w:val="bottom"/>
          </w:tcPr>
          <w:p>
            <w:pPr>
              <w:jc w:val="center"/>
              <w:ind w:right="255"/>
              <w:spacing w:after="0" w:line="133" w:lineRule="exact"/>
              <w:rPr>
                <w:sz w:val="20"/>
                <w:szCs w:val="20"/>
                <w:color w:val="auto"/>
              </w:rPr>
            </w:pPr>
            <w:r>
              <w:rPr>
                <w:rFonts w:ascii="Arial" w:cs="Arial" w:eastAsia="Arial" w:hAnsi="Arial"/>
                <w:sz w:val="14"/>
                <w:szCs w:val="14"/>
                <w:b w:val="1"/>
                <w:bCs w:val="1"/>
                <w:color w:val="auto"/>
                <w:w w:val="98"/>
              </w:rPr>
              <w:t>Initial</w:t>
            </w:r>
          </w:p>
        </w:tc>
        <w:tc>
          <w:tcPr>
            <w:tcW w:w="0" w:type="dxa"/>
            <w:vAlign w:val="bottom"/>
          </w:tcPr>
          <w:p>
            <w:pPr>
              <w:spacing w:after="0"/>
              <w:rPr>
                <w:sz w:val="1"/>
                <w:szCs w:val="1"/>
                <w:color w:val="auto"/>
              </w:rPr>
            </w:pPr>
          </w:p>
        </w:tc>
      </w:tr>
      <w:tr>
        <w:trPr>
          <w:trHeight w:val="192"/>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Assignment Year</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Forecast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Forecast</w:t>
            </w:r>
          </w:p>
        </w:tc>
        <w:tc>
          <w:tcPr>
            <w:tcW w:w="0" w:type="dxa"/>
            <w:vAlign w:val="bottom"/>
          </w:tcPr>
          <w:p>
            <w:pPr>
              <w:spacing w:after="0"/>
              <w:rPr>
                <w:sz w:val="1"/>
                <w:szCs w:val="1"/>
                <w:color w:val="auto"/>
              </w:rPr>
            </w:pPr>
          </w:p>
        </w:tc>
      </w:tr>
      <w:tr>
        <w:trPr>
          <w:trHeight w:val="225"/>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73.4 %</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73.3 %</w:t>
            </w:r>
          </w:p>
        </w:tc>
        <w:tc>
          <w:tcPr>
            <w:tcW w:w="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73.3 %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72.1 %</w:t>
            </w:r>
          </w:p>
        </w:tc>
        <w:tc>
          <w:tcPr>
            <w:tcW w:w="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0.1 %</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5"/>
        </w:trPr>
        <w:tc>
          <w:tcPr>
            <w:tcW w:w="134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71.6 %</w:t>
            </w: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71.5 %</w:t>
            </w:r>
          </w:p>
        </w:tc>
        <w:tc>
          <w:tcPr>
            <w:tcW w:w="80" w:type="dxa"/>
            <w:vAlign w:val="bottom"/>
          </w:tcPr>
          <w:p>
            <w:pPr>
              <w:spacing w:after="0"/>
              <w:rPr>
                <w:sz w:val="19"/>
                <w:szCs w:val="19"/>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71.4 %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71.9 %</w:t>
            </w:r>
          </w:p>
        </w:tc>
        <w:tc>
          <w:tcPr>
            <w:tcW w:w="60" w:type="dxa"/>
            <w:vAlign w:val="bottom"/>
          </w:tcPr>
          <w:p>
            <w:pPr>
              <w:spacing w:after="0"/>
              <w:rPr>
                <w:sz w:val="19"/>
                <w:szCs w:val="19"/>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0.1 %</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26"/>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64.5 %</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64.5 %</w:t>
            </w:r>
          </w:p>
        </w:tc>
        <w:tc>
          <w:tcPr>
            <w:tcW w:w="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64.4 %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67.5 %</w:t>
            </w:r>
          </w:p>
        </w:tc>
        <w:tc>
          <w:tcPr>
            <w:tcW w:w="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0.0 %</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5"/>
        </w:trPr>
        <w:tc>
          <w:tcPr>
            <w:tcW w:w="134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63.0 %</w:t>
            </w: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63.0 %</w:t>
            </w:r>
          </w:p>
        </w:tc>
        <w:tc>
          <w:tcPr>
            <w:tcW w:w="80" w:type="dxa"/>
            <w:vAlign w:val="bottom"/>
          </w:tcPr>
          <w:p>
            <w:pPr>
              <w:spacing w:after="0"/>
              <w:rPr>
                <w:sz w:val="19"/>
                <w:szCs w:val="19"/>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62.8 %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65.1 %</w:t>
            </w:r>
          </w:p>
        </w:tc>
        <w:tc>
          <w:tcPr>
            <w:tcW w:w="60" w:type="dxa"/>
            <w:vAlign w:val="bottom"/>
          </w:tcPr>
          <w:p>
            <w:pPr>
              <w:spacing w:after="0"/>
              <w:rPr>
                <w:sz w:val="19"/>
                <w:szCs w:val="19"/>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0.0 %</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6"/>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64.0 %</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63.9 %</w:t>
            </w:r>
          </w:p>
        </w:tc>
        <w:tc>
          <w:tcPr>
            <w:tcW w:w="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63.8 %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63.8 %</w:t>
            </w:r>
          </w:p>
        </w:tc>
        <w:tc>
          <w:tcPr>
            <w:tcW w:w="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0.1 %</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25"/>
        </w:trPr>
        <w:tc>
          <w:tcPr>
            <w:tcW w:w="13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64.6 %</w:t>
            </w: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64.6 %</w:t>
            </w:r>
          </w:p>
        </w:tc>
        <w:tc>
          <w:tcPr>
            <w:tcW w:w="80" w:type="dxa"/>
            <w:vAlign w:val="bottom"/>
          </w:tcPr>
          <w:p>
            <w:pPr>
              <w:spacing w:after="0"/>
              <w:rPr>
                <w:sz w:val="19"/>
                <w:szCs w:val="19"/>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64.6 %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63.6 %</w:t>
            </w:r>
          </w:p>
        </w:tc>
        <w:tc>
          <w:tcPr>
            <w:tcW w:w="60" w:type="dxa"/>
            <w:vAlign w:val="bottom"/>
          </w:tcPr>
          <w:p>
            <w:pPr>
              <w:spacing w:after="0"/>
              <w:rPr>
                <w:sz w:val="19"/>
                <w:szCs w:val="19"/>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0.0 %</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6"/>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66.4 %</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66.5 %</w:t>
            </w:r>
          </w:p>
        </w:tc>
        <w:tc>
          <w:tcPr>
            <w:tcW w:w="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66.2 %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63.9 %</w:t>
            </w:r>
          </w:p>
        </w:tc>
        <w:tc>
          <w:tcPr>
            <w:tcW w:w="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-0.1 %</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5"/>
        </w:trPr>
        <w:tc>
          <w:tcPr>
            <w:tcW w:w="134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68.3 %</w:t>
            </w: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68.6 %</w:t>
            </w:r>
          </w:p>
        </w:tc>
        <w:tc>
          <w:tcPr>
            <w:tcW w:w="80" w:type="dxa"/>
            <w:vAlign w:val="bottom"/>
          </w:tcPr>
          <w:p>
            <w:pPr>
              <w:spacing w:after="0"/>
              <w:rPr>
                <w:sz w:val="19"/>
                <w:szCs w:val="19"/>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67.6 %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63.3 %</w:t>
            </w:r>
          </w:p>
        </w:tc>
        <w:tc>
          <w:tcPr>
            <w:tcW w:w="60" w:type="dxa"/>
            <w:vAlign w:val="bottom"/>
          </w:tcPr>
          <w:p>
            <w:pPr>
              <w:spacing w:after="0"/>
              <w:rPr>
                <w:sz w:val="19"/>
                <w:szCs w:val="19"/>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-0.3 %</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6"/>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67.4 %</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68.2 %</w:t>
            </w:r>
          </w:p>
        </w:tc>
        <w:tc>
          <w:tcPr>
            <w:tcW w:w="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66.2 %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66.3 %</w:t>
            </w:r>
          </w:p>
        </w:tc>
        <w:tc>
          <w:tcPr>
            <w:tcW w:w="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-0.8 %</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4"/>
        </w:trPr>
        <w:tc>
          <w:tcPr>
            <w:tcW w:w="134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66.9 %</w:t>
            </w: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66.9 %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gridSpan w:val="5"/>
          </w:tcPr>
          <w:p>
            <w:pPr>
              <w:jc w:val="right"/>
              <w:ind w:right="5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67.5 %</w:t>
            </w:r>
          </w:p>
        </w:tc>
        <w:tc>
          <w:tcPr>
            <w:tcW w:w="60" w:type="dxa"/>
            <w:vAlign w:val="bottom"/>
          </w:tcPr>
          <w:p>
            <w:pPr>
              <w:spacing w:after="0"/>
              <w:rPr>
                <w:sz w:val="19"/>
                <w:szCs w:val="19"/>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0.0 %</w:t>
            </w:r>
          </w:p>
        </w:tc>
        <w:tc>
          <w:tcPr>
            <w:tcW w:w="140" w:type="dxa"/>
            <w:vAlign w:val="bottom"/>
          </w:tcPr>
          <w:p>
            <w:pPr>
              <w:spacing w:after="0"/>
              <w:rPr>
                <w:sz w:val="19"/>
                <w:szCs w:val="19"/>
                <w:color w:val="auto"/>
              </w:rPr>
            </w:pP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649"/>
        </w:trPr>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6"/>
          </w:tcPr>
          <w:p>
            <w:pPr>
              <w:jc w:val="right"/>
              <w:ind w:right="140"/>
              <w:spacing w:after="0"/>
              <w:rPr>
                <w:sz w:val="20"/>
                <w:szCs w:val="20"/>
                <w:color w:val="auto"/>
              </w:rPr>
            </w:pPr>
            <w:r>
              <w:rPr>
                <w:rFonts w:ascii="Arial" w:cs="Arial" w:eastAsia="Arial" w:hAnsi="Arial"/>
                <w:sz w:val="18"/>
                <w:szCs w:val="18"/>
                <w:color w:val="auto"/>
              </w:rPr>
              <w:t>24</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60" w:type="dxa"/>
            <w:vAlign w:val="bottom"/>
            <w:tcBorders>
              <w:bottom w:val="single" w:sz="8" w:color="auto"/>
            </w:tcBorders>
            <w:gridSpan w:val="6"/>
          </w:tcPr>
          <w:p>
            <w:pPr>
              <w:ind w:left="1040"/>
              <w:spacing w:after="0"/>
              <w:rPr>
                <w:sz w:val="20"/>
                <w:szCs w:val="20"/>
                <w:color w:val="auto"/>
              </w:rPr>
            </w:pPr>
            <w:r>
              <w:rPr>
                <w:rFonts w:ascii="Arial" w:cs="Arial" w:eastAsia="Arial" w:hAnsi="Arial"/>
                <w:sz w:val="14"/>
                <w:szCs w:val="14"/>
                <w:b w:val="1"/>
                <w:bCs w:val="1"/>
                <w:color w:val="auto"/>
              </w:rPr>
              <w:t>Purchased Loans as of June 30, 2022</w:t>
            </w:r>
          </w:p>
        </w:tc>
        <w:tc>
          <w:tcPr>
            <w:tcW w:w="1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0"/>
              </w:rPr>
              <w:t>Forecasted Collection Percentage as of (1) (2)</w:t>
            </w:r>
          </w:p>
        </w:tc>
        <w:tc>
          <w:tcPr>
            <w:tcW w:w="1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140" w:type="dxa"/>
            <w:vAlign w:val="bottom"/>
            <w:tcBorders>
              <w:bottom w:val="single" w:sz="8" w:color="auto"/>
            </w:tcBorders>
            <w:gridSpan w:val="5"/>
          </w:tcPr>
          <w:p>
            <w:pPr>
              <w:jc w:val="center"/>
              <w:ind w:left="915"/>
              <w:spacing w:after="0"/>
              <w:rPr>
                <w:sz w:val="20"/>
                <w:szCs w:val="20"/>
                <w:color w:val="auto"/>
              </w:rPr>
            </w:pPr>
            <w:r>
              <w:rPr>
                <w:rFonts w:ascii="Arial" w:cs="Arial" w:eastAsia="Arial" w:hAnsi="Arial"/>
                <w:sz w:val="14"/>
                <w:szCs w:val="14"/>
                <w:b w:val="1"/>
                <w:bCs w:val="1"/>
                <w:color w:val="auto"/>
                <w:w w:val="92"/>
              </w:rPr>
              <w:t>Current Forecast Variance from</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480" w:type="dxa"/>
            <w:vAlign w:val="bottom"/>
            <w:gridSpan w:val="2"/>
          </w:tcPr>
          <w:p>
            <w:pPr>
              <w:jc w:val="center"/>
              <w:ind w:right="60"/>
              <w:spacing w:after="0" w:line="133" w:lineRule="exact"/>
              <w:rPr>
                <w:sz w:val="20"/>
                <w:szCs w:val="20"/>
                <w:color w:val="auto"/>
              </w:rPr>
            </w:pPr>
            <w:r>
              <w:rPr>
                <w:rFonts w:ascii="Arial" w:cs="Arial" w:eastAsia="Arial" w:hAnsi="Arial"/>
                <w:sz w:val="14"/>
                <w:szCs w:val="14"/>
                <w:b w:val="1"/>
                <w:bCs w:val="1"/>
                <w:color w:val="auto"/>
                <w:w w:val="91"/>
              </w:rPr>
              <w:t>Consumer Loan</w:t>
            </w:r>
          </w:p>
        </w:tc>
        <w:tc>
          <w:tcPr>
            <w:tcW w:w="13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June 30, 2022</w:t>
            </w: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March 31, 2022</w:t>
            </w: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December 31, 2021</w:t>
            </w:r>
          </w:p>
        </w:tc>
        <w:tc>
          <w:tcPr>
            <w:tcW w:w="13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Initial</w:t>
            </w:r>
          </w:p>
        </w:tc>
        <w:tc>
          <w:tcPr>
            <w:tcW w:w="120" w:type="dxa"/>
            <w:vAlign w:val="bottom"/>
          </w:tcPr>
          <w:p>
            <w:pPr>
              <w:spacing w:after="0"/>
              <w:rPr>
                <w:sz w:val="11"/>
                <w:szCs w:val="11"/>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March 31, 2022</w:t>
            </w:r>
          </w:p>
        </w:tc>
        <w:tc>
          <w:tcPr>
            <w:tcW w:w="176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0"/>
              </w:rPr>
              <w:t>December 31, 2021</w:t>
            </w:r>
          </w:p>
        </w:tc>
        <w:tc>
          <w:tcPr>
            <w:tcW w:w="1000" w:type="dxa"/>
            <w:vAlign w:val="bottom"/>
          </w:tcPr>
          <w:p>
            <w:pPr>
              <w:jc w:val="right"/>
              <w:ind w:right="415"/>
              <w:spacing w:after="0" w:line="133" w:lineRule="exact"/>
              <w:rPr>
                <w:sz w:val="20"/>
                <w:szCs w:val="20"/>
                <w:color w:val="auto"/>
              </w:rPr>
            </w:pPr>
            <w:r>
              <w:rPr>
                <w:rFonts w:ascii="Arial" w:cs="Arial" w:eastAsia="Arial" w:hAnsi="Arial"/>
                <w:sz w:val="14"/>
                <w:szCs w:val="14"/>
                <w:b w:val="1"/>
                <w:bCs w:val="1"/>
                <w:color w:val="auto"/>
              </w:rPr>
              <w:t>Initial</w:t>
            </w:r>
          </w:p>
        </w:tc>
        <w:tc>
          <w:tcPr>
            <w:tcW w:w="0" w:type="dxa"/>
            <w:vAlign w:val="bottom"/>
          </w:tcPr>
          <w:p>
            <w:pPr>
              <w:spacing w:after="0"/>
              <w:rPr>
                <w:sz w:val="1"/>
                <w:szCs w:val="1"/>
                <w:color w:val="auto"/>
              </w:rPr>
            </w:pPr>
          </w:p>
        </w:tc>
      </w:tr>
      <w:tr>
        <w:trPr>
          <w:trHeight w:val="192"/>
        </w:trPr>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Assignment Year</w:t>
            </w:r>
          </w:p>
        </w:tc>
        <w:tc>
          <w:tcPr>
            <w:tcW w:w="138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Forecast</w:t>
            </w:r>
          </w:p>
        </w:tc>
        <w:tc>
          <w:tcPr>
            <w:tcW w:w="1380" w:type="dxa"/>
            <w:vAlign w:val="bottom"/>
            <w:gridSpan w:val="2"/>
            <w:vMerge w:val="continue"/>
          </w:tcPr>
          <w:p>
            <w:pPr>
              <w:spacing w:after="0"/>
              <w:rPr>
                <w:sz w:val="16"/>
                <w:szCs w:val="16"/>
                <w:color w:val="auto"/>
              </w:rPr>
            </w:pPr>
          </w:p>
        </w:tc>
        <w:tc>
          <w:tcPr>
            <w:tcW w:w="1760" w:type="dxa"/>
            <w:vAlign w:val="bottom"/>
            <w:gridSpan w:val="3"/>
            <w:vMerge w:val="continue"/>
          </w:tcPr>
          <w:p>
            <w:pPr>
              <w:spacing w:after="0"/>
              <w:rPr>
                <w:sz w:val="16"/>
                <w:szCs w:val="16"/>
                <w:color w:val="auto"/>
              </w:rPr>
            </w:pPr>
          </w:p>
        </w:tc>
        <w:tc>
          <w:tcPr>
            <w:tcW w:w="1000" w:type="dxa"/>
            <w:vAlign w:val="bottom"/>
          </w:tcPr>
          <w:p>
            <w:pPr>
              <w:jc w:val="right"/>
              <w:ind w:right="315"/>
              <w:spacing w:after="0"/>
              <w:rPr>
                <w:sz w:val="20"/>
                <w:szCs w:val="20"/>
                <w:color w:val="auto"/>
              </w:rPr>
            </w:pPr>
            <w:r>
              <w:rPr>
                <w:rFonts w:ascii="Arial" w:cs="Arial" w:eastAsia="Arial" w:hAnsi="Arial"/>
                <w:sz w:val="14"/>
                <w:szCs w:val="14"/>
                <w:b w:val="1"/>
                <w:bCs w:val="1"/>
                <w:color w:val="auto"/>
                <w:w w:val="99"/>
              </w:rPr>
              <w:t>Forecast</w:t>
            </w:r>
          </w:p>
        </w:tc>
        <w:tc>
          <w:tcPr>
            <w:tcW w:w="0" w:type="dxa"/>
            <w:vAlign w:val="bottom"/>
          </w:tcPr>
          <w:p>
            <w:pPr>
              <w:spacing w:after="0"/>
              <w:rPr>
                <w:sz w:val="1"/>
                <w:szCs w:val="1"/>
                <w:color w:val="auto"/>
              </w:rPr>
            </w:pPr>
          </w:p>
        </w:tc>
      </w:tr>
      <w:tr>
        <w:trPr>
          <w:trHeight w:val="225"/>
        </w:trPr>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74.3 %</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74.2 %</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71.6 %</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5"/>
        </w:trPr>
        <w:tc>
          <w:tcPr>
            <w:tcW w:w="138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72.5 %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72.4 %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72.4 %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70.9 %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6"/>
        </w:trPr>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25"/>
        </w:trPr>
        <w:tc>
          <w:tcPr>
            <w:tcW w:w="13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66.1 %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66.1 %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65.8 %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66.5 %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26"/>
        </w:trPr>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5"/>
        </w:trPr>
        <w:tc>
          <w:tcPr>
            <w:tcW w:w="13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66.3 %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66.3 %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66.4 %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63.5 %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6"/>
        </w:trPr>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25"/>
        </w:trPr>
        <w:tc>
          <w:tcPr>
            <w:tcW w:w="138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68.6 %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69.0 %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68.4 %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63.6 %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6"/>
        </w:trPr>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4"/>
        </w:trPr>
        <w:tc>
          <w:tcPr>
            <w:tcW w:w="138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67.6 %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67.2 %</w:t>
            </w:r>
          </w:p>
        </w:tc>
        <w:tc>
          <w:tcPr>
            <w:tcW w:w="10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67.7 %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Pr>
          <w:p>
            <w:pPr>
              <w:spacing w:after="0"/>
              <w:rPr>
                <w:sz w:val="19"/>
                <w:szCs w:val="19"/>
                <w:color w:val="auto"/>
              </w:rPr>
            </w:pPr>
          </w:p>
        </w:tc>
        <w:tc>
          <w:tcPr>
            <w:tcW w:w="17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left="480" w:hanging="315"/>
        <w:spacing w:after="0" w:line="242" w:lineRule="auto"/>
        <w:tabs>
          <w:tab w:leader="none" w:pos="472"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total forecasted collections we expect to collect on the Consumer Loans as a percentage of the repayments that we were contractually owed on the Consumer Loans at the time of assignment. Contractual repayments include both principal and interest. Forecasted collection rates are negatively impacted by canceled Consumer Loans as the contractual amount owed is not removed from the denominator for purposes of computing forecasted collection rates in the table.</w:t>
      </w:r>
    </w:p>
    <w:p>
      <w:pPr>
        <w:spacing w:after="0" w:line="1" w:lineRule="exact"/>
        <w:rPr>
          <w:rFonts w:ascii="Arial" w:cs="Arial" w:eastAsia="Arial" w:hAnsi="Arial"/>
          <w:sz w:val="14"/>
          <w:szCs w:val="14"/>
          <w:color w:val="auto"/>
        </w:rPr>
      </w:pPr>
    </w:p>
    <w:p>
      <w:pPr>
        <w:ind w:left="480" w:hanging="315"/>
        <w:spacing w:after="0"/>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forecasted collection rates presented for Dealer Loans and Purchased Loans reflect the Consumer Loan classification at the time of assignment.</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evaluate and adjust the expected collection rate of each Consumer Loan subsequent to assignment primarily through the monitoring of consumer payment behavior. The following table summarizes the past-due status of Consumer Loan assignments as of June 30, 2022 and December 31, 2021, segmented by year of assignment: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640" w:type="dxa"/>
            <w:vAlign w:val="bottom"/>
            <w:tcBorders>
              <w:bottom w:val="single" w:sz="8" w:color="auto"/>
            </w:tcBorders>
            <w:gridSpan w:val="9"/>
          </w:tcPr>
          <w:p>
            <w:pPr>
              <w:jc w:val="center"/>
              <w:ind w:right="196"/>
              <w:spacing w:after="0"/>
              <w:rPr>
                <w:sz w:val="20"/>
                <w:szCs w:val="20"/>
                <w:color w:val="auto"/>
              </w:rPr>
            </w:pPr>
            <w:r>
              <w:rPr>
                <w:rFonts w:ascii="Arial" w:cs="Arial" w:eastAsia="Arial" w:hAnsi="Arial"/>
                <w:sz w:val="14"/>
                <w:szCs w:val="14"/>
                <w:b w:val="1"/>
                <w:bCs w:val="1"/>
                <w:color w:val="auto"/>
                <w:w w:val="90"/>
              </w:rPr>
              <w:t>Total Loans as of June 30, 2022 (1) (2)</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60" w:type="dxa"/>
            <w:vAlign w:val="bottom"/>
            <w:gridSpan w:val="7"/>
          </w:tcPr>
          <w:p>
            <w:pPr>
              <w:jc w:val="center"/>
              <w:ind w:right="123"/>
              <w:spacing w:after="0"/>
              <w:rPr>
                <w:sz w:val="20"/>
                <w:szCs w:val="20"/>
                <w:color w:val="auto"/>
              </w:rPr>
            </w:pPr>
            <w:r>
              <w:rPr>
                <w:rFonts w:ascii="Arial" w:cs="Arial" w:eastAsia="Arial" w:hAnsi="Arial"/>
                <w:sz w:val="14"/>
                <w:szCs w:val="14"/>
                <w:b w:val="1"/>
                <w:bCs w:val="1"/>
                <w:color w:val="auto"/>
                <w:w w:val="92"/>
              </w:rPr>
              <w:t>Pre-term Consumer Loans (3)</w:t>
            </w: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29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Consumer Loan Assignment Year</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Current (5)</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3"/>
          </w:tcPr>
          <w:p>
            <w:pPr>
              <w:jc w:val="center"/>
              <w:ind w:right="400"/>
              <w:spacing w:after="0" w:line="159" w:lineRule="exact"/>
              <w:rPr>
                <w:sz w:val="20"/>
                <w:szCs w:val="20"/>
                <w:color w:val="auto"/>
              </w:rPr>
            </w:pPr>
            <w:r>
              <w:rPr>
                <w:rFonts w:ascii="Arial" w:cs="Arial" w:eastAsia="Arial" w:hAnsi="Arial"/>
                <w:sz w:val="14"/>
                <w:szCs w:val="14"/>
                <w:b w:val="1"/>
                <w:bCs w:val="1"/>
                <w:color w:val="auto"/>
                <w:w w:val="90"/>
              </w:rPr>
              <w:t>Past Due</w:t>
            </w:r>
          </w:p>
        </w:tc>
        <w:tc>
          <w:tcPr>
            <w:tcW w:w="220" w:type="dxa"/>
            <w:vAlign w:val="bottom"/>
          </w:tcPr>
          <w:p>
            <w:pPr>
              <w:spacing w:after="0"/>
              <w:rPr>
                <w:sz w:val="13"/>
                <w:szCs w:val="13"/>
                <w:color w:val="auto"/>
              </w:rPr>
            </w:pPr>
          </w:p>
        </w:tc>
        <w:tc>
          <w:tcPr>
            <w:tcW w:w="132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w w:val="90"/>
              </w:rPr>
              <w:t>Past Due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jc w:val="center"/>
              <w:ind w:right="56"/>
              <w:spacing w:after="0" w:line="159" w:lineRule="exact"/>
              <w:rPr>
                <w:sz w:val="20"/>
                <w:szCs w:val="20"/>
                <w:color w:val="auto"/>
              </w:rPr>
            </w:pPr>
            <w:r>
              <w:rPr>
                <w:rFonts w:ascii="Arial" w:cs="Arial" w:eastAsia="Arial" w:hAnsi="Arial"/>
                <w:sz w:val="14"/>
                <w:szCs w:val="14"/>
                <w:b w:val="1"/>
                <w:bCs w:val="1"/>
                <w:color w:val="auto"/>
                <w:w w:val="90"/>
              </w:rPr>
              <w:t>Post-term Consumer</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2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11-90 Days</w:t>
            </w:r>
          </w:p>
        </w:tc>
        <w:tc>
          <w:tcPr>
            <w:tcW w:w="2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Over 90 Days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Loans (4)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0" w:type="dxa"/>
            <w:vAlign w:val="bottom"/>
            <w:tcBorders>
              <w:bottom w:val="single" w:sz="8" w:color="CCEEFF"/>
            </w:tcBorders>
          </w:tcPr>
          <w:p>
            <w:pPr>
              <w:spacing w:after="0"/>
              <w:rPr>
                <w:sz w:val="3"/>
                <w:szCs w:val="3"/>
                <w:color w:val="auto"/>
              </w:rPr>
            </w:pPr>
          </w:p>
        </w:tc>
        <w:tc>
          <w:tcPr>
            <w:tcW w:w="29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6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2017 and Prior</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42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46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60" w:type="dxa"/>
            <w:vAlign w:val="bottom"/>
            <w:gridSpan w:val="2"/>
          </w:tcPr>
          <w:p>
            <w:pPr>
              <w:ind w:left="6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270.7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1,485.8</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60" w:type="dxa"/>
            <w:vAlign w:val="bottom"/>
            <w:gridSpan w:val="2"/>
          </w:tcPr>
          <w:p>
            <w:pPr>
              <w:ind w:left="6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1,091.8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2,617.7</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96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rPr>
              <w:t>2022</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1,853.9</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5,753.9</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9,190.6</w:t>
            </w:r>
          </w:p>
        </w:tc>
        <w:tc>
          <w:tcPr>
            <w:tcW w:w="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900" w:type="dxa"/>
            <w:vAlign w:val="bottom"/>
            <w:vMerge w:val="restart"/>
          </w:tcPr>
          <w:p>
            <w:pPr>
              <w:ind w:left="40"/>
              <w:spacing w:after="0"/>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9"/>
          </w:tcPr>
          <w:p>
            <w:pPr>
              <w:jc w:val="center"/>
              <w:ind w:right="196"/>
              <w:spacing w:after="0"/>
              <w:rPr>
                <w:sz w:val="20"/>
                <w:szCs w:val="20"/>
                <w:color w:val="auto"/>
              </w:rPr>
            </w:pPr>
            <w:r>
              <w:rPr>
                <w:rFonts w:ascii="Arial" w:cs="Arial" w:eastAsia="Arial" w:hAnsi="Arial"/>
                <w:sz w:val="14"/>
                <w:szCs w:val="14"/>
                <w:b w:val="1"/>
                <w:bCs w:val="1"/>
                <w:color w:val="auto"/>
                <w:w w:val="89"/>
              </w:rPr>
              <w:t>Dealer Loans as of June 30, 2022 (1)</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Pre-term Consumer Loans (3)</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20" w:type="dxa"/>
            <w:vAlign w:val="bottom"/>
            <w:gridSpan w:val="3"/>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0"/>
              </w:rPr>
              <w:t>Post-term Consumer</w:t>
            </w: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29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Consumer Loan Assignment Year</w:t>
            </w:r>
          </w:p>
        </w:tc>
        <w:tc>
          <w:tcPr>
            <w:tcW w:w="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Current (5)</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ind w:right="400"/>
              <w:spacing w:after="0" w:line="133" w:lineRule="exact"/>
              <w:rPr>
                <w:sz w:val="20"/>
                <w:szCs w:val="20"/>
                <w:color w:val="auto"/>
              </w:rPr>
            </w:pPr>
            <w:r>
              <w:rPr>
                <w:rFonts w:ascii="Arial" w:cs="Arial" w:eastAsia="Arial" w:hAnsi="Arial"/>
                <w:sz w:val="14"/>
                <w:szCs w:val="14"/>
                <w:b w:val="1"/>
                <w:bCs w:val="1"/>
                <w:color w:val="auto"/>
                <w:w w:val="90"/>
              </w:rPr>
              <w:t>Past Due</w:t>
            </w: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56"/>
              <w:spacing w:after="0" w:line="133" w:lineRule="exact"/>
              <w:rPr>
                <w:sz w:val="20"/>
                <w:szCs w:val="20"/>
                <w:color w:val="auto"/>
              </w:rPr>
            </w:pPr>
            <w:r>
              <w:rPr>
                <w:rFonts w:ascii="Arial" w:cs="Arial" w:eastAsia="Arial" w:hAnsi="Arial"/>
                <w:sz w:val="14"/>
                <w:szCs w:val="14"/>
                <w:b w:val="1"/>
                <w:bCs w:val="1"/>
                <w:color w:val="auto"/>
                <w:w w:val="90"/>
              </w:rPr>
              <w:t>Past Due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2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11-90 Days</w:t>
            </w:r>
          </w:p>
        </w:tc>
        <w:tc>
          <w:tcPr>
            <w:tcW w:w="22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Over 90 Days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Loans (4)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0" w:type="dxa"/>
            <w:vAlign w:val="bottom"/>
          </w:tcPr>
          <w:p>
            <w:pPr>
              <w:spacing w:after="0"/>
              <w:rPr>
                <w:sz w:val="3"/>
                <w:szCs w:val="3"/>
                <w:color w:val="auto"/>
              </w:rPr>
            </w:pPr>
          </w:p>
        </w:tc>
        <w:tc>
          <w:tcPr>
            <w:tcW w:w="29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gridSpan w:val="2"/>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2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 and Prior</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42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46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60" w:type="dxa"/>
            <w:vAlign w:val="bottom"/>
            <w:gridSpan w:val="2"/>
          </w:tcPr>
          <w:p>
            <w:pPr>
              <w:ind w:left="10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2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60" w:type="dxa"/>
            <w:vAlign w:val="bottom"/>
            <w:gridSpan w:val="2"/>
          </w:tcPr>
          <w:p>
            <w:pPr>
              <w:ind w:left="10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693.1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2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2022</w:t>
            </w: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1,373.5</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3,795.0</w:t>
            </w:r>
          </w:p>
        </w:tc>
        <w:tc>
          <w:tcPr>
            <w:tcW w:w="42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w:t>
            </w:r>
          </w:p>
        </w:tc>
        <w:tc>
          <w:tcPr>
            <w:tcW w:w="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46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right"/>
              <w:ind w:right="397"/>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 w:type="dxa"/>
            <w:vAlign w:val="bottom"/>
          </w:tcPr>
          <w:p>
            <w:pPr>
              <w:spacing w:after="0"/>
              <w:rPr>
                <w:sz w:val="19"/>
                <w:szCs w:val="19"/>
                <w:color w:val="auto"/>
              </w:rPr>
            </w:pPr>
          </w:p>
        </w:tc>
        <w:tc>
          <w:tcPr>
            <w:tcW w:w="292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740" w:type="dxa"/>
            <w:vAlign w:val="bottom"/>
            <w:tcBorders>
              <w:bottom w:val="single" w:sz="8" w:color="auto"/>
            </w:tcBorders>
            <w:gridSpan w:val="12"/>
          </w:tcPr>
          <w:p>
            <w:pPr>
              <w:jc w:val="center"/>
              <w:ind w:right="380"/>
              <w:spacing w:after="0"/>
              <w:rPr>
                <w:sz w:val="20"/>
                <w:szCs w:val="20"/>
                <w:color w:val="auto"/>
              </w:rPr>
            </w:pPr>
            <w:r>
              <w:rPr>
                <w:rFonts w:ascii="Arial" w:cs="Arial" w:eastAsia="Arial" w:hAnsi="Arial"/>
                <w:sz w:val="14"/>
                <w:szCs w:val="14"/>
                <w:b w:val="1"/>
                <w:bCs w:val="1"/>
                <w:color w:val="auto"/>
                <w:w w:val="89"/>
              </w:rPr>
              <w:t>Purchased Loans as of June 30, 2022 (2)</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Pre-term Consumer Loans (3)</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20" w:type="dxa"/>
            <w:vAlign w:val="bottom"/>
            <w:gridSpan w:val="3"/>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0"/>
              </w:rPr>
              <w:t>Post-term Consumer</w:t>
            </w: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29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Consumer Loan Assignment Year</w:t>
            </w:r>
          </w:p>
        </w:tc>
        <w:tc>
          <w:tcPr>
            <w:tcW w:w="2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Current (5)</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ind w:right="400"/>
              <w:spacing w:after="0" w:line="133" w:lineRule="exact"/>
              <w:rPr>
                <w:sz w:val="20"/>
                <w:szCs w:val="20"/>
                <w:color w:val="auto"/>
              </w:rPr>
            </w:pPr>
            <w:r>
              <w:rPr>
                <w:rFonts w:ascii="Arial" w:cs="Arial" w:eastAsia="Arial" w:hAnsi="Arial"/>
                <w:sz w:val="14"/>
                <w:szCs w:val="14"/>
                <w:b w:val="1"/>
                <w:bCs w:val="1"/>
                <w:color w:val="auto"/>
                <w:w w:val="90"/>
              </w:rPr>
              <w:t>Past Due</w:t>
            </w: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56"/>
              <w:spacing w:after="0" w:line="133" w:lineRule="exact"/>
              <w:rPr>
                <w:sz w:val="20"/>
                <w:szCs w:val="20"/>
                <w:color w:val="auto"/>
              </w:rPr>
            </w:pPr>
            <w:r>
              <w:rPr>
                <w:rFonts w:ascii="Arial" w:cs="Arial" w:eastAsia="Arial" w:hAnsi="Arial"/>
                <w:sz w:val="14"/>
                <w:szCs w:val="14"/>
                <w:b w:val="1"/>
                <w:bCs w:val="1"/>
                <w:color w:val="auto"/>
                <w:w w:val="90"/>
              </w:rPr>
              <w:t>Past Due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29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11-90 Days</w:t>
            </w:r>
          </w:p>
        </w:tc>
        <w:tc>
          <w:tcPr>
            <w:tcW w:w="220" w:type="dxa"/>
            <w:vAlign w:val="bottom"/>
          </w:tcPr>
          <w:p>
            <w:pPr>
              <w:spacing w:after="0"/>
              <w:rPr>
                <w:sz w:val="16"/>
                <w:szCs w:val="16"/>
                <w:color w:val="auto"/>
              </w:rPr>
            </w:pPr>
          </w:p>
        </w:tc>
        <w:tc>
          <w:tcPr>
            <w:tcW w:w="14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Over 90 Days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Loans (4)</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0" w:type="dxa"/>
            <w:vAlign w:val="bottom"/>
          </w:tcPr>
          <w:p>
            <w:pPr>
              <w:spacing w:after="0"/>
              <w:rPr>
                <w:sz w:val="3"/>
                <w:szCs w:val="3"/>
                <w:color w:val="auto"/>
              </w:rPr>
            </w:pPr>
          </w:p>
        </w:tc>
        <w:tc>
          <w:tcPr>
            <w:tcW w:w="29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2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2017 and Prior</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420" w:type="dxa"/>
            <w:vAlign w:val="bottom"/>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2900" w:type="dxa"/>
            <w:vAlign w:val="bottom"/>
          </w:tcPr>
          <w:p>
            <w:pPr>
              <w:ind w:left="4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2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2900" w:type="dxa"/>
            <w:vAlign w:val="bottom"/>
          </w:tcPr>
          <w:p>
            <w:pPr>
              <w:ind w:left="4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398.7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2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2022</w:t>
            </w: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480.4</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1,958.9</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9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0" w:type="dxa"/>
            <w:vAlign w:val="bottom"/>
          </w:tcPr>
          <w:p>
            <w:pPr>
              <w:spacing w:after="0"/>
              <w:rPr>
                <w:sz w:val="24"/>
                <w:szCs w:val="24"/>
                <w:color w:val="auto"/>
              </w:rPr>
            </w:pPr>
          </w:p>
        </w:tc>
        <w:tc>
          <w:tcPr>
            <w:tcW w:w="29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40" w:type="dxa"/>
            <w:vAlign w:val="bottom"/>
            <w:gridSpan w:val="12"/>
          </w:tcPr>
          <w:p>
            <w:pPr>
              <w:jc w:val="center"/>
              <w:ind w:right="380"/>
              <w:spacing w:after="0"/>
              <w:rPr>
                <w:sz w:val="20"/>
                <w:szCs w:val="20"/>
                <w:color w:val="auto"/>
              </w:rPr>
            </w:pPr>
            <w:r>
              <w:rPr>
                <w:rFonts w:ascii="Arial" w:cs="Arial" w:eastAsia="Arial" w:hAnsi="Arial"/>
                <w:sz w:val="14"/>
                <w:szCs w:val="14"/>
                <w:b w:val="1"/>
                <w:bCs w:val="1"/>
                <w:color w:val="auto"/>
                <w:w w:val="90"/>
              </w:rPr>
              <w:t>Total Loans as of December 31, 2021 (1) (2)</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gridSpan w:val="7"/>
          </w:tcPr>
          <w:p>
            <w:pPr>
              <w:jc w:val="center"/>
              <w:ind w:right="123"/>
              <w:spacing w:after="0"/>
              <w:rPr>
                <w:sz w:val="20"/>
                <w:szCs w:val="20"/>
                <w:color w:val="auto"/>
              </w:rPr>
            </w:pPr>
            <w:r>
              <w:rPr>
                <w:rFonts w:ascii="Arial" w:cs="Arial" w:eastAsia="Arial" w:hAnsi="Arial"/>
                <w:sz w:val="14"/>
                <w:szCs w:val="14"/>
                <w:b w:val="1"/>
                <w:bCs w:val="1"/>
                <w:color w:val="auto"/>
                <w:w w:val="92"/>
              </w:rPr>
              <w:t>Pre-term Consumer Loans (3)</w:t>
            </w:r>
          </w:p>
        </w:tc>
        <w:tc>
          <w:tcPr>
            <w:tcW w:w="13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gridSpan w:val="3"/>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292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Consumer Loan Assignment Year</w:t>
            </w:r>
          </w:p>
        </w:tc>
        <w:tc>
          <w:tcPr>
            <w:tcW w:w="260" w:type="dxa"/>
            <w:vAlign w:val="bottom"/>
          </w:tcPr>
          <w:p>
            <w:pPr>
              <w:spacing w:after="0"/>
              <w:rPr>
                <w:sz w:val="13"/>
                <w:szCs w:val="13"/>
                <w:color w:val="auto"/>
              </w:rPr>
            </w:pPr>
          </w:p>
        </w:tc>
        <w:tc>
          <w:tcPr>
            <w:tcW w:w="12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Current (5)</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3"/>
          </w:tcPr>
          <w:p>
            <w:pPr>
              <w:jc w:val="center"/>
              <w:ind w:right="400"/>
              <w:spacing w:after="0" w:line="159" w:lineRule="exact"/>
              <w:rPr>
                <w:sz w:val="20"/>
                <w:szCs w:val="20"/>
                <w:color w:val="auto"/>
              </w:rPr>
            </w:pPr>
            <w:r>
              <w:rPr>
                <w:rFonts w:ascii="Arial" w:cs="Arial" w:eastAsia="Arial" w:hAnsi="Arial"/>
                <w:sz w:val="14"/>
                <w:szCs w:val="14"/>
                <w:b w:val="1"/>
                <w:bCs w:val="1"/>
                <w:color w:val="auto"/>
                <w:w w:val="90"/>
              </w:rPr>
              <w:t>Past Due</w:t>
            </w:r>
          </w:p>
        </w:tc>
        <w:tc>
          <w:tcPr>
            <w:tcW w:w="220" w:type="dxa"/>
            <w:vAlign w:val="bottom"/>
          </w:tcPr>
          <w:p>
            <w:pPr>
              <w:spacing w:after="0"/>
              <w:rPr>
                <w:sz w:val="13"/>
                <w:szCs w:val="13"/>
                <w:color w:val="auto"/>
              </w:rPr>
            </w:pPr>
          </w:p>
        </w:tc>
        <w:tc>
          <w:tcPr>
            <w:tcW w:w="132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w w:val="90"/>
              </w:rPr>
              <w:t>Past Due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3"/>
          </w:tcPr>
          <w:p>
            <w:pPr>
              <w:jc w:val="center"/>
              <w:ind w:right="240"/>
              <w:spacing w:after="0" w:line="159" w:lineRule="exact"/>
              <w:rPr>
                <w:sz w:val="20"/>
                <w:szCs w:val="20"/>
                <w:color w:val="auto"/>
              </w:rPr>
            </w:pPr>
            <w:r>
              <w:rPr>
                <w:rFonts w:ascii="Arial" w:cs="Arial" w:eastAsia="Arial" w:hAnsi="Arial"/>
                <w:sz w:val="14"/>
                <w:szCs w:val="14"/>
                <w:b w:val="1"/>
                <w:bCs w:val="1"/>
                <w:color w:val="auto"/>
                <w:w w:val="90"/>
              </w:rPr>
              <w:t>Post-term Consumer</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29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11-90 Days</w:t>
            </w:r>
          </w:p>
        </w:tc>
        <w:tc>
          <w:tcPr>
            <w:tcW w:w="220" w:type="dxa"/>
            <w:vAlign w:val="bottom"/>
          </w:tcPr>
          <w:p>
            <w:pPr>
              <w:spacing w:after="0"/>
              <w:rPr>
                <w:sz w:val="16"/>
                <w:szCs w:val="16"/>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Over 90 Days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Loans (4)</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0" w:type="dxa"/>
            <w:vAlign w:val="bottom"/>
            <w:tcBorders>
              <w:bottom w:val="single" w:sz="8" w:color="CCEEFF"/>
            </w:tcBorders>
          </w:tcPr>
          <w:p>
            <w:pPr>
              <w:spacing w:after="0"/>
              <w:rPr>
                <w:sz w:val="3"/>
                <w:szCs w:val="3"/>
                <w:color w:val="auto"/>
              </w:rPr>
            </w:pPr>
          </w:p>
        </w:tc>
        <w:tc>
          <w:tcPr>
            <w:tcW w:w="29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6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 and Prior</w:t>
            </w:r>
          </w:p>
        </w:tc>
        <w:tc>
          <w:tcPr>
            <w:tcW w:w="260" w:type="dxa"/>
            <w:vAlign w:val="bottom"/>
            <w:shd w:val="clear" w:color="auto" w:fill="CCEEFF"/>
          </w:tcPr>
          <w:p>
            <w:pPr>
              <w:jc w:val="right"/>
              <w:ind w:right="9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20" w:type="dxa"/>
            <w:vAlign w:val="bottom"/>
            <w:gridSpan w:val="3"/>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1,085.4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0" w:type="dxa"/>
            <w:vAlign w:val="bottom"/>
            <w:tcBorders>
              <w:bottom w:val="single" w:sz="8" w:color="CCEEFF"/>
            </w:tcBorders>
          </w:tcPr>
          <w:p>
            <w:pPr>
              <w:spacing w:after="0"/>
              <w:rPr>
                <w:sz w:val="20"/>
                <w:szCs w:val="20"/>
                <w:color w:val="auto"/>
              </w:rPr>
            </w:pPr>
          </w:p>
        </w:tc>
        <w:tc>
          <w:tcPr>
            <w:tcW w:w="2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2,555.5</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554.5</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3,231.7</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5,780.5</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9,349.8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60" w:type="dxa"/>
            <w:vAlign w:val="bottom"/>
          </w:tcPr>
          <w:p>
            <w:pPr>
              <w:spacing w:after="0"/>
              <w:rPr>
                <w:sz w:val="24"/>
                <w:szCs w:val="24"/>
                <w:color w:val="auto"/>
              </w:rPr>
            </w:pPr>
          </w:p>
        </w:tc>
        <w:tc>
          <w:tcPr>
            <w:tcW w:w="292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12"/>
          </w:tcPr>
          <w:p>
            <w:pPr>
              <w:jc w:val="center"/>
              <w:ind w:right="380"/>
              <w:spacing w:after="0"/>
              <w:rPr>
                <w:sz w:val="20"/>
                <w:szCs w:val="20"/>
                <w:color w:val="auto"/>
              </w:rPr>
            </w:pPr>
            <w:r>
              <w:rPr>
                <w:rFonts w:ascii="Arial" w:cs="Arial" w:eastAsia="Arial" w:hAnsi="Arial"/>
                <w:sz w:val="14"/>
                <w:szCs w:val="14"/>
                <w:b w:val="1"/>
                <w:bCs w:val="1"/>
                <w:color w:val="auto"/>
                <w:w w:val="90"/>
              </w:rPr>
              <w:t>Dealer Loans as of December 31, 2021 (1)</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Pre-term Consumer Loans (3)</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20" w:type="dxa"/>
            <w:vAlign w:val="bottom"/>
            <w:gridSpan w:val="3"/>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gridSpan w:val="3"/>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0"/>
              </w:rPr>
              <w:t>Post-term Consumer</w:t>
            </w: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29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Consumer Loan Assignment Year</w:t>
            </w:r>
          </w:p>
        </w:tc>
        <w:tc>
          <w:tcPr>
            <w:tcW w:w="2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Current (5)</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ind w:right="400"/>
              <w:spacing w:after="0" w:line="133" w:lineRule="exact"/>
              <w:rPr>
                <w:sz w:val="20"/>
                <w:szCs w:val="20"/>
                <w:color w:val="auto"/>
              </w:rPr>
            </w:pPr>
            <w:r>
              <w:rPr>
                <w:rFonts w:ascii="Arial" w:cs="Arial" w:eastAsia="Arial" w:hAnsi="Arial"/>
                <w:sz w:val="14"/>
                <w:szCs w:val="14"/>
                <w:b w:val="1"/>
                <w:bCs w:val="1"/>
                <w:color w:val="auto"/>
                <w:w w:val="90"/>
              </w:rPr>
              <w:t>Past Due</w:t>
            </w: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56"/>
              <w:spacing w:after="0" w:line="133" w:lineRule="exact"/>
              <w:rPr>
                <w:sz w:val="20"/>
                <w:szCs w:val="20"/>
                <w:color w:val="auto"/>
              </w:rPr>
            </w:pPr>
            <w:r>
              <w:rPr>
                <w:rFonts w:ascii="Arial" w:cs="Arial" w:eastAsia="Arial" w:hAnsi="Arial"/>
                <w:sz w:val="14"/>
                <w:szCs w:val="14"/>
                <w:b w:val="1"/>
                <w:bCs w:val="1"/>
                <w:color w:val="auto"/>
                <w:w w:val="90"/>
              </w:rPr>
              <w:t>Past Due</w:t>
            </w:r>
          </w:p>
        </w:tc>
        <w:tc>
          <w:tcPr>
            <w:tcW w:w="1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29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11-90 Days</w:t>
            </w:r>
          </w:p>
        </w:tc>
        <w:tc>
          <w:tcPr>
            <w:tcW w:w="220" w:type="dxa"/>
            <w:vAlign w:val="bottom"/>
          </w:tcPr>
          <w:p>
            <w:pPr>
              <w:spacing w:after="0"/>
              <w:rPr>
                <w:sz w:val="16"/>
                <w:szCs w:val="16"/>
                <w:color w:val="auto"/>
              </w:rPr>
            </w:pPr>
          </w:p>
        </w:tc>
        <w:tc>
          <w:tcPr>
            <w:tcW w:w="14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Over 90 Days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Loans (4)</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0" w:type="dxa"/>
            <w:vAlign w:val="bottom"/>
          </w:tcPr>
          <w:p>
            <w:pPr>
              <w:spacing w:after="0"/>
              <w:rPr>
                <w:sz w:val="3"/>
                <w:szCs w:val="3"/>
                <w:color w:val="auto"/>
              </w:rPr>
            </w:pPr>
          </w:p>
        </w:tc>
        <w:tc>
          <w:tcPr>
            <w:tcW w:w="2920" w:type="dxa"/>
            <w:vAlign w:val="bottom"/>
            <w:tcBorders>
              <w:bottom w:val="single" w:sz="8" w:color="CCEEFF"/>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gridSpan w:val="2"/>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gridSpan w:val="2"/>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2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2016 and Prior</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20" w:type="dxa"/>
            <w:vAlign w:val="bottom"/>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2900" w:type="dxa"/>
            <w:vAlign w:val="bottom"/>
          </w:tcPr>
          <w:p>
            <w:pPr>
              <w:ind w:left="4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2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2900" w:type="dxa"/>
            <w:vAlign w:val="bottom"/>
          </w:tcPr>
          <w:p>
            <w:pPr>
              <w:ind w:left="4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530.7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2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1,800.5</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382.8</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3,632.8</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920" w:type="dxa"/>
            <w:vAlign w:val="bottom"/>
            <w:gridSpan w:val="2"/>
            <w:vMerge w:val="restart"/>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60" w:type="dxa"/>
            <w:vAlign w:val="bottom"/>
          </w:tcPr>
          <w:p>
            <w:pPr>
              <w:spacing w:after="0"/>
              <w:rPr>
                <w:sz w:val="24"/>
                <w:szCs w:val="24"/>
                <w:color w:val="auto"/>
              </w:rPr>
            </w:pPr>
          </w:p>
        </w:tc>
        <w:tc>
          <w:tcPr>
            <w:tcW w:w="2920" w:type="dxa"/>
            <w:vAlign w:val="bottom"/>
            <w:gridSpan w:val="2"/>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12"/>
          </w:tcPr>
          <w:p>
            <w:pPr>
              <w:jc w:val="center"/>
              <w:ind w:right="380"/>
              <w:spacing w:after="0"/>
              <w:rPr>
                <w:sz w:val="20"/>
                <w:szCs w:val="20"/>
                <w:color w:val="auto"/>
              </w:rPr>
            </w:pPr>
            <w:r>
              <w:rPr>
                <w:rFonts w:ascii="Arial" w:cs="Arial" w:eastAsia="Arial" w:hAnsi="Arial"/>
                <w:sz w:val="14"/>
                <w:szCs w:val="14"/>
                <w:b w:val="1"/>
                <w:bCs w:val="1"/>
                <w:color w:val="auto"/>
                <w:w w:val="89"/>
              </w:rPr>
              <w:t>Purchased Loans as of December 31, 2021 (2)</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Pre-term Consumer Loans (3)</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20" w:type="dxa"/>
            <w:vAlign w:val="bottom"/>
            <w:gridSpan w:val="3"/>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gridSpan w:val="3"/>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0"/>
              </w:rPr>
              <w:t>Post-term Consumer</w:t>
            </w: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29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Consumer Loan Assignment Year</w:t>
            </w:r>
          </w:p>
        </w:tc>
        <w:tc>
          <w:tcPr>
            <w:tcW w:w="2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Current (5)</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ind w:right="400"/>
              <w:spacing w:after="0" w:line="133" w:lineRule="exact"/>
              <w:rPr>
                <w:sz w:val="20"/>
                <w:szCs w:val="20"/>
                <w:color w:val="auto"/>
              </w:rPr>
            </w:pPr>
            <w:r>
              <w:rPr>
                <w:rFonts w:ascii="Arial" w:cs="Arial" w:eastAsia="Arial" w:hAnsi="Arial"/>
                <w:sz w:val="14"/>
                <w:szCs w:val="14"/>
                <w:b w:val="1"/>
                <w:bCs w:val="1"/>
                <w:color w:val="auto"/>
                <w:w w:val="90"/>
              </w:rPr>
              <w:t>Past Due</w:t>
            </w: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56"/>
              <w:spacing w:after="0" w:line="133" w:lineRule="exact"/>
              <w:rPr>
                <w:sz w:val="20"/>
                <w:szCs w:val="20"/>
                <w:color w:val="auto"/>
              </w:rPr>
            </w:pPr>
            <w:r>
              <w:rPr>
                <w:rFonts w:ascii="Arial" w:cs="Arial" w:eastAsia="Arial" w:hAnsi="Arial"/>
                <w:sz w:val="14"/>
                <w:szCs w:val="14"/>
                <w:b w:val="1"/>
                <w:bCs w:val="1"/>
                <w:color w:val="auto"/>
                <w:w w:val="90"/>
              </w:rPr>
              <w:t>Past Due</w:t>
            </w:r>
          </w:p>
        </w:tc>
        <w:tc>
          <w:tcPr>
            <w:tcW w:w="1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29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11-90 Days</w:t>
            </w:r>
          </w:p>
        </w:tc>
        <w:tc>
          <w:tcPr>
            <w:tcW w:w="220" w:type="dxa"/>
            <w:vAlign w:val="bottom"/>
          </w:tcPr>
          <w:p>
            <w:pPr>
              <w:spacing w:after="0"/>
              <w:rPr>
                <w:sz w:val="16"/>
                <w:szCs w:val="16"/>
                <w:color w:val="auto"/>
              </w:rPr>
            </w:pPr>
          </w:p>
        </w:tc>
        <w:tc>
          <w:tcPr>
            <w:tcW w:w="14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Over 90 Days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Loans (4)</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0" w:type="dxa"/>
            <w:vAlign w:val="bottom"/>
          </w:tcPr>
          <w:p>
            <w:pPr>
              <w:spacing w:after="0"/>
              <w:rPr>
                <w:sz w:val="3"/>
                <w:szCs w:val="3"/>
                <w:color w:val="auto"/>
              </w:rPr>
            </w:pPr>
          </w:p>
        </w:tc>
        <w:tc>
          <w:tcPr>
            <w:tcW w:w="2920" w:type="dxa"/>
            <w:vAlign w:val="bottom"/>
            <w:tcBorders>
              <w:bottom w:val="single" w:sz="8" w:color="CCEEFF"/>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gridSpan w:val="2"/>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gridSpan w:val="2"/>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2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2016 and Prior</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20" w:type="dxa"/>
            <w:vAlign w:val="bottom"/>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2900" w:type="dxa"/>
            <w:vAlign w:val="bottom"/>
          </w:tcPr>
          <w:p>
            <w:pPr>
              <w:ind w:left="4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2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2900" w:type="dxa"/>
            <w:vAlign w:val="bottom"/>
          </w:tcPr>
          <w:p>
            <w:pPr>
              <w:ind w:left="4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554.7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2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755.0</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2,147.7</w:t>
            </w:r>
          </w:p>
        </w:tc>
        <w:tc>
          <w:tcPr>
            <w:tcW w:w="420" w:type="dxa"/>
            <w:vAlign w:val="bottom"/>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238760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p>
      <w:pPr>
        <w:ind w:left="480" w:right="100" w:hanging="315"/>
        <w:spacing w:after="0" w:line="245" w:lineRule="auto"/>
        <w:tabs>
          <w:tab w:leader="none" w:pos="472" w:val="left"/>
        </w:tabs>
        <w:numPr>
          <w:ilvl w:val="0"/>
          <w:numId w:val="29"/>
        </w:numPr>
        <w:rPr>
          <w:rFonts w:ascii="Arial" w:cs="Arial" w:eastAsia="Arial" w:hAnsi="Arial"/>
          <w:sz w:val="14"/>
          <w:szCs w:val="14"/>
          <w:color w:val="auto"/>
        </w:rPr>
      </w:pPr>
      <w:r>
        <w:rPr>
          <w:rFonts w:ascii="Arial" w:cs="Arial" w:eastAsia="Arial" w:hAnsi="Arial"/>
          <w:sz w:val="14"/>
          <w:szCs w:val="14"/>
          <w:color w:val="auto"/>
        </w:rPr>
        <w:t>As Consumer Loans are aggregated by Dealer for purposes of recognizing revenue and measuring credit losses, the Dealer Loan amount was estimated by allocating the balance of each Dealer Loan to the underlying Consumer Loans based on the forecasted future collections of each Consumer Loan.</w:t>
      </w:r>
    </w:p>
    <w:p>
      <w:pPr>
        <w:spacing w:after="0" w:line="1" w:lineRule="exact"/>
        <w:rPr>
          <w:rFonts w:ascii="Arial" w:cs="Arial" w:eastAsia="Arial" w:hAnsi="Arial"/>
          <w:sz w:val="14"/>
          <w:szCs w:val="14"/>
          <w:color w:val="auto"/>
        </w:rPr>
      </w:pPr>
    </w:p>
    <w:p>
      <w:pPr>
        <w:ind w:left="480" w:right="100" w:hanging="315"/>
        <w:spacing w:after="0" w:line="237" w:lineRule="auto"/>
        <w:tabs>
          <w:tab w:leader="none" w:pos="472" w:val="left"/>
        </w:tabs>
        <w:numPr>
          <w:ilvl w:val="0"/>
          <w:numId w:val="29"/>
        </w:numPr>
        <w:rPr>
          <w:rFonts w:ascii="Arial" w:cs="Arial" w:eastAsia="Arial" w:hAnsi="Arial"/>
          <w:sz w:val="14"/>
          <w:szCs w:val="14"/>
          <w:color w:val="auto"/>
        </w:rPr>
      </w:pPr>
      <w:r>
        <w:rPr>
          <w:rFonts w:ascii="Arial" w:cs="Arial" w:eastAsia="Arial" w:hAnsi="Arial"/>
          <w:sz w:val="14"/>
          <w:szCs w:val="14"/>
          <w:color w:val="auto"/>
        </w:rPr>
        <w:t>As certain Consumer Loans are aggregated by Dealer or month of purchase for purposes of recognizing revenue and measuring credit losses, the Purchased Loan amount was estimated by allocating the balance of certain Purchased Loans to the underlying Consumer Loans based on the forecasted future collections of each Consumer Loan.</w:t>
      </w:r>
    </w:p>
    <w:p>
      <w:pPr>
        <w:ind w:left="480" w:hanging="315"/>
        <w:spacing w:after="0" w:line="237" w:lineRule="auto"/>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Loan balance attributable to Consumer Loans outstanding within their initial loan terms.</w:t>
      </w:r>
    </w:p>
    <w:p>
      <w:pPr>
        <w:ind w:left="480" w:hanging="315"/>
        <w:spacing w:after="0" w:line="237" w:lineRule="auto"/>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Loan balance attributable to Consumer Loans outstanding beyond their initial loan terms.</w:t>
      </w:r>
    </w:p>
    <w:p>
      <w:pPr>
        <w:ind w:left="480" w:hanging="315"/>
        <w:spacing w:after="0"/>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 consider a Consumer Loan to be current for purposes of forecasting expected collection rates if contractual repayments are less than 11 days past due.</w:t>
      </w:r>
    </w:p>
    <w:p>
      <w:pPr>
        <w:spacing w:after="0" w:line="231"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7"/>
          <w:szCs w:val="17"/>
          <w:color w:val="auto"/>
        </w:rPr>
        <w:t>The COVID-19 pandemic created conditions that increased the level of uncertainty associated with our estimate of the amount and timing of future net cash flows from our Loan portfolio. During the first quarter of 2020, we applied a subjective adjustment to our forecasting model to reflect our best estimate of the future impact of the COVID-19 pandemic on future net cash flows (“COVID forecast adjustment”), which reduced our estimate of future net cash flows by $162.2 million. We continued to apply the COVID forecast adjustment through the end of 2021 as it continued to represent our best estimate. During the first quarter of 2022, we determined that we had sufficient Consumer Loan performance experience since the lapse of federal stimulus payments and enhanced unemployment benefits to refine our estimate of future net cash flows. Accordingly, during the first quarter of 2022, we removed the COVID forecast adjustment and enhanced our methodology for forecasting the amount and timing of future net cash flows from our Loan portfolio through the utilization of more recent data and new forecast variables. Under CECL, changes in the amount and timing of forecasted net cash flows are recorded as a provision for credit losses in the period of change.</w:t>
      </w:r>
    </w:p>
    <w:p>
      <w:pPr>
        <w:spacing w:after="0" w:line="211"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removal of the COVID forecast adjustment and the implementation of the enhanced forecasting methodology during the first quarter of 2022 impacted forecasted net cash flows and provision for credit losses as follows:</w:t>
      </w:r>
    </w:p>
    <w:p>
      <w:pPr>
        <w:spacing w:after="0" w:line="329" w:lineRule="exact"/>
        <w:rPr>
          <w:sz w:val="20"/>
          <w:szCs w:val="20"/>
          <w:color w:val="auto"/>
        </w:rPr>
      </w:pPr>
    </w:p>
    <w:tbl>
      <w:tblPr>
        <w:tblLayout w:type="fixed"/>
        <w:tblInd w:w="320" w:type="dxa"/>
        <w:tblCellMar>
          <w:top w:w="0" w:type="dxa"/>
          <w:left w:w="0" w:type="dxa"/>
          <w:bottom w:w="0" w:type="dxa"/>
          <w:right w:w="0" w:type="dxa"/>
        </w:tblCellMar>
      </w:tblPr>
      <w:tr>
        <w:trPr>
          <w:trHeight w:val="201"/>
        </w:trPr>
        <w:tc>
          <w:tcPr>
            <w:tcW w:w="7320" w:type="dxa"/>
            <w:vAlign w:val="bottom"/>
            <w:gridSpan w:val="2"/>
          </w:tcPr>
          <w:p>
            <w:pPr>
              <w:ind w:left="340"/>
              <w:spacing w:after="0"/>
              <w:rPr>
                <w:sz w:val="20"/>
                <w:szCs w:val="20"/>
                <w:color w:val="auto"/>
              </w:rPr>
            </w:pPr>
            <w:r>
              <w:rPr>
                <w:rFonts w:ascii="Arial" w:cs="Arial" w:eastAsia="Arial" w:hAnsi="Arial"/>
                <w:sz w:val="14"/>
                <w:szCs w:val="14"/>
                <w:color w:val="auto"/>
              </w:rPr>
              <w:t>(In millions)</w:t>
            </w:r>
          </w:p>
        </w:tc>
        <w:tc>
          <w:tcPr>
            <w:tcW w:w="46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4"/>
                <w:szCs w:val="14"/>
                <w:b w:val="1"/>
                <w:bCs w:val="1"/>
                <w:color w:val="auto"/>
              </w:rPr>
              <w:t>Increase / (Decrease) in</w:t>
            </w:r>
          </w:p>
        </w:tc>
        <w:tc>
          <w:tcPr>
            <w:tcW w:w="0" w:type="dxa"/>
            <w:vAlign w:val="bottom"/>
          </w:tcPr>
          <w:p>
            <w:pPr>
              <w:spacing w:after="0"/>
              <w:rPr>
                <w:sz w:val="1"/>
                <w:szCs w:val="1"/>
                <w:color w:val="auto"/>
              </w:rPr>
            </w:pPr>
          </w:p>
        </w:tc>
      </w:tr>
      <w:tr>
        <w:trPr>
          <w:trHeight w:val="133"/>
        </w:trPr>
        <w:tc>
          <w:tcPr>
            <w:tcW w:w="7220" w:type="dxa"/>
            <w:vAlign w:val="bottom"/>
            <w:vMerge w:val="restart"/>
          </w:tcPr>
          <w:p>
            <w:pPr>
              <w:ind w:left="2720"/>
              <w:spacing w:after="0"/>
              <w:rPr>
                <w:sz w:val="20"/>
                <w:szCs w:val="20"/>
                <w:color w:val="auto"/>
              </w:rPr>
            </w:pPr>
            <w:r>
              <w:rPr>
                <w:rFonts w:ascii="Arial" w:cs="Arial" w:eastAsia="Arial" w:hAnsi="Arial"/>
                <w:sz w:val="14"/>
                <w:szCs w:val="14"/>
                <w:b w:val="1"/>
                <w:bCs w:val="1"/>
                <w:color w:val="auto"/>
              </w:rPr>
              <w:t>Forecasting Methodology Changes</w:t>
            </w:r>
          </w:p>
        </w:tc>
        <w:tc>
          <w:tcPr>
            <w:tcW w:w="100" w:type="dxa"/>
            <w:vAlign w:val="bottom"/>
            <w:vMerge w:val="restart"/>
          </w:tcPr>
          <w:p>
            <w:pPr>
              <w:spacing w:after="0"/>
              <w:rPr>
                <w:sz w:val="11"/>
                <w:szCs w:val="11"/>
                <w:color w:val="auto"/>
              </w:rPr>
            </w:pPr>
          </w:p>
        </w:tc>
        <w:tc>
          <w:tcPr>
            <w:tcW w:w="460" w:type="dxa"/>
            <w:vAlign w:val="bottom"/>
          </w:tcPr>
          <w:p>
            <w:pPr>
              <w:spacing w:after="0"/>
              <w:rPr>
                <w:sz w:val="11"/>
                <w:szCs w:val="11"/>
                <w:color w:val="auto"/>
              </w:rPr>
            </w:pPr>
          </w:p>
        </w:tc>
        <w:tc>
          <w:tcPr>
            <w:tcW w:w="154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Forecasted Net Cash</w:t>
            </w:r>
          </w:p>
        </w:tc>
        <w:tc>
          <w:tcPr>
            <w:tcW w:w="460" w:type="dxa"/>
            <w:vAlign w:val="bottom"/>
          </w:tcPr>
          <w:p>
            <w:pPr>
              <w:spacing w:after="0"/>
              <w:rPr>
                <w:sz w:val="11"/>
                <w:szCs w:val="11"/>
                <w:color w:val="auto"/>
              </w:rPr>
            </w:pPr>
          </w:p>
        </w:tc>
        <w:tc>
          <w:tcPr>
            <w:tcW w:w="12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5"/>
              </w:rPr>
              <w:t>Provision for Credi</w:t>
            </w:r>
          </w:p>
        </w:tc>
        <w:tc>
          <w:tcPr>
            <w:tcW w:w="0" w:type="dxa"/>
            <w:vAlign w:val="bottom"/>
          </w:tcPr>
          <w:p>
            <w:pPr>
              <w:spacing w:after="0"/>
              <w:rPr>
                <w:sz w:val="1"/>
                <w:szCs w:val="1"/>
                <w:color w:val="auto"/>
              </w:rPr>
            </w:pPr>
          </w:p>
        </w:tc>
      </w:tr>
      <w:tr>
        <w:trPr>
          <w:trHeight w:val="192"/>
        </w:trPr>
        <w:tc>
          <w:tcPr>
            <w:tcW w:w="7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Flows</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25"/>
        </w:trPr>
        <w:tc>
          <w:tcPr>
            <w:tcW w:w="7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Removal of COVID forecast adjustment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5"/>
        </w:trPr>
        <w:tc>
          <w:tcPr>
            <w:tcW w:w="73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Implementation of enhanced forecasting methodology</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REINSURANCE</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reinsurance activity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520" w:type="dxa"/>
            <w:vAlign w:val="bottom"/>
          </w:tcPr>
          <w:p>
            <w:pPr>
              <w:spacing w:after="0"/>
              <w:rPr>
                <w:sz w:val="14"/>
                <w:szCs w:val="14"/>
                <w:color w:val="auto"/>
              </w:rPr>
            </w:pPr>
          </w:p>
        </w:tc>
        <w:tc>
          <w:tcPr>
            <w:tcW w:w="2860" w:type="dxa"/>
            <w:vAlign w:val="bottom"/>
            <w:gridSpan w:val="4"/>
          </w:tcPr>
          <w:p>
            <w:pPr>
              <w:jc w:val="center"/>
              <w:ind w:left="429"/>
              <w:spacing w:after="0"/>
              <w:rPr>
                <w:sz w:val="20"/>
                <w:szCs w:val="20"/>
                <w:color w:val="auto"/>
              </w:rPr>
            </w:pPr>
            <w:r>
              <w:rPr>
                <w:rFonts w:ascii="Arial" w:cs="Arial" w:eastAsia="Arial" w:hAnsi="Arial"/>
                <w:sz w:val="14"/>
                <w:szCs w:val="14"/>
                <w:b w:val="1"/>
                <w:bCs w:val="1"/>
                <w:color w:val="auto"/>
                <w:w w:val="92"/>
              </w:rPr>
              <w:t>For the Three Months Ended</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2"/>
              </w:rPr>
              <w:t>For the Six Months Ended</w:t>
            </w:r>
          </w:p>
        </w:tc>
      </w:tr>
      <w:tr>
        <w:trPr>
          <w:trHeight w:val="192"/>
        </w:trPr>
        <w:tc>
          <w:tcPr>
            <w:tcW w:w="2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581"/>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center"/>
              <w:ind w:left="1098"/>
              <w:spacing w:after="0"/>
              <w:rPr>
                <w:sz w:val="20"/>
                <w:szCs w:val="20"/>
                <w:color w:val="auto"/>
              </w:rPr>
            </w:pPr>
            <w:r>
              <w:rPr>
                <w:rFonts w:ascii="Arial" w:cs="Arial" w:eastAsia="Arial" w:hAnsi="Arial"/>
                <w:sz w:val="14"/>
                <w:szCs w:val="14"/>
                <w:b w:val="1"/>
                <w:bCs w:val="1"/>
                <w:color w:val="auto"/>
                <w:w w:val="89"/>
              </w:rPr>
              <w:t>June 30,</w:t>
            </w:r>
          </w:p>
        </w:tc>
        <w:tc>
          <w:tcPr>
            <w:tcW w:w="1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92"/>
        </w:trPr>
        <w:tc>
          <w:tcPr>
            <w:tcW w:w="280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r>
      <w:tr>
        <w:trPr>
          <w:trHeight w:val="225"/>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assumed written premiums</w:t>
            </w:r>
          </w:p>
        </w:tc>
        <w:tc>
          <w:tcPr>
            <w:tcW w:w="27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19.1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2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 w:type="dxa"/>
            <w:vAlign w:val="bottom"/>
            <w:shd w:val="clear" w:color="auto" w:fill="CCEEFF"/>
          </w:tcPr>
          <w:p>
            <w:pPr>
              <w:spacing w:after="0"/>
              <w:rPr>
                <w:sz w:val="19"/>
                <w:szCs w:val="19"/>
                <w:color w:val="auto"/>
              </w:rPr>
            </w:pPr>
          </w:p>
        </w:tc>
      </w:tr>
      <w:tr>
        <w:trPr>
          <w:trHeight w:val="225"/>
        </w:trPr>
        <w:tc>
          <w:tcPr>
            <w:tcW w:w="2800" w:type="dxa"/>
            <w:vAlign w:val="bottom"/>
          </w:tcPr>
          <w:p>
            <w:pPr>
              <w:ind w:left="20"/>
              <w:spacing w:after="0"/>
              <w:rPr>
                <w:sz w:val="20"/>
                <w:szCs w:val="20"/>
                <w:color w:val="auto"/>
              </w:rPr>
            </w:pPr>
            <w:r>
              <w:rPr>
                <w:rFonts w:ascii="Arial" w:cs="Arial" w:eastAsia="Arial" w:hAnsi="Arial"/>
                <w:sz w:val="18"/>
                <w:szCs w:val="18"/>
                <w:color w:val="auto"/>
              </w:rPr>
              <w:t>Net premiums earned</w:t>
            </w:r>
          </w:p>
        </w:tc>
        <w:tc>
          <w:tcPr>
            <w:tcW w:w="15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15.4</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9"/>
                <w:szCs w:val="19"/>
                <w:color w:val="auto"/>
              </w:rPr>
            </w:pPr>
          </w:p>
        </w:tc>
      </w:tr>
      <w:tr>
        <w:trPr>
          <w:trHeight w:val="22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claims</w:t>
            </w:r>
          </w:p>
        </w:tc>
        <w:tc>
          <w:tcPr>
            <w:tcW w:w="15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12.2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shd w:val="clear" w:color="auto" w:fill="CCEEFF"/>
          </w:tcPr>
          <w:p>
            <w:pPr>
              <w:spacing w:after="0"/>
              <w:rPr>
                <w:sz w:val="19"/>
                <w:szCs w:val="19"/>
                <w:color w:val="auto"/>
              </w:rPr>
            </w:pPr>
          </w:p>
        </w:tc>
      </w:tr>
      <w:tr>
        <w:trPr>
          <w:trHeight w:val="224"/>
        </w:trPr>
        <w:tc>
          <w:tcPr>
            <w:tcW w:w="5540" w:type="dxa"/>
            <w:vAlign w:val="bottom"/>
            <w:gridSpan w:val="3"/>
          </w:tcPr>
          <w:p>
            <w:pPr>
              <w:ind w:left="20"/>
              <w:spacing w:after="0"/>
              <w:rPr>
                <w:sz w:val="20"/>
                <w:szCs w:val="20"/>
                <w:color w:val="auto"/>
              </w:rPr>
            </w:pPr>
            <w:r>
              <w:rPr>
                <w:rFonts w:ascii="Arial" w:cs="Arial" w:eastAsia="Arial" w:hAnsi="Arial"/>
                <w:sz w:val="18"/>
                <w:szCs w:val="18"/>
                <w:color w:val="auto"/>
              </w:rPr>
              <w:t>Amortization of capitalized acquisition costs</w:t>
            </w: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r>
      <w:tr>
        <w:trPr>
          <w:trHeight w:val="543"/>
        </w:trPr>
        <w:tc>
          <w:tcPr>
            <w:tcW w:w="5540" w:type="dxa"/>
            <w:vAlign w:val="bottom"/>
            <w:gridSpan w:val="3"/>
          </w:tcPr>
          <w:p>
            <w:pPr>
              <w:ind w:left="320"/>
              <w:spacing w:after="0"/>
              <w:rPr>
                <w:sz w:val="20"/>
                <w:szCs w:val="20"/>
                <w:color w:val="auto"/>
              </w:rPr>
            </w:pPr>
            <w:r>
              <w:rPr>
                <w:rFonts w:ascii="Arial" w:cs="Arial" w:eastAsia="Arial" w:hAnsi="Arial"/>
                <w:sz w:val="18"/>
                <w:szCs w:val="18"/>
                <w:color w:val="auto"/>
              </w:rPr>
              <w:t>The trust assets and related reinsurance liabilities are as follows:</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9"/>
        </w:trPr>
        <w:tc>
          <w:tcPr>
            <w:tcW w:w="28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center"/>
              <w:ind w:left="1058"/>
              <w:spacing w:after="0"/>
              <w:rPr>
                <w:sz w:val="20"/>
                <w:szCs w:val="20"/>
                <w:color w:val="auto"/>
              </w:rPr>
            </w:pPr>
            <w:r>
              <w:rPr>
                <w:rFonts w:ascii="Arial" w:cs="Arial" w:eastAsia="Arial" w:hAnsi="Arial"/>
                <w:sz w:val="14"/>
                <w:szCs w:val="14"/>
                <w:b w:val="1"/>
                <w:bCs w:val="1"/>
                <w:color w:val="auto"/>
                <w:w w:val="85"/>
              </w:rPr>
              <w:t>As of</w:t>
            </w:r>
          </w:p>
        </w:tc>
        <w:tc>
          <w:tcPr>
            <w:tcW w:w="1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2"/>
        </w:trPr>
        <w:tc>
          <w:tcPr>
            <w:tcW w:w="28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7"/>
              </w:rPr>
              <w:t>Balance Sheet location</w:t>
            </w:r>
          </w:p>
        </w:tc>
        <w:tc>
          <w:tcPr>
            <w:tcW w:w="1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June 30, 2022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0"/>
              </w:rPr>
              <w:t>December 31, 2021</w:t>
            </w:r>
          </w:p>
        </w:tc>
        <w:tc>
          <w:tcPr>
            <w:tcW w:w="20" w:type="dxa"/>
            <w:vAlign w:val="bottom"/>
          </w:tcPr>
          <w:p>
            <w:pPr>
              <w:spacing w:after="0"/>
              <w:rPr>
                <w:sz w:val="16"/>
                <w:szCs w:val="16"/>
                <w:color w:val="auto"/>
              </w:rPr>
            </w:pPr>
          </w:p>
        </w:tc>
      </w:tr>
      <w:tr>
        <w:trPr>
          <w:trHeight w:val="225"/>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Trust assets</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Restricted cash and cash equivalents</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r>
      <w:tr>
        <w:trPr>
          <w:trHeight w:val="225"/>
        </w:trPr>
        <w:tc>
          <w:tcPr>
            <w:tcW w:w="2800" w:type="dxa"/>
            <w:vAlign w:val="bottom"/>
          </w:tcPr>
          <w:p>
            <w:pPr>
              <w:ind w:left="20"/>
              <w:spacing w:after="0"/>
              <w:rPr>
                <w:sz w:val="20"/>
                <w:szCs w:val="20"/>
                <w:color w:val="auto"/>
              </w:rPr>
            </w:pPr>
            <w:r>
              <w:rPr>
                <w:rFonts w:ascii="Arial" w:cs="Arial" w:eastAsia="Arial" w:hAnsi="Arial"/>
                <w:sz w:val="18"/>
                <w:szCs w:val="18"/>
                <w:color w:val="auto"/>
              </w:rPr>
              <w:t>Trust assets</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w w:val="89"/>
              </w:rPr>
              <w:t>Restricted securities available for sale</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62.1</w:t>
            </w:r>
          </w:p>
        </w:tc>
        <w:tc>
          <w:tcPr>
            <w:tcW w:w="20" w:type="dxa"/>
            <w:vAlign w:val="bottom"/>
          </w:tcPr>
          <w:p>
            <w:pPr>
              <w:spacing w:after="0"/>
              <w:rPr>
                <w:sz w:val="19"/>
                <w:szCs w:val="19"/>
                <w:color w:val="auto"/>
              </w:rPr>
            </w:pPr>
          </w:p>
        </w:tc>
      </w:tr>
      <w:tr>
        <w:trPr>
          <w:trHeight w:val="22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Unearned premium</w:t>
            </w:r>
          </w:p>
        </w:tc>
        <w:tc>
          <w:tcPr>
            <w:tcW w:w="32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 w:type="dxa"/>
            <w:vAlign w:val="bottom"/>
          </w:tcPr>
          <w:p>
            <w:pPr>
              <w:spacing w:after="0"/>
              <w:rPr>
                <w:sz w:val="19"/>
                <w:szCs w:val="19"/>
                <w:color w:val="auto"/>
              </w:rPr>
            </w:pPr>
          </w:p>
        </w:tc>
      </w:tr>
      <w:tr>
        <w:trPr>
          <w:trHeight w:val="224"/>
        </w:trPr>
        <w:tc>
          <w:tcPr>
            <w:tcW w:w="2800" w:type="dxa"/>
            <w:vAlign w:val="bottom"/>
          </w:tcPr>
          <w:p>
            <w:pPr>
              <w:ind w:left="20"/>
              <w:spacing w:after="0"/>
              <w:rPr>
                <w:sz w:val="20"/>
                <w:szCs w:val="20"/>
                <w:color w:val="auto"/>
              </w:rPr>
            </w:pPr>
            <w:r>
              <w:rPr>
                <w:rFonts w:ascii="Arial" w:cs="Arial" w:eastAsia="Arial" w:hAnsi="Arial"/>
                <w:sz w:val="18"/>
                <w:szCs w:val="18"/>
                <w:color w:val="auto"/>
              </w:rPr>
              <w:t>Claims reserve (1)</w:t>
            </w:r>
          </w:p>
        </w:tc>
        <w:tc>
          <w:tcPr>
            <w:tcW w:w="3280" w:type="dxa"/>
            <w:vAlign w:val="bottom"/>
            <w:gridSpan w:val="4"/>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r>
    </w:tbl>
    <w:p>
      <w:pPr>
        <w:spacing w:after="0" w:line="314" w:lineRule="exact"/>
        <w:rPr>
          <w:sz w:val="20"/>
          <w:szCs w:val="20"/>
          <w:color w:val="auto"/>
        </w:rPr>
      </w:pPr>
    </w:p>
    <w:p>
      <w:pPr>
        <w:ind w:left="160"/>
        <w:spacing w:after="0"/>
        <w:tabs>
          <w:tab w:leader="none" w:pos="44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The claims reserve represents our liability for incurred-but-not-reported claims and is estimated based on historical claims experience.</w:t>
      </w:r>
    </w:p>
    <w:p>
      <w:pPr>
        <w:spacing w:after="0" w:line="200" w:lineRule="exact"/>
        <w:rPr>
          <w:sz w:val="20"/>
          <w:szCs w:val="20"/>
          <w:color w:val="auto"/>
        </w:rPr>
      </w:pPr>
    </w:p>
    <w:p>
      <w:pPr>
        <w:spacing w:after="0" w:line="38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OTHER INCOME</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income consists of the following: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9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100" w:type="dxa"/>
            <w:vAlign w:val="bottom"/>
            <w:tcBorders>
              <w:bottom w:val="single" w:sz="8" w:color="auto"/>
            </w:tcBorders>
            <w:gridSpan w:val="4"/>
          </w:tcPr>
          <w:p>
            <w:pPr>
              <w:jc w:val="right"/>
              <w:ind w:right="58"/>
              <w:spacing w:after="0"/>
              <w:rPr>
                <w:sz w:val="20"/>
                <w:szCs w:val="20"/>
                <w:color w:val="auto"/>
              </w:rPr>
            </w:pPr>
            <w:r>
              <w:rPr>
                <w:rFonts w:ascii="Arial" w:cs="Arial" w:eastAsia="Arial" w:hAnsi="Arial"/>
                <w:sz w:val="14"/>
                <w:szCs w:val="14"/>
                <w:b w:val="1"/>
                <w:bCs w:val="1"/>
                <w:color w:val="auto"/>
              </w:rPr>
              <w:t>For the Three Months Ended June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40" w:type="dxa"/>
            <w:vAlign w:val="bottom"/>
            <w:tcBorders>
              <w:bottom w:val="single" w:sz="8" w:color="auto"/>
            </w:tcBorders>
            <w:gridSpan w:val="4"/>
          </w:tcPr>
          <w:p>
            <w:pPr>
              <w:jc w:val="right"/>
              <w:ind w:right="98"/>
              <w:spacing w:after="0"/>
              <w:rPr>
                <w:sz w:val="20"/>
                <w:szCs w:val="20"/>
                <w:color w:val="auto"/>
              </w:rPr>
            </w:pPr>
            <w:r>
              <w:rPr>
                <w:rFonts w:ascii="Arial" w:cs="Arial" w:eastAsia="Arial" w:hAnsi="Arial"/>
                <w:sz w:val="14"/>
                <w:szCs w:val="14"/>
                <w:b w:val="1"/>
                <w:bCs w:val="1"/>
                <w:color w:val="auto"/>
              </w:rPr>
              <w:t>For the Six Months Ended June 30,</w:t>
            </w:r>
          </w:p>
        </w:tc>
        <w:tc>
          <w:tcPr>
            <w:tcW w:w="560" w:type="dxa"/>
            <w:vAlign w:val="bottom"/>
            <w:tcBorders>
              <w:bottom w:val="single" w:sz="8" w:color="auto"/>
            </w:tcBorders>
          </w:tcPr>
          <w:p>
            <w:pPr>
              <w:spacing w:after="0"/>
              <w:rPr>
                <w:sz w:val="17"/>
                <w:szCs w:val="17"/>
                <w:color w:val="auto"/>
              </w:rPr>
            </w:pPr>
          </w:p>
        </w:tc>
      </w:tr>
      <w:tr>
        <w:trPr>
          <w:trHeight w:val="192"/>
        </w:trPr>
        <w:tc>
          <w:tcPr>
            <w:tcW w:w="39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r>
      <w:tr>
        <w:trPr>
          <w:trHeight w:val="225"/>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Ancillary product profit sharing</w:t>
            </w:r>
          </w:p>
        </w:tc>
        <w:tc>
          <w:tcPr>
            <w:tcW w:w="1200" w:type="dxa"/>
            <w:vAlign w:val="bottom"/>
            <w:shd w:val="clear" w:color="auto" w:fill="CCEEFF"/>
          </w:tcPr>
          <w:p>
            <w:pPr>
              <w:jc w:val="right"/>
              <w:ind w:right="100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8"/>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21"/>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25"/>
        </w:trPr>
        <w:tc>
          <w:tcPr>
            <w:tcW w:w="3920" w:type="dxa"/>
            <w:vAlign w:val="bottom"/>
          </w:tcPr>
          <w:p>
            <w:pPr>
              <w:ind w:left="20"/>
              <w:spacing w:after="0"/>
              <w:rPr>
                <w:sz w:val="20"/>
                <w:szCs w:val="20"/>
                <w:color w:val="auto"/>
              </w:rPr>
            </w:pPr>
            <w:r>
              <w:rPr>
                <w:rFonts w:ascii="Arial" w:cs="Arial" w:eastAsia="Arial" w:hAnsi="Arial"/>
                <w:sz w:val="18"/>
                <w:szCs w:val="18"/>
                <w:color w:val="auto"/>
              </w:rPr>
              <w:t>Remarketing fees</w:t>
            </w: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Dealer enrollment fees</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3920" w:type="dxa"/>
            <w:vAlign w:val="bottom"/>
          </w:tcPr>
          <w:p>
            <w:pPr>
              <w:ind w:left="20"/>
              <w:spacing w:after="0"/>
              <w:rPr>
                <w:sz w:val="20"/>
                <w:szCs w:val="20"/>
                <w:color w:val="auto"/>
              </w:rPr>
            </w:pPr>
            <w:r>
              <w:rPr>
                <w:rFonts w:ascii="Arial" w:cs="Arial" w:eastAsia="Arial" w:hAnsi="Arial"/>
                <w:sz w:val="18"/>
                <w:szCs w:val="18"/>
                <w:color w:val="auto"/>
              </w:rPr>
              <w:t>Interest</w:t>
            </w: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Dealer support products and services</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2"/>
        </w:trPr>
        <w:tc>
          <w:tcPr>
            <w:tcW w:w="3920" w:type="dxa"/>
            <w:vAlign w:val="bottom"/>
          </w:tcPr>
          <w:p>
            <w:pPr>
              <w:ind w:left="20"/>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50"/>
        </w:trPr>
        <w:tc>
          <w:tcPr>
            <w:tcW w:w="39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shd w:val="clear" w:color="auto" w:fill="CCEEFF"/>
          </w:tcPr>
          <w:p>
            <w:pPr>
              <w:jc w:val="right"/>
              <w:ind w:right="1001"/>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1058"/>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1021"/>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998"/>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Ancillary product profit sharing consists of payments received from TPPs based upon the performance of vehicle service contracts and GAP contracts, and is recognized as income over the life of the vehicle service contracts and GAP contracts.</w:t>
      </w:r>
    </w:p>
    <w:p>
      <w:pPr>
        <w:spacing w:after="0" w:line="20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Remarketing fees consist of fees retained from the sale of repossessed vehicles by Vehicle Remarketing Services, Inc. (“VRS”), our wholly owned subsidiary that is responsible for remarketing vehicles for Credit Acceptance. VRS coordinates vehicle repossessions with a nationwide network of repossession contractors, the redemption of the vehicles by the consumers, and the sale of the vehicles through a nationwide network of vehicle auctions. VRS recognizes income from the retained fees at the time of the sale and does not retain a fee if a repossessed vehicle is redeemed by the consumer prior to the sale.</w:t>
      </w:r>
    </w:p>
    <w:p>
      <w:pPr>
        <w:spacing w:after="0" w:line="220"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Dealer enrollment fees include fees from Dealers that enrolled in our Portfolio Program prior to August 5, 2019. Depending on the enrollment option selected by the Dealer, Dealers may have enrolled by paying us an upfront, one-time fee, or by agreeing to allow us to retain 50% of their accelerated Dealer Holdback payment(s) on the first 100 Consumer Loan assignments. For additional information regarding program enrollment, see Note 2 to the consolidated financial statements. A portion of the $9,850 upfront, one-time fee is considered to be Dealer support products and services revenue. The remaining portion of the $9,850 fee is considered to be a Dealer enrollment fee, which is amortized on a straight-line basis over the estimated life of the Dealer relationship. The 50% portion of the accelerated Dealer Holdback payment(s) on the first 100 Consumer Loan assignments is also considered to be a Dealer enrollment fee. We do not recognize any of this Dealer enrollment fee until the Dealer has met the eligibility requirements to receive the accelerated Dealer Holdback payment(s) and the amount(s) of the payment(s), if any, have been calculated. Once the accelerated Dealer Holdback payment(s) have been calculated, we defer the 50% portion that we keep and recognize it on a straight-line basis over the remaining estimated life of the Dealer relationship. Beginning August 5, 2019, Dealers may enroll in our Portfolio Program without incurring an enrollment fee.</w:t>
      </w:r>
    </w:p>
    <w:p>
      <w:pPr>
        <w:spacing w:after="0" w:line="39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Interest consists of income earned on cash and cash equivalents, restricted cash and cash equivalents, and restricted securities available for sale. Interest income is generally recognized over time as it is earned. Interest income on restricted securities available for sale is recognized over the life of the underlying financial instruments using the interest method.</w:t>
      </w:r>
    </w:p>
    <w:p>
      <w:pPr>
        <w:spacing w:after="0" w:line="21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Dealer support products and services consist of income earned from products and services provided to Dealers to assist with their operations, including sales and marketing, purchasing supplies and materials and acquiring vehicle inventory. Income is recognized in the period the product or service is provided.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disaggregates our other income by major source of income and timing of the revenue recognition:</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466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1240" w:type="dxa"/>
            <w:vAlign w:val="bottom"/>
          </w:tcPr>
          <w:p>
            <w:pPr>
              <w:spacing w:after="0"/>
              <w:rPr>
                <w:sz w:val="17"/>
                <w:szCs w:val="17"/>
                <w:color w:val="auto"/>
              </w:rPr>
            </w:pPr>
          </w:p>
        </w:tc>
        <w:tc>
          <w:tcPr>
            <w:tcW w:w="2760" w:type="dxa"/>
            <w:vAlign w:val="bottom"/>
            <w:gridSpan w:val="5"/>
          </w:tcPr>
          <w:p>
            <w:pPr>
              <w:ind w:left="80"/>
              <w:spacing w:after="0"/>
              <w:rPr>
                <w:sz w:val="20"/>
                <w:szCs w:val="20"/>
                <w:color w:val="auto"/>
              </w:rPr>
            </w:pPr>
            <w:r>
              <w:rPr>
                <w:rFonts w:ascii="Arial" w:cs="Arial" w:eastAsia="Arial" w:hAnsi="Arial"/>
                <w:sz w:val="14"/>
                <w:szCs w:val="14"/>
                <w:b w:val="1"/>
                <w:bCs w:val="1"/>
                <w:color w:val="auto"/>
                <w:w w:val="93"/>
              </w:rPr>
              <w:t>For the Three Months Ended June 30, 2022</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3340" w:type="dxa"/>
            <w:vAlign w:val="bottom"/>
          </w:tcPr>
          <w:p>
            <w:pPr>
              <w:spacing w:after="0"/>
              <w:rPr>
                <w:sz w:val="11"/>
                <w:szCs w:val="11"/>
                <w:color w:val="auto"/>
              </w:rPr>
            </w:pPr>
          </w:p>
        </w:tc>
        <w:tc>
          <w:tcPr>
            <w:tcW w:w="132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Ancillary product</w:t>
            </w:r>
          </w:p>
        </w:tc>
        <w:tc>
          <w:tcPr>
            <w:tcW w:w="1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Dealer enrollment</w:t>
            </w:r>
          </w:p>
        </w:tc>
        <w:tc>
          <w:tcPr>
            <w:tcW w:w="1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Dealer support</w:t>
            </w:r>
          </w:p>
        </w:tc>
        <w:tc>
          <w:tcPr>
            <w:tcW w:w="12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Total Other</w:t>
            </w:r>
          </w:p>
        </w:tc>
        <w:tc>
          <w:tcPr>
            <w:tcW w:w="0" w:type="dxa"/>
            <w:vAlign w:val="bottom"/>
          </w:tcPr>
          <w:p>
            <w:pPr>
              <w:spacing w:after="0"/>
              <w:rPr>
                <w:sz w:val="1"/>
                <w:szCs w:val="1"/>
                <w:color w:val="auto"/>
              </w:rPr>
            </w:pPr>
          </w:p>
        </w:tc>
      </w:tr>
      <w:tr>
        <w:trPr>
          <w:trHeight w:val="133"/>
        </w:trPr>
        <w:tc>
          <w:tcPr>
            <w:tcW w:w="334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5"/>
              </w:rPr>
              <w:t>Remarketing fees</w:t>
            </w:r>
          </w:p>
        </w:tc>
        <w:tc>
          <w:tcPr>
            <w:tcW w:w="1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3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Interest</w:t>
            </w:r>
          </w:p>
        </w:tc>
        <w:tc>
          <w:tcPr>
            <w:tcW w:w="13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products and</w:t>
            </w: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profit sharing</w:t>
            </w: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fees</w:t>
            </w:r>
          </w:p>
        </w:tc>
        <w:tc>
          <w:tcPr>
            <w:tcW w:w="1320" w:type="dxa"/>
            <w:vAlign w:val="bottom"/>
            <w:gridSpan w:val="2"/>
            <w:vMerge w:val="continue"/>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services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61"/>
        </w:trPr>
        <w:tc>
          <w:tcPr>
            <w:tcW w:w="3340" w:type="dxa"/>
            <w:vAlign w:val="bottom"/>
          </w:tcPr>
          <w:p>
            <w:pPr>
              <w:spacing w:after="0"/>
              <w:rPr>
                <w:sz w:val="20"/>
                <w:szCs w:val="20"/>
                <w:color w:val="auto"/>
              </w:rPr>
            </w:pPr>
            <w:r>
              <w:rPr>
                <w:rFonts w:ascii="Arial" w:cs="Arial" w:eastAsia="Arial" w:hAnsi="Arial"/>
                <w:sz w:val="14"/>
                <w:szCs w:val="14"/>
                <w:b w:val="1"/>
                <w:bCs w:val="1"/>
                <w:color w:val="auto"/>
              </w:rPr>
              <w:t>Source of income</w:t>
            </w: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Third Party Providers</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2"/>
        </w:trPr>
        <w:tc>
          <w:tcPr>
            <w:tcW w:w="3360" w:type="dxa"/>
            <w:vAlign w:val="bottom"/>
          </w:tcPr>
          <w:p>
            <w:pPr>
              <w:ind w:left="20"/>
              <w:spacing w:after="0"/>
              <w:rPr>
                <w:sz w:val="20"/>
                <w:szCs w:val="20"/>
                <w:color w:val="auto"/>
              </w:rPr>
            </w:pPr>
            <w:r>
              <w:rPr>
                <w:rFonts w:ascii="Arial" w:cs="Arial" w:eastAsia="Arial" w:hAnsi="Arial"/>
                <w:sz w:val="18"/>
                <w:szCs w:val="18"/>
                <w:color w:val="auto"/>
              </w:rPr>
              <w:t>Dealers</w:t>
            </w:r>
          </w:p>
        </w:tc>
        <w:tc>
          <w:tcPr>
            <w:tcW w:w="1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0"/>
        </w:trPr>
        <w:tc>
          <w:tcPr>
            <w:tcW w:w="33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Timing of revenue recognition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336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 time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2"/>
        </w:trPr>
        <w:tc>
          <w:tcPr>
            <w:tcW w:w="3360" w:type="dxa"/>
            <w:vAlign w:val="bottom"/>
          </w:tcPr>
          <w:p>
            <w:pPr>
              <w:ind w:left="20"/>
              <w:spacing w:after="0"/>
              <w:rPr>
                <w:sz w:val="20"/>
                <w:szCs w:val="20"/>
                <w:color w:val="auto"/>
              </w:rPr>
            </w:pPr>
            <w:r>
              <w:rPr>
                <w:rFonts w:ascii="Arial" w:cs="Arial" w:eastAsia="Arial" w:hAnsi="Arial"/>
                <w:sz w:val="18"/>
                <w:szCs w:val="18"/>
                <w:color w:val="auto"/>
              </w:rPr>
              <w:t>At a point in time</w:t>
            </w:r>
          </w:p>
        </w:tc>
        <w:tc>
          <w:tcPr>
            <w:tcW w:w="1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0"/>
        </w:trPr>
        <w:tc>
          <w:tcPr>
            <w:tcW w:w="33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3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6"/>
              </w:rPr>
              <w:t>For the Six Months Ended June 30, 2022</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13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Ancillary product</w:t>
            </w: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Dealer enrollment</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Dealer support</w:t>
            </w:r>
          </w:p>
        </w:tc>
        <w:tc>
          <w:tcPr>
            <w:tcW w:w="180" w:type="dxa"/>
            <w:vAlign w:val="bottom"/>
          </w:tcPr>
          <w:p>
            <w:pPr>
              <w:spacing w:after="0"/>
              <w:rPr>
                <w:sz w:val="11"/>
                <w:szCs w:val="11"/>
                <w:color w:val="auto"/>
              </w:rPr>
            </w:pPr>
          </w:p>
        </w:tc>
        <w:tc>
          <w:tcPr>
            <w:tcW w:w="10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Total Other</w:t>
            </w: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13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Remarketing fees</w:t>
            </w:r>
          </w:p>
        </w:tc>
        <w:tc>
          <w:tcPr>
            <w:tcW w:w="134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0"/>
              </w:rPr>
              <w:t>products and</w:t>
            </w:r>
          </w:p>
        </w:tc>
        <w:tc>
          <w:tcPr>
            <w:tcW w:w="1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profit sharing</w:t>
            </w:r>
          </w:p>
        </w:tc>
        <w:tc>
          <w:tcPr>
            <w:tcW w:w="134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fees</w:t>
            </w: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services</w:t>
            </w:r>
          </w:p>
        </w:tc>
        <w:tc>
          <w:tcPr>
            <w:tcW w:w="180" w:type="dxa"/>
            <w:vAlign w:val="bottom"/>
          </w:tcPr>
          <w:p>
            <w:pPr>
              <w:spacing w:after="0"/>
              <w:rPr>
                <w:sz w:val="16"/>
                <w:szCs w:val="16"/>
                <w:color w:val="auto"/>
              </w:rPr>
            </w:pPr>
          </w:p>
        </w:tc>
        <w:tc>
          <w:tcPr>
            <w:tcW w:w="1040" w:type="dxa"/>
            <w:vAlign w:val="bottom"/>
          </w:tcPr>
          <w:p>
            <w:pPr>
              <w:jc w:val="right"/>
              <w:ind w:right="294"/>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79"/>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Source of income</w:t>
            </w:r>
          </w:p>
        </w:tc>
        <w:tc>
          <w:tcPr>
            <w:tcW w:w="140" w:type="dxa"/>
            <w:vAlign w:val="bottom"/>
            <w:tcBorders>
              <w:top w:val="single" w:sz="8" w:color="auto"/>
              <w:bottom w:val="single" w:sz="8" w:color="CCEEFF"/>
            </w:tcBorders>
          </w:tcPr>
          <w:p>
            <w:pPr>
              <w:spacing w:after="0"/>
              <w:rPr>
                <w:sz w:val="15"/>
                <w:szCs w:val="15"/>
                <w:color w:val="auto"/>
              </w:rPr>
            </w:pPr>
          </w:p>
        </w:tc>
        <w:tc>
          <w:tcPr>
            <w:tcW w:w="108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top w:val="single" w:sz="8" w:color="auto"/>
              <w:bottom w:val="single" w:sz="8" w:color="CCEEFF"/>
            </w:tcBorders>
          </w:tcPr>
          <w:p>
            <w:pPr>
              <w:spacing w:after="0"/>
              <w:rPr>
                <w:sz w:val="15"/>
                <w:szCs w:val="15"/>
                <w:color w:val="auto"/>
              </w:rPr>
            </w:pPr>
          </w:p>
        </w:tc>
        <w:tc>
          <w:tcPr>
            <w:tcW w:w="76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CCEEFF"/>
            </w:tcBorders>
          </w:tcPr>
          <w:p>
            <w:pPr>
              <w:spacing w:after="0"/>
              <w:rPr>
                <w:sz w:val="15"/>
                <w:szCs w:val="15"/>
                <w:color w:val="auto"/>
              </w:rPr>
            </w:pPr>
          </w:p>
        </w:tc>
        <w:tc>
          <w:tcPr>
            <w:tcW w:w="94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CCEEFF"/>
            </w:tcBorders>
          </w:tcPr>
          <w:p>
            <w:pPr>
              <w:spacing w:after="0"/>
              <w:rPr>
                <w:sz w:val="15"/>
                <w:szCs w:val="15"/>
                <w:color w:val="auto"/>
              </w:rPr>
            </w:pPr>
          </w:p>
        </w:tc>
        <w:tc>
          <w:tcPr>
            <w:tcW w:w="98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110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CCEEFF"/>
            </w:tcBorders>
          </w:tcPr>
          <w:p>
            <w:pPr>
              <w:spacing w:after="0"/>
              <w:rPr>
                <w:sz w:val="15"/>
                <w:szCs w:val="15"/>
                <w:color w:val="auto"/>
              </w:rPr>
            </w:pPr>
          </w:p>
        </w:tc>
        <w:tc>
          <w:tcPr>
            <w:tcW w:w="1040" w:type="dxa"/>
            <w:vAlign w:val="bottom"/>
            <w:tcBorders>
              <w:top w:val="single" w:sz="8" w:color="auto"/>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Party Providers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2"/>
        </w:trPr>
        <w:tc>
          <w:tcPr>
            <w:tcW w:w="3360" w:type="dxa"/>
            <w:vAlign w:val="bottom"/>
          </w:tcPr>
          <w:p>
            <w:pPr>
              <w:ind w:left="20"/>
              <w:spacing w:after="0"/>
              <w:rPr>
                <w:sz w:val="20"/>
                <w:szCs w:val="20"/>
                <w:color w:val="auto"/>
              </w:rPr>
            </w:pPr>
            <w:r>
              <w:rPr>
                <w:rFonts w:ascii="Arial" w:cs="Arial" w:eastAsia="Arial" w:hAnsi="Arial"/>
                <w:sz w:val="18"/>
                <w:szCs w:val="18"/>
                <w:color w:val="auto"/>
              </w:rPr>
              <w:t>Dealers</w:t>
            </w:r>
          </w:p>
        </w:tc>
        <w:tc>
          <w:tcPr>
            <w:tcW w:w="1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0"/>
        </w:trPr>
        <w:tc>
          <w:tcPr>
            <w:tcW w:w="33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Timing of revenue recognition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336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 time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2"/>
        </w:trPr>
        <w:tc>
          <w:tcPr>
            <w:tcW w:w="3360" w:type="dxa"/>
            <w:vAlign w:val="bottom"/>
          </w:tcPr>
          <w:p>
            <w:pPr>
              <w:ind w:left="20"/>
              <w:spacing w:after="0"/>
              <w:rPr>
                <w:sz w:val="20"/>
                <w:szCs w:val="20"/>
                <w:color w:val="auto"/>
              </w:rPr>
            </w:pPr>
            <w:r>
              <w:rPr>
                <w:rFonts w:ascii="Arial" w:cs="Arial" w:eastAsia="Arial" w:hAnsi="Arial"/>
                <w:sz w:val="18"/>
                <w:szCs w:val="18"/>
                <w:color w:val="auto"/>
              </w:rPr>
              <w:t>At a point in time</w:t>
            </w:r>
          </w:p>
        </w:tc>
        <w:tc>
          <w:tcPr>
            <w:tcW w:w="1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50"/>
        </w:trPr>
        <w:tc>
          <w:tcPr>
            <w:tcW w:w="33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1"/>
        </w:trPr>
        <w:tc>
          <w:tcPr>
            <w:tcW w:w="3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3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0" w:type="dxa"/>
            <w:vAlign w:val="bottom"/>
          </w:tcPr>
          <w:p>
            <w:pPr>
              <w:spacing w:after="0"/>
              <w:rPr>
                <w:sz w:val="20"/>
                <w:szCs w:val="20"/>
                <w:color w:val="auto"/>
              </w:rPr>
            </w:pPr>
            <w:r>
              <w:rPr>
                <w:rFonts w:ascii="Arial" w:cs="Arial" w:eastAsia="Arial" w:hAnsi="Arial"/>
                <w:sz w:val="18"/>
                <w:szCs w:val="18"/>
                <w:b w:val="1"/>
                <w:bCs w:val="1"/>
                <w:color w:val="auto"/>
              </w:rPr>
              <w:t>9.</w:t>
            </w:r>
          </w:p>
        </w:tc>
        <w:tc>
          <w:tcPr>
            <w:tcW w:w="4900" w:type="dxa"/>
            <w:vAlign w:val="bottom"/>
          </w:tcPr>
          <w:p>
            <w:pPr>
              <w:ind w:left="380"/>
              <w:spacing w:after="0"/>
              <w:rPr>
                <w:sz w:val="20"/>
                <w:szCs w:val="20"/>
                <w:color w:val="auto"/>
              </w:rPr>
            </w:pPr>
            <w:r>
              <w:rPr>
                <w:rFonts w:ascii="Arial" w:cs="Arial" w:eastAsia="Arial" w:hAnsi="Arial"/>
                <w:sz w:val="18"/>
                <w:szCs w:val="18"/>
                <w:b w:val="1"/>
                <w:bCs w:val="1"/>
                <w:color w:val="auto"/>
              </w:rPr>
              <w:t>DEBT</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0"/>
        </w:trPr>
        <w:tc>
          <w:tcPr>
            <w:tcW w:w="240" w:type="dxa"/>
            <w:vAlign w:val="bottom"/>
          </w:tcPr>
          <w:p>
            <w:pPr>
              <w:spacing w:after="0"/>
              <w:rPr>
                <w:sz w:val="24"/>
                <w:szCs w:val="24"/>
                <w:color w:val="auto"/>
              </w:rPr>
            </w:pPr>
          </w:p>
        </w:tc>
        <w:tc>
          <w:tcPr>
            <w:tcW w:w="4900" w:type="dxa"/>
            <w:vAlign w:val="bottom"/>
          </w:tcPr>
          <w:p>
            <w:pPr>
              <w:ind w:left="80"/>
              <w:spacing w:after="0"/>
              <w:rPr>
                <w:sz w:val="20"/>
                <w:szCs w:val="20"/>
                <w:color w:val="auto"/>
              </w:rPr>
            </w:pPr>
            <w:r>
              <w:rPr>
                <w:rFonts w:ascii="Arial" w:cs="Arial" w:eastAsia="Arial" w:hAnsi="Arial"/>
                <w:sz w:val="18"/>
                <w:szCs w:val="18"/>
                <w:color w:val="auto"/>
              </w:rPr>
              <w:t>Debt consists of the following:</w:t>
            </w: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14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As of June 30, 2022</w:t>
            </w:r>
          </w:p>
        </w:tc>
        <w:tc>
          <w:tcPr>
            <w:tcW w:w="4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6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w w:val="97"/>
              </w:rPr>
              <w:t>Principal Outstanding</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0"/>
              </w:rPr>
              <w:t>Unamortized Debt Issuance</w:t>
            </w:r>
          </w:p>
        </w:tc>
        <w:tc>
          <w:tcPr>
            <w:tcW w:w="400" w:type="dxa"/>
            <w:vAlign w:val="bottom"/>
          </w:tcPr>
          <w:p>
            <w:pPr>
              <w:spacing w:after="0"/>
              <w:rPr>
                <w:sz w:val="11"/>
                <w:szCs w:val="11"/>
                <w:color w:val="auto"/>
              </w:rPr>
            </w:pPr>
          </w:p>
        </w:tc>
        <w:tc>
          <w:tcPr>
            <w:tcW w:w="1560" w:type="dxa"/>
            <w:vAlign w:val="bottom"/>
          </w:tcPr>
          <w:p>
            <w:pPr>
              <w:jc w:val="center"/>
              <w:ind w:right="357"/>
              <w:spacing w:after="0" w:line="133"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24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317"/>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25"/>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secured line of credit (1)</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25"/>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Secured financing (2)</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3,786.4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3,768.9</w:t>
            </w:r>
          </w:p>
        </w:tc>
        <w:tc>
          <w:tcPr>
            <w:tcW w:w="0" w:type="dxa"/>
            <w:vAlign w:val="bottom"/>
          </w:tcPr>
          <w:p>
            <w:pPr>
              <w:spacing w:after="0"/>
              <w:rPr>
                <w:sz w:val="1"/>
                <w:szCs w:val="1"/>
                <w:color w:val="auto"/>
              </w:rPr>
            </w:pPr>
          </w:p>
        </w:tc>
      </w:tr>
      <w:tr>
        <w:trPr>
          <w:trHeight w:val="226"/>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w:t>
            </w:r>
          </w:p>
        </w:tc>
        <w:tc>
          <w:tcPr>
            <w:tcW w:w="0" w:type="dxa"/>
            <w:vAlign w:val="bottom"/>
          </w:tcPr>
          <w:p>
            <w:pPr>
              <w:spacing w:after="0"/>
              <w:rPr>
                <w:sz w:val="1"/>
                <w:szCs w:val="1"/>
                <w:color w:val="auto"/>
              </w:rPr>
            </w:pPr>
          </w:p>
        </w:tc>
      </w:tr>
      <w:tr>
        <w:trPr>
          <w:trHeight w:val="232"/>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Mortgage note</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50"/>
        </w:trPr>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49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debt</w:t>
            </w: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4,792.2</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514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As of December 31, 2021</w:t>
            </w:r>
          </w:p>
        </w:tc>
        <w:tc>
          <w:tcPr>
            <w:tcW w:w="4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6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w w:val="97"/>
              </w:rPr>
              <w:t>Principal Outstanding</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0"/>
              </w:rPr>
              <w:t>Unamortized Debt Issuance</w:t>
            </w:r>
          </w:p>
        </w:tc>
        <w:tc>
          <w:tcPr>
            <w:tcW w:w="400" w:type="dxa"/>
            <w:vAlign w:val="bottom"/>
          </w:tcPr>
          <w:p>
            <w:pPr>
              <w:spacing w:after="0"/>
              <w:rPr>
                <w:sz w:val="11"/>
                <w:szCs w:val="11"/>
                <w:color w:val="auto"/>
              </w:rPr>
            </w:pPr>
          </w:p>
        </w:tc>
        <w:tc>
          <w:tcPr>
            <w:tcW w:w="1560" w:type="dxa"/>
            <w:vAlign w:val="bottom"/>
          </w:tcPr>
          <w:p>
            <w:pPr>
              <w:jc w:val="center"/>
              <w:ind w:right="357"/>
              <w:spacing w:after="0" w:line="133"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24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317"/>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25"/>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secured line of credit (1)</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5"/>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Secured financing (2)</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3,830.4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3,811.5</w:t>
            </w:r>
          </w:p>
        </w:tc>
        <w:tc>
          <w:tcPr>
            <w:tcW w:w="0" w:type="dxa"/>
            <w:vAlign w:val="bottom"/>
          </w:tcPr>
          <w:p>
            <w:pPr>
              <w:spacing w:after="0"/>
              <w:rPr>
                <w:sz w:val="1"/>
                <w:szCs w:val="1"/>
                <w:color w:val="auto"/>
              </w:rPr>
            </w:pPr>
          </w:p>
        </w:tc>
      </w:tr>
      <w:tr>
        <w:trPr>
          <w:trHeight w:val="226"/>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0" w:type="dxa"/>
            <w:vAlign w:val="bottom"/>
          </w:tcPr>
          <w:p>
            <w:pPr>
              <w:spacing w:after="0"/>
              <w:rPr>
                <w:sz w:val="1"/>
                <w:szCs w:val="1"/>
                <w:color w:val="auto"/>
              </w:rPr>
            </w:pPr>
          </w:p>
        </w:tc>
      </w:tr>
      <w:tr>
        <w:trPr>
          <w:trHeight w:val="232"/>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Mortgage note</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50"/>
        </w:trPr>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49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debt</w:t>
            </w: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4,616.3</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ind w:left="480" w:hanging="315"/>
        <w:spacing w:after="0"/>
        <w:tabs>
          <w:tab w:leader="none" w:pos="4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Excludes deferred debt issuance costs of $4.7 million and $3.6 million as of June 30, 2022 and December 31, 2021, respectively, which are included in other assets.</w:t>
      </w:r>
    </w:p>
    <w:p>
      <w:pPr>
        <w:spacing w:after="0" w:line="10" w:lineRule="exact"/>
        <w:rPr>
          <w:rFonts w:ascii="Arial" w:cs="Arial" w:eastAsia="Arial" w:hAnsi="Arial"/>
          <w:sz w:val="14"/>
          <w:szCs w:val="14"/>
          <w:color w:val="auto"/>
        </w:rPr>
      </w:pPr>
    </w:p>
    <w:p>
      <w:pPr>
        <w:ind w:left="480" w:hanging="315"/>
        <w:spacing w:after="0"/>
        <w:tabs>
          <w:tab w:leader="none" w:pos="4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Warehouse facilities and Term ABS.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General information for each of our financing transactions in place as of June 30, 2022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540" w:type="dxa"/>
            <w:vAlign w:val="bottom"/>
            <w:gridSpan w:val="2"/>
          </w:tcPr>
          <w:p>
            <w:pPr>
              <w:ind w:left="20"/>
              <w:spacing w:after="0"/>
              <w:rPr>
                <w:sz w:val="20"/>
                <w:szCs w:val="20"/>
                <w:color w:val="auto"/>
              </w:rPr>
            </w:pPr>
            <w:r>
              <w:rPr>
                <w:rFonts w:ascii="Arial" w:cs="Arial" w:eastAsia="Arial" w:hAnsi="Arial"/>
                <w:sz w:val="14"/>
                <w:szCs w:val="14"/>
                <w:color w:val="auto"/>
              </w:rPr>
              <w:t>(Dollars in millions)</w:t>
            </w: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54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Financings</w:t>
            </w:r>
          </w:p>
        </w:tc>
        <w:tc>
          <w:tcPr>
            <w:tcW w:w="256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93"/>
              </w:rPr>
              <w:t>Wholly Owned</w:t>
            </w:r>
          </w:p>
        </w:tc>
        <w:tc>
          <w:tcPr>
            <w:tcW w:w="166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Maturity Date</w:t>
            </w: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w w:val="90"/>
              </w:rPr>
              <w:t>Financing</w:t>
            </w:r>
          </w:p>
        </w:tc>
        <w:tc>
          <w:tcPr>
            <w:tcW w:w="2980" w:type="dxa"/>
            <w:vAlign w:val="bottom"/>
          </w:tcPr>
          <w:p>
            <w:pPr>
              <w:ind w:left="740"/>
              <w:spacing w:after="0" w:line="143" w:lineRule="exact"/>
              <w:rPr>
                <w:sz w:val="20"/>
                <w:szCs w:val="20"/>
                <w:color w:val="auto"/>
              </w:rPr>
            </w:pPr>
            <w:r>
              <w:rPr>
                <w:rFonts w:ascii="Arial" w:cs="Arial" w:eastAsia="Arial" w:hAnsi="Arial"/>
                <w:sz w:val="14"/>
                <w:szCs w:val="14"/>
                <w:b w:val="1"/>
                <w:bCs w:val="1"/>
                <w:color w:val="auto"/>
              </w:rPr>
              <w:t>Interest Rate Basis as of</w:t>
            </w:r>
          </w:p>
        </w:tc>
        <w:tc>
          <w:tcPr>
            <w:tcW w:w="0" w:type="dxa"/>
            <w:vAlign w:val="bottom"/>
          </w:tcPr>
          <w:p>
            <w:pPr>
              <w:spacing w:after="0"/>
              <w:rPr>
                <w:sz w:val="1"/>
                <w:szCs w:val="1"/>
                <w:color w:val="auto"/>
              </w:rPr>
            </w:pPr>
          </w:p>
        </w:tc>
      </w:tr>
      <w:tr>
        <w:trPr>
          <w:trHeight w:val="192"/>
        </w:trPr>
        <w:tc>
          <w:tcPr>
            <w:tcW w:w="2540" w:type="dxa"/>
            <w:vAlign w:val="bottom"/>
            <w:gridSpan w:val="2"/>
            <w:vMerge w:val="continue"/>
          </w:tcPr>
          <w:p>
            <w:pPr>
              <w:spacing w:after="0"/>
              <w:rPr>
                <w:sz w:val="16"/>
                <w:szCs w:val="16"/>
                <w:color w:val="auto"/>
              </w:rPr>
            </w:pPr>
          </w:p>
        </w:tc>
        <w:tc>
          <w:tcPr>
            <w:tcW w:w="2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Subsidiary</w:t>
            </w:r>
          </w:p>
        </w:tc>
        <w:tc>
          <w:tcPr>
            <w:tcW w:w="16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Amount</w:t>
            </w:r>
          </w:p>
        </w:tc>
        <w:tc>
          <w:tcPr>
            <w:tcW w:w="2980" w:type="dxa"/>
            <w:vAlign w:val="bottom"/>
          </w:tcPr>
          <w:p>
            <w:pPr>
              <w:ind w:left="1080"/>
              <w:spacing w:after="0"/>
              <w:rPr>
                <w:sz w:val="20"/>
                <w:szCs w:val="20"/>
                <w:color w:val="auto"/>
              </w:rPr>
            </w:pPr>
            <w:r>
              <w:rPr>
                <w:rFonts w:ascii="Arial" w:cs="Arial" w:eastAsia="Arial" w:hAnsi="Arial"/>
                <w:sz w:val="14"/>
                <w:szCs w:val="14"/>
                <w:b w:val="1"/>
                <w:bCs w:val="1"/>
                <w:color w:val="auto"/>
              </w:rPr>
              <w:t>June 30, 2022</w:t>
            </w:r>
          </w:p>
        </w:tc>
        <w:tc>
          <w:tcPr>
            <w:tcW w:w="0" w:type="dxa"/>
            <w:vAlign w:val="bottom"/>
          </w:tcPr>
          <w:p>
            <w:pPr>
              <w:spacing w:after="0"/>
              <w:rPr>
                <w:sz w:val="1"/>
                <w:szCs w:val="1"/>
                <w:color w:val="auto"/>
              </w:rPr>
            </w:pPr>
          </w:p>
        </w:tc>
      </w:tr>
      <w:tr>
        <w:trPr>
          <w:trHeight w:val="173"/>
        </w:trPr>
        <w:tc>
          <w:tcPr>
            <w:tcW w:w="2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980" w:type="dxa"/>
            <w:vAlign w:val="bottom"/>
            <w:tcBorders>
              <w:top w:val="single" w:sz="8" w:color="auto"/>
            </w:tcBorders>
            <w:shd w:val="clear" w:color="auto" w:fill="CCEEFF"/>
          </w:tcPr>
          <w:p>
            <w:pPr>
              <w:ind w:left="20"/>
              <w:spacing w:after="0" w:line="173" w:lineRule="exact"/>
              <w:rPr>
                <w:sz w:val="20"/>
                <w:szCs w:val="20"/>
                <w:color w:val="auto"/>
              </w:rPr>
            </w:pPr>
            <w:r>
              <w:rPr>
                <w:rFonts w:ascii="Arial" w:cs="Arial" w:eastAsia="Arial" w:hAnsi="Arial"/>
                <w:sz w:val="18"/>
                <w:szCs w:val="18"/>
                <w:color w:val="auto"/>
              </w:rPr>
              <w:t>At our option, either the Bloomberg</w:t>
            </w:r>
          </w:p>
        </w:tc>
        <w:tc>
          <w:tcPr>
            <w:tcW w:w="0" w:type="dxa"/>
            <w:vAlign w:val="bottom"/>
          </w:tcPr>
          <w:p>
            <w:pPr>
              <w:spacing w:after="0"/>
              <w:rPr>
                <w:sz w:val="1"/>
                <w:szCs w:val="1"/>
                <w:color w:val="auto"/>
              </w:rPr>
            </w:pPr>
          </w:p>
        </w:tc>
      </w:tr>
      <w:tr>
        <w:trPr>
          <w:trHeight w:val="172"/>
        </w:trPr>
        <w:tc>
          <w:tcPr>
            <w:tcW w:w="25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Revolving Secured Line of</w:t>
            </w:r>
          </w:p>
        </w:tc>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98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Short-Term Bank Yield Index rate</w:t>
            </w:r>
          </w:p>
        </w:tc>
        <w:tc>
          <w:tcPr>
            <w:tcW w:w="0" w:type="dxa"/>
            <w:vAlign w:val="bottom"/>
          </w:tcPr>
          <w:p>
            <w:pPr>
              <w:spacing w:after="0"/>
              <w:rPr>
                <w:sz w:val="1"/>
                <w:szCs w:val="1"/>
                <w:color w:val="auto"/>
              </w:rPr>
            </w:pPr>
          </w:p>
        </w:tc>
      </w:tr>
      <w:tr>
        <w:trPr>
          <w:trHeight w:val="172"/>
        </w:trPr>
        <w:tc>
          <w:tcPr>
            <w:tcW w:w="2540" w:type="dxa"/>
            <w:vAlign w:val="bottom"/>
            <w:gridSpan w:val="2"/>
            <w:vMerge w:val="continue"/>
            <w:shd w:val="clear" w:color="auto" w:fill="CCEEFF"/>
          </w:tcPr>
          <w:p>
            <w:pPr>
              <w:spacing w:after="0"/>
              <w:rPr>
                <w:sz w:val="14"/>
                <w:szCs w:val="14"/>
                <w:color w:val="auto"/>
              </w:rPr>
            </w:pPr>
          </w:p>
        </w:tc>
        <w:tc>
          <w:tcPr>
            <w:tcW w:w="25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7"/>
              </w:rPr>
              <w:t>n/a</w:t>
            </w: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06/22/2025</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410.0 (1)</w:t>
            </w:r>
          </w:p>
        </w:tc>
        <w:tc>
          <w:tcPr>
            <w:tcW w:w="100" w:type="dxa"/>
            <w:vAlign w:val="bottom"/>
            <w:shd w:val="clear" w:color="auto" w:fill="CCEEFF"/>
          </w:tcPr>
          <w:p>
            <w:pPr>
              <w:spacing w:after="0"/>
              <w:rPr>
                <w:sz w:val="14"/>
                <w:szCs w:val="14"/>
                <w:color w:val="auto"/>
              </w:rPr>
            </w:pPr>
          </w:p>
        </w:tc>
        <w:tc>
          <w:tcPr>
            <w:tcW w:w="298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8"/>
              </w:rPr>
              <w:t>(BSBY) plus 187.5 basis points or the</w:t>
            </w:r>
          </w:p>
        </w:tc>
        <w:tc>
          <w:tcPr>
            <w:tcW w:w="0" w:type="dxa"/>
            <w:vAlign w:val="bottom"/>
          </w:tcPr>
          <w:p>
            <w:pPr>
              <w:spacing w:after="0"/>
              <w:rPr>
                <w:sz w:val="1"/>
                <w:szCs w:val="1"/>
                <w:color w:val="auto"/>
              </w:rPr>
            </w:pPr>
          </w:p>
        </w:tc>
      </w:tr>
      <w:tr>
        <w:trPr>
          <w:trHeight w:val="224"/>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256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prime rate plus 87.5 basis points</w:t>
            </w:r>
          </w:p>
        </w:tc>
        <w:tc>
          <w:tcPr>
            <w:tcW w:w="0" w:type="dxa"/>
            <w:vAlign w:val="bottom"/>
          </w:tcPr>
          <w:p>
            <w:pPr>
              <w:spacing w:after="0"/>
              <w:rPr>
                <w:sz w:val="1"/>
                <w:szCs w:val="1"/>
                <w:color w:val="auto"/>
              </w:rPr>
            </w:pPr>
          </w:p>
        </w:tc>
      </w:tr>
      <w:tr>
        <w:trPr>
          <w:trHeight w:val="225"/>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Warehouse Facility II (2)</w:t>
            </w:r>
          </w:p>
        </w:tc>
        <w:tc>
          <w:tcPr>
            <w:tcW w:w="25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CAC Warehouse Funding LLC II</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04/30/2024</w:t>
            </w:r>
          </w:p>
        </w:tc>
        <w:tc>
          <w:tcPr>
            <w:tcW w:w="46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73"/>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LIBOR plus 175 basis points (4)</w:t>
            </w:r>
          </w:p>
        </w:tc>
        <w:tc>
          <w:tcPr>
            <w:tcW w:w="0" w:type="dxa"/>
            <w:vAlign w:val="bottom"/>
          </w:tcPr>
          <w:p>
            <w:pPr>
              <w:spacing w:after="0"/>
              <w:rPr>
                <w:sz w:val="1"/>
                <w:szCs w:val="1"/>
                <w:color w:val="auto"/>
              </w:rPr>
            </w:pPr>
          </w:p>
        </w:tc>
      </w:tr>
      <w:tr>
        <w:trPr>
          <w:trHeight w:val="174"/>
        </w:trPr>
        <w:tc>
          <w:tcPr>
            <w:tcW w:w="25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Warehouse Facility IV (2)</w:t>
            </w:r>
          </w:p>
        </w:tc>
        <w:tc>
          <w:tcPr>
            <w:tcW w:w="25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1"/>
              </w:rPr>
              <w:t>CAC Warehouse Funding LLC IV</w:t>
            </w: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05/20/2025</w:t>
            </w:r>
          </w:p>
        </w:tc>
        <w:tc>
          <w:tcPr>
            <w:tcW w:w="4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373"/>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5"/>
                <w:szCs w:val="15"/>
                <w:color w:val="auto"/>
              </w:rPr>
            </w:pPr>
          </w:p>
        </w:tc>
        <w:tc>
          <w:tcPr>
            <w:tcW w:w="29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4"/>
              </w:rPr>
              <w:t>The Secured Overnight Financing Rate</w:t>
            </w:r>
          </w:p>
        </w:tc>
        <w:tc>
          <w:tcPr>
            <w:tcW w:w="0" w:type="dxa"/>
            <w:vAlign w:val="bottom"/>
          </w:tcPr>
          <w:p>
            <w:pPr>
              <w:spacing w:after="0"/>
              <w:rPr>
                <w:sz w:val="1"/>
                <w:szCs w:val="1"/>
                <w:color w:val="auto"/>
              </w:rPr>
            </w:pPr>
          </w:p>
        </w:tc>
      </w:tr>
      <w:tr>
        <w:trPr>
          <w:trHeight w:val="224"/>
        </w:trPr>
        <w:tc>
          <w:tcPr>
            <w:tcW w:w="2540" w:type="dxa"/>
            <w:vAlign w:val="bottom"/>
            <w:gridSpan w:val="2"/>
            <w:vMerge w:val="continue"/>
            <w:shd w:val="clear" w:color="auto" w:fill="CCEEFF"/>
          </w:tcPr>
          <w:p>
            <w:pPr>
              <w:spacing w:after="0"/>
              <w:rPr>
                <w:sz w:val="19"/>
                <w:szCs w:val="19"/>
                <w:color w:val="auto"/>
              </w:rPr>
            </w:pPr>
          </w:p>
        </w:tc>
        <w:tc>
          <w:tcPr>
            <w:tcW w:w="256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(SOFR) plus 221.4 basis points (4)</w:t>
            </w:r>
          </w:p>
        </w:tc>
        <w:tc>
          <w:tcPr>
            <w:tcW w:w="0" w:type="dxa"/>
            <w:vAlign w:val="bottom"/>
          </w:tcPr>
          <w:p>
            <w:pPr>
              <w:spacing w:after="0"/>
              <w:rPr>
                <w:sz w:val="1"/>
                <w:szCs w:val="1"/>
                <w:color w:val="auto"/>
              </w:rPr>
            </w:pPr>
          </w:p>
        </w:tc>
      </w:tr>
      <w:tr>
        <w:trPr>
          <w:trHeight w:val="225"/>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Warehouse Facility V (2)</w:t>
            </w: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CAC Warehouse Funding LLC V</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12/18/2023</w:t>
            </w:r>
          </w:p>
        </w:tc>
        <w:tc>
          <w:tcPr>
            <w:tcW w:w="46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73"/>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LIBOR plus 225 basis points (4)</w:t>
            </w:r>
          </w:p>
        </w:tc>
        <w:tc>
          <w:tcPr>
            <w:tcW w:w="0" w:type="dxa"/>
            <w:vAlign w:val="bottom"/>
          </w:tcPr>
          <w:p>
            <w:pPr>
              <w:spacing w:after="0"/>
              <w:rPr>
                <w:sz w:val="1"/>
                <w:szCs w:val="1"/>
                <w:color w:val="auto"/>
              </w:rPr>
            </w:pPr>
          </w:p>
        </w:tc>
      </w:tr>
      <w:tr>
        <w:trPr>
          <w:trHeight w:val="226"/>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Warehouse Facility VI (2)</w:t>
            </w:r>
          </w:p>
        </w:tc>
        <w:tc>
          <w:tcPr>
            <w:tcW w:w="2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CAC Warehouse Funding LLC VI</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09/30/2024</w:t>
            </w:r>
          </w:p>
        </w:tc>
        <w:tc>
          <w:tcPr>
            <w:tcW w:w="4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LIBOR plus 200 basis points</w:t>
            </w:r>
          </w:p>
        </w:tc>
        <w:tc>
          <w:tcPr>
            <w:tcW w:w="0" w:type="dxa"/>
            <w:vAlign w:val="bottom"/>
          </w:tcPr>
          <w:p>
            <w:pPr>
              <w:spacing w:after="0"/>
              <w:rPr>
                <w:sz w:val="1"/>
                <w:szCs w:val="1"/>
                <w:color w:val="auto"/>
              </w:rPr>
            </w:pPr>
          </w:p>
        </w:tc>
      </w:tr>
      <w:tr>
        <w:trPr>
          <w:trHeight w:val="173"/>
        </w:trPr>
        <w:tc>
          <w:tcPr>
            <w:tcW w:w="2540" w:type="dxa"/>
            <w:vAlign w:val="bottom"/>
            <w:gridSpan w:val="2"/>
            <w:vMerge w:val="restart"/>
          </w:tcPr>
          <w:p>
            <w:pPr>
              <w:ind w:left="20"/>
              <w:spacing w:after="0"/>
              <w:rPr>
                <w:sz w:val="20"/>
                <w:szCs w:val="20"/>
                <w:color w:val="auto"/>
              </w:rPr>
            </w:pPr>
            <w:r>
              <w:rPr>
                <w:rFonts w:ascii="Arial" w:cs="Arial" w:eastAsia="Arial" w:hAnsi="Arial"/>
                <w:sz w:val="18"/>
                <w:szCs w:val="18"/>
                <w:color w:val="auto"/>
              </w:rPr>
              <w:t>Warehouse Facility VIII (2)</w:t>
            </w:r>
          </w:p>
        </w:tc>
        <w:tc>
          <w:tcPr>
            <w:tcW w:w="2560" w:type="dxa"/>
            <w:vAlign w:val="bottom"/>
            <w:gridSpan w:val="2"/>
          </w:tcPr>
          <w:p>
            <w:pPr>
              <w:jc w:val="center"/>
              <w:ind w:right="100"/>
              <w:spacing w:after="0" w:line="173" w:lineRule="exact"/>
              <w:rPr>
                <w:sz w:val="20"/>
                <w:szCs w:val="20"/>
                <w:color w:val="auto"/>
              </w:rPr>
            </w:pPr>
            <w:r>
              <w:rPr>
                <w:rFonts w:ascii="Arial" w:cs="Arial" w:eastAsia="Arial" w:hAnsi="Arial"/>
                <w:sz w:val="18"/>
                <w:szCs w:val="18"/>
                <w:color w:val="auto"/>
                <w:w w:val="89"/>
              </w:rPr>
              <w:t>CAC Warehouse Funding LLC</w:t>
            </w:r>
          </w:p>
        </w:tc>
        <w:tc>
          <w:tcPr>
            <w:tcW w:w="1100" w:type="dxa"/>
            <w:vAlign w:val="bottom"/>
            <w:vMerge w:val="restart"/>
          </w:tcPr>
          <w:p>
            <w:pPr>
              <w:jc w:val="right"/>
              <w:ind w:right="13"/>
              <w:spacing w:after="0"/>
              <w:rPr>
                <w:sz w:val="20"/>
                <w:szCs w:val="20"/>
                <w:color w:val="auto"/>
              </w:rPr>
            </w:pPr>
            <w:r>
              <w:rPr>
                <w:rFonts w:ascii="Arial" w:cs="Arial" w:eastAsia="Arial" w:hAnsi="Arial"/>
                <w:sz w:val="18"/>
                <w:szCs w:val="18"/>
                <w:color w:val="auto"/>
              </w:rPr>
              <w:t>09/01/2024</w:t>
            </w:r>
          </w:p>
        </w:tc>
        <w:tc>
          <w:tcPr>
            <w:tcW w:w="460" w:type="dxa"/>
            <w:vAlign w:val="bottom"/>
            <w:vMerge w:val="restart"/>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vMerge w:val="restart"/>
          </w:tcPr>
          <w:p>
            <w:pPr>
              <w:jc w:val="right"/>
              <w:ind w:right="373"/>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5"/>
                <w:szCs w:val="15"/>
                <w:color w:val="auto"/>
              </w:rPr>
            </w:pPr>
          </w:p>
        </w:tc>
        <w:tc>
          <w:tcPr>
            <w:tcW w:w="2980" w:type="dxa"/>
            <w:vAlign w:val="bottom"/>
            <w:vMerge w:val="restart"/>
          </w:tcPr>
          <w:p>
            <w:pPr>
              <w:ind w:left="20"/>
              <w:spacing w:after="0"/>
              <w:rPr>
                <w:sz w:val="20"/>
                <w:szCs w:val="20"/>
                <w:color w:val="auto"/>
              </w:rPr>
            </w:pPr>
            <w:r>
              <w:rPr>
                <w:rFonts w:ascii="Arial" w:cs="Arial" w:eastAsia="Arial" w:hAnsi="Arial"/>
                <w:sz w:val="18"/>
                <w:szCs w:val="18"/>
                <w:color w:val="auto"/>
              </w:rPr>
              <w:t>LIBOR plus 190 basis points (4)</w:t>
            </w:r>
          </w:p>
        </w:tc>
        <w:tc>
          <w:tcPr>
            <w:tcW w:w="0" w:type="dxa"/>
            <w:vAlign w:val="bottom"/>
          </w:tcPr>
          <w:p>
            <w:pPr>
              <w:spacing w:after="0"/>
              <w:rPr>
                <w:sz w:val="1"/>
                <w:szCs w:val="1"/>
                <w:color w:val="auto"/>
              </w:rPr>
            </w:pPr>
          </w:p>
        </w:tc>
      </w:tr>
      <w:tr>
        <w:trPr>
          <w:trHeight w:val="224"/>
        </w:trPr>
        <w:tc>
          <w:tcPr>
            <w:tcW w:w="2540" w:type="dxa"/>
            <w:vAlign w:val="bottom"/>
            <w:gridSpan w:val="2"/>
            <w:vMerge w:val="continue"/>
          </w:tcPr>
          <w:p>
            <w:pPr>
              <w:spacing w:after="0"/>
              <w:rPr>
                <w:sz w:val="19"/>
                <w:szCs w:val="19"/>
                <w:color w:val="auto"/>
              </w:rPr>
            </w:pP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color w:val="auto"/>
              </w:rPr>
              <w:t>VIII</w:t>
            </w:r>
          </w:p>
        </w:tc>
        <w:tc>
          <w:tcPr>
            <w:tcW w:w="110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5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Term ABS 2019-2 (2)</w:t>
            </w:r>
          </w:p>
        </w:tc>
        <w:tc>
          <w:tcPr>
            <w:tcW w:w="2560" w:type="dxa"/>
            <w:vAlign w:val="bottom"/>
            <w:gridSpan w:val="2"/>
            <w:shd w:val="clear" w:color="auto" w:fill="CCEEFF"/>
          </w:tcPr>
          <w:p>
            <w:pPr>
              <w:jc w:val="center"/>
              <w:ind w:right="120"/>
              <w:spacing w:after="0" w:line="174" w:lineRule="exact"/>
              <w:rPr>
                <w:sz w:val="20"/>
                <w:szCs w:val="20"/>
                <w:color w:val="auto"/>
              </w:rPr>
            </w:pPr>
            <w:r>
              <w:rPr>
                <w:rFonts w:ascii="Arial" w:cs="Arial" w:eastAsia="Arial" w:hAnsi="Arial"/>
                <w:sz w:val="18"/>
                <w:szCs w:val="18"/>
                <w:color w:val="auto"/>
                <w:w w:val="90"/>
              </w:rPr>
              <w:t>Credit Acceptance Funding LLC</w:t>
            </w: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08/15/2022</w:t>
            </w:r>
          </w:p>
        </w:tc>
        <w:tc>
          <w:tcPr>
            <w:tcW w:w="4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373"/>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5"/>
                <w:szCs w:val="15"/>
                <w:color w:val="auto"/>
              </w:rPr>
            </w:pPr>
          </w:p>
        </w:tc>
        <w:tc>
          <w:tcPr>
            <w:tcW w:w="29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4"/>
        </w:trPr>
        <w:tc>
          <w:tcPr>
            <w:tcW w:w="2540" w:type="dxa"/>
            <w:vAlign w:val="bottom"/>
            <w:gridSpan w:val="2"/>
            <w:vMerge w:val="continue"/>
            <w:shd w:val="clear" w:color="auto" w:fill="CCEEFF"/>
          </w:tcPr>
          <w:p>
            <w:pPr>
              <w:spacing w:after="0"/>
              <w:rPr>
                <w:sz w:val="19"/>
                <w:szCs w:val="19"/>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2019-2</w:t>
            </w:r>
          </w:p>
        </w:tc>
        <w:tc>
          <w:tcPr>
            <w:tcW w:w="1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40" w:type="dxa"/>
            <w:vAlign w:val="bottom"/>
            <w:gridSpan w:val="2"/>
            <w:vMerge w:val="restart"/>
          </w:tcPr>
          <w:p>
            <w:pPr>
              <w:ind w:left="20"/>
              <w:spacing w:after="0"/>
              <w:rPr>
                <w:sz w:val="20"/>
                <w:szCs w:val="20"/>
                <w:color w:val="auto"/>
              </w:rPr>
            </w:pPr>
            <w:r>
              <w:rPr>
                <w:rFonts w:ascii="Arial" w:cs="Arial" w:eastAsia="Arial" w:hAnsi="Arial"/>
                <w:sz w:val="18"/>
                <w:szCs w:val="18"/>
                <w:color w:val="auto"/>
              </w:rPr>
              <w:t>Term ABS 2019-3 (2)</w:t>
            </w:r>
          </w:p>
        </w:tc>
        <w:tc>
          <w:tcPr>
            <w:tcW w:w="2560" w:type="dxa"/>
            <w:vAlign w:val="bottom"/>
            <w:gridSpan w:val="2"/>
          </w:tcPr>
          <w:p>
            <w:pPr>
              <w:jc w:val="center"/>
              <w:ind w:right="120"/>
              <w:spacing w:after="0" w:line="173" w:lineRule="exact"/>
              <w:rPr>
                <w:sz w:val="20"/>
                <w:szCs w:val="20"/>
                <w:color w:val="auto"/>
              </w:rPr>
            </w:pPr>
            <w:r>
              <w:rPr>
                <w:rFonts w:ascii="Arial" w:cs="Arial" w:eastAsia="Arial" w:hAnsi="Arial"/>
                <w:sz w:val="18"/>
                <w:szCs w:val="18"/>
                <w:color w:val="auto"/>
                <w:w w:val="90"/>
              </w:rPr>
              <w:t>Credit Acceptance Funding LLC</w:t>
            </w:r>
          </w:p>
        </w:tc>
        <w:tc>
          <w:tcPr>
            <w:tcW w:w="1100" w:type="dxa"/>
            <w:vAlign w:val="bottom"/>
            <w:vMerge w:val="restart"/>
          </w:tcPr>
          <w:p>
            <w:pPr>
              <w:jc w:val="right"/>
              <w:ind w:right="33"/>
              <w:spacing w:after="0"/>
              <w:rPr>
                <w:sz w:val="20"/>
                <w:szCs w:val="20"/>
                <w:color w:val="auto"/>
              </w:rPr>
            </w:pPr>
            <w:r>
              <w:rPr>
                <w:rFonts w:ascii="Arial" w:cs="Arial" w:eastAsia="Arial" w:hAnsi="Arial"/>
                <w:sz w:val="18"/>
                <w:szCs w:val="18"/>
                <w:color w:val="auto"/>
              </w:rPr>
              <w:t>11/15/2021</w:t>
            </w:r>
          </w:p>
        </w:tc>
        <w:tc>
          <w:tcPr>
            <w:tcW w:w="460" w:type="dxa"/>
            <w:vAlign w:val="bottom"/>
            <w:vMerge w:val="restart"/>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vMerge w:val="restart"/>
          </w:tcPr>
          <w:p>
            <w:pPr>
              <w:jc w:val="right"/>
              <w:ind w:right="373"/>
              <w:spacing w:after="0"/>
              <w:rPr>
                <w:sz w:val="20"/>
                <w:szCs w:val="20"/>
                <w:color w:val="auto"/>
              </w:rPr>
            </w:pPr>
            <w:r>
              <w:rPr>
                <w:rFonts w:ascii="Arial" w:cs="Arial" w:eastAsia="Arial" w:hAnsi="Arial"/>
                <w:sz w:val="18"/>
                <w:szCs w:val="18"/>
                <w:color w:val="auto"/>
              </w:rPr>
              <w:t>351.7</w:t>
            </w:r>
          </w:p>
        </w:tc>
        <w:tc>
          <w:tcPr>
            <w:tcW w:w="100" w:type="dxa"/>
            <w:vAlign w:val="bottom"/>
          </w:tcPr>
          <w:p>
            <w:pPr>
              <w:spacing w:after="0"/>
              <w:rPr>
                <w:sz w:val="15"/>
                <w:szCs w:val="15"/>
                <w:color w:val="auto"/>
              </w:rPr>
            </w:pPr>
          </w:p>
        </w:tc>
        <w:tc>
          <w:tcPr>
            <w:tcW w:w="2980" w:type="dxa"/>
            <w:vAlign w:val="bottom"/>
            <w:vMerge w:val="restart"/>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4"/>
        </w:trPr>
        <w:tc>
          <w:tcPr>
            <w:tcW w:w="2540" w:type="dxa"/>
            <w:vAlign w:val="bottom"/>
            <w:gridSpan w:val="2"/>
            <w:vMerge w:val="continue"/>
          </w:tcPr>
          <w:p>
            <w:pPr>
              <w:spacing w:after="0"/>
              <w:rPr>
                <w:sz w:val="19"/>
                <w:szCs w:val="19"/>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2019-3</w:t>
            </w: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5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Term ABS 2020-1 (2)</w:t>
            </w:r>
          </w:p>
        </w:tc>
        <w:tc>
          <w:tcPr>
            <w:tcW w:w="2560" w:type="dxa"/>
            <w:vAlign w:val="bottom"/>
            <w:gridSpan w:val="2"/>
            <w:shd w:val="clear" w:color="auto" w:fill="CCEEFF"/>
          </w:tcPr>
          <w:p>
            <w:pPr>
              <w:jc w:val="center"/>
              <w:ind w:right="120"/>
              <w:spacing w:after="0" w:line="174" w:lineRule="exact"/>
              <w:rPr>
                <w:sz w:val="20"/>
                <w:szCs w:val="20"/>
                <w:color w:val="auto"/>
              </w:rPr>
            </w:pPr>
            <w:r>
              <w:rPr>
                <w:rFonts w:ascii="Arial" w:cs="Arial" w:eastAsia="Arial" w:hAnsi="Arial"/>
                <w:sz w:val="18"/>
                <w:szCs w:val="18"/>
                <w:color w:val="auto"/>
                <w:w w:val="90"/>
              </w:rPr>
              <w:t>Credit Acceptance Funding LLC</w:t>
            </w: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02/15/2022</w:t>
            </w:r>
          </w:p>
        </w:tc>
        <w:tc>
          <w:tcPr>
            <w:tcW w:w="4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373"/>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5"/>
                <w:szCs w:val="15"/>
                <w:color w:val="auto"/>
              </w:rPr>
            </w:pPr>
          </w:p>
        </w:tc>
        <w:tc>
          <w:tcPr>
            <w:tcW w:w="29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4"/>
        </w:trPr>
        <w:tc>
          <w:tcPr>
            <w:tcW w:w="2540" w:type="dxa"/>
            <w:vAlign w:val="bottom"/>
            <w:gridSpan w:val="2"/>
            <w:vMerge w:val="continue"/>
            <w:shd w:val="clear" w:color="auto" w:fill="CCEEFF"/>
          </w:tcPr>
          <w:p>
            <w:pPr>
              <w:spacing w:after="0"/>
              <w:rPr>
                <w:sz w:val="19"/>
                <w:szCs w:val="19"/>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2020-1</w:t>
            </w:r>
          </w:p>
        </w:tc>
        <w:tc>
          <w:tcPr>
            <w:tcW w:w="1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40" w:type="dxa"/>
            <w:vAlign w:val="bottom"/>
            <w:gridSpan w:val="2"/>
            <w:vMerge w:val="restart"/>
          </w:tcPr>
          <w:p>
            <w:pPr>
              <w:ind w:left="20"/>
              <w:spacing w:after="0"/>
              <w:rPr>
                <w:sz w:val="20"/>
                <w:szCs w:val="20"/>
                <w:color w:val="auto"/>
              </w:rPr>
            </w:pPr>
            <w:r>
              <w:rPr>
                <w:rFonts w:ascii="Arial" w:cs="Arial" w:eastAsia="Arial" w:hAnsi="Arial"/>
                <w:sz w:val="18"/>
                <w:szCs w:val="18"/>
                <w:color w:val="auto"/>
              </w:rPr>
              <w:t>Term ABS 2020-2 (2)</w:t>
            </w:r>
          </w:p>
        </w:tc>
        <w:tc>
          <w:tcPr>
            <w:tcW w:w="2560" w:type="dxa"/>
            <w:vAlign w:val="bottom"/>
            <w:gridSpan w:val="2"/>
          </w:tcPr>
          <w:p>
            <w:pPr>
              <w:jc w:val="center"/>
              <w:ind w:right="120"/>
              <w:spacing w:after="0" w:line="173" w:lineRule="exact"/>
              <w:rPr>
                <w:sz w:val="20"/>
                <w:szCs w:val="20"/>
                <w:color w:val="auto"/>
              </w:rPr>
            </w:pPr>
            <w:r>
              <w:rPr>
                <w:rFonts w:ascii="Arial" w:cs="Arial" w:eastAsia="Arial" w:hAnsi="Arial"/>
                <w:sz w:val="18"/>
                <w:szCs w:val="18"/>
                <w:color w:val="auto"/>
                <w:w w:val="90"/>
              </w:rPr>
              <w:t>Credit Acceptance Funding LLC</w:t>
            </w:r>
          </w:p>
        </w:tc>
        <w:tc>
          <w:tcPr>
            <w:tcW w:w="1100" w:type="dxa"/>
            <w:vAlign w:val="bottom"/>
            <w:vMerge w:val="restart"/>
          </w:tcPr>
          <w:p>
            <w:pPr>
              <w:jc w:val="right"/>
              <w:ind w:right="13"/>
              <w:spacing w:after="0"/>
              <w:rPr>
                <w:sz w:val="20"/>
                <w:szCs w:val="20"/>
                <w:color w:val="auto"/>
              </w:rPr>
            </w:pPr>
            <w:r>
              <w:rPr>
                <w:rFonts w:ascii="Arial" w:cs="Arial" w:eastAsia="Arial" w:hAnsi="Arial"/>
                <w:sz w:val="18"/>
                <w:szCs w:val="18"/>
                <w:color w:val="auto"/>
              </w:rPr>
              <w:t>07/15/2022</w:t>
            </w:r>
          </w:p>
        </w:tc>
        <w:tc>
          <w:tcPr>
            <w:tcW w:w="460" w:type="dxa"/>
            <w:vAlign w:val="bottom"/>
            <w:vMerge w:val="restart"/>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vMerge w:val="restart"/>
          </w:tcPr>
          <w:p>
            <w:pPr>
              <w:jc w:val="right"/>
              <w:ind w:right="373"/>
              <w:spacing w:after="0"/>
              <w:rPr>
                <w:sz w:val="20"/>
                <w:szCs w:val="20"/>
                <w:color w:val="auto"/>
              </w:rPr>
            </w:pPr>
            <w:r>
              <w:rPr>
                <w:rFonts w:ascii="Arial" w:cs="Arial" w:eastAsia="Arial" w:hAnsi="Arial"/>
                <w:sz w:val="18"/>
                <w:szCs w:val="18"/>
                <w:color w:val="auto"/>
              </w:rPr>
              <w:t>481.8</w:t>
            </w:r>
          </w:p>
        </w:tc>
        <w:tc>
          <w:tcPr>
            <w:tcW w:w="100" w:type="dxa"/>
            <w:vAlign w:val="bottom"/>
          </w:tcPr>
          <w:p>
            <w:pPr>
              <w:spacing w:after="0"/>
              <w:rPr>
                <w:sz w:val="15"/>
                <w:szCs w:val="15"/>
                <w:color w:val="auto"/>
              </w:rPr>
            </w:pPr>
          </w:p>
        </w:tc>
        <w:tc>
          <w:tcPr>
            <w:tcW w:w="2980" w:type="dxa"/>
            <w:vAlign w:val="bottom"/>
            <w:vMerge w:val="restart"/>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4"/>
        </w:trPr>
        <w:tc>
          <w:tcPr>
            <w:tcW w:w="2540" w:type="dxa"/>
            <w:vAlign w:val="bottom"/>
            <w:gridSpan w:val="2"/>
            <w:vMerge w:val="continue"/>
          </w:tcPr>
          <w:p>
            <w:pPr>
              <w:spacing w:after="0"/>
              <w:rPr>
                <w:sz w:val="19"/>
                <w:szCs w:val="19"/>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2020-2</w:t>
            </w: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5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Term ABS 2020-3 (2)</w:t>
            </w:r>
          </w:p>
        </w:tc>
        <w:tc>
          <w:tcPr>
            <w:tcW w:w="2560" w:type="dxa"/>
            <w:vAlign w:val="bottom"/>
            <w:gridSpan w:val="2"/>
            <w:shd w:val="clear" w:color="auto" w:fill="CCEEFF"/>
          </w:tcPr>
          <w:p>
            <w:pPr>
              <w:jc w:val="center"/>
              <w:ind w:right="120"/>
              <w:spacing w:after="0" w:line="174" w:lineRule="exact"/>
              <w:rPr>
                <w:sz w:val="20"/>
                <w:szCs w:val="20"/>
                <w:color w:val="auto"/>
              </w:rPr>
            </w:pPr>
            <w:r>
              <w:rPr>
                <w:rFonts w:ascii="Arial" w:cs="Arial" w:eastAsia="Arial" w:hAnsi="Arial"/>
                <w:sz w:val="18"/>
                <w:szCs w:val="18"/>
                <w:color w:val="auto"/>
                <w:w w:val="90"/>
              </w:rPr>
              <w:t>Credit Acceptance Funding LLC</w:t>
            </w: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10/17/2022</w:t>
            </w:r>
          </w:p>
        </w:tc>
        <w:tc>
          <w:tcPr>
            <w:tcW w:w="4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373"/>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5"/>
                <w:szCs w:val="15"/>
                <w:color w:val="auto"/>
              </w:rPr>
            </w:pPr>
          </w:p>
        </w:tc>
        <w:tc>
          <w:tcPr>
            <w:tcW w:w="29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4"/>
        </w:trPr>
        <w:tc>
          <w:tcPr>
            <w:tcW w:w="2540" w:type="dxa"/>
            <w:vAlign w:val="bottom"/>
            <w:gridSpan w:val="2"/>
            <w:vMerge w:val="continue"/>
            <w:shd w:val="clear" w:color="auto" w:fill="CCEEFF"/>
          </w:tcPr>
          <w:p>
            <w:pPr>
              <w:spacing w:after="0"/>
              <w:rPr>
                <w:sz w:val="19"/>
                <w:szCs w:val="19"/>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2020-3</w:t>
            </w:r>
          </w:p>
        </w:tc>
        <w:tc>
          <w:tcPr>
            <w:tcW w:w="1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40" w:type="dxa"/>
            <w:vAlign w:val="bottom"/>
            <w:gridSpan w:val="2"/>
            <w:vMerge w:val="restart"/>
          </w:tcPr>
          <w:p>
            <w:pPr>
              <w:ind w:left="20"/>
              <w:spacing w:after="0"/>
              <w:rPr>
                <w:sz w:val="20"/>
                <w:szCs w:val="20"/>
                <w:color w:val="auto"/>
              </w:rPr>
            </w:pPr>
            <w:r>
              <w:rPr>
                <w:rFonts w:ascii="Arial" w:cs="Arial" w:eastAsia="Arial" w:hAnsi="Arial"/>
                <w:sz w:val="18"/>
                <w:szCs w:val="18"/>
                <w:color w:val="auto"/>
              </w:rPr>
              <w:t>Term ABS 2021-1 (2)</w:t>
            </w:r>
          </w:p>
        </w:tc>
        <w:tc>
          <w:tcPr>
            <w:tcW w:w="2560" w:type="dxa"/>
            <w:vAlign w:val="bottom"/>
            <w:gridSpan w:val="2"/>
          </w:tcPr>
          <w:p>
            <w:pPr>
              <w:jc w:val="center"/>
              <w:ind w:right="120"/>
              <w:spacing w:after="0" w:line="173" w:lineRule="exact"/>
              <w:rPr>
                <w:sz w:val="20"/>
                <w:szCs w:val="20"/>
                <w:color w:val="auto"/>
              </w:rPr>
            </w:pPr>
            <w:r>
              <w:rPr>
                <w:rFonts w:ascii="Arial" w:cs="Arial" w:eastAsia="Arial" w:hAnsi="Arial"/>
                <w:sz w:val="18"/>
                <w:szCs w:val="18"/>
                <w:color w:val="auto"/>
                <w:w w:val="90"/>
              </w:rPr>
              <w:t>Credit Acceptance Funding LLC</w:t>
            </w:r>
          </w:p>
        </w:tc>
        <w:tc>
          <w:tcPr>
            <w:tcW w:w="1100" w:type="dxa"/>
            <w:vAlign w:val="bottom"/>
            <w:vMerge w:val="restart"/>
          </w:tcPr>
          <w:p>
            <w:pPr>
              <w:jc w:val="right"/>
              <w:ind w:right="13"/>
              <w:spacing w:after="0"/>
              <w:rPr>
                <w:sz w:val="20"/>
                <w:szCs w:val="20"/>
                <w:color w:val="auto"/>
              </w:rPr>
            </w:pPr>
            <w:r>
              <w:rPr>
                <w:rFonts w:ascii="Arial" w:cs="Arial" w:eastAsia="Arial" w:hAnsi="Arial"/>
                <w:sz w:val="18"/>
                <w:szCs w:val="18"/>
                <w:color w:val="auto"/>
              </w:rPr>
              <w:t>02/15/2023</w:t>
            </w:r>
          </w:p>
        </w:tc>
        <w:tc>
          <w:tcPr>
            <w:tcW w:w="460" w:type="dxa"/>
            <w:vAlign w:val="bottom"/>
            <w:vMerge w:val="restart"/>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vMerge w:val="restart"/>
          </w:tcPr>
          <w:p>
            <w:pPr>
              <w:jc w:val="right"/>
              <w:ind w:right="373"/>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5"/>
                <w:szCs w:val="15"/>
                <w:color w:val="auto"/>
              </w:rPr>
            </w:pPr>
          </w:p>
        </w:tc>
        <w:tc>
          <w:tcPr>
            <w:tcW w:w="2980" w:type="dxa"/>
            <w:vAlign w:val="bottom"/>
            <w:vMerge w:val="restart"/>
          </w:tcPr>
          <w:p>
            <w:pPr>
              <w:ind w:left="20"/>
              <w:spacing w:after="0"/>
              <w:rPr>
                <w:sz w:val="20"/>
                <w:szCs w:val="20"/>
                <w:color w:val="auto"/>
              </w:rPr>
            </w:pPr>
            <w:r>
              <w:rPr>
                <w:rFonts w:ascii="Arial" w:cs="Arial" w:eastAsia="Arial" w:hAnsi="Arial"/>
                <w:sz w:val="18"/>
                <w:szCs w:val="18"/>
                <w:color w:val="auto"/>
              </w:rPr>
              <w:t>LIBOR plus 198.5 basis points (4)</w:t>
            </w:r>
          </w:p>
        </w:tc>
        <w:tc>
          <w:tcPr>
            <w:tcW w:w="0" w:type="dxa"/>
            <w:vAlign w:val="bottom"/>
          </w:tcPr>
          <w:p>
            <w:pPr>
              <w:spacing w:after="0"/>
              <w:rPr>
                <w:sz w:val="1"/>
                <w:szCs w:val="1"/>
                <w:color w:val="auto"/>
              </w:rPr>
            </w:pPr>
          </w:p>
        </w:tc>
      </w:tr>
      <w:tr>
        <w:trPr>
          <w:trHeight w:val="224"/>
        </w:trPr>
        <w:tc>
          <w:tcPr>
            <w:tcW w:w="2540" w:type="dxa"/>
            <w:vAlign w:val="bottom"/>
            <w:gridSpan w:val="2"/>
            <w:vMerge w:val="continue"/>
          </w:tcPr>
          <w:p>
            <w:pPr>
              <w:spacing w:after="0"/>
              <w:rPr>
                <w:sz w:val="19"/>
                <w:szCs w:val="19"/>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2021-1</w:t>
            </w: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5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Term ABS 2021-2 (2)</w:t>
            </w:r>
          </w:p>
        </w:tc>
        <w:tc>
          <w:tcPr>
            <w:tcW w:w="2560" w:type="dxa"/>
            <w:vAlign w:val="bottom"/>
            <w:gridSpan w:val="2"/>
            <w:shd w:val="clear" w:color="auto" w:fill="CCEEFF"/>
          </w:tcPr>
          <w:p>
            <w:pPr>
              <w:jc w:val="center"/>
              <w:ind w:right="120"/>
              <w:spacing w:after="0" w:line="174" w:lineRule="exact"/>
              <w:rPr>
                <w:sz w:val="20"/>
                <w:szCs w:val="20"/>
                <w:color w:val="auto"/>
              </w:rPr>
            </w:pPr>
            <w:r>
              <w:rPr>
                <w:rFonts w:ascii="Arial" w:cs="Arial" w:eastAsia="Arial" w:hAnsi="Arial"/>
                <w:sz w:val="18"/>
                <w:szCs w:val="18"/>
                <w:color w:val="auto"/>
                <w:w w:val="90"/>
              </w:rPr>
              <w:t>Credit Acceptance Funding LLC</w:t>
            </w: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02/15/2023</w:t>
            </w:r>
          </w:p>
        </w:tc>
        <w:tc>
          <w:tcPr>
            <w:tcW w:w="4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373"/>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5"/>
                <w:szCs w:val="15"/>
                <w:color w:val="auto"/>
              </w:rPr>
            </w:pPr>
          </w:p>
        </w:tc>
        <w:tc>
          <w:tcPr>
            <w:tcW w:w="29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4"/>
        </w:trPr>
        <w:tc>
          <w:tcPr>
            <w:tcW w:w="2540" w:type="dxa"/>
            <w:vAlign w:val="bottom"/>
            <w:gridSpan w:val="2"/>
            <w:vMerge w:val="continue"/>
            <w:shd w:val="clear" w:color="auto" w:fill="CCEEFF"/>
          </w:tcPr>
          <w:p>
            <w:pPr>
              <w:spacing w:after="0"/>
              <w:rPr>
                <w:sz w:val="19"/>
                <w:szCs w:val="19"/>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2021-2</w:t>
            </w:r>
          </w:p>
        </w:tc>
        <w:tc>
          <w:tcPr>
            <w:tcW w:w="1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40" w:type="dxa"/>
            <w:vAlign w:val="bottom"/>
            <w:gridSpan w:val="2"/>
            <w:vMerge w:val="restart"/>
          </w:tcPr>
          <w:p>
            <w:pPr>
              <w:ind w:left="20"/>
              <w:spacing w:after="0"/>
              <w:rPr>
                <w:sz w:val="20"/>
                <w:szCs w:val="20"/>
                <w:color w:val="auto"/>
              </w:rPr>
            </w:pPr>
            <w:r>
              <w:rPr>
                <w:rFonts w:ascii="Arial" w:cs="Arial" w:eastAsia="Arial" w:hAnsi="Arial"/>
                <w:sz w:val="18"/>
                <w:szCs w:val="18"/>
                <w:color w:val="auto"/>
              </w:rPr>
              <w:t>Term ABS 2021-3 (2)</w:t>
            </w:r>
          </w:p>
        </w:tc>
        <w:tc>
          <w:tcPr>
            <w:tcW w:w="2560" w:type="dxa"/>
            <w:vAlign w:val="bottom"/>
            <w:gridSpan w:val="2"/>
          </w:tcPr>
          <w:p>
            <w:pPr>
              <w:jc w:val="center"/>
              <w:ind w:right="120"/>
              <w:spacing w:after="0" w:line="173" w:lineRule="exact"/>
              <w:rPr>
                <w:sz w:val="20"/>
                <w:szCs w:val="20"/>
                <w:color w:val="auto"/>
              </w:rPr>
            </w:pPr>
            <w:r>
              <w:rPr>
                <w:rFonts w:ascii="Arial" w:cs="Arial" w:eastAsia="Arial" w:hAnsi="Arial"/>
                <w:sz w:val="18"/>
                <w:szCs w:val="18"/>
                <w:color w:val="auto"/>
                <w:w w:val="90"/>
              </w:rPr>
              <w:t>Credit Acceptance Funding LLC</w:t>
            </w:r>
          </w:p>
        </w:tc>
        <w:tc>
          <w:tcPr>
            <w:tcW w:w="1100" w:type="dxa"/>
            <w:vAlign w:val="bottom"/>
            <w:vMerge w:val="restart"/>
          </w:tcPr>
          <w:p>
            <w:pPr>
              <w:jc w:val="right"/>
              <w:ind w:right="13"/>
              <w:spacing w:after="0"/>
              <w:rPr>
                <w:sz w:val="20"/>
                <w:szCs w:val="20"/>
                <w:color w:val="auto"/>
              </w:rPr>
            </w:pPr>
            <w:r>
              <w:rPr>
                <w:rFonts w:ascii="Arial" w:cs="Arial" w:eastAsia="Arial" w:hAnsi="Arial"/>
                <w:sz w:val="18"/>
                <w:szCs w:val="18"/>
                <w:color w:val="auto"/>
              </w:rPr>
              <w:t>05/15/2023</w:t>
            </w:r>
          </w:p>
        </w:tc>
        <w:tc>
          <w:tcPr>
            <w:tcW w:w="460" w:type="dxa"/>
            <w:vAlign w:val="bottom"/>
            <w:vMerge w:val="restart"/>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vMerge w:val="restart"/>
          </w:tcPr>
          <w:p>
            <w:pPr>
              <w:jc w:val="right"/>
              <w:ind w:right="373"/>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5"/>
                <w:szCs w:val="15"/>
                <w:color w:val="auto"/>
              </w:rPr>
            </w:pPr>
          </w:p>
        </w:tc>
        <w:tc>
          <w:tcPr>
            <w:tcW w:w="2980" w:type="dxa"/>
            <w:vAlign w:val="bottom"/>
            <w:vMerge w:val="restart"/>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4"/>
        </w:trPr>
        <w:tc>
          <w:tcPr>
            <w:tcW w:w="2540" w:type="dxa"/>
            <w:vAlign w:val="bottom"/>
            <w:gridSpan w:val="2"/>
            <w:vMerge w:val="continue"/>
          </w:tcPr>
          <w:p>
            <w:pPr>
              <w:spacing w:after="0"/>
              <w:rPr>
                <w:sz w:val="19"/>
                <w:szCs w:val="19"/>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2021-3</w:t>
            </w: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5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Term ABS 2021-4 (2)</w:t>
            </w:r>
          </w:p>
        </w:tc>
        <w:tc>
          <w:tcPr>
            <w:tcW w:w="2560" w:type="dxa"/>
            <w:vAlign w:val="bottom"/>
            <w:gridSpan w:val="2"/>
            <w:shd w:val="clear" w:color="auto" w:fill="CCEEFF"/>
          </w:tcPr>
          <w:p>
            <w:pPr>
              <w:jc w:val="center"/>
              <w:ind w:right="120"/>
              <w:spacing w:after="0" w:line="174" w:lineRule="exact"/>
              <w:rPr>
                <w:sz w:val="20"/>
                <w:szCs w:val="20"/>
                <w:color w:val="auto"/>
              </w:rPr>
            </w:pPr>
            <w:r>
              <w:rPr>
                <w:rFonts w:ascii="Arial" w:cs="Arial" w:eastAsia="Arial" w:hAnsi="Arial"/>
                <w:sz w:val="18"/>
                <w:szCs w:val="18"/>
                <w:color w:val="auto"/>
                <w:w w:val="90"/>
              </w:rPr>
              <w:t>Credit Acceptance Funding LLC</w:t>
            </w: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10/16/2023</w:t>
            </w:r>
          </w:p>
        </w:tc>
        <w:tc>
          <w:tcPr>
            <w:tcW w:w="4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373"/>
              <w:spacing w:after="0"/>
              <w:rPr>
                <w:sz w:val="20"/>
                <w:szCs w:val="20"/>
                <w:color w:val="auto"/>
              </w:rPr>
            </w:pPr>
            <w:r>
              <w:rPr>
                <w:rFonts w:ascii="Arial" w:cs="Arial" w:eastAsia="Arial" w:hAnsi="Arial"/>
                <w:sz w:val="18"/>
                <w:szCs w:val="18"/>
                <w:color w:val="auto"/>
              </w:rPr>
              <w:t>250.1</w:t>
            </w:r>
          </w:p>
        </w:tc>
        <w:tc>
          <w:tcPr>
            <w:tcW w:w="100" w:type="dxa"/>
            <w:vAlign w:val="bottom"/>
            <w:shd w:val="clear" w:color="auto" w:fill="CCEEFF"/>
          </w:tcPr>
          <w:p>
            <w:pPr>
              <w:spacing w:after="0"/>
              <w:rPr>
                <w:sz w:val="15"/>
                <w:szCs w:val="15"/>
                <w:color w:val="auto"/>
              </w:rPr>
            </w:pPr>
          </w:p>
        </w:tc>
        <w:tc>
          <w:tcPr>
            <w:tcW w:w="29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4"/>
        </w:trPr>
        <w:tc>
          <w:tcPr>
            <w:tcW w:w="2540" w:type="dxa"/>
            <w:vAlign w:val="bottom"/>
            <w:gridSpan w:val="2"/>
            <w:vMerge w:val="continue"/>
            <w:shd w:val="clear" w:color="auto" w:fill="CCEEFF"/>
          </w:tcPr>
          <w:p>
            <w:pPr>
              <w:spacing w:after="0"/>
              <w:rPr>
                <w:sz w:val="19"/>
                <w:szCs w:val="19"/>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2021-4</w:t>
            </w:r>
          </w:p>
        </w:tc>
        <w:tc>
          <w:tcPr>
            <w:tcW w:w="1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40" w:type="dxa"/>
            <w:vAlign w:val="bottom"/>
            <w:gridSpan w:val="2"/>
            <w:vMerge w:val="restart"/>
          </w:tcPr>
          <w:p>
            <w:pPr>
              <w:ind w:left="20"/>
              <w:spacing w:after="0"/>
              <w:rPr>
                <w:sz w:val="20"/>
                <w:szCs w:val="20"/>
                <w:color w:val="auto"/>
              </w:rPr>
            </w:pPr>
            <w:r>
              <w:rPr>
                <w:rFonts w:ascii="Arial" w:cs="Arial" w:eastAsia="Arial" w:hAnsi="Arial"/>
                <w:sz w:val="18"/>
                <w:szCs w:val="18"/>
                <w:color w:val="auto"/>
              </w:rPr>
              <w:t>Term ABS 2022-1 (2)</w:t>
            </w:r>
          </w:p>
        </w:tc>
        <w:tc>
          <w:tcPr>
            <w:tcW w:w="2560" w:type="dxa"/>
            <w:vAlign w:val="bottom"/>
            <w:gridSpan w:val="2"/>
          </w:tcPr>
          <w:p>
            <w:pPr>
              <w:jc w:val="center"/>
              <w:ind w:right="120"/>
              <w:spacing w:after="0" w:line="173" w:lineRule="exact"/>
              <w:rPr>
                <w:sz w:val="20"/>
                <w:szCs w:val="20"/>
                <w:color w:val="auto"/>
              </w:rPr>
            </w:pPr>
            <w:r>
              <w:rPr>
                <w:rFonts w:ascii="Arial" w:cs="Arial" w:eastAsia="Arial" w:hAnsi="Arial"/>
                <w:sz w:val="18"/>
                <w:szCs w:val="18"/>
                <w:color w:val="auto"/>
                <w:w w:val="90"/>
              </w:rPr>
              <w:t>Credit Acceptance Funding LLC</w:t>
            </w:r>
          </w:p>
        </w:tc>
        <w:tc>
          <w:tcPr>
            <w:tcW w:w="1100" w:type="dxa"/>
            <w:vAlign w:val="bottom"/>
            <w:vMerge w:val="restart"/>
          </w:tcPr>
          <w:p>
            <w:pPr>
              <w:jc w:val="right"/>
              <w:ind w:right="13"/>
              <w:spacing w:after="0"/>
              <w:rPr>
                <w:sz w:val="20"/>
                <w:szCs w:val="20"/>
                <w:color w:val="auto"/>
              </w:rPr>
            </w:pPr>
            <w:r>
              <w:rPr>
                <w:rFonts w:ascii="Arial" w:cs="Arial" w:eastAsia="Arial" w:hAnsi="Arial"/>
                <w:sz w:val="18"/>
                <w:szCs w:val="18"/>
                <w:color w:val="auto"/>
              </w:rPr>
              <w:t>06/17/2024</w:t>
            </w:r>
          </w:p>
        </w:tc>
        <w:tc>
          <w:tcPr>
            <w:tcW w:w="460" w:type="dxa"/>
            <w:vAlign w:val="bottom"/>
            <w:vMerge w:val="restart"/>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240" w:type="dxa"/>
            <w:vAlign w:val="bottom"/>
            <w:vMerge w:val="restart"/>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ind w:right="373"/>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5"/>
                <w:szCs w:val="15"/>
                <w:color w:val="auto"/>
              </w:rPr>
            </w:pPr>
          </w:p>
        </w:tc>
        <w:tc>
          <w:tcPr>
            <w:tcW w:w="2980" w:type="dxa"/>
            <w:vAlign w:val="bottom"/>
            <w:vMerge w:val="restart"/>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4"/>
        </w:trPr>
        <w:tc>
          <w:tcPr>
            <w:tcW w:w="2540" w:type="dxa"/>
            <w:vAlign w:val="bottom"/>
            <w:gridSpan w:val="2"/>
            <w:vMerge w:val="continue"/>
          </w:tcPr>
          <w:p>
            <w:pPr>
              <w:spacing w:after="0"/>
              <w:rPr>
                <w:sz w:val="19"/>
                <w:szCs w:val="19"/>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2022-1</w:t>
            </w: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 Senior Notes</w:t>
            </w:r>
          </w:p>
        </w:tc>
        <w:tc>
          <w:tcPr>
            <w:tcW w:w="2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n/a</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12/31/2024</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5"/>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2026 Senior Notes</w:t>
            </w: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03/15/2026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73"/>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6"/>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Mortgage Note (2)</w:t>
            </w:r>
          </w:p>
        </w:tc>
        <w:tc>
          <w:tcPr>
            <w:tcW w:w="2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Chapter 4 Properties, LLC</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08/06/2023</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LIBOR plus 150 basis points</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480" w:hanging="315"/>
        <w:spacing w:after="0"/>
        <w:tabs>
          <w:tab w:leader="none" w:pos="4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amount of the facility will decrease by $25.0 million on June 22, 2023.</w:t>
      </w:r>
    </w:p>
    <w:p>
      <w:pPr>
        <w:spacing w:after="0" w:line="10" w:lineRule="exact"/>
        <w:rPr>
          <w:rFonts w:ascii="Arial" w:cs="Arial" w:eastAsia="Arial" w:hAnsi="Arial"/>
          <w:sz w:val="14"/>
          <w:szCs w:val="14"/>
          <w:color w:val="auto"/>
        </w:rPr>
      </w:pPr>
    </w:p>
    <w:p>
      <w:pPr>
        <w:ind w:left="480" w:hanging="315"/>
        <w:spacing w:after="0" w:line="237" w:lineRule="auto"/>
        <w:tabs>
          <w:tab w:leader="none" w:pos="4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Financing made available only to a specified subsidiary of the Company.</w:t>
      </w:r>
    </w:p>
    <w:p>
      <w:pPr>
        <w:ind w:left="480" w:hanging="315"/>
        <w:spacing w:after="0" w:line="237" w:lineRule="auto"/>
        <w:tabs>
          <w:tab w:leader="none" w:pos="4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the revolving maturity date. The outstanding balance will amortize after the revolving maturity date based on the cash flows of the pledged assets.</w:t>
      </w:r>
    </w:p>
    <w:p>
      <w:pPr>
        <w:ind w:left="480" w:hanging="315"/>
        <w:spacing w:after="0" w:line="237" w:lineRule="auto"/>
        <w:tabs>
          <w:tab w:leader="none" w:pos="4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Interest rate cap agreements are in place to limit the exposure to increasing interest rates.</w:t>
      </w:r>
    </w:p>
    <w:p>
      <w:pPr>
        <w:ind w:left="480" w:hanging="315"/>
        <w:spacing w:after="0"/>
        <w:tabs>
          <w:tab w:leader="none" w:pos="4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Represents the revolving maturity date. The outstanding balance will amortize after the revolving maturity date and any amounts remaining on December 16, 2025 will be due on that date.</w:t>
      </w:r>
    </w:p>
    <w:p>
      <w:pPr>
        <w:spacing w:after="0" w:line="9" w:lineRule="exact"/>
        <w:rPr>
          <w:rFonts w:ascii="Arial" w:cs="Arial" w:eastAsia="Arial" w:hAnsi="Arial"/>
          <w:sz w:val="13"/>
          <w:szCs w:val="13"/>
          <w:color w:val="auto"/>
        </w:rPr>
      </w:pPr>
    </w:p>
    <w:p>
      <w:pPr>
        <w:ind w:left="480" w:hanging="315"/>
        <w:spacing w:after="0" w:line="247" w:lineRule="auto"/>
        <w:tabs>
          <w:tab w:leader="none" w:pos="472"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the revolving maturity date. The Company has the option to redeem and retire the indebtedness after the revolving maturity date. If we do not elect this option, the outstanding balance will amortize based on the cash flows of the pledged assets.</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Additional information related to the amounts outstanding on each facility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14"/>
                <w:szCs w:val="14"/>
                <w:color w:val="auto"/>
              </w:rPr>
            </w:pPr>
          </w:p>
        </w:tc>
        <w:tc>
          <w:tcPr>
            <w:tcW w:w="286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2"/>
              </w:rPr>
              <w:t>For the Three Months Ended</w:t>
            </w:r>
          </w:p>
        </w:tc>
        <w:tc>
          <w:tcPr>
            <w:tcW w:w="360" w:type="dxa"/>
            <w:vAlign w:val="bottom"/>
          </w:tcPr>
          <w:p>
            <w:pPr>
              <w:spacing w:after="0"/>
              <w:rPr>
                <w:sz w:val="14"/>
                <w:szCs w:val="14"/>
                <w:color w:val="auto"/>
              </w:rPr>
            </w:pPr>
          </w:p>
        </w:tc>
        <w:tc>
          <w:tcPr>
            <w:tcW w:w="2800" w:type="dxa"/>
            <w:vAlign w:val="bottom"/>
            <w:gridSpan w:val="4"/>
          </w:tcPr>
          <w:p>
            <w:pPr>
              <w:jc w:val="center"/>
              <w:ind w:right="313"/>
              <w:spacing w:after="0"/>
              <w:rPr>
                <w:sz w:val="20"/>
                <w:szCs w:val="20"/>
                <w:color w:val="auto"/>
              </w:rPr>
            </w:pPr>
            <w:r>
              <w:rPr>
                <w:rFonts w:ascii="Arial" w:cs="Arial" w:eastAsia="Arial" w:hAnsi="Arial"/>
                <w:sz w:val="14"/>
                <w:szCs w:val="14"/>
                <w:b w:val="1"/>
                <w:bCs w:val="1"/>
                <w:color w:val="auto"/>
                <w:w w:val="92"/>
              </w:rPr>
              <w:t>For the Six Months Ended</w:t>
            </w:r>
          </w:p>
        </w:tc>
      </w:tr>
      <w:tr>
        <w:trPr>
          <w:trHeight w:val="192"/>
        </w:trPr>
        <w:tc>
          <w:tcPr>
            <w:tcW w:w="4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655"/>
              <w:spacing w:after="0"/>
              <w:rPr>
                <w:sz w:val="20"/>
                <w:szCs w:val="20"/>
                <w:color w:val="auto"/>
              </w:rPr>
            </w:pPr>
            <w:r>
              <w:rPr>
                <w:rFonts w:ascii="Arial" w:cs="Arial" w:eastAsia="Arial" w:hAnsi="Arial"/>
                <w:sz w:val="14"/>
                <w:szCs w:val="14"/>
                <w:b w:val="1"/>
                <w:bCs w:val="1"/>
                <w:color w:val="auto"/>
                <w:w w:val="89"/>
              </w:rPr>
              <w:t>June 30,</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655"/>
              <w:spacing w:after="0"/>
              <w:rPr>
                <w:sz w:val="20"/>
                <w:szCs w:val="20"/>
                <w:color w:val="auto"/>
              </w:rPr>
            </w:pPr>
            <w:r>
              <w:rPr>
                <w:rFonts w:ascii="Arial" w:cs="Arial" w:eastAsia="Arial" w:hAnsi="Arial"/>
                <w:sz w:val="14"/>
                <w:szCs w:val="14"/>
                <w:b w:val="1"/>
                <w:bCs w:val="1"/>
                <w:color w:val="auto"/>
                <w:w w:val="89"/>
              </w:rPr>
              <w:t>June 30,</w:t>
            </w:r>
          </w:p>
        </w:tc>
        <w:tc>
          <w:tcPr>
            <w:tcW w:w="1120" w:type="dxa"/>
            <w:vAlign w:val="bottom"/>
            <w:tcBorders>
              <w:bottom w:val="single" w:sz="8" w:color="auto"/>
            </w:tcBorders>
          </w:tcPr>
          <w:p>
            <w:pPr>
              <w:spacing w:after="0"/>
              <w:rPr>
                <w:sz w:val="16"/>
                <w:szCs w:val="16"/>
                <w:color w:val="auto"/>
              </w:rPr>
            </w:pPr>
          </w:p>
        </w:tc>
      </w:tr>
      <w:tr>
        <w:trPr>
          <w:trHeight w:val="192"/>
        </w:trPr>
        <w:tc>
          <w:tcPr>
            <w:tcW w:w="4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12"/>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Revolving Secured Line of Credit</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6"/>
        </w:trPr>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Maximum outstanding principal balance</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r>
      <w:tr>
        <w:trPr>
          <w:trHeight w:val="225"/>
        </w:trPr>
        <w:tc>
          <w:tcPr>
            <w:tcW w:w="4860" w:type="dxa"/>
            <w:vAlign w:val="bottom"/>
          </w:tcPr>
          <w:p>
            <w:pPr>
              <w:ind w:left="340"/>
              <w:spacing w:after="0"/>
              <w:rPr>
                <w:sz w:val="20"/>
                <w:szCs w:val="20"/>
                <w:color w:val="auto"/>
              </w:rPr>
            </w:pPr>
            <w:r>
              <w:rPr>
                <w:rFonts w:ascii="Arial" w:cs="Arial" w:eastAsia="Arial" w:hAnsi="Arial"/>
                <w:sz w:val="18"/>
                <w:szCs w:val="18"/>
                <w:color w:val="auto"/>
              </w:rPr>
              <w:t>Average outstanding principal balance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2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Warehouse Facility II</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5"/>
        </w:trPr>
        <w:tc>
          <w:tcPr>
            <w:tcW w:w="4860" w:type="dxa"/>
            <w:vAlign w:val="bottom"/>
          </w:tcPr>
          <w:p>
            <w:pPr>
              <w:ind w:left="340"/>
              <w:spacing w:after="0"/>
              <w:rPr>
                <w:sz w:val="20"/>
                <w:szCs w:val="20"/>
                <w:color w:val="auto"/>
              </w:rPr>
            </w:pPr>
            <w:r>
              <w:rPr>
                <w:rFonts w:ascii="Arial" w:cs="Arial" w:eastAsia="Arial" w:hAnsi="Arial"/>
                <w:sz w:val="18"/>
                <w:szCs w:val="18"/>
                <w:color w:val="auto"/>
              </w:rPr>
              <w:t>Maximum outstanding principal balance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201.0</w:t>
            </w:r>
          </w:p>
        </w:tc>
      </w:tr>
      <w:tr>
        <w:trPr>
          <w:trHeight w:val="226"/>
        </w:trPr>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outstanding principal balance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25"/>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Warehouse Facility IV</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5"/>
        </w:trPr>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Maximum outstanding principal balance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860" w:type="dxa"/>
            <w:vAlign w:val="bottom"/>
          </w:tcPr>
          <w:p>
            <w:pPr>
              <w:ind w:left="340"/>
              <w:spacing w:after="0"/>
              <w:rPr>
                <w:sz w:val="20"/>
                <w:szCs w:val="20"/>
                <w:color w:val="auto"/>
              </w:rPr>
            </w:pPr>
            <w:r>
              <w:rPr>
                <w:rFonts w:ascii="Arial" w:cs="Arial" w:eastAsia="Arial" w:hAnsi="Arial"/>
                <w:sz w:val="18"/>
                <w:szCs w:val="18"/>
                <w:color w:val="auto"/>
              </w:rPr>
              <w:t>Average outstanding principal balance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Warehouse Facility V</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5"/>
        </w:trPr>
        <w:tc>
          <w:tcPr>
            <w:tcW w:w="4860" w:type="dxa"/>
            <w:vAlign w:val="bottom"/>
          </w:tcPr>
          <w:p>
            <w:pPr>
              <w:ind w:left="340"/>
              <w:spacing w:after="0"/>
              <w:rPr>
                <w:sz w:val="20"/>
                <w:szCs w:val="20"/>
                <w:color w:val="auto"/>
              </w:rPr>
            </w:pPr>
            <w:r>
              <w:rPr>
                <w:rFonts w:ascii="Arial" w:cs="Arial" w:eastAsia="Arial" w:hAnsi="Arial"/>
                <w:sz w:val="18"/>
                <w:szCs w:val="18"/>
                <w:color w:val="auto"/>
              </w:rPr>
              <w:t>Maximum outstanding principal balance</w:t>
            </w:r>
          </w:p>
        </w:tc>
        <w:tc>
          <w:tcPr>
            <w:tcW w:w="3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outstanding principal balance</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Warehouse Facility VI</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5"/>
        </w:trPr>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Maximum outstanding principal balance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860" w:type="dxa"/>
            <w:vAlign w:val="bottom"/>
          </w:tcPr>
          <w:p>
            <w:pPr>
              <w:ind w:left="340"/>
              <w:spacing w:after="0"/>
              <w:rPr>
                <w:sz w:val="20"/>
                <w:szCs w:val="20"/>
                <w:color w:val="auto"/>
              </w:rPr>
            </w:pPr>
            <w:r>
              <w:rPr>
                <w:rFonts w:ascii="Arial" w:cs="Arial" w:eastAsia="Arial" w:hAnsi="Arial"/>
                <w:sz w:val="18"/>
                <w:szCs w:val="18"/>
                <w:color w:val="auto"/>
              </w:rPr>
              <w:t>Average outstanding principal balance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Warehouse Facility VIII</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5"/>
        </w:trPr>
        <w:tc>
          <w:tcPr>
            <w:tcW w:w="4860" w:type="dxa"/>
            <w:vAlign w:val="bottom"/>
          </w:tcPr>
          <w:p>
            <w:pPr>
              <w:ind w:left="340"/>
              <w:spacing w:after="0"/>
              <w:rPr>
                <w:sz w:val="20"/>
                <w:szCs w:val="20"/>
                <w:color w:val="auto"/>
              </w:rPr>
            </w:pPr>
            <w:r>
              <w:rPr>
                <w:rFonts w:ascii="Arial" w:cs="Arial" w:eastAsia="Arial" w:hAnsi="Arial"/>
                <w:sz w:val="18"/>
                <w:szCs w:val="18"/>
                <w:color w:val="auto"/>
              </w:rPr>
              <w:t>Maximum outstanding principal balance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outstanding principal balance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873"/>
        </w:trPr>
        <w:tc>
          <w:tcPr>
            <w:tcW w:w="4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555"/>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2"/>
        </w:trPr>
        <w:tc>
          <w:tcPr>
            <w:tcW w:w="48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92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2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As of</w:t>
            </w:r>
          </w:p>
        </w:tc>
        <w:tc>
          <w:tcPr>
            <w:tcW w:w="1580" w:type="dxa"/>
            <w:vAlign w:val="bottom"/>
            <w:tcBorders>
              <w:bottom w:val="single" w:sz="8" w:color="auto"/>
            </w:tcBorders>
          </w:tcPr>
          <w:p>
            <w:pPr>
              <w:spacing w:after="0"/>
              <w:rPr>
                <w:sz w:val="17"/>
                <w:szCs w:val="17"/>
                <w:color w:val="auto"/>
              </w:rPr>
            </w:pPr>
          </w:p>
        </w:tc>
      </w:tr>
      <w:tr>
        <w:trPr>
          <w:trHeight w:val="192"/>
        </w:trPr>
        <w:tc>
          <w:tcPr>
            <w:tcW w:w="49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Pr>
          <w:p>
            <w:pPr>
              <w:spacing w:after="0"/>
              <w:rPr>
                <w:sz w:val="16"/>
                <w:szCs w:val="16"/>
                <w:color w:val="auto"/>
              </w:rPr>
            </w:pPr>
          </w:p>
        </w:tc>
        <w:tc>
          <w:tcPr>
            <w:tcW w:w="1580" w:type="dxa"/>
            <w:vAlign w:val="bottom"/>
          </w:tcPr>
          <w:p>
            <w:pPr>
              <w:jc w:val="right"/>
              <w:ind w:right="232"/>
              <w:spacing w:after="0"/>
              <w:rPr>
                <w:sz w:val="20"/>
                <w:szCs w:val="20"/>
                <w:color w:val="auto"/>
              </w:rPr>
            </w:pPr>
            <w:r>
              <w:rPr>
                <w:rFonts w:ascii="Arial" w:cs="Arial" w:eastAsia="Arial" w:hAnsi="Arial"/>
                <w:sz w:val="14"/>
                <w:szCs w:val="14"/>
                <w:b w:val="1"/>
                <w:bCs w:val="1"/>
                <w:color w:val="auto"/>
                <w:w w:val="98"/>
              </w:rPr>
              <w:t>December 31, 2021</w:t>
            </w:r>
          </w:p>
        </w:tc>
      </w:tr>
      <w:tr>
        <w:trPr>
          <w:trHeight w:val="212"/>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Revolving Secured Line of Credit</w:t>
            </w:r>
          </w:p>
        </w:tc>
        <w:tc>
          <w:tcPr>
            <w:tcW w:w="26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r>
      <w:tr>
        <w:trPr>
          <w:trHeight w:val="22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balance outstanding</w:t>
            </w:r>
          </w:p>
        </w:tc>
        <w:tc>
          <w:tcPr>
            <w:tcW w:w="2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220.7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w:t>
            </w: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rPr>
              <w:t>Amount available for borrowing (1)</w:t>
            </w:r>
          </w:p>
        </w:tc>
        <w:tc>
          <w:tcPr>
            <w:tcW w:w="2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ind w:right="133"/>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432.4</w:t>
            </w:r>
          </w:p>
        </w:tc>
      </w:tr>
      <w:tr>
        <w:trPr>
          <w:trHeight w:val="22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w:t>
            </w:r>
          </w:p>
        </w:tc>
        <w:tc>
          <w:tcPr>
            <w:tcW w:w="2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1.98 %</w:t>
            </w:r>
          </w:p>
        </w:tc>
      </w:tr>
      <w:tr>
        <w:trPr>
          <w:trHeight w:val="225"/>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Warehouse Facility II</w:t>
            </w:r>
          </w:p>
        </w:tc>
        <w:tc>
          <w:tcPr>
            <w:tcW w:w="2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5"/>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balance outstanding</w:t>
            </w:r>
          </w:p>
        </w:tc>
        <w:tc>
          <w:tcPr>
            <w:tcW w:w="2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rPr>
              <w:t>Amount available for borrowing (1)</w:t>
            </w:r>
          </w:p>
        </w:tc>
        <w:tc>
          <w:tcPr>
            <w:tcW w:w="2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ind w:right="133"/>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400.0</w:t>
            </w:r>
          </w:p>
        </w:tc>
      </w:tr>
      <w:tr>
        <w:trPr>
          <w:trHeight w:val="22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pledged as collateral</w:t>
            </w:r>
          </w:p>
        </w:tc>
        <w:tc>
          <w:tcPr>
            <w:tcW w:w="2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w w:val="99"/>
              </w:rPr>
              <w:t>Restricted cash and cash equivalents pledged as collateral</w:t>
            </w:r>
          </w:p>
        </w:tc>
        <w:tc>
          <w:tcPr>
            <w:tcW w:w="2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ind w:right="1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1.0</w:t>
            </w:r>
          </w:p>
        </w:tc>
      </w:tr>
      <w:tr>
        <w:trPr>
          <w:trHeight w:val="22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w:t>
            </w:r>
          </w:p>
        </w:tc>
        <w:tc>
          <w:tcPr>
            <w:tcW w:w="2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5"/>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Warehouse Facility IV</w:t>
            </w:r>
          </w:p>
        </w:tc>
        <w:tc>
          <w:tcPr>
            <w:tcW w:w="2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5"/>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balance outstanding</w:t>
            </w:r>
          </w:p>
        </w:tc>
        <w:tc>
          <w:tcPr>
            <w:tcW w:w="2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rPr>
              <w:t>Amount available for borrowing (1)</w:t>
            </w:r>
          </w:p>
        </w:tc>
        <w:tc>
          <w:tcPr>
            <w:tcW w:w="2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ind w:right="133"/>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300.0</w:t>
            </w:r>
          </w:p>
        </w:tc>
      </w:tr>
      <w:tr>
        <w:trPr>
          <w:trHeight w:val="22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pledged as collateral</w:t>
            </w:r>
          </w:p>
        </w:tc>
        <w:tc>
          <w:tcPr>
            <w:tcW w:w="2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w w:val="99"/>
              </w:rPr>
              <w:t>Restricted cash and cash equivalents pledged as collateral</w:t>
            </w:r>
          </w:p>
        </w:tc>
        <w:tc>
          <w:tcPr>
            <w:tcW w:w="2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ind w:right="1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1.0</w:t>
            </w:r>
          </w:p>
        </w:tc>
      </w:tr>
      <w:tr>
        <w:trPr>
          <w:trHeight w:val="22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w:t>
            </w:r>
          </w:p>
        </w:tc>
        <w:tc>
          <w:tcPr>
            <w:tcW w:w="2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5"/>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Warehouse Facility V</w:t>
            </w:r>
          </w:p>
        </w:tc>
        <w:tc>
          <w:tcPr>
            <w:tcW w:w="2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5"/>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balance outstanding</w:t>
            </w:r>
          </w:p>
        </w:tc>
        <w:tc>
          <w:tcPr>
            <w:tcW w:w="2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rPr>
              <w:t>Amount available for borrowing (1)</w:t>
            </w:r>
          </w:p>
        </w:tc>
        <w:tc>
          <w:tcPr>
            <w:tcW w:w="2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ind w:right="133"/>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125.0</w:t>
            </w:r>
          </w:p>
        </w:tc>
      </w:tr>
      <w:tr>
        <w:trPr>
          <w:trHeight w:val="22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pledged as collateral</w:t>
            </w:r>
          </w:p>
        </w:tc>
        <w:tc>
          <w:tcPr>
            <w:tcW w:w="2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w w:val="99"/>
              </w:rPr>
              <w:t>Restricted cash and cash equivalents pledged as collateral</w:t>
            </w:r>
          </w:p>
        </w:tc>
        <w:tc>
          <w:tcPr>
            <w:tcW w:w="2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ind w:right="1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1.0</w:t>
            </w:r>
          </w:p>
        </w:tc>
      </w:tr>
      <w:tr>
        <w:trPr>
          <w:trHeight w:val="22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w:t>
            </w:r>
          </w:p>
        </w:tc>
        <w:tc>
          <w:tcPr>
            <w:tcW w:w="2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5"/>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Warehouse Facility VI</w:t>
            </w:r>
          </w:p>
        </w:tc>
        <w:tc>
          <w:tcPr>
            <w:tcW w:w="2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5"/>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balance outstanding</w:t>
            </w:r>
          </w:p>
        </w:tc>
        <w:tc>
          <w:tcPr>
            <w:tcW w:w="2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rPr>
              <w:t>Amount available for borrowing (1)</w:t>
            </w:r>
          </w:p>
        </w:tc>
        <w:tc>
          <w:tcPr>
            <w:tcW w:w="2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ind w:right="133"/>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75.0</w:t>
            </w:r>
          </w:p>
        </w:tc>
      </w:tr>
      <w:tr>
        <w:trPr>
          <w:trHeight w:val="22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pledged as collateral</w:t>
            </w:r>
          </w:p>
        </w:tc>
        <w:tc>
          <w:tcPr>
            <w:tcW w:w="2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w w:val="99"/>
              </w:rPr>
              <w:t>Restricted cash and cash equivalents pledged as collateral</w:t>
            </w:r>
          </w:p>
        </w:tc>
        <w:tc>
          <w:tcPr>
            <w:tcW w:w="2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ind w:right="1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w:t>
            </w:r>
          </w:p>
        </w:tc>
        <w:tc>
          <w:tcPr>
            <w:tcW w:w="2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5"/>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Warehouse Facility VIII</w:t>
            </w:r>
          </w:p>
        </w:tc>
        <w:tc>
          <w:tcPr>
            <w:tcW w:w="2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5"/>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balance outstanding</w:t>
            </w:r>
          </w:p>
        </w:tc>
        <w:tc>
          <w:tcPr>
            <w:tcW w:w="2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rPr>
              <w:t>Amount available for borrowing (1)</w:t>
            </w:r>
          </w:p>
        </w:tc>
        <w:tc>
          <w:tcPr>
            <w:tcW w:w="2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ind w:right="133"/>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200.0</w:t>
            </w:r>
          </w:p>
        </w:tc>
      </w:tr>
      <w:tr>
        <w:trPr>
          <w:trHeight w:val="22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pledged as collateral</w:t>
            </w:r>
          </w:p>
        </w:tc>
        <w:tc>
          <w:tcPr>
            <w:tcW w:w="2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w w:val="99"/>
              </w:rPr>
              <w:t>Restricted cash and cash equivalents pledged as collateral</w:t>
            </w:r>
          </w:p>
        </w:tc>
        <w:tc>
          <w:tcPr>
            <w:tcW w:w="2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ind w:right="13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w:t>
            </w:r>
          </w:p>
        </w:tc>
        <w:tc>
          <w:tcPr>
            <w:tcW w:w="2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5"/>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Term ABS 2019-1</w:t>
            </w:r>
          </w:p>
        </w:tc>
        <w:tc>
          <w:tcPr>
            <w:tcW w:w="2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5"/>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balance outstanding</w:t>
            </w:r>
          </w:p>
        </w:tc>
        <w:tc>
          <w:tcPr>
            <w:tcW w:w="2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124.6</w:t>
            </w: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rPr>
              <w:t>Loans pledged as collateral</w:t>
            </w:r>
          </w:p>
        </w:tc>
        <w:tc>
          <w:tcPr>
            <w:tcW w:w="2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292.4</w:t>
            </w:r>
          </w:p>
        </w:tc>
      </w:tr>
      <w:tr>
        <w:trPr>
          <w:trHeight w:val="22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Restricted cash and cash equivalents pledged as collateral</w:t>
            </w:r>
          </w:p>
        </w:tc>
        <w:tc>
          <w:tcPr>
            <w:tcW w:w="2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31.8</w:t>
            </w: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rPr>
              <w:t>Interest rate</w:t>
            </w:r>
          </w:p>
        </w:tc>
        <w:tc>
          <w:tcPr>
            <w:tcW w:w="2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ind w:left="110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3.86 %</w:t>
            </w:r>
          </w:p>
        </w:tc>
      </w:tr>
      <w:tr>
        <w:trPr>
          <w:trHeight w:val="22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Term ABS 2019-2</w:t>
            </w:r>
          </w:p>
        </w:tc>
        <w:tc>
          <w:tcPr>
            <w:tcW w:w="2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rPr>
              <w:t>Principal balance outstanding</w:t>
            </w:r>
          </w:p>
        </w:tc>
        <w:tc>
          <w:tcPr>
            <w:tcW w:w="2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3"/>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500.0</w:t>
            </w:r>
          </w:p>
        </w:tc>
      </w:tr>
      <w:tr>
        <w:trPr>
          <w:trHeight w:val="22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pledged as collateral</w:t>
            </w:r>
          </w:p>
        </w:tc>
        <w:tc>
          <w:tcPr>
            <w:tcW w:w="2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581.3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582.1</w:t>
            </w: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w w:val="99"/>
              </w:rPr>
              <w:t>Restricted cash and cash equivalents pledged as collateral</w:t>
            </w:r>
          </w:p>
        </w:tc>
        <w:tc>
          <w:tcPr>
            <w:tcW w:w="2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ind w:right="133"/>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50.7</w:t>
            </w:r>
          </w:p>
        </w:tc>
      </w:tr>
      <w:tr>
        <w:trPr>
          <w:trHeight w:val="22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w:t>
            </w:r>
          </w:p>
        </w:tc>
        <w:tc>
          <w:tcPr>
            <w:tcW w:w="2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3.13 %</w:t>
            </w:r>
          </w:p>
        </w:tc>
      </w:tr>
      <w:tr>
        <w:trPr>
          <w:trHeight w:val="900"/>
        </w:trPr>
        <w:tc>
          <w:tcPr>
            <w:tcW w:w="4920" w:type="dxa"/>
            <w:vAlign w:val="bottom"/>
          </w:tcPr>
          <w:p>
            <w:pPr>
              <w:spacing w:after="0"/>
              <w:rPr>
                <w:sz w:val="24"/>
                <w:szCs w:val="24"/>
                <w:color w:val="auto"/>
              </w:rPr>
            </w:pPr>
          </w:p>
        </w:tc>
        <w:tc>
          <w:tcPr>
            <w:tcW w:w="2620" w:type="dxa"/>
            <w:vAlign w:val="bottom"/>
          </w:tcPr>
          <w:p>
            <w:pPr>
              <w:jc w:val="right"/>
              <w:ind w:right="1732"/>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52"/>
        </w:trPr>
        <w:tc>
          <w:tcPr>
            <w:tcW w:w="49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Term ABS 2019-3</w:t>
            </w:r>
          </w:p>
        </w:tc>
        <w:tc>
          <w:tcPr>
            <w:tcW w:w="3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rPr>
              <w:t>Principal balance outstanding</w:t>
            </w:r>
          </w:p>
        </w:tc>
        <w:tc>
          <w:tcPr>
            <w:tcW w:w="326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171.9</w:t>
            </w:r>
          </w:p>
        </w:tc>
        <w:tc>
          <w:tcPr>
            <w:tcW w:w="70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323.9</w:t>
            </w:r>
          </w:p>
        </w:tc>
      </w:tr>
      <w:tr>
        <w:trPr>
          <w:trHeight w:val="22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pledged as collateral</w:t>
            </w:r>
          </w:p>
        </w:tc>
        <w:tc>
          <w:tcPr>
            <w:tcW w:w="3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275.9</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382.9</w:t>
            </w: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w w:val="99"/>
              </w:rPr>
              <w:t>Restricted cash and cash equivalents pledged as collateral</w:t>
            </w:r>
          </w:p>
        </w:tc>
        <w:tc>
          <w:tcPr>
            <w:tcW w:w="3260" w:type="dxa"/>
            <w:vAlign w:val="bottom"/>
          </w:tcPr>
          <w:p>
            <w:pPr>
              <w:spacing w:after="0"/>
              <w:rPr>
                <w:sz w:val="19"/>
                <w:szCs w:val="19"/>
                <w:color w:val="auto"/>
              </w:rPr>
            </w:pP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30.9</w:t>
            </w:r>
          </w:p>
        </w:tc>
        <w:tc>
          <w:tcPr>
            <w:tcW w:w="7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36.5</w:t>
            </w:r>
          </w:p>
        </w:tc>
      </w:tr>
      <w:tr>
        <w:trPr>
          <w:trHeight w:val="22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w:t>
            </w:r>
          </w:p>
        </w:tc>
        <w:tc>
          <w:tcPr>
            <w:tcW w:w="3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2.75 %</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2.58 %</w:t>
            </w:r>
          </w:p>
        </w:tc>
      </w:tr>
      <w:tr>
        <w:trPr>
          <w:trHeight w:val="225"/>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Term ABS 2020-1</w:t>
            </w:r>
          </w:p>
        </w:tc>
        <w:tc>
          <w:tcPr>
            <w:tcW w:w="3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balance outstanding</w:t>
            </w:r>
          </w:p>
        </w:tc>
        <w:tc>
          <w:tcPr>
            <w:tcW w:w="32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332.6</w:t>
            </w:r>
          </w:p>
        </w:tc>
        <w:tc>
          <w:tcPr>
            <w:tcW w:w="7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500.0</w:t>
            </w: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rPr>
              <w:t>Loans pledged as collateral</w:t>
            </w:r>
          </w:p>
        </w:tc>
        <w:tc>
          <w:tcPr>
            <w:tcW w:w="3260" w:type="dxa"/>
            <w:vAlign w:val="bottom"/>
          </w:tcPr>
          <w:p>
            <w:pPr>
              <w:spacing w:after="0"/>
              <w:rPr>
                <w:sz w:val="19"/>
                <w:szCs w:val="19"/>
                <w:color w:val="auto"/>
              </w:rPr>
            </w:pP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485.6</w:t>
            </w:r>
          </w:p>
        </w:tc>
        <w:tc>
          <w:tcPr>
            <w:tcW w:w="7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591.6</w:t>
            </w:r>
          </w:p>
        </w:tc>
      </w:tr>
      <w:tr>
        <w:trPr>
          <w:trHeight w:val="22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Restricted cash and cash equivalents pledged as collateral</w:t>
            </w:r>
          </w:p>
        </w:tc>
        <w:tc>
          <w:tcPr>
            <w:tcW w:w="3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48.5</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51.9</w:t>
            </w: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rPr>
              <w:t>Interest rate</w:t>
            </w:r>
          </w:p>
        </w:tc>
        <w:tc>
          <w:tcPr>
            <w:tcW w:w="3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2.26 %</w:t>
            </w: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2.18 %</w:t>
            </w:r>
          </w:p>
        </w:tc>
      </w:tr>
      <w:tr>
        <w:trPr>
          <w:trHeight w:val="22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Term ABS 2020-2</w:t>
            </w:r>
          </w:p>
        </w:tc>
        <w:tc>
          <w:tcPr>
            <w:tcW w:w="3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rPr>
              <w:t>Principal balance outstanding</w:t>
            </w:r>
          </w:p>
        </w:tc>
        <w:tc>
          <w:tcPr>
            <w:tcW w:w="326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481.8</w:t>
            </w:r>
          </w:p>
        </w:tc>
        <w:tc>
          <w:tcPr>
            <w:tcW w:w="70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481.8</w:t>
            </w:r>
          </w:p>
        </w:tc>
      </w:tr>
      <w:tr>
        <w:trPr>
          <w:trHeight w:val="22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pledged as collateral</w:t>
            </w:r>
          </w:p>
        </w:tc>
        <w:tc>
          <w:tcPr>
            <w:tcW w:w="3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570.7</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579.5</w:t>
            </w: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w w:val="99"/>
              </w:rPr>
              <w:t>Restricted cash and cash equivalents pledged as collateral</w:t>
            </w:r>
          </w:p>
        </w:tc>
        <w:tc>
          <w:tcPr>
            <w:tcW w:w="3260" w:type="dxa"/>
            <w:vAlign w:val="bottom"/>
          </w:tcPr>
          <w:p>
            <w:pPr>
              <w:spacing w:after="0"/>
              <w:rPr>
                <w:sz w:val="19"/>
                <w:szCs w:val="19"/>
                <w:color w:val="auto"/>
              </w:rPr>
            </w:pP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53.0</w:t>
            </w:r>
          </w:p>
        </w:tc>
        <w:tc>
          <w:tcPr>
            <w:tcW w:w="7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50.1</w:t>
            </w:r>
          </w:p>
        </w:tc>
      </w:tr>
      <w:tr>
        <w:trPr>
          <w:trHeight w:val="22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w:t>
            </w:r>
          </w:p>
        </w:tc>
        <w:tc>
          <w:tcPr>
            <w:tcW w:w="3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1.65 %</w:t>
            </w:r>
          </w:p>
        </w:tc>
      </w:tr>
      <w:tr>
        <w:trPr>
          <w:trHeight w:val="225"/>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Term ABS 2020-3</w:t>
            </w:r>
          </w:p>
        </w:tc>
        <w:tc>
          <w:tcPr>
            <w:tcW w:w="3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balance outstanding</w:t>
            </w:r>
          </w:p>
        </w:tc>
        <w:tc>
          <w:tcPr>
            <w:tcW w:w="32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600.0</w:t>
            </w:r>
          </w:p>
        </w:tc>
        <w:tc>
          <w:tcPr>
            <w:tcW w:w="7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600.0</w:t>
            </w: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rPr>
              <w:t>Loans pledged as collateral</w:t>
            </w:r>
          </w:p>
        </w:tc>
        <w:tc>
          <w:tcPr>
            <w:tcW w:w="3260" w:type="dxa"/>
            <w:vAlign w:val="bottom"/>
          </w:tcPr>
          <w:p>
            <w:pPr>
              <w:spacing w:after="0"/>
              <w:rPr>
                <w:sz w:val="19"/>
                <w:szCs w:val="19"/>
                <w:color w:val="auto"/>
              </w:rPr>
            </w:pP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696.3</w:t>
            </w:r>
          </w:p>
        </w:tc>
        <w:tc>
          <w:tcPr>
            <w:tcW w:w="7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688.1</w:t>
            </w:r>
          </w:p>
        </w:tc>
      </w:tr>
      <w:tr>
        <w:trPr>
          <w:trHeight w:val="22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Restricted cash and cash equivalents pledged as collateral</w:t>
            </w:r>
          </w:p>
        </w:tc>
        <w:tc>
          <w:tcPr>
            <w:tcW w:w="3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60.1</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58.4</w:t>
            </w: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rPr>
              <w:t>Interest rate</w:t>
            </w:r>
          </w:p>
        </w:tc>
        <w:tc>
          <w:tcPr>
            <w:tcW w:w="3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1.44 %</w:t>
            </w: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1.44 %</w:t>
            </w:r>
          </w:p>
        </w:tc>
      </w:tr>
      <w:tr>
        <w:trPr>
          <w:trHeight w:val="22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Term ABS 2021-1</w:t>
            </w:r>
          </w:p>
        </w:tc>
        <w:tc>
          <w:tcPr>
            <w:tcW w:w="3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rPr>
              <w:t>Principal balance outstanding</w:t>
            </w:r>
          </w:p>
        </w:tc>
        <w:tc>
          <w:tcPr>
            <w:tcW w:w="326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100.0</w:t>
            </w:r>
          </w:p>
        </w:tc>
        <w:tc>
          <w:tcPr>
            <w:tcW w:w="70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100.0</w:t>
            </w:r>
          </w:p>
        </w:tc>
      </w:tr>
      <w:tr>
        <w:trPr>
          <w:trHeight w:val="22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pledged as collateral</w:t>
            </w:r>
          </w:p>
        </w:tc>
        <w:tc>
          <w:tcPr>
            <w:tcW w:w="3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124.4</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143.7</w:t>
            </w: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w w:val="99"/>
              </w:rPr>
              <w:t>Restricted cash and cash equivalents pledged as collateral</w:t>
            </w:r>
          </w:p>
        </w:tc>
        <w:tc>
          <w:tcPr>
            <w:tcW w:w="3260" w:type="dxa"/>
            <w:vAlign w:val="bottom"/>
          </w:tcPr>
          <w:p>
            <w:pPr>
              <w:spacing w:after="0"/>
              <w:rPr>
                <w:sz w:val="19"/>
                <w:szCs w:val="19"/>
                <w:color w:val="auto"/>
              </w:rPr>
            </w:pP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9.7</w:t>
            </w:r>
          </w:p>
        </w:tc>
        <w:tc>
          <w:tcPr>
            <w:tcW w:w="7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10.2</w:t>
            </w:r>
          </w:p>
        </w:tc>
      </w:tr>
      <w:tr>
        <w:trPr>
          <w:trHeight w:val="22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w:t>
            </w:r>
          </w:p>
        </w:tc>
        <w:tc>
          <w:tcPr>
            <w:tcW w:w="3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3.32 %</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5"/>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Term ABS 2021-2</w:t>
            </w:r>
          </w:p>
        </w:tc>
        <w:tc>
          <w:tcPr>
            <w:tcW w:w="3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balance outstanding</w:t>
            </w:r>
          </w:p>
        </w:tc>
        <w:tc>
          <w:tcPr>
            <w:tcW w:w="32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500.0</w:t>
            </w:r>
          </w:p>
        </w:tc>
        <w:tc>
          <w:tcPr>
            <w:tcW w:w="7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500.0</w:t>
            </w: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rPr>
              <w:t>Loans pledged as collateral</w:t>
            </w:r>
          </w:p>
        </w:tc>
        <w:tc>
          <w:tcPr>
            <w:tcW w:w="3260" w:type="dxa"/>
            <w:vAlign w:val="bottom"/>
          </w:tcPr>
          <w:p>
            <w:pPr>
              <w:spacing w:after="0"/>
              <w:rPr>
                <w:sz w:val="19"/>
                <w:szCs w:val="19"/>
                <w:color w:val="auto"/>
              </w:rPr>
            </w:pP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583.7</w:t>
            </w:r>
          </w:p>
        </w:tc>
        <w:tc>
          <w:tcPr>
            <w:tcW w:w="7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618.7</w:t>
            </w:r>
          </w:p>
        </w:tc>
      </w:tr>
      <w:tr>
        <w:trPr>
          <w:trHeight w:val="22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Restricted cash and cash equivalents pledged as collateral</w:t>
            </w:r>
          </w:p>
        </w:tc>
        <w:tc>
          <w:tcPr>
            <w:tcW w:w="3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48.9</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49.2</w:t>
            </w: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rPr>
              <w:t>Interest rate</w:t>
            </w:r>
          </w:p>
        </w:tc>
        <w:tc>
          <w:tcPr>
            <w:tcW w:w="3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1.12 %</w:t>
            </w: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1.12 %</w:t>
            </w:r>
          </w:p>
        </w:tc>
      </w:tr>
      <w:tr>
        <w:trPr>
          <w:trHeight w:val="22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Term ABS 2021-3</w:t>
            </w:r>
          </w:p>
        </w:tc>
        <w:tc>
          <w:tcPr>
            <w:tcW w:w="3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rPr>
              <w:t>Principal balance outstanding</w:t>
            </w:r>
          </w:p>
        </w:tc>
        <w:tc>
          <w:tcPr>
            <w:tcW w:w="326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450.0</w:t>
            </w:r>
          </w:p>
        </w:tc>
        <w:tc>
          <w:tcPr>
            <w:tcW w:w="70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450.0</w:t>
            </w:r>
          </w:p>
        </w:tc>
      </w:tr>
      <w:tr>
        <w:trPr>
          <w:trHeight w:val="22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pledged as collateral</w:t>
            </w:r>
          </w:p>
        </w:tc>
        <w:tc>
          <w:tcPr>
            <w:tcW w:w="3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556.2</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619.8</w:t>
            </w: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w w:val="99"/>
              </w:rPr>
              <w:t>Restricted cash and cash equivalents pledged as collateral</w:t>
            </w:r>
          </w:p>
        </w:tc>
        <w:tc>
          <w:tcPr>
            <w:tcW w:w="3260" w:type="dxa"/>
            <w:vAlign w:val="bottom"/>
          </w:tcPr>
          <w:p>
            <w:pPr>
              <w:spacing w:after="0"/>
              <w:rPr>
                <w:sz w:val="19"/>
                <w:szCs w:val="19"/>
                <w:color w:val="auto"/>
              </w:rPr>
            </w:pP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44.0</w:t>
            </w:r>
          </w:p>
        </w:tc>
        <w:tc>
          <w:tcPr>
            <w:tcW w:w="7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46.5</w:t>
            </w:r>
          </w:p>
        </w:tc>
      </w:tr>
      <w:tr>
        <w:trPr>
          <w:trHeight w:val="22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w:t>
            </w:r>
          </w:p>
        </w:tc>
        <w:tc>
          <w:tcPr>
            <w:tcW w:w="3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1.14 %</w:t>
            </w:r>
          </w:p>
        </w:tc>
      </w:tr>
      <w:tr>
        <w:trPr>
          <w:trHeight w:val="225"/>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Term ABS 2021-4</w:t>
            </w:r>
          </w:p>
        </w:tc>
        <w:tc>
          <w:tcPr>
            <w:tcW w:w="3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balance outstanding</w:t>
            </w:r>
          </w:p>
        </w:tc>
        <w:tc>
          <w:tcPr>
            <w:tcW w:w="32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250.1</w:t>
            </w:r>
          </w:p>
        </w:tc>
        <w:tc>
          <w:tcPr>
            <w:tcW w:w="7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250.1</w:t>
            </w: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rPr>
              <w:t>Loans pledged as collateral</w:t>
            </w:r>
          </w:p>
        </w:tc>
        <w:tc>
          <w:tcPr>
            <w:tcW w:w="3260" w:type="dxa"/>
            <w:vAlign w:val="bottom"/>
          </w:tcPr>
          <w:p>
            <w:pPr>
              <w:spacing w:after="0"/>
              <w:rPr>
                <w:sz w:val="19"/>
                <w:szCs w:val="19"/>
                <w:color w:val="auto"/>
              </w:rPr>
            </w:pP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282.1</w:t>
            </w:r>
          </w:p>
        </w:tc>
        <w:tc>
          <w:tcPr>
            <w:tcW w:w="7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281.2</w:t>
            </w:r>
          </w:p>
        </w:tc>
      </w:tr>
      <w:tr>
        <w:trPr>
          <w:trHeight w:val="22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Restricted cash and cash equivalents pledged as collateral</w:t>
            </w:r>
          </w:p>
        </w:tc>
        <w:tc>
          <w:tcPr>
            <w:tcW w:w="3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23.9</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22.1</w:t>
            </w: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rPr>
              <w:t>Interest rate</w:t>
            </w:r>
          </w:p>
        </w:tc>
        <w:tc>
          <w:tcPr>
            <w:tcW w:w="3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1.44 %</w:t>
            </w: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1.44 %</w:t>
            </w:r>
          </w:p>
        </w:tc>
      </w:tr>
      <w:tr>
        <w:trPr>
          <w:trHeight w:val="22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Term ABS 2022-1</w:t>
            </w:r>
          </w:p>
        </w:tc>
        <w:tc>
          <w:tcPr>
            <w:tcW w:w="3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rPr>
              <w:t>Principal balance outstanding</w:t>
            </w:r>
          </w:p>
        </w:tc>
        <w:tc>
          <w:tcPr>
            <w:tcW w:w="326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350.0</w:t>
            </w:r>
          </w:p>
        </w:tc>
        <w:tc>
          <w:tcPr>
            <w:tcW w:w="70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pledged as collateral</w:t>
            </w:r>
          </w:p>
        </w:tc>
        <w:tc>
          <w:tcPr>
            <w:tcW w:w="3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436.4</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5"/>
        </w:trPr>
        <w:tc>
          <w:tcPr>
            <w:tcW w:w="4920" w:type="dxa"/>
            <w:vAlign w:val="bottom"/>
          </w:tcPr>
          <w:p>
            <w:pPr>
              <w:ind w:left="220"/>
              <w:spacing w:after="0"/>
              <w:rPr>
                <w:sz w:val="20"/>
                <w:szCs w:val="20"/>
                <w:color w:val="auto"/>
              </w:rPr>
            </w:pPr>
            <w:r>
              <w:rPr>
                <w:rFonts w:ascii="Arial" w:cs="Arial" w:eastAsia="Arial" w:hAnsi="Arial"/>
                <w:sz w:val="18"/>
                <w:szCs w:val="18"/>
                <w:color w:val="auto"/>
                <w:w w:val="99"/>
              </w:rPr>
              <w:t>Restricted cash and cash equivalents pledged as collateral</w:t>
            </w:r>
          </w:p>
        </w:tc>
        <w:tc>
          <w:tcPr>
            <w:tcW w:w="3260" w:type="dxa"/>
            <w:vAlign w:val="bottom"/>
          </w:tcPr>
          <w:p>
            <w:pPr>
              <w:spacing w:after="0"/>
              <w:rPr>
                <w:sz w:val="19"/>
                <w:szCs w:val="19"/>
                <w:color w:val="auto"/>
              </w:rPr>
            </w:pP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47.6</w:t>
            </w:r>
          </w:p>
        </w:tc>
        <w:tc>
          <w:tcPr>
            <w:tcW w:w="7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w:t>
            </w:r>
          </w:p>
        </w:tc>
        <w:tc>
          <w:tcPr>
            <w:tcW w:w="3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5.03 %</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5"/>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2024 Senior Notes</w:t>
            </w:r>
          </w:p>
        </w:tc>
        <w:tc>
          <w:tcPr>
            <w:tcW w:w="3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balance outstanding</w:t>
            </w:r>
          </w:p>
        </w:tc>
        <w:tc>
          <w:tcPr>
            <w:tcW w:w="32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400.0</w:t>
            </w:r>
          </w:p>
        </w:tc>
        <w:tc>
          <w:tcPr>
            <w:tcW w:w="7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400.0</w:t>
            </w:r>
          </w:p>
        </w:tc>
      </w:tr>
      <w:tr>
        <w:trPr>
          <w:trHeight w:val="224"/>
        </w:trPr>
        <w:tc>
          <w:tcPr>
            <w:tcW w:w="4920" w:type="dxa"/>
            <w:vAlign w:val="bottom"/>
          </w:tcPr>
          <w:p>
            <w:pPr>
              <w:ind w:left="220"/>
              <w:spacing w:after="0"/>
              <w:rPr>
                <w:sz w:val="20"/>
                <w:szCs w:val="20"/>
                <w:color w:val="auto"/>
              </w:rPr>
            </w:pPr>
            <w:r>
              <w:rPr>
                <w:rFonts w:ascii="Arial" w:cs="Arial" w:eastAsia="Arial" w:hAnsi="Arial"/>
                <w:sz w:val="18"/>
                <w:szCs w:val="18"/>
                <w:color w:val="auto"/>
              </w:rPr>
              <w:t>Interest rate</w:t>
            </w:r>
          </w:p>
        </w:tc>
        <w:tc>
          <w:tcPr>
            <w:tcW w:w="3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5.125 %</w:t>
            </w: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5.125 %</w:t>
            </w:r>
          </w:p>
        </w:tc>
      </w:tr>
      <w:tr>
        <w:trPr>
          <w:trHeight w:val="649"/>
        </w:trPr>
        <w:tc>
          <w:tcPr>
            <w:tcW w:w="4920" w:type="dxa"/>
            <w:vAlign w:val="bottom"/>
          </w:tcPr>
          <w:p>
            <w:pPr>
              <w:spacing w:after="0"/>
              <w:rPr>
                <w:sz w:val="24"/>
                <w:szCs w:val="24"/>
                <w:color w:val="auto"/>
              </w:rPr>
            </w:pPr>
          </w:p>
        </w:tc>
        <w:tc>
          <w:tcPr>
            <w:tcW w:w="3260" w:type="dxa"/>
            <w:vAlign w:val="bottom"/>
          </w:tcPr>
          <w:p>
            <w:pPr>
              <w:jc w:val="right"/>
              <w:ind w:right="2372"/>
              <w:spacing w:after="0"/>
              <w:rPr>
                <w:sz w:val="20"/>
                <w:szCs w:val="20"/>
                <w:color w:val="auto"/>
              </w:rPr>
            </w:pPr>
            <w:r>
              <w:rPr>
                <w:rFonts w:ascii="Arial" w:cs="Arial" w:eastAsia="Arial" w:hAnsi="Arial"/>
                <w:sz w:val="18"/>
                <w:szCs w:val="18"/>
                <w:color w:val="auto"/>
              </w:rPr>
              <w:t>34</w:t>
            </w: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2"/>
        </w:trPr>
        <w:tc>
          <w:tcPr>
            <w:tcW w:w="492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24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6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52"/>
        </w:trPr>
        <w:tc>
          <w:tcPr>
            <w:tcW w:w="1260" w:type="dxa"/>
            <w:vAlign w:val="bottom"/>
            <w:tcBorders>
              <w:top w:val="single" w:sz="8" w:color="0000FF"/>
            </w:tcBorders>
          </w:tcPr>
          <w:p>
            <w:pPr>
              <w:spacing w:after="0"/>
              <w:rPr>
                <w:sz w:val="24"/>
                <w:szCs w:val="24"/>
                <w:color w:val="auto"/>
              </w:rPr>
            </w:pPr>
          </w:p>
        </w:tc>
        <w:tc>
          <w:tcPr>
            <w:tcW w:w="1200" w:type="dxa"/>
            <w:vAlign w:val="bottom"/>
          </w:tcPr>
          <w:p>
            <w:pPr>
              <w:spacing w:after="0"/>
              <w:rPr>
                <w:sz w:val="24"/>
                <w:szCs w:val="24"/>
                <w:color w:val="auto"/>
              </w:rPr>
            </w:pPr>
          </w:p>
        </w:tc>
        <w:tc>
          <w:tcPr>
            <w:tcW w:w="6220" w:type="dxa"/>
            <w:vAlign w:val="bottom"/>
          </w:tcPr>
          <w:p>
            <w:pPr>
              <w:jc w:val="right"/>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9"/>
        </w:trPr>
        <w:tc>
          <w:tcPr>
            <w:tcW w:w="1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20" w:type="dxa"/>
            <w:vAlign w:val="bottom"/>
          </w:tcPr>
          <w:p>
            <w:pPr>
              <w:jc w:val="right"/>
              <w:ind w:right="2372"/>
              <w:spacing w:after="0"/>
              <w:rPr>
                <w:sz w:val="20"/>
                <w:szCs w:val="20"/>
                <w:color w:val="auto"/>
              </w:rPr>
            </w:pPr>
            <w:r>
              <w:rPr>
                <w:rFonts w:ascii="Arial" w:cs="Arial" w:eastAsia="Arial" w:hAnsi="Arial"/>
                <w:sz w:val="18"/>
                <w:szCs w:val="18"/>
                <w:b w:val="1"/>
                <w:bCs w:val="1"/>
                <w:color w:val="auto"/>
              </w:rPr>
              <w:t>(UNAUDITED)</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66"/>
        </w:trPr>
        <w:tc>
          <w:tcPr>
            <w:tcW w:w="2460" w:type="dxa"/>
            <w:vAlign w:val="bottom"/>
            <w:gridSpan w:val="2"/>
          </w:tcPr>
          <w:p>
            <w:pPr>
              <w:spacing w:after="0"/>
              <w:rPr>
                <w:sz w:val="23"/>
                <w:szCs w:val="23"/>
                <w:color w:val="auto"/>
              </w:rPr>
            </w:pPr>
          </w:p>
        </w:tc>
        <w:tc>
          <w:tcPr>
            <w:tcW w:w="6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5"/>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2026 Senior Notes</w:t>
            </w:r>
          </w:p>
        </w:tc>
        <w:tc>
          <w:tcPr>
            <w:tcW w:w="6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2460" w:type="dxa"/>
            <w:vAlign w:val="bottom"/>
            <w:gridSpan w:val="2"/>
          </w:tcPr>
          <w:p>
            <w:pPr>
              <w:ind w:left="220"/>
              <w:spacing w:after="0"/>
              <w:rPr>
                <w:sz w:val="20"/>
                <w:szCs w:val="20"/>
                <w:color w:val="auto"/>
              </w:rPr>
            </w:pPr>
            <w:r>
              <w:rPr>
                <w:rFonts w:ascii="Arial" w:cs="Arial" w:eastAsia="Arial" w:hAnsi="Arial"/>
                <w:sz w:val="18"/>
                <w:szCs w:val="18"/>
                <w:color w:val="auto"/>
                <w:w w:val="94"/>
              </w:rPr>
              <w:t>Principal balance outstanding</w:t>
            </w:r>
          </w:p>
        </w:tc>
        <w:tc>
          <w:tcPr>
            <w:tcW w:w="6220" w:type="dxa"/>
            <w:vAlign w:val="bottom"/>
          </w:tcPr>
          <w:p>
            <w:pPr>
              <w:jc w:val="right"/>
              <w:ind w:right="95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72"/>
              <w:spacing w:after="0"/>
              <w:rPr>
                <w:sz w:val="20"/>
                <w:szCs w:val="20"/>
                <w:color w:val="auto"/>
              </w:rPr>
            </w:pPr>
            <w:r>
              <w:rPr>
                <w:rFonts w:ascii="Arial" w:cs="Arial" w:eastAsia="Arial" w:hAnsi="Arial"/>
                <w:sz w:val="18"/>
                <w:szCs w:val="18"/>
                <w:color w:val="auto"/>
                <w:w w:val="93"/>
              </w:rPr>
              <w:t>400.0</w:t>
            </w:r>
          </w:p>
        </w:tc>
        <w:tc>
          <w:tcPr>
            <w:tcW w:w="70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400.0</w:t>
            </w:r>
          </w:p>
        </w:tc>
      </w:tr>
      <w:tr>
        <w:trPr>
          <w:trHeight w:val="226"/>
        </w:trPr>
        <w:tc>
          <w:tcPr>
            <w:tcW w:w="2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rate</w:t>
            </w:r>
          </w:p>
        </w:tc>
        <w:tc>
          <w:tcPr>
            <w:tcW w:w="6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6.625 %</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6.625 %</w:t>
            </w:r>
          </w:p>
        </w:tc>
      </w:tr>
      <w:tr>
        <w:trPr>
          <w:trHeight w:val="225"/>
        </w:trPr>
        <w:tc>
          <w:tcPr>
            <w:tcW w:w="2460" w:type="dxa"/>
            <w:vAlign w:val="bottom"/>
            <w:gridSpan w:val="2"/>
          </w:tcPr>
          <w:p>
            <w:pPr>
              <w:ind w:left="20"/>
              <w:spacing w:after="0"/>
              <w:rPr>
                <w:sz w:val="20"/>
                <w:szCs w:val="20"/>
                <w:color w:val="auto"/>
              </w:rPr>
            </w:pPr>
            <w:r>
              <w:rPr>
                <w:rFonts w:ascii="Arial" w:cs="Arial" w:eastAsia="Arial" w:hAnsi="Arial"/>
                <w:sz w:val="18"/>
                <w:szCs w:val="18"/>
                <w:b w:val="1"/>
                <w:bCs w:val="1"/>
                <w:color w:val="auto"/>
              </w:rPr>
              <w:t>Mortgage Note</w:t>
            </w:r>
          </w:p>
        </w:tc>
        <w:tc>
          <w:tcPr>
            <w:tcW w:w="6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2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4"/>
              </w:rPr>
              <w:t>Principal balance outstanding</w:t>
            </w:r>
          </w:p>
        </w:tc>
        <w:tc>
          <w:tcPr>
            <w:tcW w:w="6220" w:type="dxa"/>
            <w:vAlign w:val="bottom"/>
            <w:shd w:val="clear" w:color="auto" w:fill="CCEEFF"/>
          </w:tcPr>
          <w:p>
            <w:pPr>
              <w:jc w:val="right"/>
              <w:ind w:right="95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9.2</w:t>
            </w:r>
          </w:p>
        </w:tc>
        <w:tc>
          <w:tcPr>
            <w:tcW w:w="7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9.7</w:t>
            </w:r>
          </w:p>
        </w:tc>
      </w:tr>
      <w:tr>
        <w:trPr>
          <w:trHeight w:val="224"/>
        </w:trPr>
        <w:tc>
          <w:tcPr>
            <w:tcW w:w="2460" w:type="dxa"/>
            <w:vAlign w:val="bottom"/>
            <w:gridSpan w:val="2"/>
          </w:tcPr>
          <w:p>
            <w:pPr>
              <w:ind w:left="220"/>
              <w:spacing w:after="0"/>
              <w:rPr>
                <w:sz w:val="20"/>
                <w:szCs w:val="20"/>
                <w:color w:val="auto"/>
              </w:rPr>
            </w:pPr>
            <w:r>
              <w:rPr>
                <w:rFonts w:ascii="Arial" w:cs="Arial" w:eastAsia="Arial" w:hAnsi="Arial"/>
                <w:sz w:val="18"/>
                <w:szCs w:val="18"/>
                <w:color w:val="auto"/>
              </w:rPr>
              <w:t>Interest rate</w:t>
            </w:r>
          </w:p>
        </w:tc>
        <w:tc>
          <w:tcPr>
            <w:tcW w:w="6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2.56 %</w:t>
            </w: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1.60 %</w:t>
            </w:r>
          </w:p>
        </w:tc>
      </w:tr>
    </w:tbl>
    <w:p>
      <w:pPr>
        <w:spacing w:after="0" w:line="75" w:lineRule="exact"/>
        <w:rPr>
          <w:sz w:val="20"/>
          <w:szCs w:val="20"/>
          <w:color w:val="auto"/>
        </w:rPr>
      </w:pPr>
    </w:p>
    <w:p>
      <w:pPr>
        <w:ind w:left="480" w:hanging="315"/>
        <w:spacing w:after="0"/>
        <w:tabs>
          <w:tab w:leader="none" w:pos="4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Availability may be limited by the amount of assets pledged as collateral.</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Secured Line of Credit Facility</w:t>
      </w:r>
    </w:p>
    <w:p>
      <w:pPr>
        <w:spacing w:after="0" w:line="25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have a $410.0 million revolving secured line of credit facility with a commercial bank syndicate. The amount of the facility will decrease by $25.0 million on June 22, 2023. Borrowings under the revolving secured line of credit facility, including any letters of credit issued under the facility, are subject to a borrowing-base limitation. This limitation equals 80% of the value of Loans, as defined in the agreement, less a hedging reserve (not exceeding $1.0 million), and the amount of other debt secured by the collateral which secures the revolving secured line of credit facility. Borrowings under the revolving secured line of credit facility agreement are secured by a lien on most of our assets.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Warehouse Facilities</w:t>
      </w:r>
    </w:p>
    <w:p>
      <w:pPr>
        <w:spacing w:after="0" w:line="25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have five Warehouse facilities with total borrowing capacity of $1,100.0 million. Each of the facilities is with a different lender or group of lenders. Under each Warehouse facility, we can contribute Loans to our wholly owned subsidiaries in return for cash and an increase in the value of our equity in each subsidiary. In turn, each subsidiary pledges the Loans as collateral to lenders to secure financing that will fund the cash portion of the purchase price of the Loans. The financing provided to each subsidiary under the applicable facility is generally limited to the lesser of 80% of the value of the contributed Loans, as defined in the agreements, plus the restricted cash and cash equivalents pledged as collateral on such Loans or the facility limit.</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financings create indebtedness for which the subsidiaries are liable and which is secured by all the assets of each subsidiary. Such indebtedness is non-recourse to us, even though we are consolidated for financial reporting purposes with the subsidiaries. Because the subsidiaries are organized as legal entities separate from us, their assets (including the contributed Loans) are not available to our creditors.</w:t>
      </w:r>
    </w:p>
    <w:p>
      <w:pPr>
        <w:spacing w:after="0" w:line="21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subsidiaries pay us a monthly servicing fee equal to either 4% or 6%, depending upon the facility, of the collections received with respect to the contributed Loans. The servicing fee is paid out of the collections. Except for the servicing fee and holdback payments due to Dealers, if a facility is amortizing, we do not have any rights in any portion of such collections until all outstanding principal, accrued and unpaid interest, fees and other related costs have been paid in full. If a facility is not amortizing, the applicable subsidiary is entitled to any collections remaining after the payment of interest, certain other transaction expenses and any amounts necessary to satisfy the borrowing base requirements of the facility.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ABS Financings</w:t>
      </w:r>
    </w:p>
    <w:p>
      <w:pPr>
        <w:spacing w:after="0" w:line="25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have wholly owned subsidiaries (the “Funding LLCs”) that have completed secured financing transactions with qualified institutional investors or lenders. In connection with these transactions, we contributed Loans on an arms-length basis to each Funding LLC for cash and the sole membership interest in that Funding LLC. In turn, each Funding LLC, other than those of Term ABS 2019-2 and 2021-1, contributed the Loans to the respective trusts that issued notes to qualified institutional investors. The Funding LLCs for the Term ABS 2019-2 and 2021-1 transactions pledged the Loans to their respective lenders. The Term ABS 2019-3, 2020-1, 2020-2, 2020-3, 2021-2, 2021-3 and 2021-4 transactions each consist of three classes of notes, while Term ABS 2022-1 consists of four classes of notes.</w:t>
      </w:r>
    </w:p>
    <w:p>
      <w:pPr>
        <w:spacing w:after="0" w:line="22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Each financing at the time of issuance has a specified revolving period during which we are likely to contribute additional Loans to each Funding LLC. Each Funding LLC (other than those of Term ABS 2019-2 and 2021-1) will then contribute the Loans to its respective trust. At the end of the applicable revolving period, the debt outstanding under each financing will begin to amortize.</w:t>
      </w:r>
    </w:p>
    <w:p>
      <w:pPr>
        <w:spacing w:after="0" w:line="215"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The financings create indebtedness for which the trusts or Funding LLCs are liable and which is secured by all the assets of each trust or Funding LLC. Such indebtedness is non-recourse to us, even though we are consolidated for financial reporting purposes with the trusts and the Funding LLCs. Because the Funding LLCs are organized as legal entities separate from us, their assets (including the contributed Loans) are not available to our creditors. We receive a monthly servicing fee on each financing equal to either 4% or 6%, depending upon the financing, of the collections received with respect to the contributed Loans. The fee is paid out of the collections. Except for the servicing fee and Dealer Holdback payments due to Dealers, if a facility is amortizing, we do not have any rights in any portion of such collections until all outstanding principal, accrued and unpaid interest, fees and other related costs have been paid in full. If a facility is not amortizing, the applicable subsidiary may be entitled to retain any collections remaining after payment of interest, certain other transaction expenses and any amounts necessary to satisfy the borrowing base requirements of the facility. However, in our capacity as servicer of the Loans, we do have a limited right to exercise a “clean-up call” option to purchase Loans from the Funding LLCs and/or the trusts under certain specified circumstances. For those Funding LLCs with a trust, when the trust’s underlying indebtedness is paid in full, either through collections or through a prepayment of the indebtedness, the trust is to pay any remaining collections over to its Funding LLC as the sole beneficiary of the trust. For all Funding LLCs, after the indebtedness is paid in full, any remaining collections will ultimately be available to be distributed to us as the sole member of the respective Funding LLC.</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sets forth certain additional details regarding the outstanding Term ABS financings: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(Dollars in millions)</w:t>
            </w:r>
          </w:p>
        </w:tc>
        <w:tc>
          <w:tcPr>
            <w:tcW w:w="2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Term ABS Financings</w:t>
            </w:r>
          </w:p>
        </w:tc>
        <w:tc>
          <w:tcPr>
            <w:tcW w:w="100" w:type="dxa"/>
            <w:vAlign w:val="bottom"/>
            <w:vMerge w:val="restart"/>
          </w:tcPr>
          <w:p>
            <w:pPr>
              <w:spacing w:after="0"/>
              <w:rPr>
                <w:sz w:val="12"/>
                <w:szCs w:val="12"/>
                <w:color w:val="auto"/>
              </w:rPr>
            </w:pPr>
          </w:p>
        </w:tc>
        <w:tc>
          <w:tcPr>
            <w:tcW w:w="2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Close Date</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Net Book Value of Loans</w:t>
            </w:r>
          </w:p>
        </w:tc>
        <w:tc>
          <w:tcPr>
            <w:tcW w:w="4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Revolving Period</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9"/>
              </w:rPr>
              <w:t>Contributed at Closing</w:t>
            </w:r>
          </w:p>
        </w:tc>
        <w:tc>
          <w:tcPr>
            <w:tcW w:w="100" w:type="dxa"/>
            <w:vAlign w:val="bottom"/>
            <w:tcBorders>
              <w:bottom w:val="single" w:sz="8" w:color="CCEEFF"/>
            </w:tcBorders>
          </w:tcPr>
          <w:p>
            <w:pPr>
              <w:spacing w:after="0"/>
              <w:rPr>
                <w:sz w:val="16"/>
                <w:szCs w:val="16"/>
                <w:color w:val="auto"/>
              </w:rPr>
            </w:pPr>
          </w:p>
        </w:tc>
        <w:tc>
          <w:tcPr>
            <w:tcW w:w="412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ABS 2019-2</w:t>
            </w:r>
          </w:p>
        </w:tc>
        <w:tc>
          <w:tcPr>
            <w:tcW w:w="2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August 28, 2019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625.1</w:t>
            </w:r>
          </w:p>
        </w:tc>
        <w:tc>
          <w:tcPr>
            <w:tcW w:w="100" w:type="dxa"/>
            <w:vAlign w:val="bottom"/>
            <w:shd w:val="clear" w:color="auto" w:fill="CCEEFF"/>
          </w:tcPr>
          <w:p>
            <w:pPr>
              <w:spacing w:after="0"/>
              <w:rPr>
                <w:sz w:val="19"/>
                <w:szCs w:val="19"/>
                <w:color w:val="auto"/>
              </w:rPr>
            </w:pPr>
          </w:p>
        </w:tc>
        <w:tc>
          <w:tcPr>
            <w:tcW w:w="4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Through August 15, 2022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Term ABS 2019-3</w:t>
            </w:r>
          </w:p>
        </w:tc>
        <w:tc>
          <w:tcPr>
            <w:tcW w:w="24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November 21, 2019</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439.6</w:t>
            </w:r>
          </w:p>
        </w:tc>
        <w:tc>
          <w:tcPr>
            <w:tcW w:w="100" w:type="dxa"/>
            <w:vAlign w:val="bottom"/>
          </w:tcPr>
          <w:p>
            <w:pPr>
              <w:spacing w:after="0"/>
              <w:rPr>
                <w:sz w:val="19"/>
                <w:szCs w:val="19"/>
                <w:color w:val="auto"/>
              </w:rPr>
            </w:pPr>
          </w:p>
        </w:tc>
        <w:tc>
          <w:tcPr>
            <w:tcW w:w="418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Through November 15, 2021</w:t>
            </w:r>
          </w:p>
        </w:tc>
        <w:tc>
          <w:tcPr>
            <w:tcW w:w="0" w:type="dxa"/>
            <w:vAlign w:val="bottom"/>
          </w:tcPr>
          <w:p>
            <w:pPr>
              <w:spacing w:after="0"/>
              <w:rPr>
                <w:sz w:val="1"/>
                <w:szCs w:val="1"/>
                <w:color w:val="auto"/>
              </w:rPr>
            </w:pPr>
          </w:p>
        </w:tc>
      </w:tr>
      <w:tr>
        <w:trPr>
          <w:trHeight w:val="226"/>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ABS 2020-1</w:t>
            </w: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February 20, 2020</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625.1</w:t>
            </w:r>
          </w:p>
        </w:tc>
        <w:tc>
          <w:tcPr>
            <w:tcW w:w="100" w:type="dxa"/>
            <w:vAlign w:val="bottom"/>
            <w:shd w:val="clear" w:color="auto" w:fill="CCEEFF"/>
          </w:tcPr>
          <w:p>
            <w:pPr>
              <w:spacing w:after="0"/>
              <w:rPr>
                <w:sz w:val="19"/>
                <w:szCs w:val="19"/>
                <w:color w:val="auto"/>
              </w:rPr>
            </w:pPr>
          </w:p>
        </w:tc>
        <w:tc>
          <w:tcPr>
            <w:tcW w:w="4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Through February 15, 2022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Term ABS 2020-2</w:t>
            </w:r>
          </w:p>
        </w:tc>
        <w:tc>
          <w:tcPr>
            <w:tcW w:w="24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July 23, 2020</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602.3</w:t>
            </w:r>
          </w:p>
        </w:tc>
        <w:tc>
          <w:tcPr>
            <w:tcW w:w="100" w:type="dxa"/>
            <w:vAlign w:val="bottom"/>
          </w:tcPr>
          <w:p>
            <w:pPr>
              <w:spacing w:after="0"/>
              <w:rPr>
                <w:sz w:val="19"/>
                <w:szCs w:val="19"/>
                <w:color w:val="auto"/>
              </w:rPr>
            </w:pPr>
          </w:p>
        </w:tc>
        <w:tc>
          <w:tcPr>
            <w:tcW w:w="41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Through July 15, 2022</w:t>
            </w:r>
          </w:p>
        </w:tc>
        <w:tc>
          <w:tcPr>
            <w:tcW w:w="0" w:type="dxa"/>
            <w:vAlign w:val="bottom"/>
          </w:tcPr>
          <w:p>
            <w:pPr>
              <w:spacing w:after="0"/>
              <w:rPr>
                <w:sz w:val="1"/>
                <w:szCs w:val="1"/>
                <w:color w:val="auto"/>
              </w:rPr>
            </w:pPr>
          </w:p>
        </w:tc>
      </w:tr>
      <w:tr>
        <w:trPr>
          <w:trHeight w:val="226"/>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ABS 2020-3</w:t>
            </w:r>
          </w:p>
        </w:tc>
        <w:tc>
          <w:tcPr>
            <w:tcW w:w="2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October 22, 2020</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w:t>
            </w:r>
          </w:p>
        </w:tc>
        <w:tc>
          <w:tcPr>
            <w:tcW w:w="100" w:type="dxa"/>
            <w:vAlign w:val="bottom"/>
            <w:shd w:val="clear" w:color="auto" w:fill="CCEEFF"/>
          </w:tcPr>
          <w:p>
            <w:pPr>
              <w:spacing w:after="0"/>
              <w:rPr>
                <w:sz w:val="19"/>
                <w:szCs w:val="19"/>
                <w:color w:val="auto"/>
              </w:rPr>
            </w:pPr>
          </w:p>
        </w:tc>
        <w:tc>
          <w:tcPr>
            <w:tcW w:w="4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Through October 17, 2022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Term ABS 2021-1</w:t>
            </w:r>
          </w:p>
        </w:tc>
        <w:tc>
          <w:tcPr>
            <w:tcW w:w="24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January 29, 2021</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c>
          <w:tcPr>
            <w:tcW w:w="418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Through February 15, 2023</w:t>
            </w:r>
          </w:p>
        </w:tc>
        <w:tc>
          <w:tcPr>
            <w:tcW w:w="0" w:type="dxa"/>
            <w:vAlign w:val="bottom"/>
          </w:tcPr>
          <w:p>
            <w:pPr>
              <w:spacing w:after="0"/>
              <w:rPr>
                <w:sz w:val="1"/>
                <w:szCs w:val="1"/>
                <w:color w:val="auto"/>
              </w:rPr>
            </w:pPr>
          </w:p>
        </w:tc>
      </w:tr>
      <w:tr>
        <w:trPr>
          <w:trHeight w:val="226"/>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ABS 2021-2</w:t>
            </w: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February 18, 2021</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625.1</w:t>
            </w:r>
          </w:p>
        </w:tc>
        <w:tc>
          <w:tcPr>
            <w:tcW w:w="100" w:type="dxa"/>
            <w:vAlign w:val="bottom"/>
            <w:shd w:val="clear" w:color="auto" w:fill="CCEEFF"/>
          </w:tcPr>
          <w:p>
            <w:pPr>
              <w:spacing w:after="0"/>
              <w:rPr>
                <w:sz w:val="19"/>
                <w:szCs w:val="19"/>
                <w:color w:val="auto"/>
              </w:rPr>
            </w:pPr>
          </w:p>
        </w:tc>
        <w:tc>
          <w:tcPr>
            <w:tcW w:w="4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Through February 15, 2023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Term ABS 2021-3</w:t>
            </w: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May 20, 2021</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562.6</w:t>
            </w:r>
          </w:p>
        </w:tc>
        <w:tc>
          <w:tcPr>
            <w:tcW w:w="100" w:type="dxa"/>
            <w:vAlign w:val="bottom"/>
          </w:tcPr>
          <w:p>
            <w:pPr>
              <w:spacing w:after="0"/>
              <w:rPr>
                <w:sz w:val="19"/>
                <w:szCs w:val="19"/>
                <w:color w:val="auto"/>
              </w:rPr>
            </w:pPr>
          </w:p>
        </w:tc>
        <w:tc>
          <w:tcPr>
            <w:tcW w:w="418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Through May 15, 2023</w:t>
            </w:r>
          </w:p>
        </w:tc>
        <w:tc>
          <w:tcPr>
            <w:tcW w:w="0" w:type="dxa"/>
            <w:vAlign w:val="bottom"/>
          </w:tcPr>
          <w:p>
            <w:pPr>
              <w:spacing w:after="0"/>
              <w:rPr>
                <w:sz w:val="1"/>
                <w:szCs w:val="1"/>
                <w:color w:val="auto"/>
              </w:rPr>
            </w:pPr>
          </w:p>
        </w:tc>
      </w:tr>
      <w:tr>
        <w:trPr>
          <w:trHeight w:val="226"/>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ABS 2021-4</w:t>
            </w:r>
          </w:p>
        </w:tc>
        <w:tc>
          <w:tcPr>
            <w:tcW w:w="2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October 28, 2021</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w:t>
            </w:r>
          </w:p>
        </w:tc>
        <w:tc>
          <w:tcPr>
            <w:tcW w:w="100" w:type="dxa"/>
            <w:vAlign w:val="bottom"/>
            <w:shd w:val="clear" w:color="auto" w:fill="CCEEFF"/>
          </w:tcPr>
          <w:p>
            <w:pPr>
              <w:spacing w:after="0"/>
              <w:rPr>
                <w:sz w:val="19"/>
                <w:szCs w:val="19"/>
                <w:color w:val="auto"/>
              </w:rPr>
            </w:pPr>
          </w:p>
        </w:tc>
        <w:tc>
          <w:tcPr>
            <w:tcW w:w="4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Through October 16, 2023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Term ABS 2022-1</w:t>
            </w: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June 16, 2022</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437.6</w:t>
            </w:r>
          </w:p>
        </w:tc>
        <w:tc>
          <w:tcPr>
            <w:tcW w:w="100" w:type="dxa"/>
            <w:vAlign w:val="bottom"/>
          </w:tcPr>
          <w:p>
            <w:pPr>
              <w:spacing w:after="0"/>
              <w:rPr>
                <w:sz w:val="19"/>
                <w:szCs w:val="19"/>
                <w:color w:val="auto"/>
              </w:rPr>
            </w:pPr>
          </w:p>
        </w:tc>
        <w:tc>
          <w:tcPr>
            <w:tcW w:w="418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Through June 17, 2024</w:t>
            </w:r>
          </w:p>
        </w:tc>
        <w:tc>
          <w:tcPr>
            <w:tcW w:w="0" w:type="dxa"/>
            <w:vAlign w:val="bottom"/>
          </w:tcPr>
          <w:p>
            <w:pPr>
              <w:spacing w:after="0"/>
              <w:rPr>
                <w:sz w:val="1"/>
                <w:szCs w:val="1"/>
                <w:color w:val="auto"/>
              </w:rPr>
            </w:pPr>
          </w:p>
        </w:tc>
      </w:tr>
      <w:tr>
        <w:trPr>
          <w:trHeight w:val="874"/>
        </w:trPr>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jc w:val="right"/>
              <w:ind w:right="115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25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On December 18, 2019, we issued $400.0 million aggregate principal amount of 5.125% senior notes due 2024 (the “2024 senior notes”). The 2024 senior notes were issued pursuant to an indenture, dated as of December 18, 2019, among the Company, as issuer, the Company’s subsidiaries Buyers Vehicle Protection Plan, Inc. and Vehicle Remarketing Services, Inc., as guarantors (collectively, the “Guarantors”), and U.S. Bank National Association, as trustee.</w:t>
      </w:r>
    </w:p>
    <w:p>
      <w:pPr>
        <w:spacing w:after="0" w:line="16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2024 senior notes mature on December 31, 2024 and bear interest at a rate of 5.125% per annum, computed on the basis of a 360-day year composed of twelve 30-day months and payable semi-annually on June 30 and December 31 of each year, beginning on June 30, 2020. We used a portion of the net proceeds from the 2024 senior notes to repurchase or redeem all of the $300.0 million outstanding principal amount of our 6.125% senior notes due 2021 (the “2021 senior notes”), of which $148.2 million was repurchased on December 18, 2019 and the remaining $151.8 million was redeemed on January 17, 2020. We used the remaining net proceeds from the 2024 senior notes, together with borrowings under our revolving credit facility and cash on hand to the extent available, to redeem in full the $250.0 million outstanding principal amount of our 7.375% senior notes due 2023 (the “2023 senior notes”) on March 15, 2020. During the fourth quarter of 2019, we recognized a pre-tax loss on extinguishment of debt of $1.8 million related to the repurchase of the 2021 senior notes in the fourth quarter of 2019 and the irrevocable notice given in December 2019 for the redemption of the remaining 2021 senior notes in the first quarter of 2020. During the first quarter of 2020, we recognized a pre-tax loss on extinguishment of debt of $7.4 million related to the redemption of the 2023 senior notes.</w:t>
      </w:r>
    </w:p>
    <w:p>
      <w:pPr>
        <w:spacing w:after="0" w:line="20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March 7, 2019, we issued $400.0 million aggregate principal amount of 6.625% senior notes due 2026 (the “2026 senior notes”). The 2026 senior notes were issued pursuant to an indenture, dated as of March 7, 2019, among the Company, as issuer, the Guarantors and U.S. Bank National Association, as trustee.</w:t>
      </w:r>
    </w:p>
    <w:p>
      <w:pPr>
        <w:spacing w:after="0" w:line="21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2026 senior notes mature on March 15, 2026 and bear interest at a rate of 6.625% per annum, computed on the basis of a 360-day year composed of twelve 30-day months and payable semi-annually on March 15 and September 15 of each year, beginning on September 15, 2019. We used the net proceeds from the offering of the 2026 senior notes for general corporate purposes, including repayment of outstanding borrowings under our revolving secured line of credit facility.</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2024 senior notes and 2026 senior notes (the “senior notes”) are guaranteed on a senior basis by the Guarantors, which are also guarantors of obligations under our revolving secured line of credit facility. Other existing and future subsidiaries of ours may become guarantors of the senior notes in the future. The indentures for the senior notes provide for a guarantor of the senior notes to be released from its obligations under its guarantee of the senior notes under specified circumstances.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Note</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August 6, 2018, we entered into a $12.0 million mortgage note with a commercial bank that is secured by a first mortgage lien on a building acquired by us and an assignment of all leases, rents, revenues and profits under all present and future leases of the building. The note matures on August 6, 2023, and bears interest at LIBOR plus 150 basis points.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5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As of June 30, 2022, we were in compliance with our covenants under the revolving secured line of credit facility and our Warehouse facilities, including those that require the maintenance of certain financial ratios and other financial conditions. These covenants require a minimum ratio of (1) our net earnings, adjusted for specified items, before income taxes, depreciation, amortization and fixed charges to (2) our fixed charges, as defined in the agreements. These covenants also limit the maximum ratio of our funded debt less unrestricted cash and cash equivalents to tangible net worth. Additionally, for one of our Warehouse facilities, we must maintain consolidated net income, as defined in the agreement, of not less than $1 for the two most recently ended fiscal quarters. Some of these covenants may indirectly limit the repurchase of common stock or payment of dividends on common stock. Our Warehouse facilities also contain covenants that measure the performance of the contributed assets.</w:t>
      </w:r>
    </w:p>
    <w:p>
      <w:pPr>
        <w:spacing w:after="0" w:line="212" w:lineRule="exact"/>
        <w:rPr>
          <w:sz w:val="20"/>
          <w:szCs w:val="20"/>
          <w:color w:val="auto"/>
        </w:rPr>
      </w:pPr>
    </w:p>
    <w:p>
      <w:pPr>
        <w:jc w:val="both"/>
        <w:ind w:right="20" w:firstLine="318"/>
        <w:spacing w:after="0" w:line="294" w:lineRule="auto"/>
        <w:rPr>
          <w:sz w:val="20"/>
          <w:szCs w:val="20"/>
          <w:color w:val="auto"/>
        </w:rPr>
      </w:pPr>
      <w:r>
        <w:rPr>
          <w:rFonts w:ascii="Arial" w:cs="Arial" w:eastAsia="Arial" w:hAnsi="Arial"/>
          <w:sz w:val="17"/>
          <w:szCs w:val="17"/>
          <w:color w:val="auto"/>
        </w:rPr>
        <w:t>Our Term ABS financings also contain covenants that measure the performance of the contributed assets. As of June 30, 2022, we were in compliance with all such covenants. As of the end of the quarter, we were also in compliance with our covenants under the senior notes indentures.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p>
      <w:pPr>
        <w:ind w:left="720" w:hanging="714"/>
        <w:spacing w:after="0"/>
        <w:tabs>
          <w:tab w:leader="none" w:pos="7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AND HEDGING INSTRUMENTS</w:t>
      </w:r>
    </w:p>
    <w:p>
      <w:pPr>
        <w:spacing w:after="0" w:line="25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i w:val="1"/>
          <w:iCs w:val="1"/>
          <w:color w:val="auto"/>
        </w:rPr>
        <w:t xml:space="preserve">Interest Rate Caps. </w:t>
      </w:r>
      <w:r>
        <w:rPr>
          <w:rFonts w:ascii="Arial" w:cs="Arial" w:eastAsia="Arial" w:hAnsi="Arial"/>
          <w:sz w:val="18"/>
          <w:szCs w:val="18"/>
          <w:color w:val="auto"/>
        </w:rPr>
        <w:t>We utilize interest rate cap agreements to manage the interest rate risk on certain secured financings. The following tables provide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our interest rate cap agreements that were in effect as of June 30, 2022 and December 31, 2021:</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(Dollars in millions)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As of June 30,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8"/>
              </w:rPr>
              <w:t>Facility Amount</w:t>
            </w:r>
          </w:p>
        </w:tc>
        <w:tc>
          <w:tcPr>
            <w:tcW w:w="100" w:type="dxa"/>
            <w:vAlign w:val="bottom"/>
            <w:tcBorders>
              <w:top w:val="single" w:sz="8" w:color="auto"/>
              <w:bottom w:val="single" w:sz="8" w:color="CCEEFF"/>
            </w:tcBorders>
            <w:gridSpan w:val="2"/>
          </w:tcPr>
          <w:p>
            <w:pPr>
              <w:spacing w:after="0"/>
              <w:rPr>
                <w:sz w:val="18"/>
                <w:szCs w:val="18"/>
                <w:color w:val="auto"/>
              </w:rPr>
            </w:pPr>
          </w:p>
        </w:tc>
        <w:tc>
          <w:tcPr>
            <w:tcW w:w="22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Facility Name</w:t>
            </w:r>
          </w:p>
        </w:tc>
        <w:tc>
          <w:tcPr>
            <w:tcW w:w="120" w:type="dxa"/>
            <w:vAlign w:val="bottom"/>
            <w:tcBorders>
              <w:top w:val="single" w:sz="8" w:color="auto"/>
              <w:bottom w:val="single" w:sz="8" w:color="CCEEFF"/>
            </w:tcBorders>
          </w:tcPr>
          <w:p>
            <w:pPr>
              <w:spacing w:after="0"/>
              <w:rPr>
                <w:sz w:val="18"/>
                <w:szCs w:val="18"/>
                <w:color w:val="auto"/>
              </w:rPr>
            </w:pPr>
          </w:p>
        </w:tc>
        <w:tc>
          <w:tcPr>
            <w:tcW w:w="2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Purpose</w:t>
            </w:r>
          </w:p>
        </w:tc>
        <w:tc>
          <w:tcPr>
            <w:tcW w:w="120" w:type="dxa"/>
            <w:vAlign w:val="bottom"/>
            <w:tcBorders>
              <w:top w:val="single" w:sz="8" w:color="auto"/>
              <w:bottom w:val="single" w:sz="8" w:color="CCEEFF"/>
            </w:tcBorders>
            <w:gridSpan w:val="2"/>
          </w:tcPr>
          <w:p>
            <w:pPr>
              <w:spacing w:after="0"/>
              <w:rPr>
                <w:sz w:val="18"/>
                <w:szCs w:val="18"/>
                <w:color w:val="auto"/>
              </w:rPr>
            </w:pPr>
          </w:p>
        </w:tc>
        <w:tc>
          <w:tcPr>
            <w:tcW w:w="200" w:type="dxa"/>
            <w:vAlign w:val="bottom"/>
            <w:tcBorders>
              <w:top w:val="single" w:sz="8" w:color="auto"/>
              <w:bottom w:val="single" w:sz="8" w:color="auto"/>
            </w:tcBorders>
            <w:gridSpan w:val="2"/>
          </w:tcPr>
          <w:p>
            <w:pPr>
              <w:spacing w:after="0"/>
              <w:rPr>
                <w:sz w:val="18"/>
                <w:szCs w:val="18"/>
                <w:color w:val="auto"/>
              </w:rPr>
            </w:pPr>
          </w:p>
        </w:tc>
        <w:tc>
          <w:tcPr>
            <w:tcW w:w="880" w:type="dxa"/>
            <w:vAlign w:val="bottom"/>
            <w:tcBorders>
              <w:top w:val="single" w:sz="8" w:color="auto"/>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3"/>
              </w:rPr>
              <w:t>Start</w:t>
            </w:r>
          </w:p>
        </w:tc>
        <w:tc>
          <w:tcPr>
            <w:tcW w:w="100" w:type="dxa"/>
            <w:vAlign w:val="bottom"/>
            <w:tcBorders>
              <w:top w:val="single" w:sz="8" w:color="auto"/>
              <w:bottom w:val="single" w:sz="8" w:color="CCEEFF"/>
            </w:tcBorders>
            <w:gridSpan w:val="2"/>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End</w:t>
            </w:r>
          </w:p>
        </w:tc>
        <w:tc>
          <w:tcPr>
            <w:tcW w:w="1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Notional</w:t>
            </w:r>
          </w:p>
        </w:tc>
        <w:tc>
          <w:tcPr>
            <w:tcW w:w="100" w:type="dxa"/>
            <w:vAlign w:val="bottom"/>
            <w:tcBorders>
              <w:top w:val="single" w:sz="8" w:color="auto"/>
              <w:bottom w:val="single" w:sz="8" w:color="CCEEFF"/>
            </w:tcBorders>
            <w:gridSpan w:val="2"/>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Cap Interest Rate (1)</w:t>
            </w:r>
          </w:p>
        </w:tc>
        <w:tc>
          <w:tcPr>
            <w:tcW w:w="20" w:type="dxa"/>
            <w:vAlign w:val="bottom"/>
          </w:tcPr>
          <w:p>
            <w:pPr>
              <w:spacing w:after="0"/>
              <w:rPr>
                <w:sz w:val="18"/>
                <w:szCs w:val="18"/>
                <w:color w:val="auto"/>
              </w:rPr>
            </w:pPr>
          </w:p>
        </w:tc>
      </w:tr>
      <w:tr>
        <w:trPr>
          <w:trHeight w:val="225"/>
        </w:trPr>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6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1"/>
              </w:rPr>
              <w:t>Warehouse Facility II</w:t>
            </w:r>
          </w:p>
        </w:tc>
        <w:tc>
          <w:tcPr>
            <w:tcW w:w="2480" w:type="dxa"/>
            <w:vAlign w:val="bottom"/>
            <w:gridSpan w:val="5"/>
            <w:shd w:val="clear" w:color="auto" w:fill="CCEEFF"/>
          </w:tcPr>
          <w:p>
            <w:pPr>
              <w:jc w:val="center"/>
              <w:ind w:right="320"/>
              <w:spacing w:after="0"/>
              <w:rPr>
                <w:sz w:val="20"/>
                <w:szCs w:val="20"/>
                <w:color w:val="auto"/>
              </w:rPr>
            </w:pPr>
            <w:r>
              <w:rPr>
                <w:rFonts w:ascii="Arial" w:cs="Arial" w:eastAsia="Arial" w:hAnsi="Arial"/>
                <w:sz w:val="18"/>
                <w:szCs w:val="18"/>
                <w:color w:val="auto"/>
                <w:w w:val="88"/>
              </w:rPr>
              <w:t>Cap Floating Rate</w:t>
            </w:r>
          </w:p>
        </w:tc>
        <w:tc>
          <w:tcPr>
            <w:tcW w:w="880" w:type="dxa"/>
            <w:vAlign w:val="bottom"/>
            <w:shd w:val="clear" w:color="auto" w:fill="CCEEFF"/>
          </w:tcPr>
          <w:p>
            <w:pPr>
              <w:jc w:val="center"/>
              <w:ind w:right="135"/>
              <w:spacing w:after="0"/>
              <w:rPr>
                <w:sz w:val="20"/>
                <w:szCs w:val="20"/>
                <w:color w:val="auto"/>
              </w:rPr>
            </w:pPr>
            <w:r>
              <w:rPr>
                <w:rFonts w:ascii="Arial" w:cs="Arial" w:eastAsia="Arial" w:hAnsi="Arial"/>
                <w:sz w:val="18"/>
                <w:szCs w:val="18"/>
                <w:color w:val="auto"/>
                <w:w w:val="89"/>
              </w:rPr>
              <w:t>12/2020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07/2022</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5.50 %</w:t>
            </w:r>
          </w:p>
        </w:tc>
        <w:tc>
          <w:tcPr>
            <w:tcW w:w="20" w:type="dxa"/>
            <w:vAlign w:val="bottom"/>
          </w:tcPr>
          <w:p>
            <w:pPr>
              <w:spacing w:after="0"/>
              <w:rPr>
                <w:sz w:val="19"/>
                <w:szCs w:val="19"/>
                <w:color w:val="auto"/>
              </w:rPr>
            </w:pPr>
          </w:p>
        </w:tc>
      </w:tr>
      <w:tr>
        <w:trPr>
          <w:trHeight w:val="225"/>
        </w:trPr>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Warehouse Facility IV</w:t>
            </w:r>
          </w:p>
        </w:tc>
        <w:tc>
          <w:tcPr>
            <w:tcW w:w="2480" w:type="dxa"/>
            <w:vAlign w:val="bottom"/>
            <w:gridSpan w:val="5"/>
          </w:tcPr>
          <w:p>
            <w:pPr>
              <w:jc w:val="center"/>
              <w:ind w:right="320"/>
              <w:spacing w:after="0"/>
              <w:rPr>
                <w:sz w:val="20"/>
                <w:szCs w:val="20"/>
                <w:color w:val="auto"/>
              </w:rPr>
            </w:pPr>
            <w:r>
              <w:rPr>
                <w:rFonts w:ascii="Arial" w:cs="Arial" w:eastAsia="Arial" w:hAnsi="Arial"/>
                <w:sz w:val="18"/>
                <w:szCs w:val="18"/>
                <w:color w:val="auto"/>
                <w:w w:val="88"/>
              </w:rPr>
              <w:t>Cap Floating Rate</w:t>
            </w:r>
          </w:p>
        </w:tc>
        <w:tc>
          <w:tcPr>
            <w:tcW w:w="880" w:type="dxa"/>
            <w:vAlign w:val="bottom"/>
          </w:tcPr>
          <w:p>
            <w:pPr>
              <w:jc w:val="center"/>
              <w:ind w:right="135"/>
              <w:spacing w:after="0"/>
              <w:rPr>
                <w:sz w:val="20"/>
                <w:szCs w:val="20"/>
                <w:color w:val="auto"/>
              </w:rPr>
            </w:pPr>
            <w:r>
              <w:rPr>
                <w:rFonts w:ascii="Arial" w:cs="Arial" w:eastAsia="Arial" w:hAnsi="Arial"/>
                <w:sz w:val="18"/>
                <w:szCs w:val="18"/>
                <w:color w:val="auto"/>
                <w:w w:val="89"/>
              </w:rPr>
              <w:t>07/2019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9"/>
              </w:rPr>
              <w:t>07/2023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6.50 %</w:t>
            </w:r>
          </w:p>
        </w:tc>
        <w:tc>
          <w:tcPr>
            <w:tcW w:w="20" w:type="dxa"/>
            <w:vAlign w:val="bottom"/>
          </w:tcPr>
          <w:p>
            <w:pPr>
              <w:spacing w:after="0"/>
              <w:rPr>
                <w:sz w:val="19"/>
                <w:szCs w:val="19"/>
                <w:color w:val="auto"/>
              </w:rPr>
            </w:pPr>
          </w:p>
        </w:tc>
      </w:tr>
      <w:tr>
        <w:trPr>
          <w:trHeight w:val="226"/>
        </w:trPr>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6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Warehouse Facility V</w:t>
            </w:r>
          </w:p>
        </w:tc>
        <w:tc>
          <w:tcPr>
            <w:tcW w:w="2480" w:type="dxa"/>
            <w:vAlign w:val="bottom"/>
            <w:gridSpan w:val="5"/>
            <w:shd w:val="clear" w:color="auto" w:fill="CCEEFF"/>
          </w:tcPr>
          <w:p>
            <w:pPr>
              <w:jc w:val="center"/>
              <w:ind w:right="320"/>
              <w:spacing w:after="0"/>
              <w:rPr>
                <w:sz w:val="20"/>
                <w:szCs w:val="20"/>
                <w:color w:val="auto"/>
              </w:rPr>
            </w:pPr>
            <w:r>
              <w:rPr>
                <w:rFonts w:ascii="Arial" w:cs="Arial" w:eastAsia="Arial" w:hAnsi="Arial"/>
                <w:sz w:val="18"/>
                <w:szCs w:val="18"/>
                <w:color w:val="auto"/>
                <w:w w:val="88"/>
              </w:rPr>
              <w:t>Cap Floating Rate</w:t>
            </w:r>
          </w:p>
        </w:tc>
        <w:tc>
          <w:tcPr>
            <w:tcW w:w="880" w:type="dxa"/>
            <w:vAlign w:val="bottom"/>
            <w:shd w:val="clear" w:color="auto" w:fill="CCEEFF"/>
          </w:tcPr>
          <w:p>
            <w:pPr>
              <w:jc w:val="center"/>
              <w:ind w:right="135"/>
              <w:spacing w:after="0"/>
              <w:rPr>
                <w:sz w:val="20"/>
                <w:szCs w:val="20"/>
                <w:color w:val="auto"/>
              </w:rPr>
            </w:pPr>
            <w:r>
              <w:rPr>
                <w:rFonts w:ascii="Arial" w:cs="Arial" w:eastAsia="Arial" w:hAnsi="Arial"/>
                <w:sz w:val="18"/>
                <w:szCs w:val="18"/>
                <w:color w:val="auto"/>
                <w:w w:val="89"/>
              </w:rPr>
              <w:t>12/2020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01/2026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5.50 %</w:t>
            </w:r>
          </w:p>
        </w:tc>
        <w:tc>
          <w:tcPr>
            <w:tcW w:w="20" w:type="dxa"/>
            <w:vAlign w:val="bottom"/>
          </w:tcPr>
          <w:p>
            <w:pPr>
              <w:spacing w:after="0"/>
              <w:rPr>
                <w:sz w:val="19"/>
                <w:szCs w:val="19"/>
                <w:color w:val="auto"/>
              </w:rPr>
            </w:pPr>
          </w:p>
        </w:tc>
      </w:tr>
      <w:tr>
        <w:trPr>
          <w:trHeight w:val="225"/>
        </w:trPr>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6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Warehouse Facility VIII</w:t>
            </w:r>
          </w:p>
        </w:tc>
        <w:tc>
          <w:tcPr>
            <w:tcW w:w="2480" w:type="dxa"/>
            <w:vAlign w:val="bottom"/>
            <w:gridSpan w:val="5"/>
          </w:tcPr>
          <w:p>
            <w:pPr>
              <w:jc w:val="center"/>
              <w:ind w:right="320"/>
              <w:spacing w:after="0"/>
              <w:rPr>
                <w:sz w:val="20"/>
                <w:szCs w:val="20"/>
                <w:color w:val="auto"/>
              </w:rPr>
            </w:pPr>
            <w:r>
              <w:rPr>
                <w:rFonts w:ascii="Arial" w:cs="Arial" w:eastAsia="Arial" w:hAnsi="Arial"/>
                <w:sz w:val="18"/>
                <w:szCs w:val="18"/>
                <w:color w:val="auto"/>
                <w:w w:val="88"/>
              </w:rPr>
              <w:t>Cap Floating Rate</w:t>
            </w:r>
          </w:p>
        </w:tc>
        <w:tc>
          <w:tcPr>
            <w:tcW w:w="880" w:type="dxa"/>
            <w:vAlign w:val="bottom"/>
          </w:tcPr>
          <w:p>
            <w:pPr>
              <w:jc w:val="center"/>
              <w:ind w:right="135"/>
              <w:spacing w:after="0"/>
              <w:rPr>
                <w:sz w:val="20"/>
                <w:szCs w:val="20"/>
                <w:color w:val="auto"/>
              </w:rPr>
            </w:pPr>
            <w:r>
              <w:rPr>
                <w:rFonts w:ascii="Arial" w:cs="Arial" w:eastAsia="Arial" w:hAnsi="Arial"/>
                <w:sz w:val="18"/>
                <w:szCs w:val="18"/>
                <w:color w:val="auto"/>
                <w:w w:val="89"/>
              </w:rPr>
              <w:t>08/2019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9"/>
              </w:rPr>
              <w:t>08/2023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5.50 %</w:t>
            </w:r>
          </w:p>
        </w:tc>
        <w:tc>
          <w:tcPr>
            <w:tcW w:w="20" w:type="dxa"/>
            <w:vAlign w:val="bottom"/>
          </w:tcPr>
          <w:p>
            <w:pPr>
              <w:spacing w:after="0"/>
              <w:rPr>
                <w:sz w:val="19"/>
                <w:szCs w:val="19"/>
                <w:color w:val="auto"/>
              </w:rPr>
            </w:pPr>
          </w:p>
        </w:tc>
      </w:tr>
      <w:tr>
        <w:trPr>
          <w:trHeight w:val="226"/>
        </w:trPr>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6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Term ABS 2021-1</w:t>
            </w:r>
          </w:p>
        </w:tc>
        <w:tc>
          <w:tcPr>
            <w:tcW w:w="2480" w:type="dxa"/>
            <w:vAlign w:val="bottom"/>
            <w:gridSpan w:val="5"/>
            <w:shd w:val="clear" w:color="auto" w:fill="CCEEFF"/>
          </w:tcPr>
          <w:p>
            <w:pPr>
              <w:jc w:val="center"/>
              <w:ind w:right="320"/>
              <w:spacing w:after="0"/>
              <w:rPr>
                <w:sz w:val="20"/>
                <w:szCs w:val="20"/>
                <w:color w:val="auto"/>
              </w:rPr>
            </w:pPr>
            <w:r>
              <w:rPr>
                <w:rFonts w:ascii="Arial" w:cs="Arial" w:eastAsia="Arial" w:hAnsi="Arial"/>
                <w:sz w:val="18"/>
                <w:szCs w:val="18"/>
                <w:color w:val="auto"/>
                <w:w w:val="88"/>
              </w:rPr>
              <w:t>Cap Floating Rate</w:t>
            </w:r>
          </w:p>
        </w:tc>
        <w:tc>
          <w:tcPr>
            <w:tcW w:w="880" w:type="dxa"/>
            <w:vAlign w:val="bottom"/>
            <w:shd w:val="clear" w:color="auto" w:fill="CCEEFF"/>
          </w:tcPr>
          <w:p>
            <w:pPr>
              <w:jc w:val="center"/>
              <w:ind w:right="135"/>
              <w:spacing w:after="0"/>
              <w:rPr>
                <w:sz w:val="20"/>
                <w:szCs w:val="20"/>
                <w:color w:val="auto"/>
              </w:rPr>
            </w:pPr>
            <w:r>
              <w:rPr>
                <w:rFonts w:ascii="Arial" w:cs="Arial" w:eastAsia="Arial" w:hAnsi="Arial"/>
                <w:sz w:val="18"/>
                <w:szCs w:val="18"/>
                <w:color w:val="auto"/>
                <w:w w:val="89"/>
              </w:rPr>
              <w:t>02/2021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06/2024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5.50 %</w:t>
            </w:r>
          </w:p>
        </w:tc>
        <w:tc>
          <w:tcPr>
            <w:tcW w:w="20" w:type="dxa"/>
            <w:vAlign w:val="bottom"/>
          </w:tcPr>
          <w:p>
            <w:pPr>
              <w:spacing w:after="0"/>
              <w:rPr>
                <w:sz w:val="19"/>
                <w:szCs w:val="19"/>
                <w:color w:val="auto"/>
              </w:rPr>
            </w:pPr>
          </w:p>
        </w:tc>
      </w:tr>
      <w:tr>
        <w:trPr>
          <w:trHeight w:val="519"/>
        </w:trPr>
        <w:tc>
          <w:tcPr>
            <w:tcW w:w="1560" w:type="dxa"/>
            <w:vAlign w:val="bottom"/>
            <w:gridSpan w:val="5"/>
          </w:tcPr>
          <w:p>
            <w:pPr>
              <w:ind w:left="20"/>
              <w:spacing w:after="0"/>
              <w:rPr>
                <w:sz w:val="20"/>
                <w:szCs w:val="20"/>
                <w:color w:val="auto"/>
              </w:rPr>
            </w:pPr>
            <w:r>
              <w:rPr>
                <w:rFonts w:ascii="Arial" w:cs="Arial" w:eastAsia="Arial" w:hAnsi="Arial"/>
                <w:sz w:val="14"/>
                <w:szCs w:val="14"/>
                <w:color w:val="auto"/>
              </w:rPr>
              <w:t>(Dollars in millions)</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w w:val="92"/>
              </w:rPr>
              <w:t>As of December 31, 2021</w:t>
            </w:r>
          </w:p>
        </w:tc>
        <w:tc>
          <w:tcPr>
            <w:tcW w:w="8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5"/>
              </w:rPr>
              <w:t>Facility Amount</w:t>
            </w:r>
          </w:p>
        </w:tc>
        <w:tc>
          <w:tcPr>
            <w:tcW w:w="100" w:type="dxa"/>
            <w:vAlign w:val="bottom"/>
            <w:tcBorders>
              <w:bottom w:val="single" w:sz="8" w:color="CCEEFF"/>
            </w:tcBorders>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Facility Name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Purpose</w:t>
            </w:r>
          </w:p>
        </w:tc>
        <w:tc>
          <w:tcPr>
            <w:tcW w:w="120" w:type="dxa"/>
            <w:vAlign w:val="bottom"/>
            <w:tcBorders>
              <w:bottom w:val="single" w:sz="8" w:color="CCEEFF"/>
            </w:tcBorders>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Start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End</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Notional</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Cap Interest Rate (1)</w:t>
            </w:r>
          </w:p>
        </w:tc>
        <w:tc>
          <w:tcPr>
            <w:tcW w:w="20" w:type="dxa"/>
            <w:vAlign w:val="bottom"/>
            <w:tcBorders>
              <w:bottom w:val="single" w:sz="8" w:color="auto"/>
            </w:tcBorders>
          </w:tcPr>
          <w:p>
            <w:pPr>
              <w:spacing w:after="0"/>
              <w:rPr>
                <w:sz w:val="16"/>
                <w:szCs w:val="16"/>
                <w:color w:val="auto"/>
              </w:rPr>
            </w:pPr>
          </w:p>
        </w:tc>
      </w:tr>
      <w:tr>
        <w:trPr>
          <w:trHeight w:val="225"/>
        </w:trPr>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6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91"/>
              </w:rPr>
              <w:t>Warehouse Facility II</w:t>
            </w:r>
          </w:p>
        </w:tc>
        <w:tc>
          <w:tcPr>
            <w:tcW w:w="2480" w:type="dxa"/>
            <w:vAlign w:val="bottom"/>
            <w:gridSpan w:val="5"/>
            <w:shd w:val="clear" w:color="auto" w:fill="CCEEFF"/>
          </w:tcPr>
          <w:p>
            <w:pPr>
              <w:jc w:val="center"/>
              <w:ind w:right="400"/>
              <w:spacing w:after="0"/>
              <w:rPr>
                <w:sz w:val="20"/>
                <w:szCs w:val="20"/>
                <w:color w:val="auto"/>
              </w:rPr>
            </w:pPr>
            <w:r>
              <w:rPr>
                <w:rFonts w:ascii="Arial" w:cs="Arial" w:eastAsia="Arial" w:hAnsi="Arial"/>
                <w:sz w:val="18"/>
                <w:szCs w:val="18"/>
                <w:color w:val="auto"/>
                <w:w w:val="88"/>
              </w:rPr>
              <w:t>Cap Floating Rate</w:t>
            </w:r>
          </w:p>
        </w:tc>
        <w:tc>
          <w:tcPr>
            <w:tcW w:w="880" w:type="dxa"/>
            <w:vAlign w:val="bottom"/>
            <w:shd w:val="clear" w:color="auto" w:fill="CCEEFF"/>
          </w:tcPr>
          <w:p>
            <w:pPr>
              <w:jc w:val="center"/>
              <w:ind w:right="95"/>
              <w:spacing w:after="0"/>
              <w:rPr>
                <w:sz w:val="20"/>
                <w:szCs w:val="20"/>
                <w:color w:val="auto"/>
              </w:rPr>
            </w:pPr>
            <w:r>
              <w:rPr>
                <w:rFonts w:ascii="Arial" w:cs="Arial" w:eastAsia="Arial" w:hAnsi="Arial"/>
                <w:sz w:val="18"/>
                <w:szCs w:val="18"/>
                <w:color w:val="auto"/>
                <w:w w:val="89"/>
              </w:rPr>
              <w:t>12/2020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07/2022</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5.50 %</w:t>
            </w:r>
          </w:p>
        </w:tc>
        <w:tc>
          <w:tcPr>
            <w:tcW w:w="20" w:type="dxa"/>
            <w:vAlign w:val="bottom"/>
            <w:shd w:val="clear" w:color="auto" w:fill="CCEEFF"/>
          </w:tcPr>
          <w:p>
            <w:pPr>
              <w:spacing w:after="0"/>
              <w:rPr>
                <w:sz w:val="19"/>
                <w:szCs w:val="19"/>
                <w:color w:val="auto"/>
              </w:rPr>
            </w:pPr>
          </w:p>
        </w:tc>
      </w:tr>
      <w:tr>
        <w:trPr>
          <w:trHeight w:val="225"/>
        </w:trPr>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6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Warehouse Facility IV</w:t>
            </w:r>
          </w:p>
        </w:tc>
        <w:tc>
          <w:tcPr>
            <w:tcW w:w="2480" w:type="dxa"/>
            <w:vAlign w:val="bottom"/>
            <w:gridSpan w:val="5"/>
          </w:tcPr>
          <w:p>
            <w:pPr>
              <w:jc w:val="center"/>
              <w:ind w:right="400"/>
              <w:spacing w:after="0"/>
              <w:rPr>
                <w:sz w:val="20"/>
                <w:szCs w:val="20"/>
                <w:color w:val="auto"/>
              </w:rPr>
            </w:pPr>
            <w:r>
              <w:rPr>
                <w:rFonts w:ascii="Arial" w:cs="Arial" w:eastAsia="Arial" w:hAnsi="Arial"/>
                <w:sz w:val="18"/>
                <w:szCs w:val="18"/>
                <w:color w:val="auto"/>
                <w:w w:val="88"/>
              </w:rPr>
              <w:t>Cap Floating Rate</w:t>
            </w:r>
          </w:p>
        </w:tc>
        <w:tc>
          <w:tcPr>
            <w:tcW w:w="880" w:type="dxa"/>
            <w:vAlign w:val="bottom"/>
          </w:tcPr>
          <w:p>
            <w:pPr>
              <w:jc w:val="center"/>
              <w:ind w:right="95"/>
              <w:spacing w:after="0"/>
              <w:rPr>
                <w:sz w:val="20"/>
                <w:szCs w:val="20"/>
                <w:color w:val="auto"/>
              </w:rPr>
            </w:pPr>
            <w:r>
              <w:rPr>
                <w:rFonts w:ascii="Arial" w:cs="Arial" w:eastAsia="Arial" w:hAnsi="Arial"/>
                <w:sz w:val="18"/>
                <w:szCs w:val="18"/>
                <w:color w:val="auto"/>
                <w:w w:val="89"/>
              </w:rPr>
              <w:t>07/2019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9"/>
              </w:rPr>
              <w:t>07/2023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6.50 %</w:t>
            </w:r>
          </w:p>
        </w:tc>
        <w:tc>
          <w:tcPr>
            <w:tcW w:w="20" w:type="dxa"/>
            <w:vAlign w:val="bottom"/>
          </w:tcPr>
          <w:p>
            <w:pPr>
              <w:spacing w:after="0"/>
              <w:rPr>
                <w:sz w:val="19"/>
                <w:szCs w:val="19"/>
                <w:color w:val="auto"/>
              </w:rPr>
            </w:pPr>
          </w:p>
        </w:tc>
      </w:tr>
      <w:tr>
        <w:trPr>
          <w:trHeight w:val="226"/>
        </w:trPr>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6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90"/>
              </w:rPr>
              <w:t>Warehouse Facility V</w:t>
            </w:r>
          </w:p>
        </w:tc>
        <w:tc>
          <w:tcPr>
            <w:tcW w:w="2480" w:type="dxa"/>
            <w:vAlign w:val="bottom"/>
            <w:gridSpan w:val="5"/>
            <w:shd w:val="clear" w:color="auto" w:fill="CCEEFF"/>
          </w:tcPr>
          <w:p>
            <w:pPr>
              <w:jc w:val="center"/>
              <w:ind w:right="400"/>
              <w:spacing w:after="0"/>
              <w:rPr>
                <w:sz w:val="20"/>
                <w:szCs w:val="20"/>
                <w:color w:val="auto"/>
              </w:rPr>
            </w:pPr>
            <w:r>
              <w:rPr>
                <w:rFonts w:ascii="Arial" w:cs="Arial" w:eastAsia="Arial" w:hAnsi="Arial"/>
                <w:sz w:val="18"/>
                <w:szCs w:val="18"/>
                <w:color w:val="auto"/>
                <w:w w:val="88"/>
              </w:rPr>
              <w:t>Cap Floating Rate</w:t>
            </w:r>
          </w:p>
        </w:tc>
        <w:tc>
          <w:tcPr>
            <w:tcW w:w="880" w:type="dxa"/>
            <w:vAlign w:val="bottom"/>
            <w:shd w:val="clear" w:color="auto" w:fill="CCEEFF"/>
          </w:tcPr>
          <w:p>
            <w:pPr>
              <w:jc w:val="center"/>
              <w:ind w:right="95"/>
              <w:spacing w:after="0"/>
              <w:rPr>
                <w:sz w:val="20"/>
                <w:szCs w:val="20"/>
                <w:color w:val="auto"/>
              </w:rPr>
            </w:pPr>
            <w:r>
              <w:rPr>
                <w:rFonts w:ascii="Arial" w:cs="Arial" w:eastAsia="Arial" w:hAnsi="Arial"/>
                <w:sz w:val="18"/>
                <w:szCs w:val="18"/>
                <w:color w:val="auto"/>
                <w:w w:val="89"/>
              </w:rPr>
              <w:t>12/2020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01/2026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5.50 %</w:t>
            </w:r>
          </w:p>
        </w:tc>
        <w:tc>
          <w:tcPr>
            <w:tcW w:w="20" w:type="dxa"/>
            <w:vAlign w:val="bottom"/>
            <w:shd w:val="clear" w:color="auto" w:fill="CCEEFF"/>
          </w:tcPr>
          <w:p>
            <w:pPr>
              <w:spacing w:after="0"/>
              <w:rPr>
                <w:sz w:val="19"/>
                <w:szCs w:val="19"/>
                <w:color w:val="auto"/>
              </w:rPr>
            </w:pPr>
          </w:p>
        </w:tc>
      </w:tr>
      <w:tr>
        <w:trPr>
          <w:trHeight w:val="225"/>
        </w:trPr>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6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Warehouse Facility VIII</w:t>
            </w:r>
          </w:p>
        </w:tc>
        <w:tc>
          <w:tcPr>
            <w:tcW w:w="2480" w:type="dxa"/>
            <w:vAlign w:val="bottom"/>
            <w:gridSpan w:val="5"/>
          </w:tcPr>
          <w:p>
            <w:pPr>
              <w:jc w:val="center"/>
              <w:ind w:right="400"/>
              <w:spacing w:after="0"/>
              <w:rPr>
                <w:sz w:val="20"/>
                <w:szCs w:val="20"/>
                <w:color w:val="auto"/>
              </w:rPr>
            </w:pPr>
            <w:r>
              <w:rPr>
                <w:rFonts w:ascii="Arial" w:cs="Arial" w:eastAsia="Arial" w:hAnsi="Arial"/>
                <w:sz w:val="18"/>
                <w:szCs w:val="18"/>
                <w:color w:val="auto"/>
                <w:w w:val="88"/>
              </w:rPr>
              <w:t>Cap Floating Rate</w:t>
            </w:r>
          </w:p>
        </w:tc>
        <w:tc>
          <w:tcPr>
            <w:tcW w:w="880" w:type="dxa"/>
            <w:vAlign w:val="bottom"/>
          </w:tcPr>
          <w:p>
            <w:pPr>
              <w:jc w:val="center"/>
              <w:ind w:right="95"/>
              <w:spacing w:after="0"/>
              <w:rPr>
                <w:sz w:val="20"/>
                <w:szCs w:val="20"/>
                <w:color w:val="auto"/>
              </w:rPr>
            </w:pPr>
            <w:r>
              <w:rPr>
                <w:rFonts w:ascii="Arial" w:cs="Arial" w:eastAsia="Arial" w:hAnsi="Arial"/>
                <w:sz w:val="18"/>
                <w:szCs w:val="18"/>
                <w:color w:val="auto"/>
                <w:w w:val="89"/>
              </w:rPr>
              <w:t>08/2019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9"/>
              </w:rPr>
              <w:t>08/2023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5.50 %</w:t>
            </w:r>
          </w:p>
        </w:tc>
        <w:tc>
          <w:tcPr>
            <w:tcW w:w="20" w:type="dxa"/>
            <w:vAlign w:val="bottom"/>
          </w:tcPr>
          <w:p>
            <w:pPr>
              <w:spacing w:after="0"/>
              <w:rPr>
                <w:sz w:val="19"/>
                <w:szCs w:val="19"/>
                <w:color w:val="auto"/>
              </w:rPr>
            </w:pPr>
          </w:p>
        </w:tc>
      </w:tr>
      <w:tr>
        <w:trPr>
          <w:trHeight w:val="226"/>
        </w:trPr>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6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90"/>
              </w:rPr>
              <w:t>Term ABS 2021-1</w:t>
            </w:r>
          </w:p>
        </w:tc>
        <w:tc>
          <w:tcPr>
            <w:tcW w:w="2480" w:type="dxa"/>
            <w:vAlign w:val="bottom"/>
            <w:gridSpan w:val="5"/>
            <w:shd w:val="clear" w:color="auto" w:fill="CCEEFF"/>
          </w:tcPr>
          <w:p>
            <w:pPr>
              <w:jc w:val="center"/>
              <w:ind w:right="400"/>
              <w:spacing w:after="0"/>
              <w:rPr>
                <w:sz w:val="20"/>
                <w:szCs w:val="20"/>
                <w:color w:val="auto"/>
              </w:rPr>
            </w:pPr>
            <w:r>
              <w:rPr>
                <w:rFonts w:ascii="Arial" w:cs="Arial" w:eastAsia="Arial" w:hAnsi="Arial"/>
                <w:sz w:val="18"/>
                <w:szCs w:val="18"/>
                <w:color w:val="auto"/>
                <w:w w:val="88"/>
              </w:rPr>
              <w:t>Cap Floating Rate</w:t>
            </w:r>
          </w:p>
        </w:tc>
        <w:tc>
          <w:tcPr>
            <w:tcW w:w="880" w:type="dxa"/>
            <w:vAlign w:val="bottom"/>
            <w:shd w:val="clear" w:color="auto" w:fill="CCEEFF"/>
          </w:tcPr>
          <w:p>
            <w:pPr>
              <w:jc w:val="center"/>
              <w:ind w:right="95"/>
              <w:spacing w:after="0"/>
              <w:rPr>
                <w:sz w:val="20"/>
                <w:szCs w:val="20"/>
                <w:color w:val="auto"/>
              </w:rPr>
            </w:pPr>
            <w:r>
              <w:rPr>
                <w:rFonts w:ascii="Arial" w:cs="Arial" w:eastAsia="Arial" w:hAnsi="Arial"/>
                <w:sz w:val="18"/>
                <w:szCs w:val="18"/>
                <w:color w:val="auto"/>
                <w:w w:val="89"/>
              </w:rPr>
              <w:t>02/2021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06/2024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5.50 %</w:t>
            </w:r>
          </w:p>
        </w:tc>
        <w:tc>
          <w:tcPr>
            <w:tcW w:w="20" w:type="dxa"/>
            <w:vAlign w:val="bottom"/>
            <w:shd w:val="clear" w:color="auto" w:fill="CCEEFF"/>
          </w:tcPr>
          <w:p>
            <w:pPr>
              <w:spacing w:after="0"/>
              <w:rPr>
                <w:sz w:val="19"/>
                <w:szCs w:val="19"/>
                <w:color w:val="auto"/>
              </w:rPr>
            </w:pPr>
          </w:p>
        </w:tc>
      </w:tr>
    </w:tbl>
    <w:p>
      <w:pPr>
        <w:spacing w:after="0" w:line="313" w:lineRule="exact"/>
        <w:rPr>
          <w:sz w:val="20"/>
          <w:szCs w:val="20"/>
          <w:color w:val="auto"/>
        </w:rPr>
      </w:pPr>
    </w:p>
    <w:p>
      <w:pPr>
        <w:ind w:left="560" w:hanging="316"/>
        <w:spacing w:after="0"/>
        <w:tabs>
          <w:tab w:leader="none" w:pos="5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Rate excludes the spread over the corresponding benchmark rate.</w:t>
      </w:r>
    </w:p>
    <w:p>
      <w:pPr>
        <w:spacing w:after="0" w:line="24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interest rate caps have not been designated as hedging instruments. As of June 30, 2022 and December 31, 2021, the interest rate caps had a fair value of $1.6 million and $0.2 million, respectively, as the capped rates were significantly above market rates. The increase in fair value from December 31, 2021 was the result of an increase in market rates.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p>
      <w:pPr>
        <w:ind w:left="620" w:hanging="614"/>
        <w:spacing w:after="0"/>
        <w:tabs>
          <w:tab w:leader="none" w:pos="6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reconciliation of the U.S. federal statutory income tax rate to our effective income tax rate is as follows: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right="1720" w:hanging="198"/>
        <w:spacing w:after="0" w:line="261" w:lineRule="auto"/>
        <w:rPr>
          <w:sz w:val="20"/>
          <w:szCs w:val="20"/>
          <w:color w:val="auto"/>
        </w:rPr>
      </w:pPr>
      <w:r>
        <w:rPr>
          <w:rFonts w:ascii="Arial" w:cs="Arial" w:eastAsia="Arial" w:hAnsi="Arial"/>
          <w:sz w:val="18"/>
          <w:szCs w:val="18"/>
          <w:color w:val="auto"/>
        </w:rPr>
        <w:t>U.S. federal statutory income tax rate State income taxes</w:t>
      </w:r>
    </w:p>
    <w:p>
      <w:pPr>
        <w:ind w:left="220" w:right="520"/>
        <w:spacing w:after="0" w:line="291" w:lineRule="auto"/>
        <w:rPr>
          <w:sz w:val="20"/>
          <w:szCs w:val="20"/>
          <w:color w:val="auto"/>
        </w:rPr>
      </w:pPr>
      <w:r>
        <w:rPr>
          <w:rFonts w:ascii="Arial" w:cs="Arial" w:eastAsia="Arial" w:hAnsi="Arial"/>
          <w:sz w:val="18"/>
          <w:szCs w:val="18"/>
          <w:color w:val="auto"/>
        </w:rPr>
        <w:t>Excess tax benefits from stock-based compensation Other</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Effective income tax rate</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60" w:type="dxa"/>
            <w:vAlign w:val="bottom"/>
            <w:gridSpan w:val="4"/>
          </w:tcPr>
          <w:p>
            <w:pPr>
              <w:ind w:left="600"/>
              <w:spacing w:after="0"/>
              <w:rPr>
                <w:sz w:val="20"/>
                <w:szCs w:val="20"/>
                <w:color w:val="auto"/>
              </w:rPr>
            </w:pPr>
            <w:r>
              <w:rPr>
                <w:rFonts w:ascii="Arial" w:cs="Arial" w:eastAsia="Arial" w:hAnsi="Arial"/>
                <w:sz w:val="14"/>
                <w:szCs w:val="14"/>
                <w:b w:val="1"/>
                <w:bCs w:val="1"/>
                <w:color w:val="auto"/>
                <w:w w:val="96"/>
              </w:rPr>
              <w:t>For the 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For the Six Months Ended</w:t>
            </w:r>
          </w:p>
        </w:tc>
      </w:tr>
      <w:tr>
        <w:trPr>
          <w:trHeight w:val="192"/>
        </w:trPr>
        <w:tc>
          <w:tcPr>
            <w:tcW w:w="9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bottom w:val="single" w:sz="8" w:color="auto"/>
            </w:tcBorders>
            <w:gridSpan w:val="3"/>
          </w:tcPr>
          <w:p>
            <w:pPr>
              <w:jc w:val="center"/>
              <w:ind w:left="978"/>
              <w:spacing w:after="0"/>
              <w:rPr>
                <w:sz w:val="20"/>
                <w:szCs w:val="20"/>
                <w:color w:val="auto"/>
              </w:rPr>
            </w:pPr>
            <w:r>
              <w:rPr>
                <w:rFonts w:ascii="Arial" w:cs="Arial" w:eastAsia="Arial" w:hAnsi="Arial"/>
                <w:sz w:val="14"/>
                <w:szCs w:val="14"/>
                <w:b w:val="1"/>
                <w:bCs w:val="1"/>
                <w:color w:val="auto"/>
                <w:w w:val="89"/>
              </w:rPr>
              <w:t>June 30,</w:t>
            </w:r>
          </w:p>
        </w:tc>
        <w:tc>
          <w:tcPr>
            <w:tcW w:w="1060" w:type="dxa"/>
            <w:vAlign w:val="bottom"/>
            <w:tcBorders>
              <w:bottom w:val="single" w:sz="8" w:color="auto"/>
            </w:tcBorders>
          </w:tcPr>
          <w:p>
            <w:pPr>
              <w:spacing w:after="0"/>
              <w:rPr>
                <w:sz w:val="16"/>
                <w:szCs w:val="16"/>
                <w:color w:val="auto"/>
              </w:rPr>
            </w:pPr>
          </w:p>
        </w:tc>
      </w:tr>
      <w:tr>
        <w:trPr>
          <w:trHeight w:val="192"/>
        </w:trPr>
        <w:tc>
          <w:tcPr>
            <w:tcW w:w="900" w:type="dxa"/>
            <w:vAlign w:val="bottom"/>
          </w:tcPr>
          <w:p>
            <w:pPr>
              <w:ind w:left="580"/>
              <w:spacing w:after="0"/>
              <w:rPr>
                <w:sz w:val="20"/>
                <w:szCs w:val="20"/>
                <w:color w:val="auto"/>
              </w:rPr>
            </w:pPr>
            <w:r>
              <w:rPr>
                <w:rFonts w:ascii="Arial" w:cs="Arial" w:eastAsia="Arial" w:hAnsi="Arial"/>
                <w:sz w:val="14"/>
                <w:szCs w:val="14"/>
                <w:b w:val="1"/>
                <w:bCs w:val="1"/>
                <w:color w:val="auto"/>
                <w:w w:val="96"/>
              </w:rPr>
              <w:t>2022</w:t>
            </w:r>
          </w:p>
        </w:tc>
        <w:tc>
          <w:tcPr>
            <w:tcW w:w="15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49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24"/>
        </w:trPr>
        <w:tc>
          <w:tcPr>
            <w:tcW w:w="9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21.0 %</w:t>
            </w: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21.0 %</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21.0 %</w:t>
            </w:r>
          </w:p>
        </w:tc>
      </w:tr>
      <w:tr>
        <w:trPr>
          <w:trHeight w:val="225"/>
        </w:trPr>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25"/>
        </w:trPr>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9"/>
              </w:rPr>
              <w:t>-0.1 %</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46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33"/>
        </w:trPr>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46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225"/>
        </w:trPr>
        <w:tc>
          <w:tcPr>
            <w:tcW w:w="9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24.4 %</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24.0 %</w:t>
            </w: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24.6 %</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23.8 %</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-773430</wp:posOffset>
            </wp:positionV>
            <wp:extent cx="7134860" cy="1511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-3234055</wp:posOffset>
            </wp:positionH>
            <wp:positionV relativeFrom="paragraph">
              <wp:posOffset>-478790</wp:posOffset>
            </wp:positionV>
            <wp:extent cx="7134860" cy="142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-3234055</wp:posOffset>
            </wp:positionH>
            <wp:positionV relativeFrom="paragraph">
              <wp:posOffset>-184150</wp:posOffset>
            </wp:positionV>
            <wp:extent cx="7134860" cy="168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80" w:space="720"/>
            <w:col w:w="6140"/>
          </w:cols>
          <w:pgMar w:left="320" w:top="127" w:right="339" w:bottom="1440" w:gutter="0" w:footer="0" w:header="0"/>
          <w:type w:val="continuous"/>
        </w:sectPr>
      </w:pPr>
    </w:p>
    <w:p>
      <w:pPr>
        <w:spacing w:after="0" w:line="106"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Other</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Other items impacting our effective income tax rate primarily consist of non-deductible executive compensation expenses. The impact of other items on our effective income tax rate for the three and six months ended June 30, 2022 increased from the same periods in 2021 primarily due to an increase in non-deductible executive compensation, which was primarily the result of stock options granted under our Amended and Restated Incentive Compensation Plan (the “Incentive Plan”). For additional information, see Note 14.</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p>
      <w:pPr>
        <w:ind w:left="620" w:hanging="614"/>
        <w:spacing w:after="0"/>
        <w:tabs>
          <w:tab w:leader="none" w:pos="6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Basic net income per share has been computed by dividing net income by the basic number of weighted average shares outstanding. Diluted net income per share has been computed by dividing net income by the diluted number of weighted average shares outstanding using the treasury stock method. The share effect is as follows: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 average shares outstanding:</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Common shares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Vested restricted stock units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number of weighted average shares outstanding</w:t>
      </w:r>
    </w:p>
    <w:p>
      <w:pPr>
        <w:spacing w:after="0" w:line="18" w:lineRule="exact"/>
        <w:rPr>
          <w:sz w:val="20"/>
          <w:szCs w:val="20"/>
          <w:color w:val="auto"/>
        </w:rPr>
      </w:pPr>
    </w:p>
    <w:p>
      <w:pPr>
        <w:ind w:left="220"/>
        <w:spacing w:after="0" w:line="229" w:lineRule="auto"/>
        <w:rPr>
          <w:sz w:val="20"/>
          <w:szCs w:val="20"/>
          <w:color w:val="auto"/>
        </w:rPr>
      </w:pPr>
      <w:r>
        <w:rPr>
          <w:rFonts w:ascii="Arial" w:cs="Arial" w:eastAsia="Arial" w:hAnsi="Arial"/>
          <w:sz w:val="18"/>
          <w:szCs w:val="18"/>
          <w:color w:val="auto"/>
        </w:rPr>
        <w:t>Dilutive effect of restricted stock, restricted stock units and stock options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Dilutive number of weighted average shares outstanding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3220" w:type="dxa"/>
            <w:vAlign w:val="bottom"/>
            <w:gridSpan w:val="5"/>
          </w:tcPr>
          <w:p>
            <w:pPr>
              <w:jc w:val="center"/>
              <w:ind w:right="140"/>
              <w:spacing w:after="0" w:line="148" w:lineRule="exact"/>
              <w:rPr>
                <w:sz w:val="20"/>
                <w:szCs w:val="20"/>
                <w:color w:val="auto"/>
              </w:rPr>
            </w:pPr>
            <w:r>
              <w:rPr>
                <w:rFonts w:ascii="Arial" w:cs="Arial" w:eastAsia="Arial" w:hAnsi="Arial"/>
                <w:sz w:val="14"/>
                <w:szCs w:val="14"/>
                <w:b w:val="1"/>
                <w:bCs w:val="1"/>
                <w:color w:val="auto"/>
                <w:w w:val="92"/>
              </w:rPr>
              <w:t>For the Three Months Ended</w:t>
            </w:r>
          </w:p>
        </w:tc>
        <w:tc>
          <w:tcPr>
            <w:tcW w:w="3080" w:type="dxa"/>
            <w:vAlign w:val="bottom"/>
            <w:gridSpan w:val="4"/>
          </w:tcPr>
          <w:p>
            <w:pPr>
              <w:jc w:val="center"/>
              <w:spacing w:after="0" w:line="148" w:lineRule="exact"/>
              <w:rPr>
                <w:sz w:val="20"/>
                <w:szCs w:val="20"/>
                <w:color w:val="auto"/>
              </w:rPr>
            </w:pPr>
            <w:r>
              <w:rPr>
                <w:rFonts w:ascii="Arial" w:cs="Arial" w:eastAsia="Arial" w:hAnsi="Arial"/>
                <w:sz w:val="14"/>
                <w:szCs w:val="14"/>
                <w:b w:val="1"/>
                <w:bCs w:val="1"/>
                <w:color w:val="auto"/>
                <w:w w:val="91"/>
              </w:rPr>
              <w:t>For the Six Months Ended</w:t>
            </w:r>
          </w:p>
        </w:tc>
      </w:tr>
      <w:tr>
        <w:trPr>
          <w:trHeight w:val="192"/>
        </w:trPr>
        <w:tc>
          <w:tcPr>
            <w:tcW w:w="2020" w:type="dxa"/>
            <w:vAlign w:val="bottom"/>
            <w:tcBorders>
              <w:bottom w:val="single" w:sz="8" w:color="auto"/>
            </w:tcBorders>
            <w:gridSpan w:val="3"/>
          </w:tcPr>
          <w:p>
            <w:pPr>
              <w:jc w:val="center"/>
              <w:ind w:left="998"/>
              <w:spacing w:after="0"/>
              <w:rPr>
                <w:sz w:val="20"/>
                <w:szCs w:val="20"/>
                <w:color w:val="auto"/>
              </w:rPr>
            </w:pPr>
            <w:r>
              <w:rPr>
                <w:rFonts w:ascii="Arial" w:cs="Arial" w:eastAsia="Arial" w:hAnsi="Arial"/>
                <w:sz w:val="14"/>
                <w:szCs w:val="14"/>
                <w:b w:val="1"/>
                <w:bCs w:val="1"/>
                <w:color w:val="auto"/>
                <w:w w:val="89"/>
              </w:rPr>
              <w:t>June 30,</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Borders>
              <w:bottom w:val="single" w:sz="8" w:color="auto"/>
            </w:tcBorders>
            <w:gridSpan w:val="3"/>
          </w:tcPr>
          <w:p>
            <w:pPr>
              <w:jc w:val="center"/>
              <w:ind w:left="1018"/>
              <w:spacing w:after="0"/>
              <w:rPr>
                <w:sz w:val="20"/>
                <w:szCs w:val="20"/>
                <w:color w:val="auto"/>
              </w:rPr>
            </w:pPr>
            <w:r>
              <w:rPr>
                <w:rFonts w:ascii="Arial" w:cs="Arial" w:eastAsia="Arial" w:hAnsi="Arial"/>
                <w:sz w:val="14"/>
                <w:szCs w:val="14"/>
                <w:b w:val="1"/>
                <w:bCs w:val="1"/>
                <w:color w:val="auto"/>
                <w:w w:val="89"/>
              </w:rPr>
              <w:t>June 30,</w:t>
            </w:r>
          </w:p>
        </w:tc>
        <w:tc>
          <w:tcPr>
            <w:tcW w:w="1080" w:type="dxa"/>
            <w:vAlign w:val="bottom"/>
            <w:tcBorders>
              <w:bottom w:val="single" w:sz="8" w:color="auto"/>
            </w:tcBorders>
          </w:tcPr>
          <w:p>
            <w:pPr>
              <w:spacing w:after="0"/>
              <w:rPr>
                <w:sz w:val="16"/>
                <w:szCs w:val="16"/>
                <w:color w:val="auto"/>
              </w:rPr>
            </w:pPr>
          </w:p>
        </w:tc>
      </w:tr>
      <w:tr>
        <w:trPr>
          <w:trHeight w:val="192"/>
        </w:trPr>
        <w:tc>
          <w:tcPr>
            <w:tcW w:w="15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436"/>
        </w:trPr>
        <w:tc>
          <w:tcPr>
            <w:tcW w:w="1500" w:type="dxa"/>
            <w:vAlign w:val="bottom"/>
          </w:tcPr>
          <w:p>
            <w:pPr>
              <w:jc w:val="right"/>
              <w:spacing w:after="0"/>
              <w:rPr>
                <w:sz w:val="20"/>
                <w:szCs w:val="20"/>
                <w:color w:val="auto"/>
              </w:rPr>
            </w:pPr>
            <w:r>
              <w:rPr>
                <w:rFonts w:ascii="Arial" w:cs="Arial" w:eastAsia="Arial" w:hAnsi="Arial"/>
                <w:sz w:val="18"/>
                <w:szCs w:val="18"/>
                <w:color w:val="auto"/>
              </w:rPr>
              <w:t>13,069,364</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16,424,346</w:t>
            </w: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13,483,613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16,570,985</w:t>
            </w:r>
          </w:p>
        </w:tc>
      </w:tr>
      <w:tr>
        <w:trPr>
          <w:trHeight w:val="233"/>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366,143</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365,843</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366,098</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353,029</w:t>
            </w:r>
          </w:p>
        </w:tc>
      </w:tr>
      <w:tr>
        <w:trPr>
          <w:trHeight w:val="224"/>
        </w:trPr>
        <w:tc>
          <w:tcPr>
            <w:tcW w:w="1500" w:type="dxa"/>
            <w:vAlign w:val="bottom"/>
          </w:tcPr>
          <w:p>
            <w:pPr>
              <w:jc w:val="right"/>
              <w:spacing w:after="0"/>
              <w:rPr>
                <w:sz w:val="20"/>
                <w:szCs w:val="20"/>
                <w:color w:val="auto"/>
              </w:rPr>
            </w:pPr>
            <w:r>
              <w:rPr>
                <w:rFonts w:ascii="Arial" w:cs="Arial" w:eastAsia="Arial" w:hAnsi="Arial"/>
                <w:sz w:val="18"/>
                <w:szCs w:val="18"/>
                <w:color w:val="auto"/>
              </w:rPr>
              <w:t>13,435,507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16,790,189</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13,849,711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16,924,014</w:t>
            </w:r>
          </w:p>
        </w:tc>
      </w:tr>
      <w:tr>
        <w:trPr>
          <w:trHeight w:val="392"/>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82,472</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4,090</w:t>
            </w:r>
          </w:p>
        </w:tc>
        <w:tc>
          <w:tcPr>
            <w:tcW w:w="10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77,661</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20,886</w:t>
            </w:r>
          </w:p>
        </w:tc>
      </w:tr>
      <w:tr>
        <w:trPr>
          <w:trHeight w:val="225"/>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13,517,979</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16,794,279</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13,927,372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16,944,900</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-882650</wp:posOffset>
            </wp:positionV>
            <wp:extent cx="7134860" cy="142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-588645</wp:posOffset>
            </wp:positionV>
            <wp:extent cx="7134860" cy="1517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151765"/>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-184150</wp:posOffset>
            </wp:positionV>
            <wp:extent cx="7134860" cy="168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20" w:space="120"/>
            <w:col w:w="6300"/>
          </w:cols>
          <w:pgMar w:left="320" w:top="127" w:right="339" w:bottom="1440" w:gutter="0" w:footer="0" w:header="0"/>
          <w:type w:val="continuous"/>
        </w:sectPr>
      </w:pPr>
    </w:p>
    <w:p>
      <w:pPr>
        <w:spacing w:after="0" w:line="11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For the three and six months ended June 30, 2022, there were 67,264 and 56,492 stock options outstanding, respectively, that were excluded from the computation of diluted net income per share because their inclusion would have been anti-dilutive. For the three and six months ended June 30, 2022, there were no shares of restricted stock or restricted stock units outstanding that were excluded from the computation of diluted net income per share because their inclusion would have been anti-dilutive. For the three and six months ended June 30, 2021, there were no stock options, shares of restricted stock or restricted stock units outstanding that were excluded from the computation of diluted net income per share because their inclusion would have been anti-dilutive.</w:t>
      </w:r>
    </w:p>
    <w:p>
      <w:pPr>
        <w:spacing w:after="0" w:line="171" w:lineRule="exact"/>
        <w:rPr>
          <w:sz w:val="20"/>
          <w:szCs w:val="20"/>
          <w:color w:val="auto"/>
        </w:rPr>
      </w:pPr>
    </w:p>
    <w:p>
      <w:pPr>
        <w:ind w:left="620" w:hanging="614"/>
        <w:spacing w:after="0"/>
        <w:tabs>
          <w:tab w:leader="none" w:pos="6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STOCK REPURCHASES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stock repurchases for the three and six months ended June 30, 2022 and 2021:</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280" w:type="dxa"/>
            <w:vAlign w:val="bottom"/>
            <w:gridSpan w:val="2"/>
          </w:tcPr>
          <w:p>
            <w:pPr>
              <w:ind w:left="20"/>
              <w:spacing w:after="0"/>
              <w:rPr>
                <w:sz w:val="20"/>
                <w:szCs w:val="20"/>
                <w:color w:val="auto"/>
              </w:rPr>
            </w:pPr>
            <w:r>
              <w:rPr>
                <w:rFonts w:ascii="Arial" w:cs="Arial" w:eastAsia="Arial" w:hAnsi="Arial"/>
                <w:sz w:val="14"/>
                <w:szCs w:val="14"/>
                <w:color w:val="auto"/>
              </w:rPr>
              <w:t>(Dollars in millions)</w:t>
            </w:r>
          </w:p>
        </w:tc>
        <w:tc>
          <w:tcPr>
            <w:tcW w:w="1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4"/>
                <w:szCs w:val="14"/>
                <w:b w:val="1"/>
                <w:bCs w:val="1"/>
                <w:color w:val="auto"/>
                <w:w w:val="92"/>
              </w:rPr>
              <w:t>For the Three Months Ended June 30,</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2022</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89"/>
              </w:rPr>
              <w:t>Number of Shares</w:t>
            </w:r>
          </w:p>
        </w:tc>
        <w:tc>
          <w:tcPr>
            <w:tcW w:w="320" w:type="dxa"/>
            <w:vAlign w:val="bottom"/>
          </w:tcPr>
          <w:p>
            <w:pPr>
              <w:spacing w:after="0"/>
              <w:rPr>
                <w:sz w:val="11"/>
                <w:szCs w:val="11"/>
                <w:color w:val="auto"/>
              </w:rPr>
            </w:pPr>
          </w:p>
        </w:tc>
        <w:tc>
          <w:tcPr>
            <w:tcW w:w="1320" w:type="dxa"/>
            <w:vAlign w:val="bottom"/>
            <w:vMerge w:val="restart"/>
          </w:tcPr>
          <w:p>
            <w:pPr>
              <w:jc w:val="right"/>
              <w:ind w:right="601"/>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1"/>
                <w:szCs w:val="11"/>
                <w:color w:val="auto"/>
              </w:rPr>
            </w:pPr>
          </w:p>
        </w:tc>
        <w:tc>
          <w:tcPr>
            <w:tcW w:w="17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1"/>
              </w:rPr>
              <w:t>Number of Shares</w:t>
            </w:r>
          </w:p>
        </w:tc>
        <w:tc>
          <w:tcPr>
            <w:tcW w:w="400" w:type="dxa"/>
            <w:vAlign w:val="bottom"/>
          </w:tcPr>
          <w:p>
            <w:pPr>
              <w:spacing w:after="0"/>
              <w:rPr>
                <w:sz w:val="11"/>
                <w:szCs w:val="11"/>
                <w:color w:val="auto"/>
              </w:rPr>
            </w:pPr>
          </w:p>
        </w:tc>
        <w:tc>
          <w:tcPr>
            <w:tcW w:w="1240" w:type="dxa"/>
            <w:vAlign w:val="bottom"/>
            <w:vMerge w:val="restart"/>
          </w:tcPr>
          <w:p>
            <w:pPr>
              <w:jc w:val="right"/>
              <w:ind w:right="598"/>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Repurchased</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Repurchased</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Open Market (1)</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229.7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598,163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404"/>
        </w:trPr>
        <w:tc>
          <w:tcPr>
            <w:tcW w:w="4280" w:type="dxa"/>
            <w:vAlign w:val="bottom"/>
            <w:gridSpan w:val="2"/>
          </w:tcPr>
          <w:p>
            <w:pPr>
              <w:ind w:left="20"/>
              <w:spacing w:after="0"/>
              <w:rPr>
                <w:sz w:val="20"/>
                <w:szCs w:val="20"/>
                <w:color w:val="auto"/>
              </w:rPr>
            </w:pPr>
            <w:r>
              <w:rPr>
                <w:rFonts w:ascii="Arial" w:cs="Arial" w:eastAsia="Arial" w:hAnsi="Arial"/>
                <w:sz w:val="14"/>
                <w:szCs w:val="14"/>
                <w:color w:val="auto"/>
              </w:rPr>
              <w:t>(Dollars in millions)</w:t>
            </w:r>
          </w:p>
        </w:tc>
        <w:tc>
          <w:tcPr>
            <w:tcW w:w="1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4"/>
                <w:szCs w:val="14"/>
                <w:b w:val="1"/>
                <w:bCs w:val="1"/>
                <w:color w:val="auto"/>
                <w:w w:val="91"/>
              </w:rPr>
              <w:t>For the Six Months Ended June 30,</w:t>
            </w: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2022</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16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Stock Repurchases</w:t>
            </w:r>
          </w:p>
        </w:tc>
        <w:tc>
          <w:tcPr>
            <w:tcW w:w="120" w:type="dxa"/>
            <w:vAlign w:val="bottom"/>
            <w:vMerge w:val="restart"/>
          </w:tcPr>
          <w:p>
            <w:pPr>
              <w:spacing w:after="0"/>
              <w:rPr>
                <w:sz w:val="11"/>
                <w:szCs w:val="11"/>
                <w:color w:val="auto"/>
              </w:rPr>
            </w:pPr>
          </w:p>
        </w:tc>
        <w:tc>
          <w:tcPr>
            <w:tcW w:w="176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89"/>
              </w:rPr>
              <w:t>Number of Shares</w:t>
            </w:r>
          </w:p>
        </w:tc>
        <w:tc>
          <w:tcPr>
            <w:tcW w:w="320" w:type="dxa"/>
            <w:vAlign w:val="bottom"/>
          </w:tcPr>
          <w:p>
            <w:pPr>
              <w:spacing w:after="0"/>
              <w:rPr>
                <w:sz w:val="11"/>
                <w:szCs w:val="11"/>
                <w:color w:val="auto"/>
              </w:rPr>
            </w:pPr>
          </w:p>
        </w:tc>
        <w:tc>
          <w:tcPr>
            <w:tcW w:w="1320" w:type="dxa"/>
            <w:vAlign w:val="bottom"/>
            <w:vMerge w:val="restart"/>
          </w:tcPr>
          <w:p>
            <w:pPr>
              <w:jc w:val="right"/>
              <w:ind w:right="601"/>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1"/>
                <w:szCs w:val="11"/>
                <w:color w:val="auto"/>
              </w:rPr>
            </w:pPr>
          </w:p>
        </w:tc>
        <w:tc>
          <w:tcPr>
            <w:tcW w:w="17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1"/>
              </w:rPr>
              <w:t>Number of Shares</w:t>
            </w:r>
          </w:p>
        </w:tc>
        <w:tc>
          <w:tcPr>
            <w:tcW w:w="400" w:type="dxa"/>
            <w:vAlign w:val="bottom"/>
          </w:tcPr>
          <w:p>
            <w:pPr>
              <w:spacing w:after="0"/>
              <w:rPr>
                <w:sz w:val="11"/>
                <w:szCs w:val="11"/>
                <w:color w:val="auto"/>
              </w:rPr>
            </w:pPr>
          </w:p>
        </w:tc>
        <w:tc>
          <w:tcPr>
            <w:tcW w:w="1240" w:type="dxa"/>
            <w:vAlign w:val="bottom"/>
            <w:vMerge w:val="restart"/>
          </w:tcPr>
          <w:p>
            <w:pPr>
              <w:jc w:val="right"/>
              <w:ind w:right="598"/>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Repurchased</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Repurchased</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Open Market (1)</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1,205,943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651.7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984,505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32"/>
        </w:trPr>
        <w:tc>
          <w:tcPr>
            <w:tcW w:w="4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(2)</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7,066</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1,207,688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652.7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991,571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389.7</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both"/>
        <w:ind w:left="480" w:hanging="315"/>
        <w:spacing w:after="0" w:line="241" w:lineRule="auto"/>
        <w:tabs>
          <w:tab w:leader="none" w:pos="559"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repurchases under authorizations by the board of directors for the repurchase of shares by us from time to time in the open market through privately negotiated transactions, through block trades, pursuant to trading plans adopted in accordance with Rule 10b5-1 under the Securities Exchange Act of 1934 or otherwise. On September 28, 2021, the board of directors authorized the repurchase of up to two million shares of our common stock in addition to the board’s prior authorizations. As of June 30, 2022, we had authorization to repurchase 419,607 shares of our common stock.</w:t>
      </w:r>
    </w:p>
    <w:p>
      <w:pPr>
        <w:spacing w:after="0" w:line="1" w:lineRule="exact"/>
        <w:rPr>
          <w:rFonts w:ascii="Arial" w:cs="Arial" w:eastAsia="Arial" w:hAnsi="Arial"/>
          <w:sz w:val="14"/>
          <w:szCs w:val="14"/>
          <w:color w:val="auto"/>
        </w:rPr>
      </w:pPr>
    </w:p>
    <w:p>
      <w:pPr>
        <w:ind w:left="480" w:hanging="315"/>
        <w:spacing w:after="0" w:line="247" w:lineRule="auto"/>
        <w:tabs>
          <w:tab w:leader="none" w:pos="554"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shares of common stock released to us by team members as payment of tax withholdings upon the vesting of restricted stock and restricted stock units and the conversion of restricted stock units to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p>
      <w:pPr>
        <w:ind w:left="620" w:hanging="614"/>
        <w:spacing w:after="0"/>
        <w:tabs>
          <w:tab w:leader="none" w:pos="6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Stock-based compensation expense consists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000" w:type="dxa"/>
            <w:vAlign w:val="bottom"/>
            <w:gridSpan w:val="4"/>
          </w:tcPr>
          <w:p>
            <w:pPr>
              <w:jc w:val="right"/>
              <w:ind w:right="258"/>
              <w:spacing w:after="0"/>
              <w:rPr>
                <w:sz w:val="20"/>
                <w:szCs w:val="20"/>
                <w:color w:val="auto"/>
              </w:rPr>
            </w:pPr>
            <w:r>
              <w:rPr>
                <w:rFonts w:ascii="Arial" w:cs="Arial" w:eastAsia="Arial" w:hAnsi="Arial"/>
                <w:sz w:val="14"/>
                <w:szCs w:val="14"/>
                <w:b w:val="1"/>
                <w:bCs w:val="1"/>
                <w:color w:val="auto"/>
              </w:rPr>
              <w:t>For the Three Months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80" w:type="dxa"/>
            <w:vAlign w:val="bottom"/>
            <w:gridSpan w:val="4"/>
          </w:tcPr>
          <w:p>
            <w:pPr>
              <w:jc w:val="right"/>
              <w:ind w:right="875"/>
              <w:spacing w:after="0"/>
              <w:rPr>
                <w:sz w:val="20"/>
                <w:szCs w:val="20"/>
                <w:color w:val="auto"/>
              </w:rPr>
            </w:pPr>
            <w:r>
              <w:rPr>
                <w:rFonts w:ascii="Arial" w:cs="Arial" w:eastAsia="Arial" w:hAnsi="Arial"/>
                <w:sz w:val="14"/>
                <w:szCs w:val="14"/>
                <w:b w:val="1"/>
                <w:bCs w:val="1"/>
                <w:color w:val="auto"/>
              </w:rPr>
              <w:t>For the Six Months Ended</w:t>
            </w:r>
          </w:p>
        </w:tc>
      </w:tr>
      <w:tr>
        <w:trPr>
          <w:trHeight w:val="192"/>
        </w:trPr>
        <w:tc>
          <w:tcPr>
            <w:tcW w:w="404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878"/>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b w:val="1"/>
                <w:bCs w:val="1"/>
                <w:color w:val="auto"/>
              </w:rPr>
              <w:t>June 30,</w:t>
            </w:r>
          </w:p>
        </w:tc>
        <w:tc>
          <w:tcPr>
            <w:tcW w:w="1240" w:type="dxa"/>
            <w:vAlign w:val="bottom"/>
            <w:tcBorders>
              <w:bottom w:val="single" w:sz="8" w:color="auto"/>
            </w:tcBorders>
          </w:tcPr>
          <w:p>
            <w:pPr>
              <w:spacing w:after="0"/>
              <w:rPr>
                <w:sz w:val="16"/>
                <w:szCs w:val="16"/>
                <w:color w:val="auto"/>
              </w:rPr>
            </w:pPr>
          </w:p>
        </w:tc>
      </w:tr>
      <w:tr>
        <w:trPr>
          <w:trHeight w:val="192"/>
        </w:trPr>
        <w:tc>
          <w:tcPr>
            <w:tcW w:w="40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2021</w:t>
            </w:r>
          </w:p>
        </w:tc>
      </w:tr>
      <w:tr>
        <w:trPr>
          <w:trHeight w:val="225"/>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240" w:type="dxa"/>
            <w:vAlign w:val="bottom"/>
            <w:shd w:val="clear" w:color="auto" w:fill="CCEEFF"/>
          </w:tcPr>
          <w:p>
            <w:pPr>
              <w:jc w:val="right"/>
              <w:ind w:right="1061"/>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8"/>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04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2"/>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12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5"/>
        </w:trPr>
        <w:tc>
          <w:tcPr>
            <w:tcW w:w="4040" w:type="dxa"/>
            <w:vAlign w:val="bottom"/>
            <w:tcBorders>
              <w:top w:val="single" w:sz="8" w:color="CCEEFF"/>
            </w:tcBorders>
          </w:tcPr>
          <w:p>
            <w:pPr>
              <w:ind w:left="46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tcPr>
          <w:p>
            <w:pPr>
              <w:jc w:val="right"/>
              <w:ind w:right="1061"/>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958"/>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40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From December 2020 through June 2021, we granted 770,500 stock options, subject to shareholder approval of an amendment to the Incentive Plan (“Shareholder Approval”). Under GAAP, if a stock award is subject to shareholder approval, it is not considered granted for accounting purposes until that approval is received. Shareholder Approval was received at our annual meeting of shareholders on July 21, 2021. Accordingly, the accounting grant date of the 770,500 previously-awarded stock options is July 21, 2021, and no expense was recognized for stock options prior to that date.</w:t>
      </w:r>
    </w:p>
    <w:p>
      <w:pPr>
        <w:spacing w:after="0" w:line="17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reversal of stock-based compensation expense for the three and six months ended June 30, 2021 was primarily due to the forfeiture of unvested restricted stock and restricted stock units upon the retirement of our former Chief Executive Officer in May 2021, which resulted in an $11.5 million reversal of stock-based compensation expense.</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expect to recognize the future stock-based compensation expense as follows:</w:t>
      </w:r>
    </w:p>
    <w:p>
      <w:pPr>
        <w:sectPr>
          <w:pgSz w:w="11900" w:h="16838" w:orient="portrait"/>
          <w:cols w:equalWidth="0" w:num="1">
            <w:col w:w="11240"/>
          </w:cols>
          <w:pgMar w:left="320" w:top="127" w:right="339" w:bottom="1440" w:gutter="0" w:footer="0" w:header="0"/>
        </w:sect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153" w:lineRule="exact"/>
        <w:rPr>
          <w:sz w:val="20"/>
          <w:szCs w:val="20"/>
          <w:color w:val="auto"/>
        </w:rPr>
      </w:pPr>
    </w:p>
    <w:p>
      <w:pPr>
        <w:jc w:val="center"/>
        <w:ind w:left="620"/>
        <w:spacing w:after="0"/>
        <w:rPr>
          <w:sz w:val="20"/>
          <w:szCs w:val="20"/>
          <w:color w:val="auto"/>
        </w:rPr>
      </w:pPr>
      <w:r>
        <w:rPr>
          <w:rFonts w:ascii="Arial" w:cs="Arial" w:eastAsia="Arial" w:hAnsi="Arial"/>
          <w:sz w:val="14"/>
          <w:szCs w:val="14"/>
          <w:b w:val="1"/>
          <w:bCs w:val="1"/>
          <w:color w:val="auto"/>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34860" cy="160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Remainder of 2022</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2024</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511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2026</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395" w:lineRule="exact"/>
        <w:rPr>
          <w:sz w:val="20"/>
          <w:szCs w:val="20"/>
          <w:color w:val="auto"/>
        </w:rPr>
      </w:pPr>
    </w:p>
    <w:p>
      <w:pPr>
        <w:ind w:right="2960" w:firstLine="6"/>
        <w:spacing w:after="0" w:line="525" w:lineRule="auto"/>
        <w:tabs>
          <w:tab w:leader="none" w:pos="574"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Litigation and Other Legal Matters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3200" w:type="dxa"/>
            <w:vAlign w:val="bottom"/>
          </w:tcPr>
          <w:p>
            <w:pPr>
              <w:jc w:val="right"/>
              <w:ind w:right="1276"/>
              <w:spacing w:after="0"/>
              <w:rPr>
                <w:sz w:val="20"/>
                <w:szCs w:val="20"/>
                <w:color w:val="auto"/>
              </w:rPr>
            </w:pPr>
            <w:r>
              <w:rPr>
                <w:rFonts w:ascii="Arial" w:cs="Arial" w:eastAsia="Arial" w:hAnsi="Arial"/>
                <w:sz w:val="14"/>
                <w:szCs w:val="14"/>
                <w:b w:val="1"/>
                <w:bCs w:val="1"/>
                <w:color w:val="auto"/>
              </w:rPr>
              <w:t>Total Projected</w:t>
            </w:r>
          </w:p>
        </w:tc>
      </w:tr>
      <w:tr>
        <w:trPr>
          <w:trHeight w:val="192"/>
        </w:trPr>
        <w:tc>
          <w:tcPr>
            <w:tcW w:w="4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Stock-Based Compensation Expense</w:t>
            </w:r>
          </w:p>
        </w:tc>
      </w:tr>
      <w:tr>
        <w:trPr>
          <w:trHeight w:val="224"/>
        </w:trPr>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320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25"/>
        </w:trPr>
        <w:tc>
          <w:tcPr>
            <w:tcW w:w="400" w:type="dxa"/>
            <w:vAlign w:val="bottom"/>
          </w:tcPr>
          <w:p>
            <w:pPr>
              <w:spacing w:after="0"/>
              <w:rPr>
                <w:sz w:val="19"/>
                <w:szCs w:val="19"/>
                <w:color w:val="auto"/>
              </w:rPr>
            </w:pPr>
          </w:p>
        </w:tc>
        <w:tc>
          <w:tcPr>
            <w:tcW w:w="3200" w:type="dxa"/>
            <w:vAlign w:val="bottom"/>
          </w:tcPr>
          <w:p>
            <w:pPr>
              <w:jc w:val="right"/>
              <w:spacing w:after="0"/>
              <w:rPr>
                <w:sz w:val="20"/>
                <w:szCs w:val="20"/>
                <w:color w:val="auto"/>
              </w:rPr>
            </w:pPr>
            <w:r>
              <w:rPr>
                <w:rFonts w:ascii="Arial" w:cs="Arial" w:eastAsia="Arial" w:hAnsi="Arial"/>
                <w:sz w:val="18"/>
                <w:szCs w:val="18"/>
                <w:color w:val="auto"/>
              </w:rPr>
              <w:t>35.7</w:t>
            </w:r>
          </w:p>
        </w:tc>
      </w:tr>
      <w:tr>
        <w:trPr>
          <w:trHeight w:val="225"/>
        </w:trPr>
        <w:tc>
          <w:tcPr>
            <w:tcW w:w="400" w:type="dxa"/>
            <w:vAlign w:val="bottom"/>
          </w:tcPr>
          <w:p>
            <w:pPr>
              <w:spacing w:after="0"/>
              <w:rPr>
                <w:sz w:val="19"/>
                <w:szCs w:val="19"/>
                <w:color w:val="auto"/>
              </w:rPr>
            </w:pPr>
          </w:p>
        </w:tc>
        <w:tc>
          <w:tcPr>
            <w:tcW w:w="320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25"/>
        </w:trPr>
        <w:tc>
          <w:tcPr>
            <w:tcW w:w="400" w:type="dxa"/>
            <w:vAlign w:val="bottom"/>
          </w:tcPr>
          <w:p>
            <w:pPr>
              <w:spacing w:after="0"/>
              <w:rPr>
                <w:sz w:val="19"/>
                <w:szCs w:val="19"/>
                <w:color w:val="auto"/>
              </w:rPr>
            </w:pPr>
          </w:p>
        </w:tc>
        <w:tc>
          <w:tcPr>
            <w:tcW w:w="32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3"/>
        </w:trPr>
        <w:tc>
          <w:tcPr>
            <w:tcW w:w="4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25"/>
        </w:trPr>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r>
    </w:tbl>
    <w:p>
      <w:pPr>
        <w:spacing w:after="0" w:line="1457" w:lineRule="exact"/>
        <w:rPr>
          <w:sz w:val="20"/>
          <w:szCs w:val="20"/>
          <w:color w:val="auto"/>
        </w:rPr>
      </w:pPr>
    </w:p>
    <w:p>
      <w:pPr>
        <w:sectPr>
          <w:pgSz w:w="11900" w:h="16838" w:orient="portrait"/>
          <w:cols w:equalWidth="0" w:num="2">
            <w:col w:w="6920" w:space="720"/>
            <w:col w:w="3600"/>
          </w:cols>
          <w:pgMar w:left="320" w:top="127" w:right="339" w:bottom="1440" w:gutter="0" w:footer="0" w:header="0"/>
          <w:type w:val="continuous"/>
        </w:sectPr>
      </w:pPr>
    </w:p>
    <w:p>
      <w:pPr>
        <w:jc w:val="both"/>
        <w:ind w:firstLine="318"/>
        <w:spacing w:after="0" w:line="301" w:lineRule="auto"/>
        <w:rPr>
          <w:sz w:val="20"/>
          <w:szCs w:val="20"/>
          <w:color w:val="auto"/>
        </w:rPr>
      </w:pPr>
      <w:r>
        <w:rPr>
          <w:rFonts w:ascii="Arial" w:cs="Arial" w:eastAsia="Arial" w:hAnsi="Arial"/>
          <w:sz w:val="15"/>
          <w:szCs w:val="15"/>
          <w:color w:val="auto"/>
        </w:rPr>
        <w:t>In the normal course of business and as a result of the consumer-oriented nature of the industry in which we operate, we and other industry participants are frequently subject to various consumer claims, litigation and regulatory investigations seeking damages, fines and statutory penalties. The claims allege, among other theories of liability, violations of state, federal and foreign truth-in-lending, credit availability, credit reporting, consumer protection, warranty, debt collection, insurance and other consumer-oriented laws and regulations, including claims seeking damages for alleged physical and mental harm relating to the repossession and sale of consumers’ vehicles and other debt collection activities. As the assignee of Consumer Loans originated by Dealers, we may also be named as a co-defendant in lawsuits filed by consumers principally against Dealers. We may also have disputes and litigation with Dealers. The claims may allege, among other theories of liability, that we breached our Dealer servicing agreement. We may also have disputes and litigation with vendors and other third parties. The claims may allege, among other theories of liability, that we breached a license agreement or contract. The damages, fines and penalties that may be claimed by consumers, regulatory agencies, Dealers, vendors or other third parties in these types of matters can be substantial. The relief requested by plaintiffs varies but may include requests for compensatory, statutory and punitive damages and injunctive relief, and plaintiffs may seek treatment as purported class actions. The following matters include current actions to which we are a party and updates to matters that were disclosed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On December 1, 2021, we received a subpoena from the Office of the Attorney General for the State of California seeking documents and information regarding GAP products, GAP product administration and refunds. We are cooperating with this inquiry and cannot predict the eventual scope, duration or outcome at this time. As a result, we are unable to estimate the reasonably possible loss or range of reasonably possible loss arising from this investigation.</w:t>
      </w:r>
    </w:p>
    <w:p>
      <w:pPr>
        <w:spacing w:after="0" w:line="163"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On October 2, 2020, a shareholder filed a putative class action complaint against the Company, its Chief Executive Officer (now former Chief Executive Officer), and its Chief Financial Officer (now Chief Executive Officer) in the United States District Court for the Eastern District of Michigan, Southern Division, alleging violations of Sections 10(b) and 20(a) of the Securities Exchange Act of 1934 and Rule 10b-5, promulgated thereunder, based on alleged false and/or misleading statements or omissions regarding the Company and its business, and seeking class certification, unspecified damages plus interest and attorney and expert witness fees and other costs on behalf of a purported class consisting of all persons and entities (subject to specified exceptions) that purchased or otherwise acquired Credit Acceptance common stock from November 1, 2019 through August 28, 2020. On May 28, 2021, the court issued an opinion and order appointing lead plaintiff and lead counsel. On July 22, 2021, the lead plaintiffs filed an amended complaint asserting similar violations, seeking similar relief and expanding the putative class to include all persons and entities (subject to specified exceptions) that purchased or otherwise acquired Credit Acceptance common stock from May 4, 2018 through August 28, 2020. On June 14, 2022, the Company reached an agreement in principle to settle this putative class action. The agreement in principle contemplates an aggregate cash payment by the Company of $12.0 million to settle claims brought on behalf of all persons and entities that purchased or otherwise acquired Credit Acceptance common stock from May 4, 2018 through August 28, 2020. The parties have agreed to negotiate in good faith to execute a definitive stipulation of settlement to be filed with the court, which the Company anticipates will provide for a full release of all claims against all defendants, including the Company and its officers, and expressly deny any liability, wrongdoing or responsibility by any of the defendants. The definitive stipulation of settlement will be subject to approval by the court, which process may take several months. Upon final approval of the settlement, the litigation would be dismissed with prejudice. There can be no assurance that the litigation will be finally resolved in accordance with the agreement in principle. We have estimated a probable loss of $12.0 million, all of which was recognized as a contingent loss during the second quarter of 2022.</w:t>
      </w:r>
    </w:p>
    <w:p>
      <w:pPr>
        <w:spacing w:after="0" w:line="200" w:lineRule="exact"/>
        <w:rPr>
          <w:sz w:val="20"/>
          <w:szCs w:val="20"/>
          <w:color w:val="auto"/>
        </w:rPr>
      </w:pPr>
    </w:p>
    <w:p>
      <w:pPr>
        <w:spacing w:after="0" w:line="204"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On May 7, 2019, we received a subpoena from the Consumer Frauds and Protection Bureau of the Office of the New York State Attorney General, relating to the Company’s origination and collection policies and procedures in the state of New York. On July 30, 2020, we received two additional subpoenas from the Office of the New York State Attorney General, both from the Consumer Frauds and Protection Bureau and the Investor Protection Bureau, relating to the Company’s origination and collection policies and procedures in the state of New York and its securitizations. On August 28, 2020, we were informed that one of the two additional subpoenas was being withdrawn. On November 16, 2020, we received an additional subpoena for documents from the Office of the New York State Attorney General. On November 19, 2020, the Company received a letter from the Office of the New York State Attorney General stating that the New York State Attorney General is considering bringing claims against the Company under the Dodd-Frank Wall Street Reform and Consumer Protection Act, New York Executive Law § 63(12), the New York Martin Act and New York General Business Law § 349 in connection with the Company’s origination and securitization practices. On December 9, 2020, we responded to the New York State Attorney General’s letter disputing the assertions contained therein. On December 21, 2020, we received two additional subpoenas from the Office of the New York State Attorney General, one relating to data and the other seeking testimony. On February 24 and April 30, 2021, we received additional subpoenas from the Office of the New York State Attorney General seeking information relating to its investigation. We are cooperating with the investigation and cannot predict its eventual scope, duration or outcome at this time. As a result, we are unable to estimate the reasonably possible loss or range of reasonably possible loss arising from this investigation.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(CONCLUDED)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color w:val="auto"/>
        </w:rPr>
        <w:t>On April 22, 2019, we received a civil investigative demand from the Bureau of Consumer Financial Protection (the “Bureau”) seeking, among other things, certain information relating to the Company’s origination and collection of Consumer Loans, TPPs and credit reporting. On May 7, 2020, we received another civil investigative demand from the Bureau seeking additional information relating to its investigation. The Company raised various objections to the May 7, 2020 civil investigative demand, and on May 26, 2020, we were notified that it was withdrawn. On June 1, 2020, we received another civil investigative demand that was similar to the May 7, 2020 demand, and which raised many of the same objections. We formally petitioned the Bureau to modify the June 1, 2020 civil investigative demand. On September 3, 2020, the Director of the Bureau denied our petition to modify the June 1, 2020 civil investigative demand. On December 23, 2020, we received a civil investigative demand for investigational hearings in connection with the Bureau’s investigation. The Company objected to certain portions of the civil investigative demands for hearings and, on January 19, 2021, the Bureau notified the Company that it had withdrawn such portions from the December 23, 2020 civil investigative demands. On March 11, 2021, we received another civil investigative demand from the Bureau seeking additional information relating to its investigation and an investigational hearing. On June 3, 2021, we received another civil investigative demand from the Bureau seeking additional information relating to its investigation. On December 6, 2021, we received a Notice and Opportunity to Respond and Advise (“NORA”) letter from the Staff of the Office of Enforcement (“Staff”) of the Bureau, stating that Staff is considering whether to recommend that the Bureau take legal action against the Company for alleged violations of the Consumer Financial Protection Act (the “CFPA”) in connection with the Company’s consumer loan origination practices. The NORA letter states that the Bureau may allege that the Company (i) committed abusive and unfair acts or practices in violation of 12 U.S.C. § 5531(c) and (d) and 12 U.S.C. § 5536(a)(1)(B) and (ii) substantially assisted the deceptive acts of others in violation of 12 U.S.C. § 5536 (a)(3). The NORA letter also states that, in connection with any action, the Bureau may seek all remedies available under the CFPA, including civil money penalties, consumer redress and injunctive relief. On January 18, 2022, the Company responded to the NORA letter disputing that it had committed any violations. On March 7, 2022, we received another civil investigative demand from the Bureau seeking additional information relating to its investigation. We cannot predict the eventual scope, duration or outcome of the investigation at this time. As a result, we are unable to estimate the reasonably possible loss or range of reasonably possible loss arising from this investigation.</w:t>
      </w:r>
    </w:p>
    <w:p>
      <w:pPr>
        <w:spacing w:after="0" w:line="200" w:lineRule="exact"/>
        <w:rPr>
          <w:sz w:val="20"/>
          <w:szCs w:val="20"/>
          <w:color w:val="auto"/>
        </w:rPr>
      </w:pPr>
    </w:p>
    <w:p>
      <w:pPr>
        <w:spacing w:after="0" w:line="209"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On March 18, 2016, we received a subpoena from the Attorney General of the State of Maryland, relating to the Company’s repossession and sale policies and procedures in the state of Maryland. On April 3, 2020, we received a subpoena from the Attorney General of the State of Maryland relating to the Company’s origination and collection policies and procedures in the state of Maryland. On August 11, 2020, we received a subpoena from the Attorney General of the State of Maryland restating most of the requests contained in the March 18, 2016 and April 3, 2020 subpoenas, making additional requests, and expanding the inquiry to include 41 other states (Alabama, Alaska, Arizona, Arkansas, California, Colorado, Connecticut, Delaware, Florida, Georgia, Hawaii, Illinois, Indiana, Iowa, Kansas, Kentucky, Louisiana, Maine, Michigan, Minnesota, Nebraska, Nevada, New Hampshire, New Jersey, New Mexico, North Carolina, North Dakota, Ohio, Oklahoma, Oregon, Pennsylvania, Rhode Island, South Carolina, South Dakota, Tennessee, Texas, Utah, Vermont, Virginia, Washington, and Wisconsin) and the District of Columbia. Also on August 11, 2020, we received from the Attorney General of the State of New Jersey a subpoena that is essentially identical to the August 11, 2020 Maryland subpoena, both as to substance and as to the jurisdictions identified. We are cooperating with these investigations and cannot predict their eventual scope, duration or outcome at this time. As a result, we are unable to estimate the reasonably possible loss or range of reasonably possible loss arising from these investigations.</w:t>
      </w:r>
    </w:p>
    <w:p>
      <w:pPr>
        <w:spacing w:after="0" w:line="40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On December 9, 2014, we received a civil investigative subpoena from the U.S. Department of Justice pursuant to the Financial Institutions Reform, Recovery, and Enforcement Act of 1989 directing us to produce certain information relating to subprime automotive finance and related securitization activities. We have cooperated with the inquiry, but cannot predict the eventual scope, duration or outcome at this time. As a result, we are unable to estimate the reasonably possible loss or range of reasonably possible loss arising from this investigation.</w:t>
      </w:r>
    </w:p>
    <w:p>
      <w:pPr>
        <w:spacing w:after="0" w:line="2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An adverse ultimate disposition in any action to which we are a party or otherwise subject could have a material adverse impact on our financial position, liquidity and results of operations.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following discussion and analysis should be read in conjunction with the consolidated financial statements and related notes included in Item 8 - Financial Statements and Supplementary Data, of our 2021 Annual Report on Form 10-K, as well as Part I - Item 1 - Financial Statements, of this Form 10-Q, which is incorporated herein by reference.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offer financing programs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w:t>
      </w:r>
    </w:p>
    <w:p>
      <w:pPr>
        <w:spacing w:after="0" w:line="2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For the three months ended June 30, 2022, consolidated net income was $107.4 million, or $7.94 per diluted share, compared to consolidated net income of $288.6 million, or $17.18 per diluted share, for the same period in 2021, primarily due to increases in provision for credit losses and operating expenses and a decrease in finance charges. Our results for the three months ended June 30, 2022 included:</w:t>
      </w:r>
    </w:p>
    <w:p>
      <w:pPr>
        <w:spacing w:after="0" w:line="1" w:lineRule="exact"/>
        <w:rPr>
          <w:sz w:val="20"/>
          <w:szCs w:val="20"/>
          <w:color w:val="auto"/>
        </w:rPr>
      </w:pPr>
    </w:p>
    <w:p>
      <w:pPr>
        <w:ind w:left="800" w:hanging="317"/>
        <w:spacing w:after="0" w:line="245" w:lineRule="auto"/>
        <w:tabs>
          <w:tab w:leader="none" w:pos="7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decrease in forecasted collection rates for Consumer Loans assigned in 2020 through 2022, which decreased forecasted net cash flows from our Loan portfolio by $43.4 million.</w:t>
      </w:r>
    </w:p>
    <w:p>
      <w:pPr>
        <w:spacing w:after="0" w:line="1" w:lineRule="exact"/>
        <w:rPr>
          <w:rFonts w:ascii="Arial" w:cs="Arial" w:eastAsia="Arial" w:hAnsi="Arial"/>
          <w:sz w:val="18"/>
          <w:szCs w:val="18"/>
          <w:color w:val="auto"/>
        </w:rPr>
      </w:pPr>
    </w:p>
    <w:p>
      <w:pPr>
        <w:ind w:left="800" w:hanging="317"/>
        <w:spacing w:after="0" w:line="245" w:lineRule="auto"/>
        <w:tabs>
          <w:tab w:leader="none" w:pos="7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Forecasted profitability per Consumer Loan assignment that has significantly exceeded our initial estimates for Consumer Loans assigned in 2018 through 2021.</w:t>
      </w:r>
    </w:p>
    <w:p>
      <w:pPr>
        <w:spacing w:after="0" w:line="1" w:lineRule="exact"/>
        <w:rPr>
          <w:rFonts w:ascii="Arial" w:cs="Arial" w:eastAsia="Arial" w:hAnsi="Arial"/>
          <w:sz w:val="18"/>
          <w:szCs w:val="18"/>
          <w:color w:val="auto"/>
        </w:rPr>
      </w:pPr>
    </w:p>
    <w:p>
      <w:pPr>
        <w:ind w:left="800" w:hanging="317"/>
        <w:spacing w:after="0" w:line="245" w:lineRule="auto"/>
        <w:tabs>
          <w:tab w:leader="none" w:pos="7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Growth in Consumer Loan assignment volume, as unit and dollar volumes grew 5.1% and 22.0%, respectively, as compared to the second quarter of 2021.</w:t>
      </w:r>
    </w:p>
    <w:p>
      <w:pPr>
        <w:spacing w:after="0" w:line="1" w:lineRule="exact"/>
        <w:rPr>
          <w:rFonts w:ascii="Arial" w:cs="Arial" w:eastAsia="Arial" w:hAnsi="Arial"/>
          <w:sz w:val="18"/>
          <w:szCs w:val="18"/>
          <w:color w:val="auto"/>
        </w:rPr>
      </w:pPr>
    </w:p>
    <w:p>
      <w:pPr>
        <w:ind w:left="800" w:hanging="317"/>
        <w:spacing w:after="0"/>
        <w:tabs>
          <w:tab w:leader="none" w:pos="8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Stock repurchases of approximately 404,000 shares, which represented 3.0% of the shares outstanding at the beginning of the quarter.</w:t>
      </w:r>
    </w:p>
    <w:p>
      <w:pPr>
        <w:spacing w:after="0" w:line="16" w:lineRule="exact"/>
        <w:rPr>
          <w:rFonts w:ascii="Arial" w:cs="Arial" w:eastAsia="Arial" w:hAnsi="Arial"/>
          <w:sz w:val="17"/>
          <w:szCs w:val="17"/>
          <w:color w:val="auto"/>
        </w:rPr>
      </w:pPr>
    </w:p>
    <w:p>
      <w:pPr>
        <w:jc w:val="both"/>
        <w:ind w:left="800" w:hanging="317"/>
        <w:spacing w:after="0" w:line="248" w:lineRule="auto"/>
        <w:tabs>
          <w:tab w:leader="none" w:pos="7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$12.0 million expense related to an agreement in principle to settle a previously-disclosed putative class action lawsuit, and a $20.0 million increase in stock-based compensation expense primarily due to the retirement of our former Chief Executive Officer in May 2021 and the timing of shareholder approval for 2020 and 2021 stock option grants.</w:t>
      </w:r>
    </w:p>
    <w:p>
      <w:pPr>
        <w:spacing w:after="0" w:line="22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For the six months ended June 30, 2022, consolidated net income was $321.7 million, or $23.10 per diluted share, compared to consolidated net income of $490.7 million, or $28.96 per diluted share, for the same period in 2021, primarily due to increases in provision for credit losses and operating expenses and a decrease in finance charges. Our results for the six months ended June 30, 2022 included:</w:t>
      </w:r>
    </w:p>
    <w:p>
      <w:pPr>
        <w:spacing w:after="0" w:line="1" w:lineRule="exact"/>
        <w:rPr>
          <w:sz w:val="20"/>
          <w:szCs w:val="20"/>
          <w:color w:val="auto"/>
        </w:rPr>
      </w:pPr>
    </w:p>
    <w:p>
      <w:pPr>
        <w:ind w:left="800" w:hanging="317"/>
        <w:spacing w:after="0" w:line="294" w:lineRule="auto"/>
        <w:tabs>
          <w:tab w:leader="none" w:pos="795" w:val="left"/>
        </w:tabs>
        <w:numPr>
          <w:ilvl w:val="0"/>
          <w:numId w:val="42"/>
        </w:numPr>
        <w:rPr>
          <w:rFonts w:ascii="Arial" w:cs="Arial" w:eastAsia="Arial" w:hAnsi="Arial"/>
          <w:sz w:val="15"/>
          <w:szCs w:val="15"/>
          <w:color w:val="auto"/>
        </w:rPr>
      </w:pPr>
      <w:r>
        <w:rPr>
          <w:rFonts w:ascii="Arial" w:cs="Arial" w:eastAsia="Arial" w:hAnsi="Arial"/>
          <w:sz w:val="15"/>
          <w:szCs w:val="15"/>
          <w:color w:val="auto"/>
        </w:rPr>
        <w:t>An increase in forecasted collection rates for Consumer Loans assigned in 2014, 2016, 2017 and 2019 through 2021 and a decrease in forecasted collection rates for Consumer Loans assigned in 2022, which increased forecasted net cash flows from our Loan portfolio by $66.8 million.</w:t>
      </w:r>
    </w:p>
    <w:p>
      <w:pPr>
        <w:spacing w:after="0" w:line="1" w:lineRule="exact"/>
        <w:rPr>
          <w:rFonts w:ascii="Arial" w:cs="Arial" w:eastAsia="Arial" w:hAnsi="Arial"/>
          <w:sz w:val="15"/>
          <w:szCs w:val="15"/>
          <w:color w:val="auto"/>
        </w:rPr>
      </w:pPr>
    </w:p>
    <w:p>
      <w:pPr>
        <w:ind w:left="800" w:hanging="317"/>
        <w:spacing w:after="0" w:line="245" w:lineRule="auto"/>
        <w:tabs>
          <w:tab w:leader="none" w:pos="7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Forecasted profitability per Consumer Loan assignment that has significantly exceeded our initial estimates for Consumer Loans assigned in 2018 through 2021.</w:t>
      </w:r>
    </w:p>
    <w:p>
      <w:pPr>
        <w:spacing w:after="0" w:line="1" w:lineRule="exact"/>
        <w:rPr>
          <w:rFonts w:ascii="Arial" w:cs="Arial" w:eastAsia="Arial" w:hAnsi="Arial"/>
          <w:sz w:val="18"/>
          <w:szCs w:val="18"/>
          <w:color w:val="auto"/>
        </w:rPr>
      </w:pPr>
    </w:p>
    <w:p>
      <w:pPr>
        <w:ind w:left="800" w:hanging="317"/>
        <w:spacing w:after="0"/>
        <w:tabs>
          <w:tab w:leader="none" w:pos="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decline in Consumer Loan assignment unit volume of 10.5%, while dollar volume grew 3.7%, as compared to the same period in 2021.</w:t>
      </w:r>
    </w:p>
    <w:p>
      <w:pPr>
        <w:spacing w:after="0" w:line="16" w:lineRule="exact"/>
        <w:rPr>
          <w:rFonts w:ascii="Arial" w:cs="Arial" w:eastAsia="Arial" w:hAnsi="Arial"/>
          <w:sz w:val="17"/>
          <w:szCs w:val="17"/>
          <w:color w:val="auto"/>
        </w:rPr>
      </w:pPr>
    </w:p>
    <w:p>
      <w:pPr>
        <w:ind w:left="800" w:hanging="317"/>
        <w:spacing w:after="0"/>
        <w:tabs>
          <w:tab w:leader="none" w:pos="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Stock repurchases of approximately 1.2 million shares, which represented 8.5% of the shares outstanding at the beginning of the year.</w:t>
      </w:r>
    </w:p>
    <w:p>
      <w:pPr>
        <w:spacing w:after="0" w:line="16" w:lineRule="exact"/>
        <w:rPr>
          <w:rFonts w:ascii="Arial" w:cs="Arial" w:eastAsia="Arial" w:hAnsi="Arial"/>
          <w:sz w:val="17"/>
          <w:szCs w:val="17"/>
          <w:color w:val="auto"/>
        </w:rPr>
      </w:pPr>
    </w:p>
    <w:p>
      <w:pPr>
        <w:jc w:val="both"/>
        <w:ind w:left="800" w:hanging="317"/>
        <w:spacing w:after="0" w:line="248" w:lineRule="auto"/>
        <w:tabs>
          <w:tab w:leader="none" w:pos="7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$12.0 million expense compared to a $27.2 million expense in the prior year related to previously-disclosed legal matters, and a $28.0 million increase in stock-based compensation expense primarily due to the retirement of our former Chief Executive Officer in May 2021 and the timing of shareholder approval for 2020 and 2021 stock option grants.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Success Factors</w:t>
      </w:r>
    </w:p>
    <w:p>
      <w:pPr>
        <w:spacing w:after="0" w:line="25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Critical success factors include our ability to accurately forecast Consumer Loan performance, access capital on acceptable terms, and maintain or grow Consumer Loan volume at the level and on the terms that we anticipate, with the objective to maximize economic profit over the long term. Economic profit is a non-GAAP financial measure we use to evaluate our financial results and determine certain incentive compensation. We also use economic profit as a framework to evaluate business decisions and strategies. Economic profit measures how efficiently we utilize our total capital, both debt and equity, and is a function of the return on capital in excess of the cost of capital and the amount of capital invested in the business.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Loan Metrics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At the time a Consumer Loan is submitted to us for assignment, we forecast future expected cash flows from the Consumer Loan. Based on the amount and timing of these forecasts and expected expense levels, an advance or one-time purchase payment is made to the related Dealer at a price designed to maximize economic profit.</w:t>
      </w:r>
    </w:p>
    <w:p>
      <w:pPr>
        <w:spacing w:after="0" w:line="215"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use a statistical model to estimate the expected collection rate for each Consumer Loan at the time of assignment. We continue to evaluate the expected collection rate of each Consumer Loan subsequent to assignment. Our evaluation becomes more accurate as the Consumer Loans age, as we use actual performance data in our forecast. By comparing our current expected collection rate for each Consumer Loan with the rate we projected at the time of assignment, we are able to assess the accuracy of our initial forecast. The following table compares our forecast of Consumer Loan collection rates as of June 30, 2022 with the forecasts as of March 31, 2022, as of December 31, 2021 and at the time of assignment, segmented by year of assignment: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1"/>
              </w:rPr>
              <w:t>Forecasted Collection Percentage as of (1)</w:t>
            </w:r>
          </w:p>
        </w:tc>
        <w:tc>
          <w:tcPr>
            <w:tcW w:w="12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9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Current Forecast Variance from</w:t>
            </w:r>
          </w:p>
        </w:tc>
        <w:tc>
          <w:tcPr>
            <w:tcW w:w="0" w:type="dxa"/>
            <w:vAlign w:val="bottom"/>
          </w:tcPr>
          <w:p>
            <w:pPr>
              <w:spacing w:after="0"/>
              <w:rPr>
                <w:sz w:val="1"/>
                <w:szCs w:val="1"/>
                <w:color w:val="auto"/>
              </w:rPr>
            </w:pPr>
          </w:p>
        </w:tc>
      </w:tr>
      <w:tr>
        <w:trPr>
          <w:trHeight w:val="119"/>
        </w:trPr>
        <w:tc>
          <w:tcPr>
            <w:tcW w:w="192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7"/>
              </w:rPr>
              <w:t>Consumer Loan Assignment</w:t>
            </w:r>
          </w:p>
        </w:tc>
        <w:tc>
          <w:tcPr>
            <w:tcW w:w="13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June 30, 2022</w:t>
            </w: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March 31, 2022</w:t>
            </w: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31, 2021</w:t>
            </w:r>
          </w:p>
        </w:tc>
        <w:tc>
          <w:tcPr>
            <w:tcW w:w="13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Initial Forecast</w:t>
            </w:r>
          </w:p>
        </w:tc>
        <w:tc>
          <w:tcPr>
            <w:tcW w:w="13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March 31, 2022</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December 31, 2021</w:t>
            </w:r>
          </w:p>
        </w:tc>
        <w:tc>
          <w:tcPr>
            <w:tcW w:w="12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Initial Forecast</w:t>
            </w:r>
          </w:p>
        </w:tc>
        <w:tc>
          <w:tcPr>
            <w:tcW w:w="0" w:type="dxa"/>
            <w:vAlign w:val="bottom"/>
          </w:tcPr>
          <w:p>
            <w:pPr>
              <w:spacing w:after="0"/>
              <w:rPr>
                <w:sz w:val="1"/>
                <w:szCs w:val="1"/>
                <w:color w:val="auto"/>
              </w:rPr>
            </w:pPr>
          </w:p>
        </w:tc>
      </w:tr>
      <w:tr>
        <w:trPr>
          <w:trHeight w:val="192"/>
        </w:trPr>
        <w:tc>
          <w:tcPr>
            <w:tcW w:w="1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w:t>
            </w:r>
          </w:p>
        </w:tc>
        <w:tc>
          <w:tcPr>
            <w:tcW w:w="130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73.4 %</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73.4 %</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73.4 %</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72.0 %</w:t>
            </w: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5"/>
        </w:trPr>
        <w:tc>
          <w:tcPr>
            <w:tcW w:w="182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71.7 %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71.6 %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71.5 %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71.8 %</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26"/>
        </w:trPr>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5"/>
        </w:trPr>
        <w:tc>
          <w:tcPr>
            <w:tcW w:w="18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63.8 %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63.8 %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63.6 %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65.4 %</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6"/>
        </w:trPr>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25"/>
        </w:trPr>
        <w:tc>
          <w:tcPr>
            <w:tcW w:w="18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65.1 %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65.1 %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65.1 %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63.6 %</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0.0 %</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6"/>
        </w:trPr>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5"/>
        </w:trPr>
        <w:tc>
          <w:tcPr>
            <w:tcW w:w="18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68.4 %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68.8 %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67.9 %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63.4 %</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0.5 %</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6"/>
        </w:trPr>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4"/>
        </w:trPr>
        <w:tc>
          <w:tcPr>
            <w:tcW w:w="1820" w:type="dxa"/>
            <w:vAlign w:val="bottom"/>
          </w:tcPr>
          <w:p>
            <w:pPr>
              <w:jc w:val="right"/>
              <w:ind w:right="415"/>
              <w:spacing w:after="0"/>
              <w:rPr>
                <w:sz w:val="20"/>
                <w:szCs w:val="20"/>
                <w:color w:val="auto"/>
              </w:rPr>
            </w:pPr>
            <w:r>
              <w:rPr>
                <w:rFonts w:ascii="Arial" w:cs="Arial" w:eastAsia="Arial" w:hAnsi="Arial"/>
                <w:sz w:val="18"/>
                <w:szCs w:val="18"/>
                <w:color w:val="auto"/>
              </w:rPr>
              <w:t>2022 (2)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67.1 %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66.9 %</w:t>
            </w:r>
          </w:p>
        </w:tc>
        <w:tc>
          <w:tcPr>
            <w:tcW w:w="10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67.6 %</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bl>
    <w:p>
      <w:pPr>
        <w:spacing w:after="0" w:line="75" w:lineRule="exact"/>
        <w:rPr>
          <w:sz w:val="20"/>
          <w:szCs w:val="20"/>
          <w:color w:val="auto"/>
        </w:rPr>
      </w:pPr>
    </w:p>
    <w:p>
      <w:pPr>
        <w:jc w:val="both"/>
        <w:ind w:left="480" w:hanging="315"/>
        <w:spacing w:after="0" w:line="242" w:lineRule="auto"/>
        <w:tabs>
          <w:tab w:leader="none" w:pos="472"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the total forecasted collections we expect to collect on the Consumer Loans as a percentage of the repayments that we were contractually owed on the Consumer Loans at the time of assignment. Contractual repayments include both principal and interest. Forecasted collection rates are negatively impacted by canceled Consumer Loans as the contractual amount owed is not removed from the denominator for purposes of computing forecasted collection rates in the table.</w:t>
      </w:r>
    </w:p>
    <w:p>
      <w:pPr>
        <w:spacing w:after="0" w:line="1" w:lineRule="exact"/>
        <w:rPr>
          <w:rFonts w:ascii="Arial" w:cs="Arial" w:eastAsia="Arial" w:hAnsi="Arial"/>
          <w:sz w:val="14"/>
          <w:szCs w:val="14"/>
          <w:color w:val="auto"/>
        </w:rPr>
      </w:pPr>
    </w:p>
    <w:p>
      <w:pPr>
        <w:ind w:left="480" w:hanging="315"/>
        <w:spacing w:after="0" w:line="247" w:lineRule="auto"/>
        <w:tabs>
          <w:tab w:leader="none" w:pos="472"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forecasted collection rate for 2022 Consumer Loans as of June 30, 2022 includes both Consumer Loans that were in our portfolio as of March 31, 2022 and Consumer Loans assigned during the most recent quarter. The following table provides forecasted collection rates for each of these segments:</w:t>
      </w:r>
    </w:p>
    <w:p>
      <w:pPr>
        <w:spacing w:after="0" w:line="90" w:lineRule="exact"/>
        <w:rPr>
          <w:sz w:val="20"/>
          <w:szCs w:val="20"/>
          <w:color w:val="auto"/>
        </w:rPr>
      </w:pPr>
    </w:p>
    <w:tbl>
      <w:tblPr>
        <w:tblLayout w:type="fixed"/>
        <w:tblInd w:w="480" w:type="dxa"/>
        <w:tblCellMar>
          <w:top w:w="0" w:type="dxa"/>
          <w:left w:w="0" w:type="dxa"/>
          <w:bottom w:w="0" w:type="dxa"/>
          <w:right w:w="0" w:type="dxa"/>
        </w:tblCellMar>
      </w:tblPr>
      <w:tr>
        <w:trPr>
          <w:trHeight w:val="201"/>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gridSpan w:val="6"/>
          </w:tcPr>
          <w:p>
            <w:pPr>
              <w:ind w:left="900"/>
              <w:spacing w:after="0"/>
              <w:rPr>
                <w:sz w:val="20"/>
                <w:szCs w:val="20"/>
                <w:color w:val="auto"/>
              </w:rPr>
            </w:pPr>
            <w:r>
              <w:rPr>
                <w:rFonts w:ascii="Arial" w:cs="Arial" w:eastAsia="Arial" w:hAnsi="Arial"/>
                <w:sz w:val="14"/>
                <w:szCs w:val="14"/>
                <w:b w:val="1"/>
                <w:bCs w:val="1"/>
                <w:color w:val="auto"/>
              </w:rPr>
              <w:t>Forecasted Collection Percentage as of</w:t>
            </w:r>
          </w:p>
        </w:tc>
        <w:tc>
          <w:tcPr>
            <w:tcW w:w="2720" w:type="dxa"/>
            <w:vAlign w:val="bottom"/>
            <w:gridSpan w:val="3"/>
          </w:tcPr>
          <w:p>
            <w:pPr>
              <w:jc w:val="right"/>
              <w:ind w:right="298"/>
              <w:spacing w:after="0"/>
              <w:rPr>
                <w:sz w:val="20"/>
                <w:szCs w:val="20"/>
                <w:color w:val="auto"/>
              </w:rPr>
            </w:pPr>
            <w:r>
              <w:rPr>
                <w:rFonts w:ascii="Arial" w:cs="Arial" w:eastAsia="Arial" w:hAnsi="Arial"/>
                <w:sz w:val="14"/>
                <w:szCs w:val="14"/>
                <w:b w:val="1"/>
                <w:bCs w:val="1"/>
                <w:color w:val="auto"/>
              </w:rPr>
              <w:t>Current Forecast Variance from</w:t>
            </w:r>
          </w:p>
        </w:tc>
      </w:tr>
      <w:tr>
        <w:trPr>
          <w:trHeight w:val="192"/>
        </w:trPr>
        <w:tc>
          <w:tcPr>
            <w:tcW w:w="31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2022 Consumer Loan Assignment Period</w:t>
            </w:r>
          </w:p>
        </w:tc>
        <w:tc>
          <w:tcPr>
            <w:tcW w:w="120" w:type="dxa"/>
            <w:vAlign w:val="bottom"/>
            <w:tcBorders>
              <w:bottom w:val="single" w:sz="8" w:color="CCEEFF"/>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Borders>
              <w:top w:val="single" w:sz="8" w:color="auto"/>
              <w:bottom w:val="single" w:sz="8" w:color="CCEEFF"/>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Borders>
              <w:top w:val="single" w:sz="8" w:color="auto"/>
              <w:bottom w:val="single" w:sz="8" w:color="CCEEFF"/>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Initial Forecast</w:t>
            </w:r>
          </w:p>
        </w:tc>
        <w:tc>
          <w:tcPr>
            <w:tcW w:w="120" w:type="dxa"/>
            <w:vAlign w:val="bottom"/>
            <w:tcBorders>
              <w:bottom w:val="single" w:sz="8" w:color="CCEEFF"/>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Borders>
              <w:top w:val="single" w:sz="8" w:color="auto"/>
              <w:bottom w:val="single" w:sz="8" w:color="CCEEFF"/>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Initial Forecast</w:t>
            </w:r>
          </w:p>
        </w:tc>
      </w:tr>
      <w:tr>
        <w:trPr>
          <w:trHeight w:val="225"/>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January 1, 2022 through March 31, 2022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24"/>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April 1, 2022 through June 30, 2022</w:t>
            </w:r>
          </w:p>
        </w:tc>
        <w:tc>
          <w:tcPr>
            <w:tcW w:w="1300" w:type="dxa"/>
            <w:vAlign w:val="bottom"/>
          </w:tcPr>
          <w:p>
            <w:pPr>
              <w:jc w:val="right"/>
              <w:spacing w:after="0"/>
              <w:rPr>
                <w:sz w:val="20"/>
                <w:szCs w:val="20"/>
                <w:color w:val="auto"/>
              </w:rPr>
            </w:pPr>
            <w:r>
              <w:rPr>
                <w:rFonts w:ascii="Arial" w:cs="Arial" w:eastAsia="Arial" w:hAnsi="Arial"/>
                <w:sz w:val="18"/>
                <w:szCs w:val="18"/>
                <w:color w:val="auto"/>
              </w:rPr>
              <w:t>67.8 %</w:t>
            </w:r>
          </w:p>
        </w:tc>
        <w:tc>
          <w:tcPr>
            <w:tcW w:w="10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68.0 %</w:t>
            </w:r>
          </w:p>
        </w:tc>
        <w:tc>
          <w:tcPr>
            <w:tcW w:w="12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-0.2 %</w:t>
            </w:r>
          </w:p>
        </w:tc>
      </w:tr>
    </w:tbl>
    <w:p>
      <w:pPr>
        <w:spacing w:after="0" w:line="32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Consumer Loans assigned in 2013 and 2018 through 2021 have yielded forecasted collection results significantly better than our initial estimates, while Consumer Loans assigned in 2015 and 2016 have yielded forecasted collection results significantly worse than our initial estimates. For all other assignment years presented, actual results have been close to our initial estimates. For the three months ended June 30, 2022, forecasted collection rates declined for Consumer Loans assigned in 2020 through 2022 and were generally consistent with expectations at the start of the period for all other assignment years presented. For the six months ended June 30, 2022, forecasted collection rates improved for Consumer Loans assigned in 2014, 2016, 2017 and 2019 through 2021, declined for Consumer Loans assigned in 2022, and were generally consistent with expectations at the start of the period for all other assignment years presented.</w:t>
      </w:r>
    </w:p>
    <w:p>
      <w:pPr>
        <w:spacing w:after="0" w:line="225"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The changes in forecasted collection rates for the three and six months ended June 30, 2022 and 2021 impacted forecasted net cash flows (forecasted collections less forecasted Dealer Holdback payments)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70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7"/>
                <w:szCs w:val="17"/>
                <w:color w:val="auto"/>
              </w:rPr>
            </w:pPr>
          </w:p>
        </w:tc>
        <w:tc>
          <w:tcPr>
            <w:tcW w:w="304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 June 30,</w:t>
            </w:r>
          </w:p>
        </w:tc>
        <w:tc>
          <w:tcPr>
            <w:tcW w:w="320" w:type="dxa"/>
            <w:vAlign w:val="bottom"/>
          </w:tcPr>
          <w:p>
            <w:pPr>
              <w:spacing w:after="0"/>
              <w:rPr>
                <w:sz w:val="17"/>
                <w:szCs w:val="17"/>
                <w:color w:val="auto"/>
              </w:rPr>
            </w:pPr>
          </w:p>
        </w:tc>
        <w:tc>
          <w:tcPr>
            <w:tcW w:w="2900" w:type="dxa"/>
            <w:vAlign w:val="bottom"/>
            <w:gridSpan w:val="4"/>
          </w:tcPr>
          <w:p>
            <w:pPr>
              <w:jc w:val="right"/>
              <w:ind w:right="456"/>
              <w:spacing w:after="0"/>
              <w:rPr>
                <w:sz w:val="20"/>
                <w:szCs w:val="20"/>
                <w:color w:val="auto"/>
              </w:rPr>
            </w:pPr>
            <w:r>
              <w:rPr>
                <w:rFonts w:ascii="Arial" w:cs="Arial" w:eastAsia="Arial" w:hAnsi="Arial"/>
                <w:sz w:val="14"/>
                <w:szCs w:val="14"/>
                <w:b w:val="1"/>
                <w:bCs w:val="1"/>
                <w:color w:val="auto"/>
              </w:rPr>
              <w:t>For the Six Months Ended June 30,</w:t>
            </w:r>
          </w:p>
        </w:tc>
      </w:tr>
      <w:tr>
        <w:trPr>
          <w:trHeight w:val="192"/>
        </w:trPr>
        <w:tc>
          <w:tcPr>
            <w:tcW w:w="460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Increase (Decrease) in Forecasted Net Cash Flows</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r>
      <w:tr>
        <w:trPr>
          <w:trHeight w:val="225"/>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Dealer Loans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r>
      <w:tr>
        <w:trPr>
          <w:trHeight w:val="225"/>
        </w:trPr>
        <w:tc>
          <w:tcPr>
            <w:tcW w:w="4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Purchased Loans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w:t>
            </w:r>
          </w:p>
        </w:tc>
      </w:tr>
      <w:tr>
        <w:trPr>
          <w:trHeight w:val="244"/>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568"/>
        </w:trPr>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ind w:right="458"/>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2"/>
        </w:trPr>
        <w:tc>
          <w:tcPr>
            <w:tcW w:w="4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7"/>
          <w:szCs w:val="17"/>
          <w:color w:val="auto"/>
        </w:rPr>
        <w:t>The COVID-19 pandemic created conditions that increased the level of uncertainty associated with our estimate of the amount and timing of future net cash flows from our Loan portfolio. During the first quarter of 2020, we applied a subjective adjustment to our forecasting model to reflect our best estimate of the future impact of the COVID-19 pandemic on future net cash flows (“COVID forecast adjustment”), which reduced our estimate of future net cash flows by $162.2 million. We continued to apply the COVID forecast adjustment through the end of 2021 as it continued to represent our best estimate. During the first quarter of 2022, we determined that we had sufficient Consumer Loan performance experience since the lapse of federal stimulus payments and enhanced unemployment benefits to refine our estimate of future net cash flows. Accordingly, during the first quarter of 2022, we removed the COVID forecast adjustment and enhanced our methodology for forecasting the amount and timing of future net cash flows from our Loan portfolio through the utilization of more recent data and new forecast variables. Under CECL, changes in the amount and timing of forecasted net cash flows are recorded as a provision for credit losses in the period of change.</w:t>
      </w:r>
    </w:p>
    <w:p>
      <w:pPr>
        <w:spacing w:after="0" w:line="211"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removal of the COVID forecast adjustment and the implementation of the enhanced forecasting methodology during the first quarter of 2022 impacted forecasted net cash flows and provision for credit losses as follows:</w:t>
      </w:r>
    </w:p>
    <w:p>
      <w:pPr>
        <w:spacing w:after="0" w:line="329" w:lineRule="exact"/>
        <w:rPr>
          <w:sz w:val="20"/>
          <w:szCs w:val="20"/>
          <w:color w:val="auto"/>
        </w:rPr>
      </w:pPr>
    </w:p>
    <w:tbl>
      <w:tblPr>
        <w:tblLayout w:type="fixed"/>
        <w:tblInd w:w="320" w:type="dxa"/>
        <w:tblCellMar>
          <w:top w:w="0" w:type="dxa"/>
          <w:left w:w="0" w:type="dxa"/>
          <w:bottom w:w="0" w:type="dxa"/>
          <w:right w:w="0" w:type="dxa"/>
        </w:tblCellMar>
      </w:tblPr>
      <w:tr>
        <w:trPr>
          <w:trHeight w:val="201"/>
        </w:trPr>
        <w:tc>
          <w:tcPr>
            <w:tcW w:w="7460" w:type="dxa"/>
            <w:vAlign w:val="bottom"/>
            <w:gridSpan w:val="2"/>
          </w:tcPr>
          <w:p>
            <w:pPr>
              <w:ind w:left="340"/>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4"/>
                <w:szCs w:val="14"/>
                <w:b w:val="1"/>
                <w:bCs w:val="1"/>
                <w:color w:val="auto"/>
              </w:rPr>
              <w:t>Increase / (Decrease) in</w:t>
            </w:r>
          </w:p>
        </w:tc>
        <w:tc>
          <w:tcPr>
            <w:tcW w:w="0" w:type="dxa"/>
            <w:vAlign w:val="bottom"/>
          </w:tcPr>
          <w:p>
            <w:pPr>
              <w:spacing w:after="0"/>
              <w:rPr>
                <w:sz w:val="1"/>
                <w:szCs w:val="1"/>
                <w:color w:val="auto"/>
              </w:rPr>
            </w:pPr>
          </w:p>
        </w:tc>
      </w:tr>
      <w:tr>
        <w:trPr>
          <w:trHeight w:val="133"/>
        </w:trPr>
        <w:tc>
          <w:tcPr>
            <w:tcW w:w="7360" w:type="dxa"/>
            <w:vAlign w:val="bottom"/>
            <w:vMerge w:val="restart"/>
          </w:tcPr>
          <w:p>
            <w:pPr>
              <w:ind w:left="2800"/>
              <w:spacing w:after="0"/>
              <w:rPr>
                <w:sz w:val="20"/>
                <w:szCs w:val="20"/>
                <w:color w:val="auto"/>
              </w:rPr>
            </w:pPr>
            <w:r>
              <w:rPr>
                <w:rFonts w:ascii="Arial" w:cs="Arial" w:eastAsia="Arial" w:hAnsi="Arial"/>
                <w:sz w:val="14"/>
                <w:szCs w:val="14"/>
                <w:b w:val="1"/>
                <w:bCs w:val="1"/>
                <w:color w:val="auto"/>
              </w:rPr>
              <w:t>Forecasting Methodology Changes</w:t>
            </w:r>
          </w:p>
        </w:tc>
        <w:tc>
          <w:tcPr>
            <w:tcW w:w="100" w:type="dxa"/>
            <w:vAlign w:val="bottom"/>
            <w:vMerge w:val="restart"/>
          </w:tcPr>
          <w:p>
            <w:pPr>
              <w:spacing w:after="0"/>
              <w:rPr>
                <w:sz w:val="11"/>
                <w:szCs w:val="11"/>
                <w:color w:val="auto"/>
              </w:rPr>
            </w:pPr>
          </w:p>
        </w:tc>
        <w:tc>
          <w:tcPr>
            <w:tcW w:w="440" w:type="dxa"/>
            <w:vAlign w:val="bottom"/>
          </w:tcPr>
          <w:p>
            <w:pPr>
              <w:spacing w:after="0"/>
              <w:rPr>
                <w:sz w:val="11"/>
                <w:szCs w:val="11"/>
                <w:color w:val="auto"/>
              </w:rPr>
            </w:pPr>
          </w:p>
        </w:tc>
        <w:tc>
          <w:tcPr>
            <w:tcW w:w="150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Forecasted Net Cash</w:t>
            </w:r>
          </w:p>
        </w:tc>
        <w:tc>
          <w:tcPr>
            <w:tcW w:w="440" w:type="dxa"/>
            <w:vAlign w:val="bottom"/>
          </w:tcPr>
          <w:p>
            <w:pPr>
              <w:spacing w:after="0"/>
              <w:rPr>
                <w:sz w:val="11"/>
                <w:szCs w:val="11"/>
                <w:color w:val="auto"/>
              </w:rPr>
            </w:pPr>
          </w:p>
        </w:tc>
        <w:tc>
          <w:tcPr>
            <w:tcW w:w="118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2"/>
              </w:rPr>
              <w:t>Provision for Credi</w:t>
            </w:r>
          </w:p>
        </w:tc>
        <w:tc>
          <w:tcPr>
            <w:tcW w:w="0" w:type="dxa"/>
            <w:vAlign w:val="bottom"/>
          </w:tcPr>
          <w:p>
            <w:pPr>
              <w:spacing w:after="0"/>
              <w:rPr>
                <w:sz w:val="1"/>
                <w:szCs w:val="1"/>
                <w:color w:val="auto"/>
              </w:rPr>
            </w:pPr>
          </w:p>
        </w:tc>
      </w:tr>
      <w:tr>
        <w:trPr>
          <w:trHeight w:val="192"/>
        </w:trPr>
        <w:tc>
          <w:tcPr>
            <w:tcW w:w="7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Flows</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25"/>
        </w:trPr>
        <w:tc>
          <w:tcPr>
            <w:tcW w:w="7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Removal of COVID forecast adjustment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5"/>
        </w:trPr>
        <w:tc>
          <w:tcPr>
            <w:tcW w:w="74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Implementation of enhanced forecasting methodology</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4"/>
        </w:trPr>
        <w:tc>
          <w:tcPr>
            <w:tcW w:w="7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information on the average Consumer Loan assignment for each of the last 10 years: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6"/>
              </w:rPr>
              <w:t>Average</w:t>
            </w:r>
          </w:p>
        </w:tc>
        <w:tc>
          <w:tcPr>
            <w:tcW w:w="1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5460" w:type="dxa"/>
            <w:vAlign w:val="bottom"/>
            <w:gridSpan w:val="2"/>
            <w:vMerge w:val="restart"/>
          </w:tcPr>
          <w:p>
            <w:pPr>
              <w:ind w:left="1660"/>
              <w:spacing w:after="0"/>
              <w:rPr>
                <w:sz w:val="20"/>
                <w:szCs w:val="20"/>
                <w:color w:val="auto"/>
              </w:rPr>
            </w:pPr>
            <w:r>
              <w:rPr>
                <w:rFonts w:ascii="Arial" w:cs="Arial" w:eastAsia="Arial" w:hAnsi="Arial"/>
                <w:sz w:val="14"/>
                <w:szCs w:val="14"/>
                <w:b w:val="1"/>
                <w:bCs w:val="1"/>
                <w:color w:val="auto"/>
              </w:rPr>
              <w:t>Consumer Loan Assignment Year</w:t>
            </w:r>
          </w:p>
        </w:tc>
        <w:tc>
          <w:tcPr>
            <w:tcW w:w="220" w:type="dxa"/>
            <w:vAlign w:val="bottom"/>
          </w:tcPr>
          <w:p>
            <w:pPr>
              <w:spacing w:after="0"/>
              <w:rPr>
                <w:sz w:val="11"/>
                <w:szCs w:val="11"/>
                <w:color w:val="auto"/>
              </w:rPr>
            </w:pPr>
          </w:p>
        </w:tc>
        <w:tc>
          <w:tcPr>
            <w:tcW w:w="1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Consumer Loan (1)</w:t>
            </w:r>
          </w:p>
        </w:tc>
        <w:tc>
          <w:tcPr>
            <w:tcW w:w="320" w:type="dxa"/>
            <w:vAlign w:val="bottom"/>
          </w:tcPr>
          <w:p>
            <w:pPr>
              <w:spacing w:after="0"/>
              <w:rPr>
                <w:sz w:val="11"/>
                <w:szCs w:val="11"/>
                <w:color w:val="auto"/>
              </w:rPr>
            </w:pPr>
          </w:p>
        </w:tc>
        <w:tc>
          <w:tcPr>
            <w:tcW w:w="16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Advance (2)</w:t>
            </w:r>
          </w:p>
        </w:tc>
        <w:tc>
          <w:tcPr>
            <w:tcW w:w="1840" w:type="dxa"/>
            <w:vAlign w:val="bottom"/>
          </w:tcPr>
          <w:p>
            <w:pPr>
              <w:jc w:val="right"/>
              <w:ind w:right="195"/>
              <w:spacing w:after="0" w:line="133" w:lineRule="exact"/>
              <w:rPr>
                <w:sz w:val="20"/>
                <w:szCs w:val="20"/>
                <w:color w:val="auto"/>
              </w:rPr>
            </w:pPr>
            <w:r>
              <w:rPr>
                <w:rFonts w:ascii="Arial" w:cs="Arial" w:eastAsia="Arial" w:hAnsi="Arial"/>
                <w:sz w:val="14"/>
                <w:szCs w:val="14"/>
                <w:b w:val="1"/>
                <w:bCs w:val="1"/>
                <w:color w:val="auto"/>
              </w:rPr>
              <w:t>Initial Loan Term (in</w:t>
            </w:r>
          </w:p>
        </w:tc>
        <w:tc>
          <w:tcPr>
            <w:tcW w:w="0" w:type="dxa"/>
            <w:vAlign w:val="bottom"/>
          </w:tcPr>
          <w:p>
            <w:pPr>
              <w:spacing w:after="0"/>
              <w:rPr>
                <w:sz w:val="1"/>
                <w:szCs w:val="1"/>
                <w:color w:val="auto"/>
              </w:rPr>
            </w:pPr>
          </w:p>
        </w:tc>
      </w:tr>
      <w:tr>
        <w:trPr>
          <w:trHeight w:val="192"/>
        </w:trPr>
        <w:tc>
          <w:tcPr>
            <w:tcW w:w="54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840" w:type="dxa"/>
            <w:vAlign w:val="bottom"/>
          </w:tcPr>
          <w:p>
            <w:pPr>
              <w:jc w:val="right"/>
              <w:ind w:right="595"/>
              <w:spacing w:after="0"/>
              <w:rPr>
                <w:sz w:val="20"/>
                <w:szCs w:val="20"/>
                <w:color w:val="auto"/>
              </w:rPr>
            </w:pPr>
            <w:r>
              <w:rPr>
                <w:rFonts w:ascii="Arial" w:cs="Arial" w:eastAsia="Arial" w:hAnsi="Arial"/>
                <w:sz w:val="14"/>
                <w:szCs w:val="14"/>
                <w:b w:val="1"/>
                <w:bCs w:val="1"/>
                <w:color w:val="auto"/>
              </w:rPr>
              <w:t>months)</w:t>
            </w:r>
          </w:p>
        </w:tc>
        <w:tc>
          <w:tcPr>
            <w:tcW w:w="0" w:type="dxa"/>
            <w:vAlign w:val="bottom"/>
          </w:tcPr>
          <w:p>
            <w:pPr>
              <w:spacing w:after="0"/>
              <w:rPr>
                <w:sz w:val="1"/>
                <w:szCs w:val="1"/>
                <w:color w:val="auto"/>
              </w:rPr>
            </w:pPr>
          </w:p>
        </w:tc>
      </w:tr>
      <w:tr>
        <w:trPr>
          <w:trHeight w:val="225"/>
        </w:trPr>
        <w:tc>
          <w:tcPr>
            <w:tcW w:w="5360" w:type="dxa"/>
            <w:vAlign w:val="bottom"/>
            <w:tcBorders>
              <w:top w:val="single" w:sz="8" w:color="auto"/>
            </w:tcBorders>
            <w:shd w:val="clear" w:color="auto" w:fill="CCEEFF"/>
          </w:tcPr>
          <w:p>
            <w:pPr>
              <w:ind w:left="2500"/>
              <w:spacing w:after="0"/>
              <w:rPr>
                <w:sz w:val="20"/>
                <w:szCs w:val="20"/>
                <w:color w:val="auto"/>
              </w:rPr>
            </w:pPr>
            <w:r>
              <w:rPr>
                <w:rFonts w:ascii="Arial" w:cs="Arial" w:eastAsia="Arial" w:hAnsi="Arial"/>
                <w:sz w:val="18"/>
                <w:szCs w:val="18"/>
                <w:color w:val="auto"/>
              </w:rPr>
              <w:t>2013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7,344</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5"/>
        </w:trPr>
        <w:tc>
          <w:tcPr>
            <w:tcW w:w="5360" w:type="dxa"/>
            <w:vAlign w:val="bottom"/>
          </w:tcPr>
          <w:p>
            <w:pPr>
              <w:ind w:left="250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15,692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7,492</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6"/>
        </w:trPr>
        <w:tc>
          <w:tcPr>
            <w:tcW w:w="5360" w:type="dxa"/>
            <w:vAlign w:val="bottom"/>
            <w:shd w:val="clear" w:color="auto" w:fill="CCEEFF"/>
          </w:tcPr>
          <w:p>
            <w:pPr>
              <w:ind w:left="250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5"/>
        </w:trPr>
        <w:tc>
          <w:tcPr>
            <w:tcW w:w="5360" w:type="dxa"/>
            <w:vAlign w:val="bottom"/>
          </w:tcPr>
          <w:p>
            <w:pPr>
              <w:ind w:left="250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18,218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7,976</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6"/>
        </w:trPr>
        <w:tc>
          <w:tcPr>
            <w:tcW w:w="5360" w:type="dxa"/>
            <w:vAlign w:val="bottom"/>
            <w:shd w:val="clear" w:color="auto" w:fill="CCEEFF"/>
          </w:tcPr>
          <w:p>
            <w:pPr>
              <w:ind w:left="250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8,746</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5"/>
        </w:trPr>
        <w:tc>
          <w:tcPr>
            <w:tcW w:w="5360" w:type="dxa"/>
            <w:vAlign w:val="bottom"/>
          </w:tcPr>
          <w:p>
            <w:pPr>
              <w:ind w:left="250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22,158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9,635</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6"/>
        </w:trPr>
        <w:tc>
          <w:tcPr>
            <w:tcW w:w="5360" w:type="dxa"/>
            <w:vAlign w:val="bottom"/>
            <w:shd w:val="clear" w:color="auto" w:fill="CCEEFF"/>
          </w:tcPr>
          <w:p>
            <w:pPr>
              <w:ind w:left="250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10,174</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5"/>
        </w:trPr>
        <w:tc>
          <w:tcPr>
            <w:tcW w:w="5360" w:type="dxa"/>
            <w:vAlign w:val="bottom"/>
          </w:tcPr>
          <w:p>
            <w:pPr>
              <w:ind w:left="250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24,262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10,656</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6"/>
        </w:trPr>
        <w:tc>
          <w:tcPr>
            <w:tcW w:w="5360" w:type="dxa"/>
            <w:vAlign w:val="bottom"/>
            <w:shd w:val="clear" w:color="auto" w:fill="CCEEFF"/>
          </w:tcPr>
          <w:p>
            <w:pPr>
              <w:ind w:left="250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11,790</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4"/>
        </w:trPr>
        <w:tc>
          <w:tcPr>
            <w:tcW w:w="5360" w:type="dxa"/>
            <w:vAlign w:val="bottom"/>
          </w:tcPr>
          <w:p>
            <w:pPr>
              <w:ind w:left="2480"/>
              <w:spacing w:after="0"/>
              <w:rPr>
                <w:sz w:val="20"/>
                <w:szCs w:val="20"/>
                <w:color w:val="auto"/>
              </w:rPr>
            </w:pPr>
            <w:r>
              <w:rPr>
                <w:rFonts w:ascii="Arial" w:cs="Arial" w:eastAsia="Arial" w:hAnsi="Arial"/>
                <w:sz w:val="18"/>
                <w:szCs w:val="18"/>
                <w:color w:val="auto"/>
              </w:rPr>
              <w:t>2022 (3)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27,118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12,995</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480" w:hanging="315"/>
        <w:spacing w:after="0"/>
        <w:tabs>
          <w:tab w:leader="none" w:pos="4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the repayments that we were contractually owed on Consumer Loans at the time of assignment, which include both principal and interest.</w:t>
      </w:r>
    </w:p>
    <w:p>
      <w:pPr>
        <w:spacing w:after="0" w:line="10" w:lineRule="exact"/>
        <w:rPr>
          <w:rFonts w:ascii="Arial" w:cs="Arial" w:eastAsia="Arial" w:hAnsi="Arial"/>
          <w:sz w:val="14"/>
          <w:szCs w:val="14"/>
          <w:color w:val="auto"/>
        </w:rPr>
      </w:pPr>
    </w:p>
    <w:p>
      <w:pPr>
        <w:ind w:left="480" w:right="100" w:hanging="315"/>
        <w:spacing w:after="0" w:line="237" w:lineRule="auto"/>
        <w:tabs>
          <w:tab w:leader="none" w:pos="472"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ind w:left="480" w:right="2420" w:hanging="315"/>
        <w:spacing w:after="0" w:line="247" w:lineRule="auto"/>
        <w:tabs>
          <w:tab w:leader="none" w:pos="472"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averages for 2022 Consumer Loans include both Consumer Loans that were in our portfolio as of March 31, 2022 and Consumer Loans assigned during the most recent quarter. The following table provides averages for each of these segments: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8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Average</w:t>
            </w:r>
          </w:p>
        </w:tc>
        <w:tc>
          <w:tcPr>
            <w:tcW w:w="1760" w:type="dxa"/>
            <w:vAlign w:val="bottom"/>
            <w:tcBorders>
              <w:bottom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480" w:type="dxa"/>
            <w:vAlign w:val="bottom"/>
          </w:tcPr>
          <w:p>
            <w:pPr>
              <w:spacing w:after="0"/>
              <w:rPr>
                <w:sz w:val="11"/>
                <w:szCs w:val="11"/>
                <w:color w:val="auto"/>
              </w:rPr>
            </w:pPr>
          </w:p>
        </w:tc>
        <w:tc>
          <w:tcPr>
            <w:tcW w:w="462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2022 Consumer Loan Assignment Period</w:t>
            </w:r>
          </w:p>
        </w:tc>
        <w:tc>
          <w:tcPr>
            <w:tcW w:w="1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Consumer Loan</w:t>
            </w:r>
          </w:p>
        </w:tc>
        <w:tc>
          <w:tcPr>
            <w:tcW w:w="100" w:type="dxa"/>
            <w:vAlign w:val="bottom"/>
            <w:vMerge w:val="restart"/>
          </w:tcPr>
          <w:p>
            <w:pPr>
              <w:spacing w:after="0"/>
              <w:rPr>
                <w:sz w:val="11"/>
                <w:szCs w:val="11"/>
                <w:color w:val="auto"/>
              </w:rPr>
            </w:pPr>
          </w:p>
        </w:tc>
        <w:tc>
          <w:tcPr>
            <w:tcW w:w="360" w:type="dxa"/>
            <w:vAlign w:val="bottom"/>
          </w:tcPr>
          <w:p>
            <w:pPr>
              <w:spacing w:after="0"/>
              <w:rPr>
                <w:sz w:val="11"/>
                <w:szCs w:val="11"/>
                <w:color w:val="auto"/>
              </w:rPr>
            </w:pPr>
          </w:p>
        </w:tc>
        <w:tc>
          <w:tcPr>
            <w:tcW w:w="1400" w:type="dxa"/>
            <w:vAlign w:val="bottom"/>
            <w:vMerge w:val="restart"/>
          </w:tcPr>
          <w:p>
            <w:pPr>
              <w:jc w:val="right"/>
              <w:ind w:right="541"/>
              <w:spacing w:after="0"/>
              <w:rPr>
                <w:sz w:val="20"/>
                <w:szCs w:val="20"/>
                <w:color w:val="auto"/>
              </w:rPr>
            </w:pPr>
            <w:r>
              <w:rPr>
                <w:rFonts w:ascii="Arial" w:cs="Arial" w:eastAsia="Arial" w:hAnsi="Arial"/>
                <w:sz w:val="14"/>
                <w:szCs w:val="14"/>
                <w:b w:val="1"/>
                <w:bCs w:val="1"/>
                <w:color w:val="auto"/>
              </w:rPr>
              <w:t>Advance</w:t>
            </w:r>
          </w:p>
        </w:tc>
        <w:tc>
          <w:tcPr>
            <w:tcW w:w="100" w:type="dxa"/>
            <w:vAlign w:val="bottom"/>
            <w:vMerge w:val="restart"/>
          </w:tcPr>
          <w:p>
            <w:pPr>
              <w:spacing w:after="0"/>
              <w:rPr>
                <w:sz w:val="11"/>
                <w:szCs w:val="11"/>
                <w:color w:val="auto"/>
              </w:rPr>
            </w:pPr>
          </w:p>
        </w:tc>
        <w:tc>
          <w:tcPr>
            <w:tcW w:w="1760" w:type="dxa"/>
            <w:vAlign w:val="bottom"/>
          </w:tcPr>
          <w:p>
            <w:pPr>
              <w:jc w:val="right"/>
              <w:ind w:right="161"/>
              <w:spacing w:after="0" w:line="133" w:lineRule="exact"/>
              <w:rPr>
                <w:sz w:val="20"/>
                <w:szCs w:val="20"/>
                <w:color w:val="auto"/>
              </w:rPr>
            </w:pPr>
            <w:r>
              <w:rPr>
                <w:rFonts w:ascii="Arial" w:cs="Arial" w:eastAsia="Arial" w:hAnsi="Arial"/>
                <w:sz w:val="14"/>
                <w:szCs w:val="14"/>
                <w:b w:val="1"/>
                <w:bCs w:val="1"/>
                <w:color w:val="auto"/>
              </w:rPr>
              <w:t>Initial Loan Term (in</w:t>
            </w: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480" w:type="dxa"/>
            <w:vAlign w:val="bottom"/>
          </w:tcPr>
          <w:p>
            <w:pPr>
              <w:spacing w:after="0"/>
              <w:rPr>
                <w:sz w:val="16"/>
                <w:szCs w:val="16"/>
                <w:color w:val="auto"/>
              </w:rPr>
            </w:pPr>
          </w:p>
        </w:tc>
        <w:tc>
          <w:tcPr>
            <w:tcW w:w="4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months)</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80" w:type="dxa"/>
            <w:vAlign w:val="bottom"/>
          </w:tcPr>
          <w:p>
            <w:pPr>
              <w:spacing w:after="0"/>
              <w:rPr>
                <w:sz w:val="19"/>
                <w:szCs w:val="19"/>
                <w:color w:val="auto"/>
              </w:rPr>
            </w:pP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1, 2022 through March 31, 2022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58</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April 1, 2022 through June 30, 2022</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27,731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13,312</w:t>
            </w:r>
          </w:p>
        </w:tc>
        <w:tc>
          <w:tcPr>
            <w:tcW w:w="100" w:type="dxa"/>
            <w:vAlign w:val="bottom"/>
          </w:tcPr>
          <w:p>
            <w:pPr>
              <w:spacing w:after="0"/>
              <w:rPr>
                <w:sz w:val="19"/>
                <w:szCs w:val="19"/>
                <w:color w:val="auto"/>
              </w:rPr>
            </w:pPr>
          </w:p>
        </w:tc>
        <w:tc>
          <w:tcPr>
            <w:tcW w:w="1760" w:type="dxa"/>
            <w:vAlign w:val="bottom"/>
          </w:tcPr>
          <w:p>
            <w:pPr>
              <w:jc w:val="right"/>
              <w:ind w:right="1"/>
              <w:spacing w:after="0"/>
              <w:rPr>
                <w:sz w:val="20"/>
                <w:szCs w:val="20"/>
                <w:color w:val="auto"/>
              </w:rPr>
            </w:pPr>
            <w:r>
              <w:rPr>
                <w:rFonts w:ascii="Arial" w:cs="Arial" w:eastAsia="Arial" w:hAnsi="Arial"/>
                <w:sz w:val="18"/>
                <w:szCs w:val="18"/>
                <w:color w:val="auto"/>
              </w:rPr>
              <w:t>60</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5"/>
        </w:trPr>
        <w:tc>
          <w:tcPr>
            <w:tcW w:w="4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jc w:val="right"/>
              <w:ind w:right="1176"/>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48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Forecasting collection rates accurately at Loan inception is difficult. With this in mind, we establish advance rates that are intended to allow us to achieve acceptable levels of profitability, even if collection rates are less than we initially forecast.</w:t>
      </w:r>
    </w:p>
    <w:p>
      <w:pPr>
        <w:spacing w:after="0" w:line="20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following table presents forecasted Consumer Loan collection rates, advance rates, the spread (the forecasted collection rate less the advance rate), and the percentage of the forecasted collections that had been realized as of June 30, 2022. All amounts, unless otherwise noted, are presented as a percentage of the initial balance of the Consumer Loan (principal + interest). The table includes both Dealer Loans and Purchased Loans.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As of June 30, 2022</w:t>
            </w: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5400" w:type="dxa"/>
            <w:vAlign w:val="bottom"/>
            <w:gridSpan w:val="2"/>
            <w:vMerge w:val="restart"/>
          </w:tcPr>
          <w:p>
            <w:pPr>
              <w:ind w:left="1640"/>
              <w:spacing w:after="0"/>
              <w:rPr>
                <w:sz w:val="20"/>
                <w:szCs w:val="20"/>
                <w:color w:val="auto"/>
              </w:rPr>
            </w:pPr>
            <w:r>
              <w:rPr>
                <w:rFonts w:ascii="Arial" w:cs="Arial" w:eastAsia="Arial" w:hAnsi="Arial"/>
                <w:sz w:val="14"/>
                <w:szCs w:val="14"/>
                <w:b w:val="1"/>
                <w:bCs w:val="1"/>
                <w:color w:val="auto"/>
              </w:rPr>
              <w:t>Consumer Loan Assignment Year</w:t>
            </w:r>
          </w:p>
        </w:tc>
        <w:tc>
          <w:tcPr>
            <w:tcW w:w="148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w w:val="97"/>
              </w:rPr>
              <w:t>Forecasted Collection</w:t>
            </w:r>
          </w:p>
        </w:tc>
        <w:tc>
          <w:tcPr>
            <w:tcW w:w="14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Advance % (1)</w:t>
            </w:r>
          </w:p>
        </w:tc>
        <w:tc>
          <w:tcPr>
            <w:tcW w:w="14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Spread %</w:t>
            </w:r>
          </w:p>
        </w:tc>
        <w:tc>
          <w:tcPr>
            <w:tcW w:w="1360" w:type="dxa"/>
            <w:vAlign w:val="bottom"/>
          </w:tcPr>
          <w:p>
            <w:pPr>
              <w:jc w:val="right"/>
              <w:ind w:right="175"/>
              <w:spacing w:after="0" w:line="133" w:lineRule="exact"/>
              <w:rPr>
                <w:sz w:val="20"/>
                <w:szCs w:val="20"/>
                <w:color w:val="auto"/>
              </w:rPr>
            </w:pPr>
            <w:r>
              <w:rPr>
                <w:rFonts w:ascii="Arial" w:cs="Arial" w:eastAsia="Arial" w:hAnsi="Arial"/>
                <w:sz w:val="14"/>
                <w:szCs w:val="14"/>
                <w:b w:val="1"/>
                <w:bCs w:val="1"/>
                <w:color w:val="auto"/>
              </w:rPr>
              <w:t>% of Forecast</w:t>
            </w:r>
          </w:p>
        </w:tc>
        <w:tc>
          <w:tcPr>
            <w:tcW w:w="0" w:type="dxa"/>
            <w:vAlign w:val="bottom"/>
          </w:tcPr>
          <w:p>
            <w:pPr>
              <w:spacing w:after="0"/>
              <w:rPr>
                <w:sz w:val="1"/>
                <w:szCs w:val="1"/>
                <w:color w:val="auto"/>
              </w:rPr>
            </w:pPr>
          </w:p>
        </w:tc>
      </w:tr>
      <w:tr>
        <w:trPr>
          <w:trHeight w:val="192"/>
        </w:trPr>
        <w:tc>
          <w:tcPr>
            <w:tcW w:w="5400" w:type="dxa"/>
            <w:vAlign w:val="bottom"/>
            <w:gridSpan w:val="2"/>
            <w:vMerge w:val="continue"/>
          </w:tcPr>
          <w:p>
            <w:pPr>
              <w:spacing w:after="0"/>
              <w:rPr>
                <w:sz w:val="16"/>
                <w:szCs w:val="16"/>
                <w:color w:val="auto"/>
              </w:rPr>
            </w:pPr>
          </w:p>
        </w:tc>
        <w:tc>
          <w:tcPr>
            <w:tcW w:w="1380" w:type="dxa"/>
            <w:vAlign w:val="bottom"/>
          </w:tcPr>
          <w:p>
            <w:pPr>
              <w:jc w:val="right"/>
              <w:ind w:right="53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360" w:type="dxa"/>
            <w:vAlign w:val="bottom"/>
          </w:tcPr>
          <w:p>
            <w:pPr>
              <w:jc w:val="right"/>
              <w:ind w:right="235"/>
              <w:spacing w:after="0"/>
              <w:rPr>
                <w:sz w:val="20"/>
                <w:szCs w:val="20"/>
                <w:color w:val="auto"/>
              </w:rPr>
            </w:pPr>
            <w:r>
              <w:rPr>
                <w:rFonts w:ascii="Arial" w:cs="Arial" w:eastAsia="Arial" w:hAnsi="Arial"/>
                <w:sz w:val="14"/>
                <w:szCs w:val="14"/>
                <w:b w:val="1"/>
                <w:bCs w:val="1"/>
                <w:color w:val="auto"/>
              </w:rPr>
              <w:t>Realized (2)</w:t>
            </w:r>
          </w:p>
        </w:tc>
        <w:tc>
          <w:tcPr>
            <w:tcW w:w="0" w:type="dxa"/>
            <w:vAlign w:val="bottom"/>
          </w:tcPr>
          <w:p>
            <w:pPr>
              <w:spacing w:after="0"/>
              <w:rPr>
                <w:sz w:val="1"/>
                <w:szCs w:val="1"/>
                <w:color w:val="auto"/>
              </w:rPr>
            </w:pPr>
          </w:p>
        </w:tc>
      </w:tr>
      <w:tr>
        <w:trPr>
          <w:trHeight w:val="225"/>
        </w:trPr>
        <w:tc>
          <w:tcPr>
            <w:tcW w:w="5300" w:type="dxa"/>
            <w:vAlign w:val="bottom"/>
            <w:tcBorders>
              <w:top w:val="single" w:sz="8" w:color="auto"/>
            </w:tcBorders>
            <w:shd w:val="clear" w:color="auto" w:fill="CCEEFF"/>
          </w:tcPr>
          <w:p>
            <w:pPr>
              <w:ind w:left="2480"/>
              <w:spacing w:after="0"/>
              <w:rPr>
                <w:sz w:val="20"/>
                <w:szCs w:val="20"/>
                <w:color w:val="auto"/>
              </w:rPr>
            </w:pPr>
            <w:r>
              <w:rPr>
                <w:rFonts w:ascii="Arial" w:cs="Arial" w:eastAsia="Arial" w:hAnsi="Arial"/>
                <w:sz w:val="18"/>
                <w:szCs w:val="18"/>
                <w:color w:val="auto"/>
              </w:rPr>
              <w:t>2013</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9"/>
              </w:rPr>
              <w:t>47.6 %</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25.8 %</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99.7 %</w:t>
            </w:r>
          </w:p>
        </w:tc>
        <w:tc>
          <w:tcPr>
            <w:tcW w:w="0" w:type="dxa"/>
            <w:vAlign w:val="bottom"/>
          </w:tcPr>
          <w:p>
            <w:pPr>
              <w:spacing w:after="0"/>
              <w:rPr>
                <w:sz w:val="1"/>
                <w:szCs w:val="1"/>
                <w:color w:val="auto"/>
              </w:rPr>
            </w:pPr>
          </w:p>
        </w:tc>
      </w:tr>
      <w:tr>
        <w:trPr>
          <w:trHeight w:val="225"/>
        </w:trPr>
        <w:tc>
          <w:tcPr>
            <w:tcW w:w="5300" w:type="dxa"/>
            <w:vAlign w:val="bottom"/>
          </w:tcPr>
          <w:p>
            <w:pPr>
              <w:ind w:left="248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71.7 %</w:t>
            </w:r>
          </w:p>
        </w:tc>
        <w:tc>
          <w:tcPr>
            <w:tcW w:w="100" w:type="dxa"/>
            <w:vAlign w:val="bottom"/>
          </w:tcPr>
          <w:p>
            <w:pPr>
              <w:spacing w:after="0"/>
              <w:rPr>
                <w:sz w:val="19"/>
                <w:szCs w:val="19"/>
                <w:color w:val="auto"/>
              </w:rPr>
            </w:pPr>
          </w:p>
        </w:tc>
        <w:tc>
          <w:tcPr>
            <w:tcW w:w="1360" w:type="dxa"/>
            <w:vAlign w:val="bottom"/>
          </w:tcPr>
          <w:p>
            <w:pPr>
              <w:ind w:left="840"/>
              <w:spacing w:after="0"/>
              <w:rPr>
                <w:sz w:val="20"/>
                <w:szCs w:val="20"/>
                <w:color w:val="auto"/>
              </w:rPr>
            </w:pPr>
            <w:r>
              <w:rPr>
                <w:rFonts w:ascii="Arial" w:cs="Arial" w:eastAsia="Arial" w:hAnsi="Arial"/>
                <w:sz w:val="18"/>
                <w:szCs w:val="18"/>
                <w:color w:val="auto"/>
                <w:w w:val="89"/>
              </w:rPr>
              <w:t>47.7 %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24.0 %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99.4 %</w:t>
            </w:r>
          </w:p>
        </w:tc>
        <w:tc>
          <w:tcPr>
            <w:tcW w:w="0" w:type="dxa"/>
            <w:vAlign w:val="bottom"/>
          </w:tcPr>
          <w:p>
            <w:pPr>
              <w:spacing w:after="0"/>
              <w:rPr>
                <w:sz w:val="1"/>
                <w:szCs w:val="1"/>
                <w:color w:val="auto"/>
              </w:rPr>
            </w:pPr>
          </w:p>
        </w:tc>
      </w:tr>
      <w:tr>
        <w:trPr>
          <w:trHeight w:val="226"/>
        </w:trPr>
        <w:tc>
          <w:tcPr>
            <w:tcW w:w="530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9"/>
              </w:rPr>
              <w:t>44.5 %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98.9 %</w:t>
            </w:r>
          </w:p>
        </w:tc>
        <w:tc>
          <w:tcPr>
            <w:tcW w:w="0" w:type="dxa"/>
            <w:vAlign w:val="bottom"/>
          </w:tcPr>
          <w:p>
            <w:pPr>
              <w:spacing w:after="0"/>
              <w:rPr>
                <w:sz w:val="1"/>
                <w:szCs w:val="1"/>
                <w:color w:val="auto"/>
              </w:rPr>
            </w:pPr>
          </w:p>
        </w:tc>
      </w:tr>
      <w:tr>
        <w:trPr>
          <w:trHeight w:val="225"/>
        </w:trPr>
        <w:tc>
          <w:tcPr>
            <w:tcW w:w="5300" w:type="dxa"/>
            <w:vAlign w:val="bottom"/>
          </w:tcPr>
          <w:p>
            <w:pPr>
              <w:ind w:left="248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63.8 %</w:t>
            </w:r>
          </w:p>
        </w:tc>
        <w:tc>
          <w:tcPr>
            <w:tcW w:w="100" w:type="dxa"/>
            <w:vAlign w:val="bottom"/>
          </w:tcPr>
          <w:p>
            <w:pPr>
              <w:spacing w:after="0"/>
              <w:rPr>
                <w:sz w:val="19"/>
                <w:szCs w:val="19"/>
                <w:color w:val="auto"/>
              </w:rPr>
            </w:pPr>
          </w:p>
        </w:tc>
        <w:tc>
          <w:tcPr>
            <w:tcW w:w="1360" w:type="dxa"/>
            <w:vAlign w:val="bottom"/>
          </w:tcPr>
          <w:p>
            <w:pPr>
              <w:ind w:left="840"/>
              <w:spacing w:after="0"/>
              <w:rPr>
                <w:sz w:val="20"/>
                <w:szCs w:val="20"/>
                <w:color w:val="auto"/>
              </w:rPr>
            </w:pPr>
            <w:r>
              <w:rPr>
                <w:rFonts w:ascii="Arial" w:cs="Arial" w:eastAsia="Arial" w:hAnsi="Arial"/>
                <w:sz w:val="18"/>
                <w:szCs w:val="18"/>
                <w:color w:val="auto"/>
                <w:w w:val="89"/>
              </w:rPr>
              <w:t>43.8 %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98.1 %</w:t>
            </w:r>
          </w:p>
        </w:tc>
        <w:tc>
          <w:tcPr>
            <w:tcW w:w="0" w:type="dxa"/>
            <w:vAlign w:val="bottom"/>
          </w:tcPr>
          <w:p>
            <w:pPr>
              <w:spacing w:after="0"/>
              <w:rPr>
                <w:sz w:val="1"/>
                <w:szCs w:val="1"/>
                <w:color w:val="auto"/>
              </w:rPr>
            </w:pPr>
          </w:p>
        </w:tc>
      </w:tr>
      <w:tr>
        <w:trPr>
          <w:trHeight w:val="226"/>
        </w:trPr>
        <w:tc>
          <w:tcPr>
            <w:tcW w:w="530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9"/>
              </w:rPr>
              <w:t>43.2 %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95.7 %</w:t>
            </w:r>
          </w:p>
        </w:tc>
        <w:tc>
          <w:tcPr>
            <w:tcW w:w="0" w:type="dxa"/>
            <w:vAlign w:val="bottom"/>
          </w:tcPr>
          <w:p>
            <w:pPr>
              <w:spacing w:after="0"/>
              <w:rPr>
                <w:sz w:val="1"/>
                <w:szCs w:val="1"/>
                <w:color w:val="auto"/>
              </w:rPr>
            </w:pPr>
          </w:p>
        </w:tc>
      </w:tr>
      <w:tr>
        <w:trPr>
          <w:trHeight w:val="225"/>
        </w:trPr>
        <w:tc>
          <w:tcPr>
            <w:tcW w:w="5300" w:type="dxa"/>
            <w:vAlign w:val="bottom"/>
          </w:tcPr>
          <w:p>
            <w:pPr>
              <w:ind w:left="248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65.1 %</w:t>
            </w:r>
          </w:p>
        </w:tc>
        <w:tc>
          <w:tcPr>
            <w:tcW w:w="100" w:type="dxa"/>
            <w:vAlign w:val="bottom"/>
          </w:tcPr>
          <w:p>
            <w:pPr>
              <w:spacing w:after="0"/>
              <w:rPr>
                <w:sz w:val="19"/>
                <w:szCs w:val="19"/>
                <w:color w:val="auto"/>
              </w:rPr>
            </w:pPr>
          </w:p>
        </w:tc>
        <w:tc>
          <w:tcPr>
            <w:tcW w:w="1360" w:type="dxa"/>
            <w:vAlign w:val="bottom"/>
          </w:tcPr>
          <w:p>
            <w:pPr>
              <w:ind w:left="840"/>
              <w:spacing w:after="0"/>
              <w:rPr>
                <w:sz w:val="20"/>
                <w:szCs w:val="20"/>
                <w:color w:val="auto"/>
              </w:rPr>
            </w:pPr>
            <w:r>
              <w:rPr>
                <w:rFonts w:ascii="Arial" w:cs="Arial" w:eastAsia="Arial" w:hAnsi="Arial"/>
                <w:sz w:val="18"/>
                <w:szCs w:val="18"/>
                <w:color w:val="auto"/>
                <w:w w:val="89"/>
              </w:rPr>
              <w:t>43.5 %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21.6 %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88.9 %</w:t>
            </w:r>
          </w:p>
        </w:tc>
        <w:tc>
          <w:tcPr>
            <w:tcW w:w="0" w:type="dxa"/>
            <w:vAlign w:val="bottom"/>
          </w:tcPr>
          <w:p>
            <w:pPr>
              <w:spacing w:after="0"/>
              <w:rPr>
                <w:sz w:val="1"/>
                <w:szCs w:val="1"/>
                <w:color w:val="auto"/>
              </w:rPr>
            </w:pPr>
          </w:p>
        </w:tc>
      </w:tr>
      <w:tr>
        <w:trPr>
          <w:trHeight w:val="226"/>
        </w:trPr>
        <w:tc>
          <w:tcPr>
            <w:tcW w:w="530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9"/>
              </w:rPr>
              <w:t>44.0 %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77.1 %</w:t>
            </w:r>
          </w:p>
        </w:tc>
        <w:tc>
          <w:tcPr>
            <w:tcW w:w="0" w:type="dxa"/>
            <w:vAlign w:val="bottom"/>
          </w:tcPr>
          <w:p>
            <w:pPr>
              <w:spacing w:after="0"/>
              <w:rPr>
                <w:sz w:val="1"/>
                <w:szCs w:val="1"/>
                <w:color w:val="auto"/>
              </w:rPr>
            </w:pPr>
          </w:p>
        </w:tc>
      </w:tr>
      <w:tr>
        <w:trPr>
          <w:trHeight w:val="225"/>
        </w:trPr>
        <w:tc>
          <w:tcPr>
            <w:tcW w:w="5300" w:type="dxa"/>
            <w:vAlign w:val="bottom"/>
          </w:tcPr>
          <w:p>
            <w:pPr>
              <w:ind w:left="248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68.4 %</w:t>
            </w:r>
          </w:p>
        </w:tc>
        <w:tc>
          <w:tcPr>
            <w:tcW w:w="100" w:type="dxa"/>
            <w:vAlign w:val="bottom"/>
          </w:tcPr>
          <w:p>
            <w:pPr>
              <w:spacing w:after="0"/>
              <w:rPr>
                <w:sz w:val="19"/>
                <w:szCs w:val="19"/>
                <w:color w:val="auto"/>
              </w:rPr>
            </w:pPr>
          </w:p>
        </w:tc>
        <w:tc>
          <w:tcPr>
            <w:tcW w:w="1360" w:type="dxa"/>
            <w:vAlign w:val="bottom"/>
          </w:tcPr>
          <w:p>
            <w:pPr>
              <w:ind w:left="840"/>
              <w:spacing w:after="0"/>
              <w:rPr>
                <w:sz w:val="20"/>
                <w:szCs w:val="20"/>
                <w:color w:val="auto"/>
              </w:rPr>
            </w:pPr>
            <w:r>
              <w:rPr>
                <w:rFonts w:ascii="Arial" w:cs="Arial" w:eastAsia="Arial" w:hAnsi="Arial"/>
                <w:sz w:val="18"/>
                <w:szCs w:val="18"/>
                <w:color w:val="auto"/>
                <w:w w:val="89"/>
              </w:rPr>
              <w:t>43.9 %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24.5 %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59.6 %</w:t>
            </w:r>
          </w:p>
        </w:tc>
        <w:tc>
          <w:tcPr>
            <w:tcW w:w="0" w:type="dxa"/>
            <w:vAlign w:val="bottom"/>
          </w:tcPr>
          <w:p>
            <w:pPr>
              <w:spacing w:after="0"/>
              <w:rPr>
                <w:sz w:val="1"/>
                <w:szCs w:val="1"/>
                <w:color w:val="auto"/>
              </w:rPr>
            </w:pPr>
          </w:p>
        </w:tc>
      </w:tr>
      <w:tr>
        <w:trPr>
          <w:trHeight w:val="226"/>
        </w:trPr>
        <w:tc>
          <w:tcPr>
            <w:tcW w:w="530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9"/>
              </w:rPr>
              <w:t>46.0 %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33.8 %</w:t>
            </w:r>
          </w:p>
        </w:tc>
        <w:tc>
          <w:tcPr>
            <w:tcW w:w="0" w:type="dxa"/>
            <w:vAlign w:val="bottom"/>
          </w:tcPr>
          <w:p>
            <w:pPr>
              <w:spacing w:after="0"/>
              <w:rPr>
                <w:sz w:val="1"/>
                <w:szCs w:val="1"/>
                <w:color w:val="auto"/>
              </w:rPr>
            </w:pPr>
          </w:p>
        </w:tc>
      </w:tr>
      <w:tr>
        <w:trPr>
          <w:trHeight w:val="224"/>
        </w:trPr>
        <w:tc>
          <w:tcPr>
            <w:tcW w:w="5300" w:type="dxa"/>
            <w:vAlign w:val="bottom"/>
          </w:tcPr>
          <w:p>
            <w:pPr>
              <w:ind w:left="2460"/>
              <w:spacing w:after="0"/>
              <w:rPr>
                <w:sz w:val="20"/>
                <w:szCs w:val="20"/>
                <w:color w:val="auto"/>
              </w:rPr>
            </w:pPr>
            <w:r>
              <w:rPr>
                <w:rFonts w:ascii="Arial" w:cs="Arial" w:eastAsia="Arial" w:hAnsi="Arial"/>
                <w:sz w:val="18"/>
                <w:szCs w:val="18"/>
                <w:color w:val="auto"/>
              </w:rPr>
              <w:t>2022 (3)</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67.1 %</w:t>
            </w:r>
          </w:p>
        </w:tc>
        <w:tc>
          <w:tcPr>
            <w:tcW w:w="100" w:type="dxa"/>
            <w:vAlign w:val="bottom"/>
          </w:tcPr>
          <w:p>
            <w:pPr>
              <w:spacing w:after="0"/>
              <w:rPr>
                <w:sz w:val="19"/>
                <w:szCs w:val="19"/>
                <w:color w:val="auto"/>
              </w:rPr>
            </w:pPr>
          </w:p>
        </w:tc>
        <w:tc>
          <w:tcPr>
            <w:tcW w:w="1360" w:type="dxa"/>
            <w:vAlign w:val="bottom"/>
          </w:tcPr>
          <w:p>
            <w:pPr>
              <w:ind w:left="840"/>
              <w:spacing w:after="0"/>
              <w:rPr>
                <w:sz w:val="20"/>
                <w:szCs w:val="20"/>
                <w:color w:val="auto"/>
              </w:rPr>
            </w:pPr>
            <w:r>
              <w:rPr>
                <w:rFonts w:ascii="Arial" w:cs="Arial" w:eastAsia="Arial" w:hAnsi="Arial"/>
                <w:sz w:val="18"/>
                <w:szCs w:val="18"/>
                <w:color w:val="auto"/>
                <w:w w:val="89"/>
              </w:rPr>
              <w:t>47.9 %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480" w:hanging="315"/>
        <w:spacing w:after="0" w:line="264" w:lineRule="auto"/>
        <w:tabs>
          <w:tab w:leader="none" w:pos="472"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Represents advances paid to Dealers on Consumer Loans assigned under our Portfolio Program and one-time payments made to Dealers to purchase Consumer Loans assigned under our Purchase Program as a percentage of the initial balance of the Consumer Loans. Payments of Dealer Holdback and accelerated Dealer Holdback are not included.</w:t>
      </w:r>
    </w:p>
    <w:p>
      <w:pPr>
        <w:spacing w:after="0" w:line="1" w:lineRule="exact"/>
        <w:rPr>
          <w:rFonts w:ascii="Arial" w:cs="Arial" w:eastAsia="Arial" w:hAnsi="Arial"/>
          <w:sz w:val="13"/>
          <w:szCs w:val="13"/>
          <w:color w:val="auto"/>
        </w:rPr>
      </w:pPr>
    </w:p>
    <w:p>
      <w:pPr>
        <w:ind w:left="480" w:hanging="315"/>
        <w:spacing w:after="0" w:line="237" w:lineRule="auto"/>
        <w:tabs>
          <w:tab w:leader="none" w:pos="4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Presented as a percentage of total forecasted collections.</w:t>
      </w:r>
    </w:p>
    <w:p>
      <w:pPr>
        <w:ind w:left="480" w:hanging="315"/>
        <w:spacing w:after="0" w:line="274" w:lineRule="auto"/>
        <w:tabs>
          <w:tab w:leader="none" w:pos="472"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forecasted collection rate, advance rate and spread for 2022 Consumer Loans as of June 30, 2022 include both Consumer Loans that were in our portfolio as of March 31, 2022 and Consumer Loans assigned during the most recent quarter. The following table provides forecasted collection rates, advance rates, and spreads for each of these segments:</w:t>
      </w:r>
    </w:p>
    <w:tbl>
      <w:tblPr>
        <w:tblLayout w:type="fixed"/>
        <w:tblInd w:w="480" w:type="dxa"/>
        <w:tblCellMar>
          <w:top w:w="0" w:type="dxa"/>
          <w:left w:w="0" w:type="dxa"/>
          <w:bottom w:w="0" w:type="dxa"/>
          <w:right w:w="0" w:type="dxa"/>
        </w:tblCellMar>
      </w:tblPr>
      <w:tr>
        <w:trPr>
          <w:trHeight w:val="201"/>
        </w:trPr>
        <w:tc>
          <w:tcPr>
            <w:tcW w:w="5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 June 30, 2022</w:t>
            </w: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592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2022 Consumer Loan Assignment Period</w:t>
            </w:r>
          </w:p>
        </w:tc>
        <w:tc>
          <w:tcPr>
            <w:tcW w:w="120" w:type="dxa"/>
            <w:vAlign w:val="bottom"/>
            <w:vMerge w:val="restart"/>
          </w:tcPr>
          <w:p>
            <w:pPr>
              <w:spacing w:after="0"/>
              <w:rPr>
                <w:sz w:val="11"/>
                <w:szCs w:val="11"/>
                <w:color w:val="auto"/>
              </w:rPr>
            </w:pPr>
          </w:p>
        </w:tc>
        <w:tc>
          <w:tcPr>
            <w:tcW w:w="1420" w:type="dxa"/>
            <w:vAlign w:val="bottom"/>
            <w:gridSpan w:val="2"/>
          </w:tcPr>
          <w:p>
            <w:pPr>
              <w:ind w:left="320"/>
              <w:spacing w:after="0" w:line="133" w:lineRule="exact"/>
              <w:rPr>
                <w:sz w:val="20"/>
                <w:szCs w:val="20"/>
                <w:color w:val="auto"/>
              </w:rPr>
            </w:pPr>
            <w:r>
              <w:rPr>
                <w:rFonts w:ascii="Arial" w:cs="Arial" w:eastAsia="Arial" w:hAnsi="Arial"/>
                <w:sz w:val="14"/>
                <w:szCs w:val="14"/>
                <w:b w:val="1"/>
                <w:bCs w:val="1"/>
                <w:color w:val="auto"/>
              </w:rPr>
              <w:t>Forecasted</w:t>
            </w:r>
          </w:p>
        </w:tc>
        <w:tc>
          <w:tcPr>
            <w:tcW w:w="132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Advance %</w:t>
            </w:r>
          </w:p>
        </w:tc>
        <w:tc>
          <w:tcPr>
            <w:tcW w:w="120" w:type="dxa"/>
            <w:vAlign w:val="bottom"/>
            <w:vMerge w:val="restart"/>
          </w:tcPr>
          <w:p>
            <w:pPr>
              <w:spacing w:after="0"/>
              <w:rPr>
                <w:sz w:val="11"/>
                <w:szCs w:val="11"/>
                <w:color w:val="auto"/>
              </w:rPr>
            </w:pPr>
          </w:p>
        </w:tc>
        <w:tc>
          <w:tcPr>
            <w:tcW w:w="130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rPr>
              <w:t>Spread %</w:t>
            </w:r>
          </w:p>
        </w:tc>
        <w:tc>
          <w:tcPr>
            <w:tcW w:w="0" w:type="dxa"/>
            <w:vAlign w:val="bottom"/>
          </w:tcPr>
          <w:p>
            <w:pPr>
              <w:spacing w:after="0"/>
              <w:rPr>
                <w:sz w:val="1"/>
                <w:szCs w:val="1"/>
                <w:color w:val="auto"/>
              </w:rPr>
            </w:pPr>
          </w:p>
        </w:tc>
      </w:tr>
      <w:tr>
        <w:trPr>
          <w:trHeight w:val="192"/>
        </w:trPr>
        <w:tc>
          <w:tcPr>
            <w:tcW w:w="5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Collection %</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1, 2022 through March 31, 2022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24"/>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April 1, 2022 through June 30, 2022</w:t>
            </w:r>
          </w:p>
        </w:tc>
        <w:tc>
          <w:tcPr>
            <w:tcW w:w="1320" w:type="dxa"/>
            <w:vAlign w:val="bottom"/>
          </w:tcPr>
          <w:p>
            <w:pPr>
              <w:jc w:val="right"/>
              <w:spacing w:after="0"/>
              <w:rPr>
                <w:sz w:val="20"/>
                <w:szCs w:val="20"/>
                <w:color w:val="auto"/>
              </w:rPr>
            </w:pPr>
            <w:r>
              <w:rPr>
                <w:rFonts w:ascii="Arial" w:cs="Arial" w:eastAsia="Arial" w:hAnsi="Arial"/>
                <w:sz w:val="18"/>
                <w:szCs w:val="18"/>
                <w:color w:val="auto"/>
              </w:rPr>
              <w:t>67.8 %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48.0 %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bl>
    <w:p>
      <w:pPr>
        <w:spacing w:after="0" w:line="30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risk of a material change in our forecasted collection rate declines as the Consumer Loans age. For 2017 and prior Consumer Loan assignments, the risk of a material forecast variance is modest, as we have currently realized in excess of 90% of the expected collections. Conversely, the forecasted collection rates for more recent Consumer Loan assignments are less certain as a significant portion of our forecast has not been realized.</w:t>
      </w:r>
    </w:p>
    <w:p>
      <w:pPr>
        <w:spacing w:after="0" w:line="16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spread between the forecasted collection rate and the advance rate has ranged from 19.2% to 25.8%, on an annual basis, over the last 10 years. The spreads in 2019 and 2020 were positively impacted by Consumer Loan performance, which has exceeded our initial estimates by a greater margin than the other years presented. The decrease in the spread from 2021 to 2022 was primarily due to Consumer Loan performance, as the performance of 2021 Consumer Loans has significantly exceeded our initial estimates while the performance of 2022 Consumer Loans has been lower than our initial estimates, and a lower initial spread on 2022 Consumer Loans due to the advance rate increasing by a greater margin than the initial forecast.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 compares our forecast of Consumer Loan collection rates as of June 30, 2022 with the forecasts at the time of assignment, for Dealer Loans and Purchased Loans separately:</w:t>
      </w:r>
    </w:p>
    <w:p>
      <w:pPr>
        <w:sectPr>
          <w:pgSz w:w="11900" w:h="16838" w:orient="portrait"/>
          <w:cols w:equalWidth="0" w:num="1">
            <w:col w:w="11240"/>
          </w:cols>
          <w:pgMar w:left="320" w:top="127" w:right="339" w:bottom="1440" w:gutter="0" w:footer="0" w:header="0"/>
        </w:sectPr>
      </w:pPr>
    </w:p>
    <w:p>
      <w:pPr>
        <w:spacing w:after="0" w:line="91"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Dealer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1787525</wp:posOffset>
            </wp:positionH>
            <wp:positionV relativeFrom="paragraph">
              <wp:posOffset>21590</wp:posOffset>
            </wp:positionV>
            <wp:extent cx="261683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16835" cy="17145"/>
                    </a:xfrm>
                    <a:prstGeom prst="rect">
                      <a:avLst/>
                    </a:prstGeom>
                    <a:noFill/>
                  </pic:spPr>
                </pic:pic>
              </a:graphicData>
            </a:graphic>
          </wp:anchor>
        </w:drawing>
      </w:r>
    </w:p>
    <w:p>
      <w:pPr>
        <w:spacing w:after="0" w:line="31" w:lineRule="exact"/>
        <w:rPr>
          <w:sz w:val="20"/>
          <w:szCs w:val="20"/>
          <w:color w:val="auto"/>
        </w:rPr>
      </w:pPr>
    </w:p>
    <w:p>
      <w:pPr>
        <w:ind w:left="2900"/>
        <w:spacing w:after="0"/>
        <w:rPr>
          <w:sz w:val="20"/>
          <w:szCs w:val="20"/>
          <w:color w:val="auto"/>
        </w:rPr>
      </w:pPr>
      <w:r>
        <w:rPr>
          <w:rFonts w:ascii="Arial" w:cs="Arial" w:eastAsia="Arial" w:hAnsi="Arial"/>
          <w:sz w:val="12"/>
          <w:szCs w:val="12"/>
          <w:b w:val="1"/>
          <w:bCs w:val="1"/>
          <w:color w:val="auto"/>
        </w:rPr>
        <w:t>Forecasted Collection Percentage as of (1)</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right"/>
        <w:ind w:right="1600"/>
        <w:spacing w:after="0"/>
        <w:rPr>
          <w:sz w:val="20"/>
          <w:szCs w:val="20"/>
          <w:color w:val="auto"/>
        </w:rPr>
      </w:pPr>
      <w:r>
        <w:rPr>
          <w:rFonts w:ascii="Arial" w:cs="Arial" w:eastAsia="Arial" w:hAnsi="Arial"/>
          <w:sz w:val="14"/>
          <w:szCs w:val="14"/>
          <w:b w:val="1"/>
          <w:bCs w:val="1"/>
          <w:color w:val="auto"/>
        </w:rPr>
        <w:t>Purchased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21590</wp:posOffset>
            </wp:positionV>
            <wp:extent cx="264160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41600" cy="17145"/>
                    </a:xfrm>
                    <a:prstGeom prst="rect">
                      <a:avLst/>
                    </a:prstGeom>
                    <a:noFill/>
                  </pic:spPr>
                </pic:pic>
              </a:graphicData>
            </a:graphic>
          </wp:anchor>
        </w:drawing>
      </w:r>
    </w:p>
    <w:p>
      <w:pPr>
        <w:spacing w:after="0" w:line="31" w:lineRule="exact"/>
        <w:rPr>
          <w:sz w:val="20"/>
          <w:szCs w:val="20"/>
          <w:color w:val="auto"/>
        </w:rPr>
      </w:pPr>
    </w:p>
    <w:p>
      <w:pPr>
        <w:jc w:val="right"/>
        <w:ind w:right="1580"/>
        <w:spacing w:after="0"/>
        <w:rPr>
          <w:sz w:val="20"/>
          <w:szCs w:val="20"/>
          <w:color w:val="auto"/>
        </w:rPr>
      </w:pPr>
      <w:r>
        <w:rPr>
          <w:rFonts w:ascii="Arial" w:cs="Arial" w:eastAsia="Arial" w:hAnsi="Arial"/>
          <w:sz w:val="12"/>
          <w:szCs w:val="12"/>
          <w:b w:val="1"/>
          <w:bCs w:val="1"/>
          <w:color w:val="auto"/>
        </w:rPr>
        <w:t>Forecasted Collection Percentage as of (1)</w:t>
      </w:r>
    </w:p>
    <w:p>
      <w:pPr>
        <w:spacing w:after="0" w:line="46" w:lineRule="exact"/>
        <w:rPr>
          <w:sz w:val="20"/>
          <w:szCs w:val="20"/>
          <w:color w:val="auto"/>
        </w:rPr>
      </w:pPr>
    </w:p>
    <w:p>
      <w:pPr>
        <w:sectPr>
          <w:pgSz w:w="11900" w:h="16838" w:orient="portrait"/>
          <w:cols w:equalWidth="0" w:num="2">
            <w:col w:w="6420" w:space="720"/>
            <w:col w:w="4100"/>
          </w:cols>
          <w:pgMar w:left="320" w:top="127" w:right="339" w:bottom="1440" w:gutter="0" w:footer="0" w:header="0"/>
          <w:type w:val="continuous"/>
        </w:sectPr>
      </w:pPr>
    </w:p>
    <w:tbl>
      <w:tblPr>
        <w:tblLayout w:type="fixed"/>
        <w:tblInd w:w="60" w:type="dxa"/>
        <w:tblCellMar>
          <w:top w:w="0" w:type="dxa"/>
          <w:left w:w="0" w:type="dxa"/>
          <w:bottom w:w="0" w:type="dxa"/>
          <w:right w:w="0" w:type="dxa"/>
        </w:tblCellMar>
      </w:tblPr>
      <w:tr>
        <w:trPr>
          <w:trHeight w:val="150"/>
        </w:trPr>
        <w:tc>
          <w:tcPr>
            <w:tcW w:w="2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Consumer Loan Assignment Year</w:t>
            </w:r>
          </w:p>
        </w:tc>
        <w:tc>
          <w:tcPr>
            <w:tcW w:w="138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4"/>
                <w:szCs w:val="14"/>
                <w:b w:val="1"/>
                <w:bCs w:val="1"/>
                <w:color w:val="auto"/>
              </w:rPr>
              <w:t>June 30, 2022</w:t>
            </w:r>
          </w:p>
        </w:tc>
        <w:tc>
          <w:tcPr>
            <w:tcW w:w="1300" w:type="dxa"/>
            <w:vAlign w:val="bottom"/>
            <w:tcBorders>
              <w:top w:val="single" w:sz="8" w:color="auto"/>
            </w:tcBorders>
          </w:tcPr>
          <w:p>
            <w:pPr>
              <w:jc w:val="center"/>
              <w:spacing w:after="0" w:line="150" w:lineRule="exact"/>
              <w:rPr>
                <w:sz w:val="20"/>
                <w:szCs w:val="20"/>
                <w:color w:val="auto"/>
              </w:rPr>
            </w:pPr>
            <w:r>
              <w:rPr>
                <w:rFonts w:ascii="Arial" w:cs="Arial" w:eastAsia="Arial" w:hAnsi="Arial"/>
                <w:sz w:val="14"/>
                <w:szCs w:val="14"/>
                <w:b w:val="1"/>
                <w:bCs w:val="1"/>
                <w:color w:val="auto"/>
                <w:w w:val="98"/>
              </w:rPr>
              <w:t>Initial</w:t>
            </w:r>
          </w:p>
        </w:tc>
        <w:tc>
          <w:tcPr>
            <w:tcW w:w="120" w:type="dxa"/>
            <w:vAlign w:val="bottom"/>
          </w:tcPr>
          <w:p>
            <w:pPr>
              <w:spacing w:after="0"/>
              <w:rPr>
                <w:sz w:val="13"/>
                <w:szCs w:val="13"/>
                <w:color w:val="auto"/>
              </w:rPr>
            </w:pPr>
          </w:p>
        </w:tc>
        <w:tc>
          <w:tcPr>
            <w:tcW w:w="14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Variance</w:t>
            </w:r>
          </w:p>
        </w:tc>
        <w:tc>
          <w:tcPr>
            <w:tcW w:w="140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4"/>
                <w:szCs w:val="14"/>
                <w:b w:val="1"/>
                <w:bCs w:val="1"/>
                <w:color w:val="auto"/>
              </w:rPr>
              <w:t>June 30, 2022</w:t>
            </w:r>
          </w:p>
        </w:tc>
        <w:tc>
          <w:tcPr>
            <w:tcW w:w="1340" w:type="dxa"/>
            <w:vAlign w:val="bottom"/>
            <w:tcBorders>
              <w:top w:val="single" w:sz="8" w:color="auto"/>
            </w:tcBorders>
          </w:tcPr>
          <w:p>
            <w:pPr>
              <w:jc w:val="center"/>
              <w:spacing w:after="0" w:line="150" w:lineRule="exact"/>
              <w:rPr>
                <w:sz w:val="20"/>
                <w:szCs w:val="20"/>
                <w:color w:val="auto"/>
              </w:rPr>
            </w:pPr>
            <w:r>
              <w:rPr>
                <w:rFonts w:ascii="Arial" w:cs="Arial" w:eastAsia="Arial" w:hAnsi="Arial"/>
                <w:sz w:val="14"/>
                <w:szCs w:val="14"/>
                <w:b w:val="1"/>
                <w:bCs w:val="1"/>
                <w:color w:val="auto"/>
                <w:w w:val="98"/>
              </w:rPr>
              <w:t>Initial</w:t>
            </w:r>
          </w:p>
        </w:tc>
        <w:tc>
          <w:tcPr>
            <w:tcW w:w="100" w:type="dxa"/>
            <w:vAlign w:val="bottom"/>
          </w:tcPr>
          <w:p>
            <w:pPr>
              <w:spacing w:after="0"/>
              <w:rPr>
                <w:sz w:val="13"/>
                <w:szCs w:val="13"/>
                <w:color w:val="auto"/>
              </w:rPr>
            </w:pPr>
          </w:p>
        </w:tc>
        <w:tc>
          <w:tcPr>
            <w:tcW w:w="13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92"/>
        </w:trPr>
        <w:tc>
          <w:tcPr>
            <w:tcW w:w="276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Forecast</w:t>
            </w:r>
          </w:p>
        </w:tc>
        <w:tc>
          <w:tcPr>
            <w:tcW w:w="142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Forecast</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73.4 %</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72.1 %</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71.6 %</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5"/>
        </w:trPr>
        <w:tc>
          <w:tcPr>
            <w:tcW w:w="264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71.6 %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71.9 %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72.5 %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70.9 %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6"/>
        </w:trPr>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25"/>
        </w:trPr>
        <w:tc>
          <w:tcPr>
            <w:tcW w:w="264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63.0 %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65.1 %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66.1 %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66.5 %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26"/>
        </w:trPr>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5"/>
        </w:trPr>
        <w:tc>
          <w:tcPr>
            <w:tcW w:w="26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64.6 %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63.6 %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66.3 %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63.5 %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6"/>
        </w:trPr>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25"/>
        </w:trPr>
        <w:tc>
          <w:tcPr>
            <w:tcW w:w="264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68.3 %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63.3 %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68.6 %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63.6 %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6"/>
        </w:trPr>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4"/>
        </w:trPr>
        <w:tc>
          <w:tcPr>
            <w:tcW w:w="264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66.9 %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67.5 %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67.6 %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67.7 %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bl>
    <w:p>
      <w:pPr>
        <w:spacing w:after="0" w:line="300" w:lineRule="exact"/>
        <w:rPr>
          <w:sz w:val="20"/>
          <w:szCs w:val="20"/>
          <w:color w:val="auto"/>
        </w:rPr>
      </w:pPr>
    </w:p>
    <w:p>
      <w:pPr>
        <w:jc w:val="both"/>
        <w:ind w:left="480" w:hanging="315"/>
        <w:spacing w:after="0" w:line="246" w:lineRule="auto"/>
        <w:tabs>
          <w:tab w:leader="none" w:pos="472"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forecasted collection rates presented for Dealer Loans and Purchased Loans reflect the Consumer Loan classification at the time of assignment. The forecasted collection rates represent the total forecasted collections we expect to collect on the Consumer Loans as a percentage of the repayments that we were contractually owed on the Consumer Loans at the time of assignment. Contractual repayments include both principal and interest. Forecasted collection rates are negatively impacted by canceled Consumer Loans as the contractual amount owed is not removed from the denominator for purposes of computing forecasted collection rates in the table.</w:t>
      </w:r>
    </w:p>
    <w:p>
      <w:pPr>
        <w:spacing w:after="0" w:line="22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following table presents forecasted Consumer Loan collection rates, advance rates, and the spread (the forecasted collection rate less the advance rate) as of June 30, 2022 for Dealer Loans and Purchased Loans separately. All amounts are presented as a percentage of the initial balance of the Consumer Loan (principal + interest).</w:t>
      </w:r>
    </w:p>
    <w:p>
      <w:pPr>
        <w:spacing w:after="0" w:line="99" w:lineRule="exact"/>
        <w:rPr>
          <w:sz w:val="20"/>
          <w:szCs w:val="20"/>
          <w:color w:val="auto"/>
        </w:rPr>
      </w:pPr>
    </w:p>
    <w:tbl>
      <w:tblPr>
        <w:tblLayout w:type="fixed"/>
        <w:tblInd w:w="60" w:type="dxa"/>
        <w:tblCellMar>
          <w:top w:w="0" w:type="dxa"/>
          <w:left w:w="0" w:type="dxa"/>
          <w:bottom w:w="0" w:type="dxa"/>
          <w:right w:w="0" w:type="dxa"/>
        </w:tblCellMar>
      </w:tblPr>
      <w:tr>
        <w:trPr>
          <w:trHeight w:val="201"/>
        </w:trPr>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0"/>
              </w:rPr>
              <w:t>Dealer Loans</w:t>
            </w:r>
          </w:p>
        </w:tc>
        <w:tc>
          <w:tcPr>
            <w:tcW w:w="1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Purchased Loans</w:t>
            </w: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7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Consumer Loan Assignment Year</w:t>
            </w:r>
          </w:p>
        </w:tc>
        <w:tc>
          <w:tcPr>
            <w:tcW w:w="144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88"/>
              </w:rPr>
              <w:t>Forecasted</w:t>
            </w:r>
          </w:p>
        </w:tc>
        <w:tc>
          <w:tcPr>
            <w:tcW w:w="14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Advance % (1)(2)</w:t>
            </w:r>
          </w:p>
        </w:tc>
        <w:tc>
          <w:tcPr>
            <w:tcW w:w="13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Spread %</w:t>
            </w:r>
          </w:p>
        </w:tc>
        <w:tc>
          <w:tcPr>
            <w:tcW w:w="1460" w:type="dxa"/>
            <w:vAlign w:val="bottom"/>
            <w:gridSpan w:val="2"/>
          </w:tcPr>
          <w:p>
            <w:pPr>
              <w:jc w:val="right"/>
              <w:ind w:right="140"/>
              <w:spacing w:after="0" w:line="133" w:lineRule="exact"/>
              <w:rPr>
                <w:sz w:val="20"/>
                <w:szCs w:val="20"/>
                <w:color w:val="auto"/>
              </w:rPr>
            </w:pPr>
            <w:r>
              <w:rPr>
                <w:rFonts w:ascii="Arial" w:cs="Arial" w:eastAsia="Arial" w:hAnsi="Arial"/>
                <w:sz w:val="14"/>
                <w:szCs w:val="14"/>
                <w:b w:val="1"/>
                <w:bCs w:val="1"/>
                <w:color w:val="auto"/>
                <w:w w:val="88"/>
              </w:rPr>
              <w:t>Forecasted Collection</w:t>
            </w:r>
          </w:p>
        </w:tc>
        <w:tc>
          <w:tcPr>
            <w:tcW w:w="14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Advance % (1)(2)</w:t>
            </w:r>
          </w:p>
        </w:tc>
        <w:tc>
          <w:tcPr>
            <w:tcW w:w="13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Spread %</w:t>
            </w:r>
          </w:p>
        </w:tc>
        <w:tc>
          <w:tcPr>
            <w:tcW w:w="0" w:type="dxa"/>
            <w:vAlign w:val="bottom"/>
          </w:tcPr>
          <w:p>
            <w:pPr>
              <w:spacing w:after="0"/>
              <w:rPr>
                <w:sz w:val="1"/>
                <w:szCs w:val="1"/>
                <w:color w:val="auto"/>
              </w:rPr>
            </w:pPr>
          </w:p>
        </w:tc>
      </w:tr>
      <w:tr>
        <w:trPr>
          <w:trHeight w:val="192"/>
        </w:trPr>
        <w:tc>
          <w:tcPr>
            <w:tcW w:w="2740" w:type="dxa"/>
            <w:vAlign w:val="bottom"/>
            <w:gridSpan w:val="2"/>
            <w:vMerge w:val="continue"/>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Collection % (1)</w:t>
            </w:r>
          </w:p>
        </w:tc>
        <w:tc>
          <w:tcPr>
            <w:tcW w:w="142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40" w:type="dxa"/>
            <w:vAlign w:val="bottom"/>
          </w:tcPr>
          <w:p>
            <w:pPr>
              <w:jc w:val="right"/>
              <w:ind w:right="415"/>
              <w:spacing w:after="0"/>
              <w:rPr>
                <w:sz w:val="20"/>
                <w:szCs w:val="20"/>
                <w:color w:val="auto"/>
              </w:rPr>
            </w:pPr>
            <w:r>
              <w:rPr>
                <w:rFonts w:ascii="Arial" w:cs="Arial" w:eastAsia="Arial" w:hAnsi="Arial"/>
                <w:sz w:val="14"/>
                <w:szCs w:val="14"/>
                <w:b w:val="1"/>
                <w:bCs w:val="1"/>
                <w:color w:val="auto"/>
              </w:rPr>
              <w:t>% (1)</w:t>
            </w: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2013</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73.4 %</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47.2 %</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74.3 %</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22.8 %</w:t>
            </w:r>
          </w:p>
        </w:tc>
        <w:tc>
          <w:tcPr>
            <w:tcW w:w="0" w:type="dxa"/>
            <w:vAlign w:val="bottom"/>
          </w:tcPr>
          <w:p>
            <w:pPr>
              <w:spacing w:after="0"/>
              <w:rPr>
                <w:sz w:val="1"/>
                <w:szCs w:val="1"/>
                <w:color w:val="auto"/>
              </w:rPr>
            </w:pPr>
          </w:p>
        </w:tc>
      </w:tr>
      <w:tr>
        <w:trPr>
          <w:trHeight w:val="225"/>
        </w:trPr>
        <w:tc>
          <w:tcPr>
            <w:tcW w:w="2640" w:type="dxa"/>
            <w:vAlign w:val="bottom"/>
          </w:tcPr>
          <w:p>
            <w:pPr>
              <w:jc w:val="center"/>
              <w:spacing w:after="0"/>
              <w:rPr>
                <w:sz w:val="20"/>
                <w:szCs w:val="20"/>
                <w:color w:val="auto"/>
              </w:rPr>
            </w:pPr>
            <w:r>
              <w:rPr>
                <w:rFonts w:ascii="Arial" w:cs="Arial" w:eastAsia="Arial" w:hAnsi="Arial"/>
                <w:sz w:val="18"/>
                <w:szCs w:val="18"/>
                <w:color w:val="auto"/>
                <w:w w:val="84"/>
              </w:rPr>
              <w:t>2014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71.6 %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47.2 %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72.5 %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51.8 %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20.7 %</w:t>
            </w:r>
          </w:p>
        </w:tc>
        <w:tc>
          <w:tcPr>
            <w:tcW w:w="0" w:type="dxa"/>
            <w:vAlign w:val="bottom"/>
          </w:tcPr>
          <w:p>
            <w:pPr>
              <w:spacing w:after="0"/>
              <w:rPr>
                <w:sz w:val="1"/>
                <w:szCs w:val="1"/>
                <w:color w:val="auto"/>
              </w:rPr>
            </w:pPr>
          </w:p>
        </w:tc>
      </w:tr>
      <w:tr>
        <w:trPr>
          <w:trHeight w:val="226"/>
        </w:trPr>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25"/>
        </w:trPr>
        <w:tc>
          <w:tcPr>
            <w:tcW w:w="2640" w:type="dxa"/>
            <w:vAlign w:val="bottom"/>
          </w:tcPr>
          <w:p>
            <w:pPr>
              <w:jc w:val="center"/>
              <w:spacing w:after="0"/>
              <w:rPr>
                <w:sz w:val="20"/>
                <w:szCs w:val="20"/>
                <w:color w:val="auto"/>
              </w:rPr>
            </w:pPr>
            <w:r>
              <w:rPr>
                <w:rFonts w:ascii="Arial" w:cs="Arial" w:eastAsia="Arial" w:hAnsi="Arial"/>
                <w:sz w:val="18"/>
                <w:szCs w:val="18"/>
                <w:color w:val="auto"/>
                <w:w w:val="84"/>
              </w:rPr>
              <w:t>2016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63.0 %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42.1 %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20.9 %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66.1 %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48.6 %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r>
        <w:trPr>
          <w:trHeight w:val="226"/>
        </w:trPr>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25"/>
        </w:trPr>
        <w:tc>
          <w:tcPr>
            <w:tcW w:w="2640" w:type="dxa"/>
            <w:vAlign w:val="bottom"/>
          </w:tcPr>
          <w:p>
            <w:pPr>
              <w:jc w:val="center"/>
              <w:spacing w:after="0"/>
              <w:rPr>
                <w:sz w:val="20"/>
                <w:szCs w:val="20"/>
                <w:color w:val="auto"/>
              </w:rPr>
            </w:pPr>
            <w:r>
              <w:rPr>
                <w:rFonts w:ascii="Arial" w:cs="Arial" w:eastAsia="Arial" w:hAnsi="Arial"/>
                <w:sz w:val="18"/>
                <w:szCs w:val="18"/>
                <w:color w:val="auto"/>
                <w:w w:val="84"/>
              </w:rPr>
              <w:t>2018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64.6 %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42.7 %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21.9 %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66.3 %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45.2 %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26"/>
        </w:trPr>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25"/>
        </w:trPr>
        <w:tc>
          <w:tcPr>
            <w:tcW w:w="2640" w:type="dxa"/>
            <w:vAlign w:val="bottom"/>
          </w:tcPr>
          <w:p>
            <w:pPr>
              <w:jc w:val="center"/>
              <w:spacing w:after="0"/>
              <w:rPr>
                <w:sz w:val="20"/>
                <w:szCs w:val="20"/>
                <w:color w:val="auto"/>
              </w:rPr>
            </w:pPr>
            <w:r>
              <w:rPr>
                <w:rFonts w:ascii="Arial" w:cs="Arial" w:eastAsia="Arial" w:hAnsi="Arial"/>
                <w:sz w:val="18"/>
                <w:szCs w:val="18"/>
                <w:color w:val="auto"/>
                <w:w w:val="84"/>
              </w:rPr>
              <w:t>2020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68.3 %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43.0 %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25.3 %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68.6 %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45.5 %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23.1 %</w:t>
            </w:r>
          </w:p>
        </w:tc>
        <w:tc>
          <w:tcPr>
            <w:tcW w:w="0" w:type="dxa"/>
            <w:vAlign w:val="bottom"/>
          </w:tcPr>
          <w:p>
            <w:pPr>
              <w:spacing w:after="0"/>
              <w:rPr>
                <w:sz w:val="1"/>
                <w:szCs w:val="1"/>
                <w:color w:val="auto"/>
              </w:rPr>
            </w:pPr>
          </w:p>
        </w:tc>
      </w:tr>
      <w:tr>
        <w:trPr>
          <w:trHeight w:val="226"/>
        </w:trPr>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20.3 %</w:t>
            </w:r>
          </w:p>
        </w:tc>
        <w:tc>
          <w:tcPr>
            <w:tcW w:w="0" w:type="dxa"/>
            <w:vAlign w:val="bottom"/>
          </w:tcPr>
          <w:p>
            <w:pPr>
              <w:spacing w:after="0"/>
              <w:rPr>
                <w:sz w:val="1"/>
                <w:szCs w:val="1"/>
                <w:color w:val="auto"/>
              </w:rPr>
            </w:pPr>
          </w:p>
        </w:tc>
      </w:tr>
      <w:tr>
        <w:trPr>
          <w:trHeight w:val="224"/>
        </w:trPr>
        <w:tc>
          <w:tcPr>
            <w:tcW w:w="2640" w:type="dxa"/>
            <w:vAlign w:val="bottom"/>
          </w:tcPr>
          <w:p>
            <w:pPr>
              <w:jc w:val="center"/>
              <w:spacing w:after="0"/>
              <w:rPr>
                <w:sz w:val="20"/>
                <w:szCs w:val="20"/>
                <w:color w:val="auto"/>
              </w:rPr>
            </w:pPr>
            <w:r>
              <w:rPr>
                <w:rFonts w:ascii="Arial" w:cs="Arial" w:eastAsia="Arial" w:hAnsi="Arial"/>
                <w:sz w:val="18"/>
                <w:szCs w:val="18"/>
                <w:color w:val="auto"/>
                <w:w w:val="84"/>
              </w:rPr>
              <w:t>2022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66.9 %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47.0 %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19.9 %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67.6 %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50.3 %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480" w:hanging="315"/>
        <w:spacing w:after="0"/>
        <w:tabs>
          <w:tab w:leader="none" w:pos="4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forecasted collection rates and advance rates presented for Dealer Loans and Purchased Loans reflect the Consumer Loan classification at the time of assignment.</w:t>
      </w:r>
    </w:p>
    <w:p>
      <w:pPr>
        <w:spacing w:after="0" w:line="10" w:lineRule="exact"/>
        <w:rPr>
          <w:rFonts w:ascii="Arial" w:cs="Arial" w:eastAsia="Arial" w:hAnsi="Arial"/>
          <w:sz w:val="14"/>
          <w:szCs w:val="14"/>
          <w:color w:val="auto"/>
        </w:rPr>
      </w:pPr>
    </w:p>
    <w:p>
      <w:pPr>
        <w:ind w:left="480" w:hanging="315"/>
        <w:spacing w:after="0" w:line="284" w:lineRule="auto"/>
        <w:tabs>
          <w:tab w:leader="none" w:pos="472" w:val="left"/>
        </w:tabs>
        <w:numPr>
          <w:ilvl w:val="0"/>
          <w:numId w:val="47"/>
        </w:numPr>
        <w:rPr>
          <w:rFonts w:ascii="Arial" w:cs="Arial" w:eastAsia="Arial" w:hAnsi="Arial"/>
          <w:sz w:val="13"/>
          <w:szCs w:val="13"/>
          <w:color w:val="auto"/>
        </w:rPr>
      </w:pPr>
      <w:r>
        <w:rPr>
          <w:rFonts w:ascii="Arial" w:cs="Arial" w:eastAsia="Arial" w:hAnsi="Arial"/>
          <w:sz w:val="13"/>
          <w:szCs w:val="13"/>
          <w:color w:val="auto"/>
        </w:rPr>
        <w:t>Represents advances paid to Dealers on Consumer Loans assigned under our Portfolio Program and one-time payments made to Dealers to purchase Consumer Loans assigned under our Purchase Program as a percentage of the initial balance of the Consumer Loans. Payments of Dealer Holdback and accelerated Dealer Holdback are not included.</w:t>
      </w:r>
    </w:p>
    <w:p>
      <w:pPr>
        <w:spacing w:after="0" w:line="19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Although the advance rate on Purchased Loans is higher as compared to the advance rate on Dealer Loans, Purchased Loans do not require us to pay Dealer Holdback.</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spread on Dealer Loans decreased from 22.3% in 2021 to 19.9% in 2022 primarily as a result of Consumer Loan performance, as the performance of 2021 Consumer Loans in our Dealer Loan portfolio has significantly exceeded our initial estimates while the performance of 2022 Consumer Loans in our Dealer Loan portfolio has been lower than our initial estimates, and a lower initial spread on 2022 Consumer Loans in our Dealer Loan portfolio, due to the advance rate increasing by a greater margin than the initial forecast in our Dealer Loan portfolio. The spread on Purchased Loans decreased from 20.3% in 2021 to 17.3% in 2022 primarily as a result of the performance of the 2021 Consumer Loans in our Purchased Loan portfolio, which has significantly exceeded our initial estimates, and a lower initial spread on 2022 Consumer Loans in our Purchased Loan portfolio, due to the advance rate increasing by a greater margin than the initial forecast in our Purchased Loan portfolio.</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Capital</w:t>
      </w:r>
    </w:p>
    <w:p>
      <w:pPr>
        <w:spacing w:after="0" w:line="25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strategy for accessing capital on acceptable terms needed to maintain and grow the business is to: (1) maintain consistent financial performance; (2) maintain modest financial leverage; and (3) maintain multiple funding sources. Our funded debt to equity ratio was 3.2 to 1 as of June 30, 2022. We currently utilize the following primary forms of debt financing: (1) a revolving secured line of credit; (2) Warehouse facilities; (3) Term ABS financings; and (4) senior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Loan Volume</w:t>
      </w:r>
    </w:p>
    <w:p>
      <w:pPr>
        <w:spacing w:after="0" w:line="250"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following table summarizes changes in Consumer Loan assignment volume in each of the last six quarters as compared to the same period in the previous year:</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560" w:type="dxa"/>
            <w:vAlign w:val="bottom"/>
          </w:tcPr>
          <w:p>
            <w:pPr>
              <w:spacing w:after="0"/>
              <w:rPr>
                <w:sz w:val="17"/>
                <w:szCs w:val="17"/>
                <w:color w:val="auto"/>
              </w:rPr>
            </w:pPr>
          </w:p>
        </w:tc>
        <w:tc>
          <w:tcPr>
            <w:tcW w:w="3620" w:type="dxa"/>
            <w:vAlign w:val="bottom"/>
            <w:tcBorders>
              <w:bottom w:val="single" w:sz="8" w:color="auto"/>
            </w:tcBorders>
            <w:gridSpan w:val="3"/>
          </w:tcPr>
          <w:p>
            <w:pPr>
              <w:jc w:val="right"/>
              <w:ind w:right="774"/>
              <w:spacing w:after="0"/>
              <w:rPr>
                <w:sz w:val="20"/>
                <w:szCs w:val="20"/>
                <w:color w:val="auto"/>
              </w:rPr>
            </w:pPr>
            <w:r>
              <w:rPr>
                <w:rFonts w:ascii="Arial" w:cs="Arial" w:eastAsia="Arial" w:hAnsi="Arial"/>
                <w:sz w:val="14"/>
                <w:szCs w:val="14"/>
                <w:b w:val="1"/>
                <w:bCs w:val="1"/>
                <w:color w:val="auto"/>
              </w:rPr>
              <w:t>Year over Year Percent Change</w:t>
            </w:r>
          </w:p>
        </w:tc>
      </w:tr>
      <w:tr>
        <w:trPr>
          <w:trHeight w:val="185"/>
        </w:trPr>
        <w:tc>
          <w:tcPr>
            <w:tcW w:w="7560" w:type="dxa"/>
            <w:vAlign w:val="bottom"/>
          </w:tcPr>
          <w:p>
            <w:pPr>
              <w:ind w:left="3080"/>
              <w:spacing w:after="0"/>
              <w:rPr>
                <w:sz w:val="20"/>
                <w:szCs w:val="20"/>
                <w:color w:val="auto"/>
              </w:rPr>
            </w:pPr>
            <w:r>
              <w:rPr>
                <w:rFonts w:ascii="Arial" w:cs="Arial" w:eastAsia="Arial" w:hAnsi="Arial"/>
                <w:sz w:val="14"/>
                <w:szCs w:val="14"/>
                <w:b w:val="1"/>
                <w:bCs w:val="1"/>
                <w:color w:val="auto"/>
              </w:rPr>
              <w:t>Three Months Ended</w:t>
            </w:r>
          </w:p>
        </w:tc>
        <w:tc>
          <w:tcPr>
            <w:tcW w:w="1860" w:type="dxa"/>
            <w:vAlign w:val="bottom"/>
            <w:gridSpan w:val="2"/>
          </w:tcPr>
          <w:p>
            <w:pPr>
              <w:ind w:left="500"/>
              <w:spacing w:after="0"/>
              <w:rPr>
                <w:sz w:val="20"/>
                <w:szCs w:val="20"/>
                <w:color w:val="auto"/>
              </w:rPr>
            </w:pPr>
            <w:r>
              <w:rPr>
                <w:rFonts w:ascii="Arial" w:cs="Arial" w:eastAsia="Arial" w:hAnsi="Arial"/>
                <w:sz w:val="14"/>
                <w:szCs w:val="14"/>
                <w:b w:val="1"/>
                <w:bCs w:val="1"/>
                <w:color w:val="auto"/>
              </w:rPr>
              <w:t>Unit Volume</w:t>
            </w:r>
          </w:p>
        </w:tc>
        <w:tc>
          <w:tcPr>
            <w:tcW w:w="1760" w:type="dxa"/>
            <w:vAlign w:val="bottom"/>
          </w:tcPr>
          <w:p>
            <w:pPr>
              <w:jc w:val="right"/>
              <w:ind w:right="254"/>
              <w:spacing w:after="0"/>
              <w:rPr>
                <w:sz w:val="20"/>
                <w:szCs w:val="20"/>
                <w:color w:val="auto"/>
              </w:rPr>
            </w:pPr>
            <w:r>
              <w:rPr>
                <w:rFonts w:ascii="Arial" w:cs="Arial" w:eastAsia="Arial" w:hAnsi="Arial"/>
                <w:sz w:val="14"/>
                <w:szCs w:val="14"/>
                <w:b w:val="1"/>
                <w:bCs w:val="1"/>
                <w:color w:val="auto"/>
              </w:rPr>
              <w:t>Dollar Volume (1)</w:t>
            </w:r>
          </w:p>
        </w:tc>
      </w:tr>
      <w:tr>
        <w:trPr>
          <w:trHeight w:val="219"/>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25"/>
        </w:trPr>
        <w:tc>
          <w:tcPr>
            <w:tcW w:w="7560" w:type="dxa"/>
            <w:vAlign w:val="bottom"/>
          </w:tcPr>
          <w:p>
            <w:pPr>
              <w:ind w:left="20"/>
              <w:spacing w:after="0"/>
              <w:rPr>
                <w:sz w:val="20"/>
                <w:szCs w:val="20"/>
                <w:color w:val="auto"/>
              </w:rPr>
            </w:pPr>
            <w:r>
              <w:rPr>
                <w:rFonts w:ascii="Arial" w:cs="Arial" w:eastAsia="Arial" w:hAnsi="Arial"/>
                <w:sz w:val="18"/>
                <w:szCs w:val="18"/>
                <w:color w:val="auto"/>
              </w:rPr>
              <w:t>June 30, 2021</w:t>
            </w:r>
          </w:p>
        </w:tc>
        <w:tc>
          <w:tcPr>
            <w:tcW w:w="1760" w:type="dxa"/>
            <w:vAlign w:val="bottom"/>
          </w:tcPr>
          <w:p>
            <w:pPr>
              <w:jc w:val="right"/>
              <w:spacing w:after="0"/>
              <w:rPr>
                <w:sz w:val="20"/>
                <w:szCs w:val="20"/>
                <w:color w:val="auto"/>
              </w:rPr>
            </w:pPr>
            <w:r>
              <w:rPr>
                <w:rFonts w:ascii="Arial" w:cs="Arial" w:eastAsia="Arial" w:hAnsi="Arial"/>
                <w:sz w:val="18"/>
                <w:szCs w:val="18"/>
                <w:color w:val="auto"/>
              </w:rPr>
              <w:t>-28.7 %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-20.5 %</w:t>
            </w:r>
          </w:p>
        </w:tc>
      </w:tr>
      <w:tr>
        <w:trPr>
          <w:trHeight w:val="226"/>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-17.9 %</w:t>
            </w:r>
          </w:p>
        </w:tc>
      </w:tr>
      <w:tr>
        <w:trPr>
          <w:trHeight w:val="225"/>
        </w:trPr>
        <w:tc>
          <w:tcPr>
            <w:tcW w:w="7560" w:type="dxa"/>
            <w:vAlign w:val="bottom"/>
          </w:tcPr>
          <w:p>
            <w:pPr>
              <w:ind w:left="20"/>
              <w:spacing w:after="0"/>
              <w:rPr>
                <w:sz w:val="20"/>
                <w:szCs w:val="20"/>
                <w:color w:val="auto"/>
              </w:rPr>
            </w:pPr>
            <w:r>
              <w:rPr>
                <w:rFonts w:ascii="Arial" w:cs="Arial" w:eastAsia="Arial" w:hAnsi="Arial"/>
                <w:sz w:val="18"/>
                <w:szCs w:val="18"/>
                <w:color w:val="auto"/>
              </w:rPr>
              <w:t>December 31, 2021</w:t>
            </w:r>
          </w:p>
        </w:tc>
        <w:tc>
          <w:tcPr>
            <w:tcW w:w="1760" w:type="dxa"/>
            <w:vAlign w:val="bottom"/>
          </w:tcPr>
          <w:p>
            <w:pPr>
              <w:jc w:val="right"/>
              <w:spacing w:after="0"/>
              <w:rPr>
                <w:sz w:val="20"/>
                <w:szCs w:val="20"/>
                <w:color w:val="auto"/>
              </w:rPr>
            </w:pPr>
            <w:r>
              <w:rPr>
                <w:rFonts w:ascii="Arial" w:cs="Arial" w:eastAsia="Arial" w:hAnsi="Arial"/>
                <w:sz w:val="18"/>
                <w:szCs w:val="18"/>
                <w:color w:val="auto"/>
              </w:rPr>
              <w:t>-22.6 %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-12.7 %</w:t>
            </w:r>
          </w:p>
        </w:tc>
      </w:tr>
      <w:tr>
        <w:trPr>
          <w:trHeight w:val="226"/>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2022</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r>
      <w:tr>
        <w:trPr>
          <w:trHeight w:val="224"/>
        </w:trPr>
        <w:tc>
          <w:tcPr>
            <w:tcW w:w="7560" w:type="dxa"/>
            <w:vAlign w:val="bottom"/>
          </w:tcPr>
          <w:p>
            <w:pPr>
              <w:ind w:left="20"/>
              <w:spacing w:after="0"/>
              <w:rPr>
                <w:sz w:val="20"/>
                <w:szCs w:val="20"/>
                <w:color w:val="auto"/>
              </w:rPr>
            </w:pPr>
            <w:r>
              <w:rPr>
                <w:rFonts w:ascii="Arial" w:cs="Arial" w:eastAsia="Arial" w:hAnsi="Arial"/>
                <w:sz w:val="18"/>
                <w:szCs w:val="18"/>
                <w:color w:val="auto"/>
              </w:rPr>
              <w:t>June 30, 2022</w:t>
            </w:r>
          </w:p>
        </w:tc>
        <w:tc>
          <w:tcPr>
            <w:tcW w:w="1760" w:type="dxa"/>
            <w:vAlign w:val="bottom"/>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22.0 %</w:t>
            </w:r>
          </w:p>
        </w:tc>
      </w:tr>
    </w:tbl>
    <w:p>
      <w:pPr>
        <w:spacing w:after="0" w:line="300" w:lineRule="exact"/>
        <w:rPr>
          <w:sz w:val="20"/>
          <w:szCs w:val="20"/>
          <w:color w:val="auto"/>
        </w:rPr>
      </w:pPr>
    </w:p>
    <w:p>
      <w:pPr>
        <w:ind w:left="480" w:hanging="315"/>
        <w:spacing w:after="0" w:line="265" w:lineRule="auto"/>
        <w:tabs>
          <w:tab w:leader="none" w:pos="472"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2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Consumer Loan assignment volumes depend on a number of factors including (1) the overall demand for our financing programs, (2) the amount of capital available to fund new Loans, and (3) our assessment of the volume that our infrastructure can support. Our pricing strategy is intended to maximize the amount of economic profit we generate, within the confines of capital and infrastructure constraints.</w:t>
      </w:r>
    </w:p>
    <w:p>
      <w:pPr>
        <w:spacing w:after="0" w:line="21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Unit and dollar volumes grew 5.1% and 22.0%, respectively, during the second quarter of 2022 as the number of active Dealers grew 1.9% and the average unit volume per active Dealer grew 2.4%. Unit volume for July 2022 grew 19.3% compared to unit volume for July 2021. The comparable 2021 periods reflected significant declines in unit volume, which we believe were primarily due to low dealer inventories and elevated used vehicle prices, which we believe were primarily due to the downstream impact of supply chain disruptions in the automotive industry. We believe low dealer inventories and elevated used car prices continue to have a negative impact on unit volumes.</w:t>
      </w:r>
    </w:p>
    <w:p>
      <w:pPr>
        <w:spacing w:after="0" w:line="22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Dollar volume grew more than unit volume during the second quarter of 2022 due to an increase in the average advance paid per unit. This increase was the result of increases in both the average size of the Consumer Loans assigned, primarily due to an increase in the average vehicle selling price, and the average advance rate.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changes in Consumer Loan unit volume and active Dealers: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20" w:type="dxa"/>
            <w:vAlign w:val="bottom"/>
            <w:gridSpan w:val="6"/>
          </w:tcPr>
          <w:p>
            <w:pPr>
              <w:ind w:left="800"/>
              <w:spacing w:after="0"/>
              <w:rPr>
                <w:sz w:val="20"/>
                <w:szCs w:val="20"/>
                <w:color w:val="auto"/>
              </w:rPr>
            </w:pPr>
            <w:r>
              <w:rPr>
                <w:rFonts w:ascii="Arial" w:cs="Arial" w:eastAsia="Arial" w:hAnsi="Arial"/>
                <w:sz w:val="14"/>
                <w:szCs w:val="14"/>
                <w:b w:val="1"/>
                <w:bCs w:val="1"/>
                <w:color w:val="auto"/>
              </w:rPr>
              <w:t>For the Three Months Ended June 30,</w:t>
            </w:r>
          </w:p>
        </w:tc>
        <w:tc>
          <w:tcPr>
            <w:tcW w:w="3960" w:type="dxa"/>
            <w:vAlign w:val="bottom"/>
            <w:gridSpan w:val="5"/>
          </w:tcPr>
          <w:p>
            <w:pPr>
              <w:jc w:val="right"/>
              <w:ind w:right="841"/>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92"/>
        </w:trPr>
        <w:tc>
          <w:tcPr>
            <w:tcW w:w="3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5"/>
        </w:trPr>
        <w:tc>
          <w:tcPr>
            <w:tcW w:w="326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Consumer Loan unit volume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73,340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69,809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146,456</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163,683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32"/>
        </w:trPr>
        <w:tc>
          <w:tcPr>
            <w:tcW w:w="3260" w:type="dxa"/>
            <w:vAlign w:val="bottom"/>
            <w:tcBorders>
              <w:bottom w:val="single" w:sz="8" w:color="CCEEFF"/>
            </w:tcBorders>
            <w:gridSpan w:val="6"/>
          </w:tcPr>
          <w:p>
            <w:pPr>
              <w:ind w:left="20"/>
              <w:spacing w:after="0"/>
              <w:rPr>
                <w:sz w:val="20"/>
                <w:szCs w:val="20"/>
                <w:color w:val="auto"/>
              </w:rPr>
            </w:pPr>
            <w:r>
              <w:rPr>
                <w:rFonts w:ascii="Arial" w:cs="Arial" w:eastAsia="Arial" w:hAnsi="Arial"/>
                <w:sz w:val="18"/>
                <w:szCs w:val="18"/>
                <w:color w:val="auto"/>
              </w:rPr>
              <w:t>Active Dealers (1)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8,494</w:t>
            </w:r>
          </w:p>
        </w:tc>
        <w:tc>
          <w:tcPr>
            <w:tcW w:w="1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8,333</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9,815</w:t>
            </w: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10,165</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5"/>
        </w:trPr>
        <w:tc>
          <w:tcPr>
            <w:tcW w:w="326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Average volume per active Dealer</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65"/>
        </w:trPr>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3260" w:type="dxa"/>
            <w:vAlign w:val="bottom"/>
            <w:gridSpan w:val="6"/>
            <w:shd w:val="clear" w:color="auto" w:fill="CCEEFF"/>
          </w:tcPr>
          <w:p>
            <w:pPr>
              <w:ind w:left="20"/>
              <w:spacing w:after="0" w:line="173" w:lineRule="exact"/>
              <w:rPr>
                <w:sz w:val="20"/>
                <w:szCs w:val="20"/>
                <w:color w:val="auto"/>
              </w:rPr>
            </w:pPr>
            <w:r>
              <w:rPr>
                <w:rFonts w:ascii="Arial" w:cs="Arial" w:eastAsia="Arial" w:hAnsi="Arial"/>
                <w:sz w:val="18"/>
                <w:szCs w:val="18"/>
                <w:color w:val="auto"/>
                <w:w w:val="96"/>
              </w:rPr>
              <w:t>Consumer Loan unit volume from Dealers</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60,132</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60,572</w:t>
            </w: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127,283</w:t>
            </w:r>
          </w:p>
        </w:tc>
        <w:tc>
          <w:tcPr>
            <w:tcW w:w="1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147,109</w:t>
            </w: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24"/>
        </w:trPr>
        <w:tc>
          <w:tcPr>
            <w:tcW w:w="340" w:type="dxa"/>
            <w:vAlign w:val="bottom"/>
            <w:shd w:val="clear" w:color="auto" w:fill="CCEEFF"/>
          </w:tcPr>
          <w:p>
            <w:pPr>
              <w:spacing w:after="0"/>
              <w:rPr>
                <w:sz w:val="19"/>
                <w:szCs w:val="19"/>
                <w:color w:val="auto"/>
              </w:rPr>
            </w:pPr>
          </w:p>
        </w:tc>
        <w:tc>
          <w:tcPr>
            <w:tcW w:w="2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active both periods</w:t>
            </w: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260" w:type="dxa"/>
            <w:vAlign w:val="bottom"/>
            <w:tcBorders>
              <w:bottom w:val="single" w:sz="8" w:color="CCEEFF"/>
            </w:tcBorders>
            <w:gridSpan w:val="6"/>
          </w:tcPr>
          <w:p>
            <w:pPr>
              <w:ind w:left="20"/>
              <w:spacing w:after="0"/>
              <w:rPr>
                <w:sz w:val="20"/>
                <w:szCs w:val="20"/>
                <w:color w:val="auto"/>
              </w:rPr>
            </w:pPr>
            <w:r>
              <w:rPr>
                <w:rFonts w:ascii="Arial" w:cs="Arial" w:eastAsia="Arial" w:hAnsi="Arial"/>
                <w:sz w:val="18"/>
                <w:szCs w:val="18"/>
                <w:color w:val="auto"/>
              </w:rPr>
              <w:t>Dealers active both periods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5,890</w:t>
            </w:r>
          </w:p>
        </w:tc>
        <w:tc>
          <w:tcPr>
            <w:tcW w:w="1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5,890</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7,382</w:t>
            </w: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7,382</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0"/>
        </w:trPr>
        <w:tc>
          <w:tcPr>
            <w:tcW w:w="3260" w:type="dxa"/>
            <w:vAlign w:val="bottom"/>
            <w:gridSpan w:val="6"/>
            <w:shd w:val="clear" w:color="auto" w:fill="CCEEFF"/>
          </w:tcPr>
          <w:p>
            <w:pPr>
              <w:ind w:left="20"/>
              <w:spacing w:after="0" w:line="160" w:lineRule="exact"/>
              <w:rPr>
                <w:sz w:val="20"/>
                <w:szCs w:val="20"/>
                <w:color w:val="auto"/>
              </w:rPr>
            </w:pPr>
            <w:r>
              <w:rPr>
                <w:rFonts w:ascii="Arial" w:cs="Arial" w:eastAsia="Arial" w:hAnsi="Arial"/>
                <w:sz w:val="18"/>
                <w:szCs w:val="18"/>
                <w:color w:val="auto"/>
              </w:rPr>
              <w:t>Average volume per Dealer active</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24"/>
        </w:trPr>
        <w:tc>
          <w:tcPr>
            <w:tcW w:w="340" w:type="dxa"/>
            <w:vAlign w:val="bottom"/>
            <w:shd w:val="clear" w:color="auto" w:fill="CCEEFF"/>
          </w:tcPr>
          <w:p>
            <w:pPr>
              <w:spacing w:after="0"/>
              <w:rPr>
                <w:sz w:val="19"/>
                <w:szCs w:val="19"/>
                <w:color w:val="auto"/>
              </w:rPr>
            </w:pPr>
          </w:p>
        </w:tc>
        <w:tc>
          <w:tcPr>
            <w:tcW w:w="2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both periods</w:t>
            </w: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3260" w:type="dxa"/>
            <w:vAlign w:val="bottom"/>
            <w:gridSpan w:val="6"/>
            <w:shd w:val="clear" w:color="auto" w:fill="CCEEFF"/>
          </w:tcPr>
          <w:p>
            <w:pPr>
              <w:ind w:left="20"/>
              <w:spacing w:after="0" w:line="173" w:lineRule="exact"/>
              <w:rPr>
                <w:sz w:val="20"/>
                <w:szCs w:val="20"/>
                <w:color w:val="auto"/>
              </w:rPr>
            </w:pPr>
            <w:r>
              <w:rPr>
                <w:rFonts w:ascii="Arial" w:cs="Arial" w:eastAsia="Arial" w:hAnsi="Arial"/>
                <w:sz w:val="18"/>
                <w:szCs w:val="18"/>
                <w:color w:val="auto"/>
                <w:w w:val="96"/>
              </w:rPr>
              <w:t>Consumer Loan unit volume from Dealers</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13,208</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9,237</w:t>
            </w: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43.0 %</w:t>
            </w:r>
          </w:p>
        </w:tc>
        <w:tc>
          <w:tcPr>
            <w:tcW w:w="1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19,173</w:t>
            </w:r>
          </w:p>
        </w:tc>
        <w:tc>
          <w:tcPr>
            <w:tcW w:w="1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16,574</w:t>
            </w: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2920" w:type="dxa"/>
            <w:vAlign w:val="bottom"/>
            <w:gridSpan w:val="5"/>
            <w:shd w:val="clear" w:color="auto" w:fill="CCEEFF"/>
          </w:tcPr>
          <w:p>
            <w:pPr>
              <w:spacing w:after="0" w:line="185" w:lineRule="exact"/>
              <w:rPr>
                <w:sz w:val="20"/>
                <w:szCs w:val="20"/>
                <w:color w:val="auto"/>
              </w:rPr>
            </w:pPr>
            <w:r>
              <w:rPr>
                <w:rFonts w:ascii="Arial" w:cs="Arial" w:eastAsia="Arial" w:hAnsi="Arial"/>
                <w:sz w:val="18"/>
                <w:szCs w:val="18"/>
                <w:color w:val="auto"/>
              </w:rPr>
              <w:t>not active both periods</w:t>
            </w:r>
          </w:p>
        </w:tc>
        <w:tc>
          <w:tcPr>
            <w:tcW w:w="11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4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000000"/>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3260" w:type="dxa"/>
            <w:vAlign w:val="bottom"/>
            <w:gridSpan w:val="6"/>
          </w:tcPr>
          <w:p>
            <w:pPr>
              <w:ind w:left="20"/>
              <w:spacing w:after="0" w:line="199" w:lineRule="exact"/>
              <w:rPr>
                <w:sz w:val="20"/>
                <w:szCs w:val="20"/>
                <w:color w:val="auto"/>
              </w:rPr>
            </w:pPr>
            <w:r>
              <w:rPr>
                <w:rFonts w:ascii="Arial" w:cs="Arial" w:eastAsia="Arial" w:hAnsi="Arial"/>
                <w:sz w:val="18"/>
                <w:szCs w:val="18"/>
                <w:color w:val="auto"/>
              </w:rPr>
              <w:t>Dealers not active both periods</w:t>
            </w:r>
          </w:p>
        </w:tc>
        <w:tc>
          <w:tcPr>
            <w:tcW w:w="1180" w:type="dxa"/>
            <w:vAlign w:val="bottom"/>
          </w:tcPr>
          <w:p>
            <w:pPr>
              <w:jc w:val="right"/>
              <w:spacing w:after="0" w:line="199" w:lineRule="exact"/>
              <w:rPr>
                <w:sz w:val="20"/>
                <w:szCs w:val="20"/>
                <w:color w:val="auto"/>
              </w:rPr>
            </w:pPr>
            <w:r>
              <w:rPr>
                <w:rFonts w:ascii="Arial" w:cs="Arial" w:eastAsia="Arial" w:hAnsi="Arial"/>
                <w:sz w:val="18"/>
                <w:szCs w:val="18"/>
                <w:color w:val="auto"/>
              </w:rPr>
              <w:t>2,604</w:t>
            </w:r>
          </w:p>
        </w:tc>
        <w:tc>
          <w:tcPr>
            <w:tcW w:w="120" w:type="dxa"/>
            <w:vAlign w:val="bottom"/>
          </w:tcPr>
          <w:p>
            <w:pPr>
              <w:spacing w:after="0"/>
              <w:rPr>
                <w:sz w:val="17"/>
                <w:szCs w:val="17"/>
                <w:color w:val="auto"/>
              </w:rPr>
            </w:pPr>
          </w:p>
        </w:tc>
        <w:tc>
          <w:tcPr>
            <w:tcW w:w="1180" w:type="dxa"/>
            <w:vAlign w:val="bottom"/>
          </w:tcPr>
          <w:p>
            <w:pPr>
              <w:jc w:val="right"/>
              <w:spacing w:after="0" w:line="199" w:lineRule="exact"/>
              <w:rPr>
                <w:sz w:val="20"/>
                <w:szCs w:val="20"/>
                <w:color w:val="auto"/>
              </w:rPr>
            </w:pPr>
            <w:r>
              <w:rPr>
                <w:rFonts w:ascii="Arial" w:cs="Arial" w:eastAsia="Arial" w:hAnsi="Arial"/>
                <w:sz w:val="18"/>
                <w:szCs w:val="18"/>
                <w:color w:val="auto"/>
              </w:rPr>
              <w:t>2,443</w:t>
            </w:r>
          </w:p>
        </w:tc>
        <w:tc>
          <w:tcPr>
            <w:tcW w:w="144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6.6 %</w:t>
            </w:r>
          </w:p>
        </w:tc>
        <w:tc>
          <w:tcPr>
            <w:tcW w:w="100" w:type="dxa"/>
            <w:vAlign w:val="bottom"/>
          </w:tcPr>
          <w:p>
            <w:pPr>
              <w:spacing w:after="0"/>
              <w:rPr>
                <w:sz w:val="17"/>
                <w:szCs w:val="17"/>
                <w:color w:val="auto"/>
              </w:rPr>
            </w:pPr>
          </w:p>
        </w:tc>
        <w:tc>
          <w:tcPr>
            <w:tcW w:w="1200" w:type="dxa"/>
            <w:vAlign w:val="bottom"/>
          </w:tcPr>
          <w:p>
            <w:pPr>
              <w:jc w:val="right"/>
              <w:spacing w:after="0" w:line="199" w:lineRule="exact"/>
              <w:rPr>
                <w:sz w:val="20"/>
                <w:szCs w:val="20"/>
                <w:color w:val="auto"/>
              </w:rPr>
            </w:pPr>
            <w:r>
              <w:rPr>
                <w:rFonts w:ascii="Arial" w:cs="Arial" w:eastAsia="Arial" w:hAnsi="Arial"/>
                <w:sz w:val="18"/>
                <w:szCs w:val="18"/>
                <w:color w:val="auto"/>
              </w:rPr>
              <w:t>2,433</w:t>
            </w:r>
          </w:p>
        </w:tc>
        <w:tc>
          <w:tcPr>
            <w:tcW w:w="120" w:type="dxa"/>
            <w:vAlign w:val="bottom"/>
          </w:tcPr>
          <w:p>
            <w:pPr>
              <w:spacing w:after="0"/>
              <w:rPr>
                <w:sz w:val="17"/>
                <w:szCs w:val="17"/>
                <w:color w:val="auto"/>
              </w:rPr>
            </w:pPr>
          </w:p>
        </w:tc>
        <w:tc>
          <w:tcPr>
            <w:tcW w:w="1200" w:type="dxa"/>
            <w:vAlign w:val="bottom"/>
          </w:tcPr>
          <w:p>
            <w:pPr>
              <w:jc w:val="right"/>
              <w:spacing w:after="0" w:line="199" w:lineRule="exact"/>
              <w:rPr>
                <w:sz w:val="20"/>
                <w:szCs w:val="20"/>
                <w:color w:val="auto"/>
              </w:rPr>
            </w:pPr>
            <w:r>
              <w:rPr>
                <w:rFonts w:ascii="Arial" w:cs="Arial" w:eastAsia="Arial" w:hAnsi="Arial"/>
                <w:sz w:val="18"/>
                <w:szCs w:val="18"/>
                <w:color w:val="auto"/>
              </w:rPr>
              <w:t>2,783</w:t>
            </w:r>
          </w:p>
        </w:tc>
        <w:tc>
          <w:tcPr>
            <w:tcW w:w="144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260" w:type="dxa"/>
            <w:vAlign w:val="bottom"/>
            <w:gridSpan w:val="6"/>
            <w:shd w:val="clear" w:color="auto" w:fill="CCEEFF"/>
          </w:tcPr>
          <w:p>
            <w:pPr>
              <w:ind w:left="20"/>
              <w:spacing w:after="0" w:line="165" w:lineRule="exact"/>
              <w:rPr>
                <w:sz w:val="20"/>
                <w:szCs w:val="20"/>
                <w:color w:val="auto"/>
              </w:rPr>
            </w:pPr>
            <w:r>
              <w:rPr>
                <w:rFonts w:ascii="Arial" w:cs="Arial" w:eastAsia="Arial" w:hAnsi="Arial"/>
                <w:sz w:val="18"/>
                <w:szCs w:val="18"/>
                <w:color w:val="auto"/>
              </w:rPr>
              <w:t>Average volume per Dealer not active</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CCEEFF"/>
            </w:tcBorders>
            <w:gridSpan w:val="3"/>
            <w:shd w:val="clear" w:color="auto" w:fill="CCEEFF"/>
          </w:tcPr>
          <w:p>
            <w:pPr>
              <w:spacing w:after="0" w:line="192" w:lineRule="exact"/>
              <w:rPr>
                <w:sz w:val="20"/>
                <w:szCs w:val="20"/>
                <w:color w:val="auto"/>
              </w:rPr>
            </w:pPr>
            <w:r>
              <w:rPr>
                <w:rFonts w:ascii="Arial" w:cs="Arial" w:eastAsia="Arial" w:hAnsi="Arial"/>
                <w:sz w:val="18"/>
                <w:szCs w:val="18"/>
                <w:color w:val="auto"/>
              </w:rPr>
              <w:t>both periods</w:t>
            </w:r>
          </w:p>
        </w:tc>
        <w:tc>
          <w:tcPr>
            <w:tcW w:w="2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5.1</w:t>
            </w:r>
          </w:p>
        </w:tc>
        <w:tc>
          <w:tcPr>
            <w:tcW w:w="1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3.8</w:t>
            </w:r>
          </w:p>
        </w:tc>
        <w:tc>
          <w:tcPr>
            <w:tcW w:w="1440" w:type="dxa"/>
            <w:vAlign w:val="bottom"/>
            <w:tcBorders>
              <w:top w:val="single" w:sz="8" w:color="CCEEFF"/>
            </w:tcBorders>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34.2 %</w:t>
            </w: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7.9</w:t>
            </w:r>
          </w:p>
        </w:tc>
        <w:tc>
          <w:tcPr>
            <w:tcW w:w="1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6.0</w:t>
            </w:r>
          </w:p>
        </w:tc>
        <w:tc>
          <w:tcPr>
            <w:tcW w:w="1440" w:type="dxa"/>
            <w:vAlign w:val="bottom"/>
            <w:tcBorders>
              <w:top w:val="single" w:sz="8" w:color="CCEEFF"/>
            </w:tcBorders>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31.7 %</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80" w:hanging="315"/>
        <w:spacing w:after="0"/>
        <w:tabs>
          <w:tab w:leader="none" w:pos="4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Active Dealers are Dealers who have received funding for at least one Consumer Loan during the period.</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additional information on the changes in Consumer Loan unit volume and active Dealers: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060" w:type="dxa"/>
            <w:vAlign w:val="bottom"/>
          </w:tcPr>
          <w:p>
            <w:pPr>
              <w:spacing w:after="0"/>
              <w:rPr>
                <w:sz w:val="17"/>
                <w:szCs w:val="17"/>
                <w:color w:val="auto"/>
              </w:rPr>
            </w:pPr>
          </w:p>
        </w:tc>
        <w:tc>
          <w:tcPr>
            <w:tcW w:w="4120" w:type="dxa"/>
            <w:vAlign w:val="bottom"/>
            <w:gridSpan w:val="6"/>
          </w:tcPr>
          <w:p>
            <w:pPr>
              <w:ind w:left="860"/>
              <w:spacing w:after="0"/>
              <w:rPr>
                <w:sz w:val="20"/>
                <w:szCs w:val="20"/>
                <w:color w:val="auto"/>
              </w:rPr>
            </w:pPr>
            <w:r>
              <w:rPr>
                <w:rFonts w:ascii="Arial" w:cs="Arial" w:eastAsia="Arial" w:hAnsi="Arial"/>
                <w:sz w:val="14"/>
                <w:szCs w:val="14"/>
                <w:b w:val="1"/>
                <w:bCs w:val="1"/>
                <w:color w:val="auto"/>
              </w:rPr>
              <w:t>For the Three Months Ended June 30,</w:t>
            </w:r>
          </w:p>
        </w:tc>
        <w:tc>
          <w:tcPr>
            <w:tcW w:w="3100" w:type="dxa"/>
            <w:vAlign w:val="bottom"/>
            <w:gridSpan w:val="5"/>
          </w:tcPr>
          <w:p>
            <w:pPr>
              <w:ind w:left="960"/>
              <w:spacing w:after="0"/>
              <w:rPr>
                <w:sz w:val="20"/>
                <w:szCs w:val="20"/>
                <w:color w:val="auto"/>
              </w:rPr>
            </w:pPr>
            <w:r>
              <w:rPr>
                <w:rFonts w:ascii="Arial" w:cs="Arial" w:eastAsia="Arial" w:hAnsi="Arial"/>
                <w:sz w:val="14"/>
                <w:szCs w:val="14"/>
                <w:b w:val="1"/>
                <w:bCs w:val="1"/>
                <w:color w:val="auto"/>
                <w:w w:val="91"/>
              </w:rPr>
              <w:t>For the Six Months Ended June 30,</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06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60"/>
        </w:trPr>
        <w:tc>
          <w:tcPr>
            <w:tcW w:w="3060" w:type="dxa"/>
            <w:vAlign w:val="bottom"/>
            <w:shd w:val="clear" w:color="auto" w:fill="CCEEFF"/>
          </w:tcPr>
          <w:p>
            <w:pPr>
              <w:ind w:left="20"/>
              <w:spacing w:after="0" w:line="160" w:lineRule="exact"/>
              <w:rPr>
                <w:sz w:val="20"/>
                <w:szCs w:val="20"/>
                <w:color w:val="auto"/>
              </w:rPr>
            </w:pPr>
            <w:r>
              <w:rPr>
                <w:rFonts w:ascii="Arial" w:cs="Arial" w:eastAsia="Arial" w:hAnsi="Arial"/>
                <w:sz w:val="18"/>
                <w:szCs w:val="18"/>
                <w:color w:val="auto"/>
                <w:w w:val="99"/>
              </w:rPr>
              <w:t>Consumer Loan unit volume from new</w:t>
            </w:r>
          </w:p>
        </w:tc>
        <w:tc>
          <w:tcPr>
            <w:tcW w:w="1260" w:type="dxa"/>
            <w:vAlign w:val="bottom"/>
            <w:vMerge w:val="restart"/>
            <w:shd w:val="clear" w:color="auto" w:fill="CCEEFF"/>
          </w:tcPr>
          <w:p>
            <w:pPr>
              <w:jc w:val="right"/>
              <w:ind w:right="138"/>
              <w:spacing w:after="0"/>
              <w:rPr>
                <w:sz w:val="20"/>
                <w:szCs w:val="20"/>
                <w:color w:val="auto"/>
              </w:rPr>
            </w:pPr>
            <w:r>
              <w:rPr>
                <w:rFonts w:ascii="Arial" w:cs="Arial" w:eastAsia="Arial" w:hAnsi="Arial"/>
                <w:sz w:val="18"/>
                <w:szCs w:val="18"/>
                <w:color w:val="auto"/>
              </w:rPr>
              <w:t>2,328</w:t>
            </w:r>
          </w:p>
        </w:tc>
        <w:tc>
          <w:tcPr>
            <w:tcW w:w="12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color w:val="auto"/>
              </w:rPr>
              <w:t>1,601</w:t>
            </w:r>
          </w:p>
        </w:tc>
        <w:tc>
          <w:tcPr>
            <w:tcW w:w="1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45.4 %</w:t>
            </w: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138"/>
              <w:spacing w:after="0"/>
              <w:rPr>
                <w:sz w:val="20"/>
                <w:szCs w:val="20"/>
                <w:color w:val="auto"/>
              </w:rPr>
            </w:pPr>
            <w:r>
              <w:rPr>
                <w:rFonts w:ascii="Arial" w:cs="Arial" w:eastAsia="Arial" w:hAnsi="Arial"/>
                <w:sz w:val="18"/>
                <w:szCs w:val="18"/>
                <w:color w:val="auto"/>
              </w:rPr>
              <w:t>8,517</w:t>
            </w:r>
          </w:p>
        </w:tc>
        <w:tc>
          <w:tcPr>
            <w:tcW w:w="10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color w:val="auto"/>
              </w:rPr>
              <w:t>7,263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24"/>
        </w:trPr>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active Dealers</w:t>
            </w:r>
          </w:p>
        </w:tc>
        <w:tc>
          <w:tcPr>
            <w:tcW w:w="12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New active Dealers (1)</w:t>
            </w:r>
          </w:p>
        </w:tc>
        <w:tc>
          <w:tcPr>
            <w:tcW w:w="126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449</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51.9 %</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25"/>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Average volume per new active Dealer</w:t>
            </w:r>
          </w:p>
        </w:tc>
        <w:tc>
          <w:tcPr>
            <w:tcW w:w="12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52"/>
        </w:trPr>
        <w:tc>
          <w:tcPr>
            <w:tcW w:w="30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Attrition (2)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480" w:hanging="315"/>
        <w:spacing w:after="0"/>
        <w:tabs>
          <w:tab w:leader="none" w:pos="4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New active Dealers are Dealers who enrolled in our program and have received funding for their first Loan from us during the period.</w:t>
      </w:r>
    </w:p>
    <w:p>
      <w:pPr>
        <w:spacing w:after="0" w:line="10" w:lineRule="exact"/>
        <w:rPr>
          <w:rFonts w:ascii="Arial" w:cs="Arial" w:eastAsia="Arial" w:hAnsi="Arial"/>
          <w:sz w:val="14"/>
          <w:szCs w:val="14"/>
          <w:color w:val="auto"/>
        </w:rPr>
      </w:pPr>
    </w:p>
    <w:p>
      <w:pPr>
        <w:ind w:left="480" w:right="20" w:hanging="315"/>
        <w:spacing w:after="0" w:line="247" w:lineRule="auto"/>
        <w:tabs>
          <w:tab w:leader="none" w:pos="472" w:val="left"/>
        </w:tabs>
        <w:numPr>
          <w:ilvl w:val="0"/>
          <w:numId w:val="50"/>
        </w:numPr>
        <w:rPr>
          <w:rFonts w:ascii="Arial" w:cs="Arial" w:eastAsia="Arial" w:hAnsi="Arial"/>
          <w:sz w:val="14"/>
          <w:szCs w:val="14"/>
          <w:color w:val="auto"/>
        </w:rPr>
      </w:pPr>
      <w:r>
        <w:rPr>
          <w:rFonts w:ascii="Arial" w:cs="Arial" w:eastAsia="Arial" w:hAnsi="Arial"/>
          <w:sz w:val="14"/>
          <w:szCs w:val="14"/>
          <w:color w:val="auto"/>
        </w:rPr>
        <w:t>Attrition is measured according to the following formula: decrease in Consumer Loan unit volume from Dealers who have received funding for at least one Loan during the comparable period of the prior year but did not receive funding for any Loans during the current period divided by prior year comparable period Consumer Loan unit volume.</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shows the percentage of Consumer Loans assigned to us as Dealer Loans and Purchased Loans for each of the last six quarters: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180" w:type="dxa"/>
            <w:vAlign w:val="bottom"/>
          </w:tcPr>
          <w:p>
            <w:pPr>
              <w:spacing w:after="0"/>
              <w:rPr>
                <w:sz w:val="17"/>
                <w:szCs w:val="17"/>
                <w:color w:val="auto"/>
              </w:rPr>
            </w:pPr>
          </w:p>
        </w:tc>
        <w:tc>
          <w:tcPr>
            <w:tcW w:w="3560" w:type="dxa"/>
            <w:vAlign w:val="bottom"/>
            <w:gridSpan w:val="4"/>
          </w:tcPr>
          <w:p>
            <w:pPr>
              <w:ind w:left="1340"/>
              <w:spacing w:after="0"/>
              <w:rPr>
                <w:sz w:val="20"/>
                <w:szCs w:val="20"/>
                <w:color w:val="auto"/>
              </w:rPr>
            </w:pPr>
            <w:r>
              <w:rPr>
                <w:rFonts w:ascii="Arial" w:cs="Arial" w:eastAsia="Arial" w:hAnsi="Arial"/>
                <w:sz w:val="14"/>
                <w:szCs w:val="14"/>
                <w:b w:val="1"/>
                <w:bCs w:val="1"/>
                <w:color w:val="auto"/>
              </w:rPr>
              <w:t>Unit Volume</w:t>
            </w:r>
          </w:p>
        </w:tc>
        <w:tc>
          <w:tcPr>
            <w:tcW w:w="3440" w:type="dxa"/>
            <w:vAlign w:val="bottom"/>
            <w:gridSpan w:val="3"/>
          </w:tcPr>
          <w:p>
            <w:pPr>
              <w:jc w:val="right"/>
              <w:ind w:right="1094"/>
              <w:spacing w:after="0"/>
              <w:rPr>
                <w:sz w:val="20"/>
                <w:szCs w:val="20"/>
                <w:color w:val="auto"/>
              </w:rPr>
            </w:pPr>
            <w:r>
              <w:rPr>
                <w:rFonts w:ascii="Arial" w:cs="Arial" w:eastAsia="Arial" w:hAnsi="Arial"/>
                <w:sz w:val="14"/>
                <w:szCs w:val="14"/>
                <w:b w:val="1"/>
                <w:bCs w:val="1"/>
                <w:color w:val="auto"/>
              </w:rPr>
              <w:t>Dollar Volume (1)</w:t>
            </w:r>
          </w:p>
        </w:tc>
      </w:tr>
      <w:tr>
        <w:trPr>
          <w:trHeight w:val="192"/>
        </w:trPr>
        <w:tc>
          <w:tcPr>
            <w:tcW w:w="4180" w:type="dxa"/>
            <w:vAlign w:val="bottom"/>
          </w:tcPr>
          <w:p>
            <w:pPr>
              <w:ind w:left="1400"/>
              <w:spacing w:after="0"/>
              <w:rPr>
                <w:sz w:val="20"/>
                <w:szCs w:val="20"/>
                <w:color w:val="auto"/>
              </w:rPr>
            </w:pPr>
            <w:r>
              <w:rPr>
                <w:rFonts w:ascii="Arial" w:cs="Arial" w:eastAsia="Arial" w:hAnsi="Arial"/>
                <w:sz w:val="14"/>
                <w:szCs w:val="14"/>
                <w:b w:val="1"/>
                <w:bCs w:val="1"/>
                <w:color w:val="auto"/>
              </w:rPr>
              <w:t>Three Months Ended</w:t>
            </w:r>
          </w:p>
        </w:tc>
        <w:tc>
          <w:tcPr>
            <w:tcW w:w="1780" w:type="dxa"/>
            <w:vAlign w:val="bottom"/>
            <w:tcBorders>
              <w:top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Dealer Loans</w:t>
            </w:r>
          </w:p>
        </w:tc>
        <w:tc>
          <w:tcPr>
            <w:tcW w:w="166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Purchased Loans</w:t>
            </w:r>
          </w:p>
        </w:tc>
        <w:tc>
          <w:tcPr>
            <w:tcW w:w="120" w:type="dxa"/>
            <w:vAlign w:val="bottom"/>
          </w:tcPr>
          <w:p>
            <w:pPr>
              <w:spacing w:after="0"/>
              <w:rPr>
                <w:sz w:val="16"/>
                <w:szCs w:val="16"/>
                <w:color w:val="auto"/>
              </w:rPr>
            </w:pPr>
          </w:p>
        </w:tc>
        <w:tc>
          <w:tcPr>
            <w:tcW w:w="1740" w:type="dxa"/>
            <w:vAlign w:val="bottom"/>
            <w:tcBorders>
              <w:top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Dealer Loans</w:t>
            </w:r>
          </w:p>
        </w:tc>
        <w:tc>
          <w:tcPr>
            <w:tcW w:w="170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Purchased Loans</w:t>
            </w:r>
          </w:p>
        </w:tc>
      </w:tr>
      <w:tr>
        <w:trPr>
          <w:trHeight w:val="225"/>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65.4 %</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34.6 %</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62.7 %</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37.3 %</w:t>
            </w:r>
          </w:p>
        </w:tc>
      </w:tr>
      <w:tr>
        <w:trPr>
          <w:trHeight w:val="225"/>
        </w:trPr>
        <w:tc>
          <w:tcPr>
            <w:tcW w:w="4180" w:type="dxa"/>
            <w:vAlign w:val="bottom"/>
          </w:tcPr>
          <w:p>
            <w:pPr>
              <w:ind w:left="20"/>
              <w:spacing w:after="0"/>
              <w:rPr>
                <w:sz w:val="20"/>
                <w:szCs w:val="20"/>
                <w:color w:val="auto"/>
              </w:rPr>
            </w:pPr>
            <w:r>
              <w:rPr>
                <w:rFonts w:ascii="Arial" w:cs="Arial" w:eastAsia="Arial" w:hAnsi="Arial"/>
                <w:sz w:val="18"/>
                <w:szCs w:val="18"/>
                <w:color w:val="auto"/>
              </w:rPr>
              <w:t>June 30, 2021</w:t>
            </w:r>
          </w:p>
        </w:tc>
        <w:tc>
          <w:tcPr>
            <w:tcW w:w="1660" w:type="dxa"/>
            <w:vAlign w:val="bottom"/>
          </w:tcPr>
          <w:p>
            <w:pPr>
              <w:jc w:val="right"/>
              <w:spacing w:after="0"/>
              <w:rPr>
                <w:sz w:val="20"/>
                <w:szCs w:val="20"/>
                <w:color w:val="auto"/>
              </w:rPr>
            </w:pPr>
            <w:r>
              <w:rPr>
                <w:rFonts w:ascii="Arial" w:cs="Arial" w:eastAsia="Arial" w:hAnsi="Arial"/>
                <w:sz w:val="18"/>
                <w:szCs w:val="18"/>
                <w:color w:val="auto"/>
              </w:rPr>
              <w:t>66.9 %</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33.1 %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64.0 %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36.0 %</w:t>
            </w:r>
          </w:p>
        </w:tc>
      </w:tr>
      <w:tr>
        <w:trPr>
          <w:trHeight w:val="22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69.9 %</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33.2 %</w:t>
            </w:r>
          </w:p>
        </w:tc>
      </w:tr>
      <w:tr>
        <w:trPr>
          <w:trHeight w:val="225"/>
        </w:trPr>
        <w:tc>
          <w:tcPr>
            <w:tcW w:w="4180" w:type="dxa"/>
            <w:vAlign w:val="bottom"/>
          </w:tcPr>
          <w:p>
            <w:pPr>
              <w:ind w:left="20"/>
              <w:spacing w:after="0"/>
              <w:rPr>
                <w:sz w:val="20"/>
                <w:szCs w:val="20"/>
                <w:color w:val="auto"/>
              </w:rPr>
            </w:pPr>
            <w:r>
              <w:rPr>
                <w:rFonts w:ascii="Arial" w:cs="Arial" w:eastAsia="Arial" w:hAnsi="Arial"/>
                <w:sz w:val="18"/>
                <w:szCs w:val="18"/>
                <w:color w:val="auto"/>
              </w:rPr>
              <w:t>December 31, 2021</w:t>
            </w:r>
          </w:p>
        </w:tc>
        <w:tc>
          <w:tcPr>
            <w:tcW w:w="1660" w:type="dxa"/>
            <w:vAlign w:val="bottom"/>
          </w:tcPr>
          <w:p>
            <w:pPr>
              <w:jc w:val="right"/>
              <w:spacing w:after="0"/>
              <w:rPr>
                <w:sz w:val="20"/>
                <w:szCs w:val="20"/>
                <w:color w:val="auto"/>
              </w:rPr>
            </w:pPr>
            <w:r>
              <w:rPr>
                <w:rFonts w:ascii="Arial" w:cs="Arial" w:eastAsia="Arial" w:hAnsi="Arial"/>
                <w:sz w:val="18"/>
                <w:szCs w:val="18"/>
                <w:color w:val="auto"/>
              </w:rPr>
              <w:t>71.8 %</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28.2 %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68.0 %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32.0 %</w:t>
            </w:r>
          </w:p>
        </w:tc>
      </w:tr>
      <w:tr>
        <w:trPr>
          <w:trHeight w:val="22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2022</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72.7 %</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31.4 %</w:t>
            </w:r>
          </w:p>
        </w:tc>
      </w:tr>
      <w:tr>
        <w:trPr>
          <w:trHeight w:val="224"/>
        </w:trPr>
        <w:tc>
          <w:tcPr>
            <w:tcW w:w="4180" w:type="dxa"/>
            <w:vAlign w:val="bottom"/>
          </w:tcPr>
          <w:p>
            <w:pPr>
              <w:ind w:left="20"/>
              <w:spacing w:after="0"/>
              <w:rPr>
                <w:sz w:val="20"/>
                <w:szCs w:val="20"/>
                <w:color w:val="auto"/>
              </w:rPr>
            </w:pPr>
            <w:r>
              <w:rPr>
                <w:rFonts w:ascii="Arial" w:cs="Arial" w:eastAsia="Arial" w:hAnsi="Arial"/>
                <w:sz w:val="18"/>
                <w:szCs w:val="18"/>
                <w:color w:val="auto"/>
              </w:rPr>
              <w:t>June 30, 2022</w:t>
            </w:r>
          </w:p>
        </w:tc>
        <w:tc>
          <w:tcPr>
            <w:tcW w:w="1660" w:type="dxa"/>
            <w:vAlign w:val="bottom"/>
          </w:tcPr>
          <w:p>
            <w:pPr>
              <w:jc w:val="right"/>
              <w:spacing w:after="0"/>
              <w:rPr>
                <w:sz w:val="20"/>
                <w:szCs w:val="20"/>
                <w:color w:val="auto"/>
              </w:rPr>
            </w:pPr>
            <w:r>
              <w:rPr>
                <w:rFonts w:ascii="Arial" w:cs="Arial" w:eastAsia="Arial" w:hAnsi="Arial"/>
                <w:sz w:val="18"/>
                <w:szCs w:val="18"/>
                <w:color w:val="auto"/>
              </w:rPr>
              <w:t>74.0 %</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26.0 %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70.4 %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29.6 %</w:t>
            </w:r>
          </w:p>
        </w:tc>
      </w:tr>
    </w:tbl>
    <w:p>
      <w:pPr>
        <w:spacing w:after="0" w:line="194" w:lineRule="exact"/>
        <w:rPr>
          <w:sz w:val="20"/>
          <w:szCs w:val="20"/>
          <w:color w:val="auto"/>
        </w:rPr>
      </w:pPr>
    </w:p>
    <w:p>
      <w:pPr>
        <w:ind w:left="480" w:hanging="315"/>
        <w:spacing w:after="0" w:line="265" w:lineRule="auto"/>
        <w:tabs>
          <w:tab w:leader="none" w:pos="472"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20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As of June 30, 2022 and December 31, 2021, the net Dealer Loans receivable balance was 63.1% and 61.3%, respectively, of the total net Loans receivable balance.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net Loan income (finance charge revenue less provision for credit losses expense) that we recognize over the life of a Loan equals the cash we collect from the underlying Consumer Loan less the cash we pay to the Dealer. We believe the economics of our business are best exhibited by recognizing net Loan income on a level-yield basis over the life of the Loan based on expected future net cash flows. We do not believe the GAAP methodology we employ (known as CECL) provides sufficient transparency into the economics of our business due to its asymmetry requiring us to recognize a significant provision for credit losses expense at the time of assignment for contractual net cash flows we never expect to realize and to recognize in subsequent periods finance charge revenue that is significantly in excess of our expected yields. For additional information, see Note 3 and Note 6 to the consolidated financial statements contained in Part I - Item 1 of this Form 10-Q, which is incorporated herein by reference.</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Three Months Ended June 30, 2022 Compared to Three Months Ended June 30, 2021</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discussion of our results of operations and income statement data on a consolidated basis.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gridSpan w:val="5"/>
          </w:tcPr>
          <w:p>
            <w:pPr>
              <w:ind w:left="360"/>
              <w:spacing w:after="0"/>
              <w:rPr>
                <w:sz w:val="20"/>
                <w:szCs w:val="20"/>
                <w:color w:val="auto"/>
              </w:rPr>
            </w:pPr>
            <w:r>
              <w:rPr>
                <w:rFonts w:ascii="Arial" w:cs="Arial" w:eastAsia="Arial" w:hAnsi="Arial"/>
                <w:sz w:val="14"/>
                <w:szCs w:val="14"/>
                <w:b w:val="1"/>
                <w:bCs w:val="1"/>
                <w:color w:val="auto"/>
              </w:rPr>
              <w:t>For the Three Months Ended</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740" w:type="dxa"/>
            <w:vAlign w:val="bottom"/>
          </w:tcPr>
          <w:p>
            <w:pPr>
              <w:ind w:left="20"/>
              <w:spacing w:after="0"/>
              <w:rPr>
                <w:sz w:val="20"/>
                <w:szCs w:val="20"/>
                <w:color w:val="auto"/>
              </w:rPr>
            </w:pPr>
            <w:r>
              <w:rPr>
                <w:rFonts w:ascii="Arial" w:cs="Arial" w:eastAsia="Arial" w:hAnsi="Arial"/>
                <w:sz w:val="14"/>
                <w:szCs w:val="14"/>
                <w:color w:val="auto"/>
              </w:rPr>
              <w:t>(Dollars in millions, except per share data)</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640" w:type="dxa"/>
            <w:vAlign w:val="bottom"/>
          </w:tcPr>
          <w:p>
            <w:pPr>
              <w:jc w:val="right"/>
              <w:ind w:right="41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1"/>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charges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25"/>
        </w:trPr>
        <w:tc>
          <w:tcPr>
            <w:tcW w:w="4740" w:type="dxa"/>
            <w:vAlign w:val="bottom"/>
          </w:tcPr>
          <w:p>
            <w:pPr>
              <w:ind w:left="220"/>
              <w:spacing w:after="0"/>
              <w:rPr>
                <w:sz w:val="20"/>
                <w:szCs w:val="20"/>
                <w:color w:val="auto"/>
              </w:rPr>
            </w:pPr>
            <w:r>
              <w:rPr>
                <w:rFonts w:ascii="Arial" w:cs="Arial" w:eastAsia="Arial" w:hAnsi="Arial"/>
                <w:sz w:val="18"/>
                <w:szCs w:val="18"/>
                <w:color w:val="auto"/>
              </w:rPr>
              <w:t>Premiums earned</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2"/>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56.2 %</w:t>
            </w:r>
          </w:p>
        </w:tc>
        <w:tc>
          <w:tcPr>
            <w:tcW w:w="0" w:type="dxa"/>
            <w:vAlign w:val="bottom"/>
          </w:tcPr>
          <w:p>
            <w:pPr>
              <w:spacing w:after="0"/>
              <w:rPr>
                <w:sz w:val="1"/>
                <w:szCs w:val="1"/>
                <w:color w:val="auto"/>
              </w:rPr>
            </w:pPr>
          </w:p>
        </w:tc>
      </w:tr>
      <w:tr>
        <w:trPr>
          <w:trHeight w:val="232"/>
        </w:trPr>
        <w:tc>
          <w:tcPr>
            <w:tcW w:w="47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40" w:type="dxa"/>
            <w:vAlign w:val="bottom"/>
          </w:tcPr>
          <w:p>
            <w:pPr>
              <w:ind w:left="220"/>
              <w:spacing w:after="0"/>
              <w:rPr>
                <w:sz w:val="20"/>
                <w:szCs w:val="20"/>
                <w:color w:val="auto"/>
              </w:rPr>
            </w:pPr>
            <w:r>
              <w:rPr>
                <w:rFonts w:ascii="Arial" w:cs="Arial" w:eastAsia="Arial" w:hAnsi="Arial"/>
                <w:sz w:val="18"/>
                <w:szCs w:val="18"/>
                <w:color w:val="auto"/>
              </w:rPr>
              <w:t>Salaries and wages (1)</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70.3 %</w:t>
            </w:r>
          </w:p>
        </w:tc>
        <w:tc>
          <w:tcPr>
            <w:tcW w:w="0" w:type="dxa"/>
            <w:vAlign w:val="bottom"/>
          </w:tcPr>
          <w:p>
            <w:pPr>
              <w:spacing w:after="0"/>
              <w:rPr>
                <w:sz w:val="1"/>
                <w:szCs w:val="1"/>
                <w:color w:val="auto"/>
              </w:rPr>
            </w:pPr>
          </w:p>
        </w:tc>
      </w:tr>
      <w:tr>
        <w:trPr>
          <w:trHeight w:val="22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 (1)</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91.1 %</w:t>
            </w:r>
          </w:p>
        </w:tc>
        <w:tc>
          <w:tcPr>
            <w:tcW w:w="0" w:type="dxa"/>
            <w:vAlign w:val="bottom"/>
          </w:tcPr>
          <w:p>
            <w:pPr>
              <w:spacing w:after="0"/>
              <w:rPr>
                <w:sz w:val="1"/>
                <w:szCs w:val="1"/>
                <w:color w:val="auto"/>
              </w:rPr>
            </w:pPr>
          </w:p>
        </w:tc>
      </w:tr>
      <w:tr>
        <w:trPr>
          <w:trHeight w:val="225"/>
        </w:trPr>
        <w:tc>
          <w:tcPr>
            <w:tcW w:w="4740" w:type="dxa"/>
            <w:vAlign w:val="bottom"/>
          </w:tcPr>
          <w:p>
            <w:pPr>
              <w:ind w:left="220"/>
              <w:spacing w:after="0"/>
              <w:rPr>
                <w:sz w:val="20"/>
                <w:szCs w:val="20"/>
                <w:color w:val="auto"/>
              </w:rPr>
            </w:pPr>
            <w:r>
              <w:rPr>
                <w:rFonts w:ascii="Arial" w:cs="Arial" w:eastAsia="Arial" w:hAnsi="Arial"/>
                <w:sz w:val="18"/>
                <w:szCs w:val="18"/>
                <w:color w:val="auto"/>
              </w:rPr>
              <w:t>Sales and marketing (1)</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27.5 %</w:t>
            </w:r>
          </w:p>
        </w:tc>
        <w:tc>
          <w:tcPr>
            <w:tcW w:w="0" w:type="dxa"/>
            <w:vAlign w:val="bottom"/>
          </w:tcPr>
          <w:p>
            <w:pPr>
              <w:spacing w:after="0"/>
              <w:rPr>
                <w:sz w:val="1"/>
                <w:szCs w:val="1"/>
                <w:color w:val="auto"/>
              </w:rPr>
            </w:pPr>
          </w:p>
        </w:tc>
      </w:tr>
      <w:tr>
        <w:trPr>
          <w:trHeight w:val="22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credit losses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-583.6 %</w:t>
            </w:r>
          </w:p>
        </w:tc>
        <w:tc>
          <w:tcPr>
            <w:tcW w:w="0" w:type="dxa"/>
            <w:vAlign w:val="bottom"/>
          </w:tcPr>
          <w:p>
            <w:pPr>
              <w:spacing w:after="0"/>
              <w:rPr>
                <w:sz w:val="1"/>
                <w:szCs w:val="1"/>
                <w:color w:val="auto"/>
              </w:rPr>
            </w:pPr>
          </w:p>
        </w:tc>
      </w:tr>
      <w:tr>
        <w:trPr>
          <w:trHeight w:val="225"/>
        </w:trPr>
        <w:tc>
          <w:tcPr>
            <w:tcW w:w="4740" w:type="dxa"/>
            <w:vAlign w:val="bottom"/>
          </w:tcPr>
          <w:p>
            <w:pPr>
              <w:ind w:left="220"/>
              <w:spacing w:after="0"/>
              <w:rPr>
                <w:sz w:val="20"/>
                <w:szCs w:val="20"/>
                <w:color w:val="auto"/>
              </w:rPr>
            </w:pPr>
            <w:r>
              <w:rPr>
                <w:rFonts w:ascii="Arial" w:cs="Arial" w:eastAsia="Arial" w:hAnsi="Arial"/>
                <w:sz w:val="18"/>
                <w:szCs w:val="18"/>
                <w:color w:val="auto"/>
              </w:rPr>
              <w:t>Interest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19"/>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Provision for claims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r>
        <w:trPr>
          <w:trHeight w:val="232"/>
        </w:trPr>
        <w:tc>
          <w:tcPr>
            <w:tcW w:w="47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242.7 %</w:t>
            </w:r>
          </w:p>
        </w:tc>
        <w:tc>
          <w:tcPr>
            <w:tcW w:w="0" w:type="dxa"/>
            <w:vAlign w:val="bottom"/>
          </w:tcPr>
          <w:p>
            <w:pPr>
              <w:spacing w:after="0"/>
              <w:rPr>
                <w:sz w:val="1"/>
                <w:szCs w:val="1"/>
                <w:color w:val="auto"/>
              </w:rPr>
            </w:pPr>
          </w:p>
        </w:tc>
      </w:tr>
      <w:tr>
        <w:trPr>
          <w:trHeight w:val="225"/>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-62.6 %</w:t>
            </w:r>
          </w:p>
        </w:tc>
        <w:tc>
          <w:tcPr>
            <w:tcW w:w="0" w:type="dxa"/>
            <w:vAlign w:val="bottom"/>
          </w:tcPr>
          <w:p>
            <w:pPr>
              <w:spacing w:after="0"/>
              <w:rPr>
                <w:sz w:val="1"/>
                <w:szCs w:val="1"/>
                <w:color w:val="auto"/>
              </w:rPr>
            </w:pPr>
          </w:p>
        </w:tc>
      </w:tr>
      <w:tr>
        <w:trPr>
          <w:trHeight w:val="232"/>
        </w:trPr>
        <w:tc>
          <w:tcPr>
            <w:tcW w:w="4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-61.9 %</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-62.8 %</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7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-53.5 %</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740" w:type="dxa"/>
            <w:vAlign w:val="bottom"/>
          </w:tcPr>
          <w:p>
            <w:pPr>
              <w:ind w:left="220"/>
              <w:spacing w:after="0" w:line="198"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7.94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17.18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(9.24)</w:t>
            </w:r>
          </w:p>
        </w:tc>
        <w:tc>
          <w:tcPr>
            <w:tcW w:w="100" w:type="dxa"/>
            <w:vAlign w:val="bottom"/>
          </w:tcPr>
          <w:p>
            <w:pPr>
              <w:spacing w:after="0"/>
              <w:rPr>
                <w:sz w:val="17"/>
                <w:szCs w:val="17"/>
                <w:color w:val="auto"/>
              </w:rPr>
            </w:pPr>
          </w:p>
        </w:tc>
        <w:tc>
          <w:tcPr>
            <w:tcW w:w="16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-53.8 %</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4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Weighted average shares outstanding:</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740" w:type="dxa"/>
            <w:vAlign w:val="bottom"/>
          </w:tcPr>
          <w:p>
            <w:pPr>
              <w:ind w:left="22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13,435,507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16,790,189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(3,354,682)</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2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13,517,979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16,794,279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(3,276,300)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-19.5 %</w:t>
            </w:r>
          </w:p>
        </w:tc>
        <w:tc>
          <w:tcPr>
            <w:tcW w:w="0" w:type="dxa"/>
            <w:vAlign w:val="bottom"/>
          </w:tcPr>
          <w:p>
            <w:pPr>
              <w:spacing w:after="0"/>
              <w:rPr>
                <w:sz w:val="1"/>
                <w:szCs w:val="1"/>
                <w:color w:val="auto"/>
              </w:rPr>
            </w:pPr>
          </w:p>
        </w:tc>
      </w:tr>
      <w:tr>
        <w:trPr>
          <w:trHeight w:val="252"/>
        </w:trPr>
        <w:tc>
          <w:tcPr>
            <w:tcW w:w="4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 Operating expenses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i w:val="1"/>
          <w:iCs w:val="1"/>
          <w:color w:val="auto"/>
        </w:rPr>
        <w:t xml:space="preserve">Finance Charges. </w:t>
      </w:r>
      <w:r>
        <w:rPr>
          <w:rFonts w:ascii="Arial" w:cs="Arial" w:eastAsia="Arial" w:hAnsi="Arial"/>
          <w:sz w:val="18"/>
          <w:szCs w:val="18"/>
          <w:color w:val="auto"/>
        </w:rPr>
        <w:t>The decrease of $19.8 million, or 4.4%, was the result of a decrease in the average net Loans receivable balance, partially offset by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the average yield on our Loan portfolio,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72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right"/>
              <w:ind w:right="152"/>
              <w:spacing w:after="0"/>
              <w:rPr>
                <w:sz w:val="20"/>
                <w:szCs w:val="20"/>
                <w:color w:val="auto"/>
              </w:rPr>
            </w:pPr>
            <w:r>
              <w:rPr>
                <w:rFonts w:ascii="Arial" w:cs="Arial" w:eastAsia="Arial" w:hAnsi="Arial"/>
                <w:sz w:val="14"/>
                <w:szCs w:val="14"/>
                <w:b w:val="1"/>
                <w:bCs w:val="1"/>
                <w:color w:val="auto"/>
                <w:w w:val="92"/>
              </w:rPr>
              <w:t>For the Three Months Ended June 30,</w:t>
            </w:r>
          </w:p>
        </w:tc>
        <w:tc>
          <w:tcPr>
            <w:tcW w:w="1340" w:type="dxa"/>
            <w:vAlign w:val="bottom"/>
            <w:tcBorders>
              <w:bottom w:val="single" w:sz="8" w:color="auto"/>
            </w:tcBorders>
          </w:tcPr>
          <w:p>
            <w:pPr>
              <w:spacing w:after="0"/>
              <w:rPr>
                <w:sz w:val="17"/>
                <w:szCs w:val="17"/>
                <w:color w:val="auto"/>
              </w:rPr>
            </w:pPr>
          </w:p>
        </w:tc>
      </w:tr>
      <w:tr>
        <w:trPr>
          <w:trHeight w:val="192"/>
        </w:trPr>
        <w:tc>
          <w:tcPr>
            <w:tcW w:w="57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Change</w:t>
            </w:r>
          </w:p>
        </w:tc>
      </w:tr>
      <w:tr>
        <w:trPr>
          <w:trHeight w:val="225"/>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net Loans receivable balance</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6,328.7</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6,856.9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(528.2)</w:t>
            </w:r>
          </w:p>
        </w:tc>
      </w:tr>
      <w:tr>
        <w:trPr>
          <w:trHeight w:val="224"/>
        </w:trPr>
        <w:tc>
          <w:tcPr>
            <w:tcW w:w="5720" w:type="dxa"/>
            <w:vAlign w:val="bottom"/>
          </w:tcPr>
          <w:p>
            <w:pPr>
              <w:ind w:left="20"/>
              <w:spacing w:after="0"/>
              <w:rPr>
                <w:sz w:val="20"/>
                <w:szCs w:val="20"/>
                <w:color w:val="auto"/>
              </w:rPr>
            </w:pPr>
            <w:r>
              <w:rPr>
                <w:rFonts w:ascii="Arial" w:cs="Arial" w:eastAsia="Arial" w:hAnsi="Arial"/>
                <w:sz w:val="18"/>
                <w:szCs w:val="18"/>
                <w:color w:val="auto"/>
              </w:rPr>
              <w:t>Average yield on our Loan portfolio</w:t>
            </w:r>
          </w:p>
        </w:tc>
        <w:tc>
          <w:tcPr>
            <w:tcW w:w="4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26.9 %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0.9 %</w:t>
            </w:r>
          </w:p>
        </w:tc>
      </w:tr>
    </w:tbl>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following table summarizes the impact each component had on the overall decrease in finance charges for the three months ended June 30,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5"/>
                <w:szCs w:val="15"/>
                <w:color w:val="auto"/>
              </w:rPr>
            </w:pPr>
          </w:p>
        </w:tc>
        <w:tc>
          <w:tcPr>
            <w:tcW w:w="2140" w:type="dxa"/>
            <w:vAlign w:val="bottom"/>
          </w:tcPr>
          <w:p>
            <w:pPr>
              <w:jc w:val="center"/>
              <w:ind w:right="219"/>
              <w:spacing w:after="0"/>
              <w:rPr>
                <w:sz w:val="20"/>
                <w:szCs w:val="20"/>
                <w:color w:val="auto"/>
              </w:rPr>
            </w:pPr>
            <w:r>
              <w:rPr>
                <w:rFonts w:ascii="Arial" w:cs="Arial" w:eastAsia="Arial" w:hAnsi="Arial"/>
                <w:sz w:val="14"/>
                <w:szCs w:val="14"/>
                <w:b w:val="1"/>
                <w:bCs w:val="1"/>
                <w:color w:val="auto"/>
                <w:w w:val="91"/>
              </w:rPr>
              <w:t>Year over Year Change</w:t>
            </w:r>
          </w:p>
        </w:tc>
        <w:tc>
          <w:tcPr>
            <w:tcW w:w="0" w:type="dxa"/>
            <w:vAlign w:val="bottom"/>
          </w:tcPr>
          <w:p>
            <w:pPr>
              <w:spacing w:after="0"/>
              <w:rPr>
                <w:sz w:val="1"/>
                <w:szCs w:val="1"/>
                <w:color w:val="auto"/>
              </w:rPr>
            </w:pPr>
          </w:p>
        </w:tc>
      </w:tr>
      <w:tr>
        <w:trPr>
          <w:trHeight w:val="143"/>
        </w:trPr>
        <w:tc>
          <w:tcPr>
            <w:tcW w:w="8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Impact on finance charges:</w:t>
            </w:r>
          </w:p>
        </w:tc>
        <w:tc>
          <w:tcPr>
            <w:tcW w:w="24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92"/>
              </w:rPr>
              <w:t>For the Three Months Ended June 30,</w:t>
            </w:r>
          </w:p>
        </w:tc>
        <w:tc>
          <w:tcPr>
            <w:tcW w:w="0" w:type="dxa"/>
            <w:vAlign w:val="bottom"/>
          </w:tcPr>
          <w:p>
            <w:pPr>
              <w:spacing w:after="0"/>
              <w:rPr>
                <w:sz w:val="1"/>
                <w:szCs w:val="1"/>
                <w:color w:val="auto"/>
              </w:rPr>
            </w:pPr>
          </w:p>
        </w:tc>
      </w:tr>
      <w:tr>
        <w:trPr>
          <w:trHeight w:val="192"/>
        </w:trPr>
        <w:tc>
          <w:tcPr>
            <w:tcW w:w="87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5"/>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to an increase in the average yield</w:t>
            </w:r>
          </w:p>
        </w:tc>
        <w:tc>
          <w:tcPr>
            <w:tcW w:w="3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2140" w:type="dxa"/>
            <w:vAlign w:val="bottom"/>
            <w:shd w:val="clear" w:color="auto" w:fill="CCEEFF"/>
          </w:tcPr>
          <w:p>
            <w:pPr>
              <w:jc w:val="center"/>
              <w:ind w:left="1619"/>
              <w:spacing w:after="0"/>
              <w:rPr>
                <w:sz w:val="20"/>
                <w:szCs w:val="20"/>
                <w:color w:val="auto"/>
              </w:rPr>
            </w:pPr>
            <w:r>
              <w:rPr>
                <w:rFonts w:ascii="Arial" w:cs="Arial" w:eastAsia="Arial" w:hAnsi="Arial"/>
                <w:sz w:val="18"/>
                <w:szCs w:val="18"/>
                <w:color w:val="auto"/>
                <w:w w:val="91"/>
              </w:rPr>
              <w:t>14.5</w:t>
            </w:r>
          </w:p>
        </w:tc>
        <w:tc>
          <w:tcPr>
            <w:tcW w:w="0" w:type="dxa"/>
            <w:vAlign w:val="bottom"/>
          </w:tcPr>
          <w:p>
            <w:pPr>
              <w:spacing w:after="0"/>
              <w:rPr>
                <w:sz w:val="1"/>
                <w:szCs w:val="1"/>
                <w:color w:val="auto"/>
              </w:rPr>
            </w:pPr>
          </w:p>
        </w:tc>
      </w:tr>
      <w:tr>
        <w:trPr>
          <w:trHeight w:val="232"/>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to a decrease in the average net Loans receivable balance</w:t>
            </w:r>
          </w:p>
        </w:tc>
        <w:tc>
          <w:tcPr>
            <w:tcW w:w="3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center"/>
              <w:ind w:left="1579"/>
              <w:spacing w:after="0"/>
              <w:rPr>
                <w:sz w:val="20"/>
                <w:szCs w:val="20"/>
                <w:color w:val="auto"/>
              </w:rPr>
            </w:pPr>
            <w:r>
              <w:rPr>
                <w:rFonts w:ascii="Arial" w:cs="Arial" w:eastAsia="Arial" w:hAnsi="Arial"/>
                <w:sz w:val="18"/>
                <w:szCs w:val="18"/>
                <w:color w:val="auto"/>
                <w:w w:val="93"/>
              </w:rPr>
              <w:t>(34.3)</w:t>
            </w:r>
          </w:p>
        </w:tc>
        <w:tc>
          <w:tcPr>
            <w:tcW w:w="0" w:type="dxa"/>
            <w:vAlign w:val="bottom"/>
          </w:tcPr>
          <w:p>
            <w:pPr>
              <w:spacing w:after="0"/>
              <w:rPr>
                <w:sz w:val="1"/>
                <w:szCs w:val="1"/>
                <w:color w:val="auto"/>
              </w:rPr>
            </w:pPr>
          </w:p>
        </w:tc>
      </w:tr>
      <w:tr>
        <w:trPr>
          <w:trHeight w:val="250"/>
        </w:trPr>
        <w:tc>
          <w:tcPr>
            <w:tcW w:w="8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decrease in finance charges</w:t>
            </w: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auto"/>
            </w:tcBorders>
            <w:shd w:val="clear" w:color="auto" w:fill="CCEEFF"/>
          </w:tcPr>
          <w:p>
            <w:pPr>
              <w:jc w:val="center"/>
              <w:ind w:left="1579"/>
              <w:spacing w:after="0"/>
              <w:rPr>
                <w:sz w:val="20"/>
                <w:szCs w:val="20"/>
                <w:color w:val="auto"/>
              </w:rPr>
            </w:pPr>
            <w:r>
              <w:rPr>
                <w:rFonts w:ascii="Arial" w:cs="Arial" w:eastAsia="Arial" w:hAnsi="Arial"/>
                <w:sz w:val="18"/>
                <w:szCs w:val="18"/>
                <w:color w:val="auto"/>
                <w:w w:val="93"/>
              </w:rPr>
              <w:t>(19.8)</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decrease in the average net Loans receivable balance was primarily due to the principal collected on Loans receivable exceeding the dollar volume of new Consumer Loan assignments. The average yield on our Loan portfolio for the three months ended June 30, 2022 increased as compared to the same period in 2021 primarily due to the adoption of CECL on January 1, 2020, which requires us to recognize finance charges on new Consumer Loan assignments using effective interest rates based on contractual future net cash flows, which are significantly in excess of our expected yields.</w:t>
      </w:r>
    </w:p>
    <w:p>
      <w:pPr>
        <w:spacing w:after="0" w:line="21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Other Income</w:t>
      </w:r>
      <w:r>
        <w:rPr>
          <w:rFonts w:ascii="Arial" w:cs="Arial" w:eastAsia="Arial" w:hAnsi="Arial"/>
          <w:sz w:val="18"/>
          <w:szCs w:val="18"/>
          <w:color w:val="auto"/>
        </w:rPr>
        <w:t>. The increase of $5.9 million, or 56.2%, was primarily due to an increase in ancillary product profit sharing income primarily due to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average claim rates on Guaranteed Asset Protection contracts.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The increase of $46.5 million, or 66.2%, was primarily due to:</w:t>
      </w:r>
    </w:p>
    <w:p>
      <w:pPr>
        <w:spacing w:after="0" w:line="11" w:lineRule="exact"/>
        <w:rPr>
          <w:sz w:val="20"/>
          <w:szCs w:val="20"/>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increase in salaries and wages expense of $27.0 million, or 70.3%, primarily due to:</w:t>
      </w:r>
    </w:p>
    <w:p>
      <w:pPr>
        <w:ind w:left="960" w:hanging="318"/>
        <w:spacing w:after="0" w:line="215" w:lineRule="auto"/>
        <w:tabs>
          <w:tab w:leader="none" w:pos="9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 increase of $20.0 million in stock-based compensation expense, primarily due to:</w:t>
      </w:r>
    </w:p>
    <w:p>
      <w:pPr>
        <w:ind w:left="1280" w:hanging="320"/>
        <w:spacing w:after="0" w:line="215" w:lineRule="auto"/>
        <w:tabs>
          <w:tab w:leader="none" w:pos="1275" w:val="left"/>
        </w:tabs>
        <w:numPr>
          <w:ilvl w:val="2"/>
          <w:numId w:val="52"/>
        </w:numPr>
        <w:rPr>
          <w:rFonts w:ascii="Arial" w:cs="Arial" w:eastAsia="Arial" w:hAnsi="Arial"/>
          <w:sz w:val="18"/>
          <w:szCs w:val="18"/>
          <w:color w:val="auto"/>
        </w:rPr>
      </w:pPr>
      <w:r>
        <w:rPr>
          <w:rFonts w:ascii="Arial" w:cs="Arial" w:eastAsia="Arial" w:hAnsi="Arial"/>
          <w:sz w:val="18"/>
          <w:szCs w:val="18"/>
          <w:color w:val="auto"/>
        </w:rPr>
        <w:t>An $11.5 million reversal of expense during the second quarter of 2021 due to the forfeiture of unvested restricted stock and restricted stock units upon the retirement of our former Chief Executive Officer in May 2021.</w:t>
      </w:r>
    </w:p>
    <w:p>
      <w:pPr>
        <w:jc w:val="both"/>
        <w:ind w:left="1280" w:hanging="320"/>
        <w:spacing w:after="0" w:line="262" w:lineRule="auto"/>
        <w:tabs>
          <w:tab w:leader="none" w:pos="1275" w:val="left"/>
        </w:tabs>
        <w:numPr>
          <w:ilvl w:val="2"/>
          <w:numId w:val="52"/>
        </w:numPr>
        <w:rPr>
          <w:rFonts w:ascii="Arial" w:cs="Arial" w:eastAsia="Arial" w:hAnsi="Arial"/>
          <w:sz w:val="15"/>
          <w:szCs w:val="15"/>
          <w:color w:val="auto"/>
        </w:rPr>
      </w:pPr>
      <w:r>
        <w:rPr>
          <w:rFonts w:ascii="Arial" w:cs="Arial" w:eastAsia="Arial" w:hAnsi="Arial"/>
          <w:sz w:val="15"/>
          <w:szCs w:val="15"/>
          <w:color w:val="auto"/>
        </w:rPr>
        <w:t>An increase of $8.5 million primarily related to stock options. From December 2020 through June 2021, we granted stock options, subject to shareholder approval of an amendment to our incentive compensation plan. Because stock-based awards subject to shareholder approval are not considered granted for accounting purposes until that approval is received, no stock-based compensation expense could be recognized with respect to those stock options until we received shareholder approval at the annual meeting on July 21, 2021.</w:t>
      </w:r>
    </w:p>
    <w:p>
      <w:pPr>
        <w:spacing w:after="0" w:line="2" w:lineRule="exact"/>
        <w:rPr>
          <w:rFonts w:ascii="Arial" w:cs="Arial" w:eastAsia="Arial" w:hAnsi="Arial"/>
          <w:sz w:val="15"/>
          <w:szCs w:val="15"/>
          <w:color w:val="auto"/>
        </w:rPr>
      </w:pPr>
    </w:p>
    <w:p>
      <w:pPr>
        <w:ind w:left="960" w:hanging="318"/>
        <w:spacing w:after="0" w:line="244" w:lineRule="auto"/>
        <w:tabs>
          <w:tab w:leader="none" w:pos="955"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 increase of $7.0 million, excluding stock-based compensation expense, primarily related to an increase in the number of team members in our technology department.</w:t>
      </w:r>
    </w:p>
    <w:p>
      <w:pPr>
        <w:jc w:val="both"/>
        <w:ind w:left="640" w:hanging="316"/>
        <w:spacing w:after="0" w:line="248"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increase in general and administrative expense of $15.4 million, or 91.1%, primarily due to an increase in legal expenses, which included the recognition of a $12.0 million contingent loss during the second quarter of 2022 related to the Company reaching an agreement in principle to settle a previously-disclosed putative class action lawsuit.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i w:val="1"/>
          <w:iCs w:val="1"/>
          <w:color w:val="auto"/>
        </w:rPr>
        <w:t>Provision for Credit Losses</w:t>
      </w:r>
      <w:r>
        <w:rPr>
          <w:rFonts w:ascii="Arial" w:cs="Arial" w:eastAsia="Arial" w:hAnsi="Arial"/>
          <w:sz w:val="18"/>
          <w:szCs w:val="18"/>
          <w:color w:val="auto"/>
        </w:rPr>
        <w:t>. The increase of $178.0 million, or 583.6%, was primarily due to an increase in provision for credit losses on forecast</w:t>
      </w:r>
      <w:r>
        <w:rPr>
          <w:rFonts w:ascii="Arial" w:cs="Arial" w:eastAsia="Arial" w:hAnsi="Arial"/>
          <w:sz w:val="18"/>
          <w:szCs w:val="18"/>
          <w:i w:val="1"/>
          <w:iCs w:val="1"/>
          <w:color w:val="auto"/>
        </w:rPr>
        <w:t xml:space="preserve"> </w:t>
      </w:r>
      <w:r>
        <w:rPr>
          <w:rFonts w:ascii="Arial" w:cs="Arial" w:eastAsia="Arial" w:hAnsi="Arial"/>
          <w:sz w:val="18"/>
          <w:szCs w:val="18"/>
          <w:color w:val="auto"/>
        </w:rPr>
        <w:t>changes.</w:t>
      </w:r>
    </w:p>
    <w:p>
      <w:pPr>
        <w:spacing w:after="0" w:line="207" w:lineRule="exact"/>
        <w:rPr>
          <w:sz w:val="20"/>
          <w:szCs w:val="20"/>
          <w:color w:val="auto"/>
        </w:rPr>
      </w:pPr>
    </w:p>
    <w:p>
      <w:pPr>
        <w:jc w:val="both"/>
        <w:ind w:right="100" w:firstLine="318"/>
        <w:spacing w:after="0" w:line="272" w:lineRule="auto"/>
        <w:rPr>
          <w:sz w:val="20"/>
          <w:szCs w:val="20"/>
          <w:color w:val="auto"/>
        </w:rPr>
      </w:pPr>
      <w:r>
        <w:rPr>
          <w:rFonts w:ascii="Arial" w:cs="Arial" w:eastAsia="Arial" w:hAnsi="Arial"/>
          <w:sz w:val="17"/>
          <w:szCs w:val="17"/>
          <w:color w:val="auto"/>
        </w:rPr>
        <w:t>We recognize provision for credit losses on new Consumer Loan assignments for contractual net cash flows that are not expected to be realized at the time of assignment. We also recognize provision for credit losses on forecast changes in the amount and timing of expected future net cash flows subsequent to assignment. The following table summarizes the provision for credit losses for each of these components:</w:t>
      </w:r>
    </w:p>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01"/>
        </w:trPr>
        <w:tc>
          <w:tcPr>
            <w:tcW w:w="5400" w:type="dxa"/>
            <w:vAlign w:val="bottom"/>
          </w:tcPr>
          <w:p>
            <w:pPr>
              <w:ind w:left="340"/>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2"/>
              </w:rPr>
              <w:t>For the Three Months Ended June 30,</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92"/>
        </w:trPr>
        <w:tc>
          <w:tcPr>
            <w:tcW w:w="5400" w:type="dxa"/>
            <w:vAlign w:val="bottom"/>
            <w:tcBorders>
              <w:bottom w:val="single" w:sz="8" w:color="CCEEFF"/>
            </w:tcBorders>
          </w:tcPr>
          <w:p>
            <w:pPr>
              <w:ind w:left="2040"/>
              <w:spacing w:after="0"/>
              <w:rPr>
                <w:sz w:val="20"/>
                <w:szCs w:val="20"/>
                <w:color w:val="auto"/>
              </w:rPr>
            </w:pPr>
            <w:r>
              <w:rPr>
                <w:rFonts w:ascii="Arial" w:cs="Arial" w:eastAsia="Arial" w:hAnsi="Arial"/>
                <w:sz w:val="14"/>
                <w:szCs w:val="14"/>
                <w:b w:val="1"/>
                <w:bCs w:val="1"/>
                <w:color w:val="auto"/>
              </w:rPr>
              <w:t>Provision for Credit Losses</w:t>
            </w:r>
          </w:p>
        </w:tc>
        <w:tc>
          <w:tcPr>
            <w:tcW w:w="6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Change</w:t>
            </w:r>
          </w:p>
        </w:tc>
      </w:tr>
      <w:tr>
        <w:trPr>
          <w:trHeight w:val="225"/>
        </w:trPr>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New Consumer Loan assignments</w:t>
            </w:r>
          </w:p>
        </w:tc>
        <w:tc>
          <w:tcPr>
            <w:tcW w:w="6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2"/>
        </w:trPr>
        <w:tc>
          <w:tcPr>
            <w:tcW w:w="54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Forecast changes</w:t>
            </w:r>
          </w:p>
        </w:tc>
        <w:tc>
          <w:tcPr>
            <w:tcW w:w="6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r>
      <w:tr>
        <w:trPr>
          <w:trHeight w:val="245"/>
        </w:trPr>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100" w:firstLine="318"/>
        <w:spacing w:after="0" w:line="318" w:lineRule="auto"/>
        <w:rPr>
          <w:sz w:val="20"/>
          <w:szCs w:val="20"/>
          <w:color w:val="auto"/>
        </w:rPr>
      </w:pPr>
      <w:r>
        <w:rPr>
          <w:rFonts w:ascii="Arial" w:cs="Arial" w:eastAsia="Arial" w:hAnsi="Arial"/>
          <w:sz w:val="15"/>
          <w:szCs w:val="15"/>
          <w:color w:val="auto"/>
        </w:rPr>
        <w:t>The increase in provision for credit losses related to forecast changes was primarily due to a decline in Consumer Loan performance during the second quarter of 2022 compared to an improvement in Consumer Loan performance during the second quarter of 2021. During the second quarter of 2022, we reduced our estimate of future net cash flows by $43.4 million to reflect a decline in Consumer Loan performance during the period. During the second quarter of 2021, we increased our estimate of future net cash flows by $104.5 million to reflect an improvement in Consumer Loan performance during the period.</w:t>
      </w:r>
    </w:p>
    <w:p>
      <w:pPr>
        <w:spacing w:after="0" w:line="172"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increase in provision for credit losses related to new Consumer Loan assignments was primarily due to a 5.1% increase in Consumer Loan assignment unit volume.</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The decrease of $3.1 million, or 7.4%, was primarily due to a decrease in our average cost of debt, as follows:</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580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right"/>
              <w:ind w:right="132"/>
              <w:spacing w:after="0"/>
              <w:rPr>
                <w:sz w:val="20"/>
                <w:szCs w:val="20"/>
                <w:color w:val="auto"/>
              </w:rPr>
            </w:pPr>
            <w:r>
              <w:rPr>
                <w:rFonts w:ascii="Arial" w:cs="Arial" w:eastAsia="Arial" w:hAnsi="Arial"/>
                <w:sz w:val="14"/>
                <w:szCs w:val="14"/>
                <w:b w:val="1"/>
                <w:bCs w:val="1"/>
                <w:color w:val="auto"/>
                <w:w w:val="92"/>
              </w:rPr>
              <w:t>For the Three Months Ended June 30,</w:t>
            </w:r>
          </w:p>
        </w:tc>
        <w:tc>
          <w:tcPr>
            <w:tcW w:w="1320" w:type="dxa"/>
            <w:vAlign w:val="bottom"/>
            <w:tcBorders>
              <w:bottom w:val="single" w:sz="8" w:color="auto"/>
            </w:tcBorders>
          </w:tcPr>
          <w:p>
            <w:pPr>
              <w:spacing w:after="0"/>
              <w:rPr>
                <w:sz w:val="17"/>
                <w:szCs w:val="17"/>
                <w:color w:val="auto"/>
              </w:rPr>
            </w:pPr>
          </w:p>
        </w:tc>
      </w:tr>
      <w:tr>
        <w:trPr>
          <w:trHeight w:val="192"/>
        </w:trPr>
        <w:tc>
          <w:tcPr>
            <w:tcW w:w="58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Change</w:t>
            </w:r>
          </w:p>
        </w:tc>
      </w:tr>
      <w:tr>
        <w:trPr>
          <w:trHeight w:val="225"/>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(3.1)</w:t>
            </w:r>
          </w:p>
        </w:tc>
      </w:tr>
      <w:tr>
        <w:trPr>
          <w:trHeight w:val="225"/>
        </w:trPr>
        <w:tc>
          <w:tcPr>
            <w:tcW w:w="5800" w:type="dxa"/>
            <w:vAlign w:val="bottom"/>
          </w:tcPr>
          <w:p>
            <w:pPr>
              <w:ind w:left="20"/>
              <w:spacing w:after="0"/>
              <w:rPr>
                <w:sz w:val="20"/>
                <w:szCs w:val="20"/>
                <w:color w:val="auto"/>
              </w:rPr>
            </w:pPr>
            <w:r>
              <w:rPr>
                <w:rFonts w:ascii="Arial" w:cs="Arial" w:eastAsia="Arial" w:hAnsi="Arial"/>
                <w:sz w:val="18"/>
                <w:szCs w:val="18"/>
                <w:color w:val="auto"/>
              </w:rPr>
              <w:t>Average outstanding debt principal balance (1)</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4,795.4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ind w:right="136"/>
              <w:spacing w:after="0"/>
              <w:rPr>
                <w:sz w:val="20"/>
                <w:szCs w:val="20"/>
                <w:color w:val="auto"/>
              </w:rPr>
            </w:pPr>
            <w:r>
              <w:rPr>
                <w:rFonts w:ascii="Arial" w:cs="Arial" w:eastAsia="Arial" w:hAnsi="Arial"/>
                <w:sz w:val="18"/>
                <w:szCs w:val="18"/>
                <w:color w:val="auto"/>
              </w:rPr>
              <w:t>4,780.7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16"/>
              <w:spacing w:after="0"/>
              <w:rPr>
                <w:sz w:val="20"/>
                <w:szCs w:val="20"/>
                <w:color w:val="auto"/>
              </w:rPr>
            </w:pPr>
            <w:r>
              <w:rPr>
                <w:rFonts w:ascii="Arial" w:cs="Arial" w:eastAsia="Arial" w:hAnsi="Arial"/>
                <w:sz w:val="18"/>
                <w:szCs w:val="18"/>
                <w:color w:val="auto"/>
              </w:rPr>
              <w:t>14.7</w:t>
            </w:r>
          </w:p>
        </w:tc>
      </w:tr>
      <w:tr>
        <w:trPr>
          <w:trHeight w:val="22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cost of debt</w:t>
            </w:r>
          </w:p>
        </w:tc>
        <w:tc>
          <w:tcPr>
            <w:tcW w:w="4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r>
    </w:tbl>
    <w:p>
      <w:pPr>
        <w:spacing w:after="0" w:line="313" w:lineRule="exact"/>
        <w:rPr>
          <w:sz w:val="20"/>
          <w:szCs w:val="20"/>
          <w:color w:val="auto"/>
        </w:rPr>
      </w:pPr>
    </w:p>
    <w:p>
      <w:pPr>
        <w:ind w:left="480" w:hanging="315"/>
        <w:spacing w:after="0"/>
        <w:tabs>
          <w:tab w:leader="none" w:pos="4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the unamortized debt discount and excludes deferred debt issuance costs.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decrease in our average cost of debt was primarily the result of lower interest rates on recently-completed secured financings.</w:t>
      </w:r>
    </w:p>
    <w:p>
      <w:pPr>
        <w:spacing w:after="0" w:line="230" w:lineRule="exact"/>
        <w:rPr>
          <w:sz w:val="20"/>
          <w:szCs w:val="20"/>
          <w:color w:val="auto"/>
        </w:rPr>
      </w:pPr>
    </w:p>
    <w:p>
      <w:pPr>
        <w:jc w:val="both"/>
        <w:ind w:right="100" w:firstLine="318"/>
        <w:spacing w:after="0" w:line="330" w:lineRule="auto"/>
        <w:rPr>
          <w:sz w:val="20"/>
          <w:szCs w:val="20"/>
          <w:color w:val="auto"/>
        </w:rPr>
      </w:pPr>
      <w:r>
        <w:rPr>
          <w:rFonts w:ascii="Arial" w:cs="Arial" w:eastAsia="Arial" w:hAnsi="Arial"/>
          <w:sz w:val="15"/>
          <w:szCs w:val="15"/>
          <w:i w:val="1"/>
          <w:iCs w:val="1"/>
          <w:color w:val="auto"/>
        </w:rPr>
        <w:t>Provision for Income Taxes</w:t>
      </w:r>
      <w:r>
        <w:rPr>
          <w:rFonts w:ascii="Arial" w:cs="Arial" w:eastAsia="Arial" w:hAnsi="Arial"/>
          <w:sz w:val="15"/>
          <w:szCs w:val="15"/>
          <w:color w:val="auto"/>
        </w:rPr>
        <w:t>. For the three months ended June 30, 2022, the effective income tax rate increased to 24.4% from 24.0% for the three months</w:t>
      </w:r>
      <w:r>
        <w:rPr>
          <w:rFonts w:ascii="Arial" w:cs="Arial" w:eastAsia="Arial" w:hAnsi="Arial"/>
          <w:sz w:val="15"/>
          <w:szCs w:val="15"/>
          <w:i w:val="1"/>
          <w:iCs w:val="1"/>
          <w:color w:val="auto"/>
        </w:rPr>
        <w:t xml:space="preserve"> </w:t>
      </w:r>
      <w:r>
        <w:rPr>
          <w:rFonts w:ascii="Arial" w:cs="Arial" w:eastAsia="Arial" w:hAnsi="Arial"/>
          <w:sz w:val="15"/>
          <w:szCs w:val="15"/>
          <w:color w:val="auto"/>
        </w:rPr>
        <w:t>ended June 30, 2021. The increase was primarily due to an increase in non-deductible executive compensation expenses. For additional information, see Note 11 to the consolidated financial statements contained in Part I - Item 1 of this Form 10-Q,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Six Months Ended June 30, 2022 Compared to Six Months Ended June 30, 2021</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discussion of our results of operations and income statement data on a consolidated basis.</w:t>
      </w:r>
    </w:p>
    <w:p>
      <w:pPr>
        <w:spacing w:after="0" w:line="1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60" w:type="dxa"/>
            <w:vAlign w:val="bottom"/>
            <w:gridSpan w:val="5"/>
          </w:tcPr>
          <w:p>
            <w:pPr>
              <w:ind w:left="440"/>
              <w:spacing w:after="0"/>
              <w:rPr>
                <w:sz w:val="20"/>
                <w:szCs w:val="20"/>
                <w:color w:val="auto"/>
              </w:rPr>
            </w:pPr>
            <w:r>
              <w:rPr>
                <w:rFonts w:ascii="Arial" w:cs="Arial" w:eastAsia="Arial" w:hAnsi="Arial"/>
                <w:sz w:val="14"/>
                <w:szCs w:val="14"/>
                <w:b w:val="1"/>
                <w:bCs w:val="1"/>
                <w:color w:val="auto"/>
              </w:rPr>
              <w:t>For the Six Months Ended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700" w:type="dxa"/>
            <w:vAlign w:val="bottom"/>
          </w:tcPr>
          <w:p>
            <w:pPr>
              <w:ind w:left="20"/>
              <w:spacing w:after="0"/>
              <w:rPr>
                <w:sz w:val="20"/>
                <w:szCs w:val="20"/>
                <w:color w:val="auto"/>
              </w:rPr>
            </w:pPr>
            <w:r>
              <w:rPr>
                <w:rFonts w:ascii="Arial" w:cs="Arial" w:eastAsia="Arial" w:hAnsi="Arial"/>
                <w:sz w:val="14"/>
                <w:szCs w:val="14"/>
                <w:color w:val="auto"/>
              </w:rPr>
              <w:t>(Dollars in millions, except per share data)</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June 30,</w:t>
            </w: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41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2"/>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Finance charges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5"/>
        </w:trPr>
        <w:tc>
          <w:tcPr>
            <w:tcW w:w="4700" w:type="dxa"/>
            <w:vAlign w:val="bottom"/>
          </w:tcPr>
          <w:p>
            <w:pPr>
              <w:ind w:left="200"/>
              <w:spacing w:after="0"/>
              <w:rPr>
                <w:sz w:val="20"/>
                <w:szCs w:val="20"/>
                <w:color w:val="auto"/>
              </w:rPr>
            </w:pPr>
            <w:r>
              <w:rPr>
                <w:rFonts w:ascii="Arial" w:cs="Arial" w:eastAsia="Arial" w:hAnsi="Arial"/>
                <w:sz w:val="18"/>
                <w:szCs w:val="18"/>
                <w:color w:val="auto"/>
              </w:rPr>
              <w:t>Premiums earned</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32"/>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54.1 %</w:t>
            </w:r>
          </w:p>
        </w:tc>
        <w:tc>
          <w:tcPr>
            <w:tcW w:w="0" w:type="dxa"/>
            <w:vAlign w:val="bottom"/>
          </w:tcPr>
          <w:p>
            <w:pPr>
              <w:spacing w:after="0"/>
              <w:rPr>
                <w:sz w:val="1"/>
                <w:szCs w:val="1"/>
                <w:color w:val="auto"/>
              </w:rPr>
            </w:pPr>
          </w:p>
        </w:tc>
      </w:tr>
      <w:tr>
        <w:trPr>
          <w:trHeight w:val="232"/>
        </w:trPr>
        <w:tc>
          <w:tcPr>
            <w:tcW w:w="47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00"/>
              <w:spacing w:after="0"/>
              <w:rPr>
                <w:sz w:val="20"/>
                <w:szCs w:val="20"/>
                <w:color w:val="auto"/>
              </w:rPr>
            </w:pPr>
            <w:r>
              <w:rPr>
                <w:rFonts w:ascii="Arial" w:cs="Arial" w:eastAsia="Arial" w:hAnsi="Arial"/>
                <w:sz w:val="18"/>
                <w:szCs w:val="18"/>
                <w:color w:val="auto"/>
              </w:rPr>
              <w:t>Salaries and wages (1)</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48.0 %</w:t>
            </w: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 (1)</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25"/>
        </w:trPr>
        <w:tc>
          <w:tcPr>
            <w:tcW w:w="4700" w:type="dxa"/>
            <w:vAlign w:val="bottom"/>
          </w:tcPr>
          <w:p>
            <w:pPr>
              <w:ind w:left="200"/>
              <w:spacing w:after="0"/>
              <w:rPr>
                <w:sz w:val="20"/>
                <w:szCs w:val="20"/>
                <w:color w:val="auto"/>
              </w:rPr>
            </w:pPr>
            <w:r>
              <w:rPr>
                <w:rFonts w:ascii="Arial" w:cs="Arial" w:eastAsia="Arial" w:hAnsi="Arial"/>
                <w:sz w:val="18"/>
                <w:szCs w:val="18"/>
                <w:color w:val="auto"/>
              </w:rPr>
              <w:t>Sales and marketing (1)</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credit losses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-1,956.5 %</w:t>
            </w:r>
          </w:p>
        </w:tc>
        <w:tc>
          <w:tcPr>
            <w:tcW w:w="0" w:type="dxa"/>
            <w:vAlign w:val="bottom"/>
          </w:tcPr>
          <w:p>
            <w:pPr>
              <w:spacing w:after="0"/>
              <w:rPr>
                <w:sz w:val="1"/>
                <w:szCs w:val="1"/>
                <w:color w:val="auto"/>
              </w:rPr>
            </w:pPr>
          </w:p>
        </w:tc>
      </w:tr>
      <w:tr>
        <w:trPr>
          <w:trHeight w:val="225"/>
        </w:trPr>
        <w:tc>
          <w:tcPr>
            <w:tcW w:w="4700" w:type="dxa"/>
            <w:vAlign w:val="bottom"/>
          </w:tcPr>
          <w:p>
            <w:pPr>
              <w:ind w:left="200"/>
              <w:spacing w:after="0"/>
              <w:rPr>
                <w:sz w:val="20"/>
                <w:szCs w:val="20"/>
                <w:color w:val="auto"/>
              </w:rPr>
            </w:pPr>
            <w:r>
              <w:rPr>
                <w:rFonts w:ascii="Arial" w:cs="Arial" w:eastAsia="Arial" w:hAnsi="Arial"/>
                <w:sz w:val="18"/>
                <w:szCs w:val="18"/>
                <w:color w:val="auto"/>
              </w:rPr>
              <w:t>Interest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32"/>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 for claims</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32"/>
        </w:trPr>
        <w:tc>
          <w:tcPr>
            <w:tcW w:w="47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74.6 %</w:t>
            </w: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-33.8 %</w:t>
            </w:r>
          </w:p>
        </w:tc>
        <w:tc>
          <w:tcPr>
            <w:tcW w:w="0" w:type="dxa"/>
            <w:vAlign w:val="bottom"/>
          </w:tcPr>
          <w:p>
            <w:pPr>
              <w:spacing w:after="0"/>
              <w:rPr>
                <w:sz w:val="1"/>
                <w:szCs w:val="1"/>
                <w:color w:val="auto"/>
              </w:rPr>
            </w:pPr>
          </w:p>
        </w:tc>
      </w:tr>
      <w:tr>
        <w:trPr>
          <w:trHeight w:val="232"/>
        </w:trPr>
        <w:tc>
          <w:tcPr>
            <w:tcW w:w="47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-31.6 %</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-34.4 %</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700" w:type="dxa"/>
            <w:vAlign w:val="bottom"/>
          </w:tcPr>
          <w:p>
            <w:pPr>
              <w:ind w:left="200"/>
              <w:spacing w:after="0" w:line="198"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23.10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28.96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(5.86)</w:t>
            </w:r>
          </w:p>
        </w:tc>
        <w:tc>
          <w:tcPr>
            <w:tcW w:w="120" w:type="dxa"/>
            <w:vAlign w:val="bottom"/>
          </w:tcPr>
          <w:p>
            <w:pPr>
              <w:spacing w:after="0"/>
              <w:rPr>
                <w:sz w:val="17"/>
                <w:szCs w:val="17"/>
                <w:color w:val="auto"/>
              </w:rPr>
            </w:pPr>
          </w:p>
        </w:tc>
        <w:tc>
          <w:tcPr>
            <w:tcW w:w="16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0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Weighted average shares outstanding:</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0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13,849,711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16,924,014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(3,074,303)</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13,927,372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16,944,900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(3,017,528)</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0" w:type="dxa"/>
            <w:vAlign w:val="bottom"/>
          </w:tcPr>
          <w:p>
            <w:pPr>
              <w:spacing w:after="0"/>
              <w:rPr>
                <w:sz w:val="1"/>
                <w:szCs w:val="1"/>
                <w:color w:val="auto"/>
              </w:rPr>
            </w:pPr>
          </w:p>
        </w:tc>
      </w:tr>
      <w:tr>
        <w:trPr>
          <w:trHeight w:val="252"/>
        </w:trPr>
        <w:tc>
          <w:tcPr>
            <w:tcW w:w="4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 Operating expenses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i w:val="1"/>
          <w:iCs w:val="1"/>
          <w:color w:val="auto"/>
        </w:rPr>
        <w:t xml:space="preserve">Finance Charges. </w:t>
      </w:r>
      <w:r>
        <w:rPr>
          <w:rFonts w:ascii="Arial" w:cs="Arial" w:eastAsia="Arial" w:hAnsi="Arial"/>
          <w:sz w:val="18"/>
          <w:szCs w:val="18"/>
          <w:color w:val="auto"/>
        </w:rPr>
        <w:t>The decrease of $20.6 million, or 2.4%, was primarily the result of a decrease in the average net Loans receivable balance,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an increase in the average yield on our Loan portfolio,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72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jc w:val="right"/>
              <w:ind w:right="212"/>
              <w:spacing w:after="0"/>
              <w:rPr>
                <w:sz w:val="20"/>
                <w:szCs w:val="20"/>
                <w:color w:val="auto"/>
              </w:rPr>
            </w:pPr>
            <w:r>
              <w:rPr>
                <w:rFonts w:ascii="Arial" w:cs="Arial" w:eastAsia="Arial" w:hAnsi="Arial"/>
                <w:sz w:val="14"/>
                <w:szCs w:val="14"/>
                <w:b w:val="1"/>
                <w:bCs w:val="1"/>
                <w:color w:val="auto"/>
                <w:w w:val="93"/>
              </w:rPr>
              <w:t>For the Six Months Ended June 30,</w:t>
            </w:r>
          </w:p>
        </w:tc>
        <w:tc>
          <w:tcPr>
            <w:tcW w:w="1360" w:type="dxa"/>
            <w:vAlign w:val="bottom"/>
            <w:tcBorders>
              <w:bottom w:val="single" w:sz="8" w:color="auto"/>
            </w:tcBorders>
          </w:tcPr>
          <w:p>
            <w:pPr>
              <w:spacing w:after="0"/>
              <w:rPr>
                <w:sz w:val="17"/>
                <w:szCs w:val="17"/>
                <w:color w:val="auto"/>
              </w:rPr>
            </w:pPr>
          </w:p>
        </w:tc>
      </w:tr>
      <w:tr>
        <w:trPr>
          <w:trHeight w:val="192"/>
        </w:trPr>
        <w:tc>
          <w:tcPr>
            <w:tcW w:w="57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Change</w:t>
            </w:r>
          </w:p>
        </w:tc>
      </w:tr>
      <w:tr>
        <w:trPr>
          <w:trHeight w:val="225"/>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net Loans receivable balance</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6,317.7</w:t>
            </w:r>
          </w:p>
        </w:tc>
        <w:tc>
          <w:tcPr>
            <w:tcW w:w="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6,820.6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(502.9)</w:t>
            </w:r>
          </w:p>
        </w:tc>
      </w:tr>
      <w:tr>
        <w:trPr>
          <w:trHeight w:val="224"/>
        </w:trPr>
        <w:tc>
          <w:tcPr>
            <w:tcW w:w="5720" w:type="dxa"/>
            <w:vAlign w:val="bottom"/>
          </w:tcPr>
          <w:p>
            <w:pPr>
              <w:ind w:left="20"/>
              <w:spacing w:after="0"/>
              <w:rPr>
                <w:sz w:val="20"/>
                <w:szCs w:val="20"/>
                <w:color w:val="auto"/>
              </w:rPr>
            </w:pPr>
            <w:r>
              <w:rPr>
                <w:rFonts w:ascii="Arial" w:cs="Arial" w:eastAsia="Arial" w:hAnsi="Arial"/>
                <w:sz w:val="18"/>
                <w:szCs w:val="18"/>
                <w:color w:val="auto"/>
              </w:rPr>
              <w:t>Average yield on our Loan portfolio</w:t>
            </w:r>
          </w:p>
        </w:tc>
        <w:tc>
          <w:tcPr>
            <w:tcW w:w="4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26.9 %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1.4 %</w:t>
            </w: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summarizes the impact each component had on the overall decrease in finance charges for the six months ended June 30,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5"/>
                <w:szCs w:val="15"/>
                <w:color w:val="auto"/>
              </w:rPr>
            </w:pPr>
          </w:p>
        </w:tc>
        <w:tc>
          <w:tcPr>
            <w:tcW w:w="2320" w:type="dxa"/>
            <w:vAlign w:val="bottom"/>
          </w:tcPr>
          <w:p>
            <w:pPr>
              <w:jc w:val="center"/>
              <w:ind w:right="41"/>
              <w:spacing w:after="0"/>
              <w:rPr>
                <w:sz w:val="20"/>
                <w:szCs w:val="20"/>
                <w:color w:val="auto"/>
              </w:rPr>
            </w:pPr>
            <w:r>
              <w:rPr>
                <w:rFonts w:ascii="Arial" w:cs="Arial" w:eastAsia="Arial" w:hAnsi="Arial"/>
                <w:sz w:val="14"/>
                <w:szCs w:val="14"/>
                <w:b w:val="1"/>
                <w:bCs w:val="1"/>
                <w:color w:val="auto"/>
                <w:w w:val="91"/>
              </w:rPr>
              <w:t>Year over Year Change</w:t>
            </w:r>
          </w:p>
        </w:tc>
        <w:tc>
          <w:tcPr>
            <w:tcW w:w="0" w:type="dxa"/>
            <w:vAlign w:val="bottom"/>
          </w:tcPr>
          <w:p>
            <w:pPr>
              <w:spacing w:after="0"/>
              <w:rPr>
                <w:sz w:val="1"/>
                <w:szCs w:val="1"/>
                <w:color w:val="auto"/>
              </w:rPr>
            </w:pPr>
          </w:p>
        </w:tc>
      </w:tr>
      <w:tr>
        <w:trPr>
          <w:trHeight w:val="143"/>
        </w:trPr>
        <w:tc>
          <w:tcPr>
            <w:tcW w:w="8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Impact on finance charges:</w:t>
            </w:r>
          </w:p>
        </w:tc>
        <w:tc>
          <w:tcPr>
            <w:tcW w:w="120" w:type="dxa"/>
            <w:vAlign w:val="bottom"/>
          </w:tcPr>
          <w:p>
            <w:pPr>
              <w:spacing w:after="0"/>
              <w:rPr>
                <w:sz w:val="12"/>
                <w:szCs w:val="12"/>
                <w:color w:val="auto"/>
              </w:rPr>
            </w:pPr>
          </w:p>
        </w:tc>
        <w:tc>
          <w:tcPr>
            <w:tcW w:w="2320" w:type="dxa"/>
            <w:vAlign w:val="bottom"/>
          </w:tcPr>
          <w:p>
            <w:pPr>
              <w:jc w:val="center"/>
              <w:ind w:right="41"/>
              <w:spacing w:after="0" w:line="143" w:lineRule="exact"/>
              <w:rPr>
                <w:sz w:val="20"/>
                <w:szCs w:val="20"/>
                <w:color w:val="auto"/>
              </w:rPr>
            </w:pPr>
            <w:r>
              <w:rPr>
                <w:rFonts w:ascii="Arial" w:cs="Arial" w:eastAsia="Arial" w:hAnsi="Arial"/>
                <w:sz w:val="14"/>
                <w:szCs w:val="14"/>
                <w:b w:val="1"/>
                <w:bCs w:val="1"/>
                <w:color w:val="auto"/>
                <w:w w:val="91"/>
              </w:rPr>
              <w:t>For the Six Months Ended June 30,</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5"/>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to an increase in the average yield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shd w:val="clear" w:color="auto" w:fill="CCEEFF"/>
          </w:tcPr>
          <w:p>
            <w:pPr>
              <w:jc w:val="center"/>
              <w:ind w:left="1801"/>
              <w:spacing w:after="0"/>
              <w:rPr>
                <w:sz w:val="20"/>
                <w:szCs w:val="20"/>
                <w:color w:val="auto"/>
              </w:rPr>
            </w:pPr>
            <w:r>
              <w:rPr>
                <w:rFonts w:ascii="Arial" w:cs="Arial" w:eastAsia="Arial" w:hAnsi="Arial"/>
                <w:sz w:val="18"/>
                <w:szCs w:val="18"/>
                <w:color w:val="auto"/>
                <w:w w:val="91"/>
              </w:rPr>
              <w:t>43.6</w:t>
            </w:r>
          </w:p>
        </w:tc>
        <w:tc>
          <w:tcPr>
            <w:tcW w:w="0" w:type="dxa"/>
            <w:vAlign w:val="bottom"/>
          </w:tcPr>
          <w:p>
            <w:pPr>
              <w:spacing w:after="0"/>
              <w:rPr>
                <w:sz w:val="1"/>
                <w:szCs w:val="1"/>
                <w:color w:val="auto"/>
              </w:rPr>
            </w:pPr>
          </w:p>
        </w:tc>
      </w:tr>
      <w:tr>
        <w:trPr>
          <w:trHeight w:val="225"/>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to a decrease in the average net Loans receivable balance</w:t>
            </w:r>
          </w:p>
        </w:tc>
        <w:tc>
          <w:tcPr>
            <w:tcW w:w="1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center"/>
              <w:ind w:left="1761"/>
              <w:spacing w:after="0"/>
              <w:rPr>
                <w:sz w:val="20"/>
                <w:szCs w:val="20"/>
                <w:color w:val="auto"/>
              </w:rPr>
            </w:pPr>
            <w:r>
              <w:rPr>
                <w:rFonts w:ascii="Arial" w:cs="Arial" w:eastAsia="Arial" w:hAnsi="Arial"/>
                <w:sz w:val="18"/>
                <w:szCs w:val="18"/>
                <w:color w:val="auto"/>
                <w:w w:val="93"/>
              </w:rPr>
              <w:t>(64.2)</w:t>
            </w: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decrease in finance charges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auto"/>
            </w:tcBorders>
            <w:shd w:val="clear" w:color="auto" w:fill="CCEEFF"/>
          </w:tcPr>
          <w:p>
            <w:pPr>
              <w:jc w:val="center"/>
              <w:ind w:left="1761"/>
              <w:spacing w:after="0"/>
              <w:rPr>
                <w:sz w:val="20"/>
                <w:szCs w:val="20"/>
                <w:color w:val="auto"/>
              </w:rPr>
            </w:pPr>
            <w:r>
              <w:rPr>
                <w:rFonts w:ascii="Arial" w:cs="Arial" w:eastAsia="Arial" w:hAnsi="Arial"/>
                <w:sz w:val="18"/>
                <w:szCs w:val="18"/>
                <w:color w:val="auto"/>
                <w:w w:val="93"/>
              </w:rPr>
              <w:t>(20.6)</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jc w:val="both"/>
        <w:ind w:right="100" w:firstLine="318"/>
        <w:spacing w:after="0" w:line="318" w:lineRule="auto"/>
        <w:rPr>
          <w:sz w:val="20"/>
          <w:szCs w:val="20"/>
          <w:color w:val="auto"/>
        </w:rPr>
      </w:pPr>
      <w:r>
        <w:rPr>
          <w:rFonts w:ascii="Arial" w:cs="Arial" w:eastAsia="Arial" w:hAnsi="Arial"/>
          <w:sz w:val="15"/>
          <w:szCs w:val="15"/>
          <w:color w:val="auto"/>
        </w:rPr>
        <w:t>The decrease in the average net Loans receivable balance was primarily due to the principal collected on Loans receivable exceeding the dollar volume of new Consumer Loan assignments. The average yield on our Loan portfolio for the six months ended June 30, 2022 increased as compared to the same period in 2021 primarily due to the adoption of CECL on January 1, 2020, which requires us to recognize finance charges on new Consumer Loan assignments using effective interest rates based on contractual future net cash flows, which are significantly in excess of our expected yields.</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The increase of $36.4 million, or 19.9%, was primarily due to:</w:t>
      </w:r>
    </w:p>
    <w:p>
      <w:pPr>
        <w:spacing w:after="0" w:line="6" w:lineRule="exact"/>
        <w:rPr>
          <w:sz w:val="20"/>
          <w:szCs w:val="20"/>
          <w:color w:val="auto"/>
        </w:rPr>
      </w:pPr>
    </w:p>
    <w:p>
      <w:pPr>
        <w:ind w:left="640" w:hanging="31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increase in salaries and wages expense of $42.1 million, or 48.0%, primarily due to:</w:t>
      </w:r>
    </w:p>
    <w:p>
      <w:pPr>
        <w:spacing w:after="0" w:line="2" w:lineRule="exact"/>
        <w:rPr>
          <w:rFonts w:ascii="Arial" w:cs="Arial" w:eastAsia="Arial" w:hAnsi="Arial"/>
          <w:sz w:val="18"/>
          <w:szCs w:val="18"/>
          <w:color w:val="auto"/>
        </w:rPr>
      </w:pPr>
    </w:p>
    <w:p>
      <w:pPr>
        <w:ind w:left="960" w:hanging="318"/>
        <w:spacing w:after="0"/>
        <w:tabs>
          <w:tab w:leader="none" w:pos="9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 increase of $28.0 million in stock-based compensation expense, primarily related to:</w:t>
      </w:r>
    </w:p>
    <w:p>
      <w:pPr>
        <w:spacing w:after="0" w:line="5" w:lineRule="exact"/>
        <w:rPr>
          <w:rFonts w:ascii="Arial" w:cs="Arial" w:eastAsia="Arial" w:hAnsi="Arial"/>
          <w:sz w:val="18"/>
          <w:szCs w:val="18"/>
          <w:color w:val="auto"/>
        </w:rPr>
      </w:pPr>
    </w:p>
    <w:p>
      <w:pPr>
        <w:jc w:val="both"/>
        <w:ind w:left="1280" w:right="100" w:hanging="320"/>
        <w:spacing w:after="0" w:line="294" w:lineRule="auto"/>
        <w:tabs>
          <w:tab w:leader="none" w:pos="1275" w:val="left"/>
        </w:tabs>
        <w:numPr>
          <w:ilvl w:val="2"/>
          <w:numId w:val="54"/>
        </w:numPr>
        <w:rPr>
          <w:rFonts w:ascii="Arial" w:cs="Arial" w:eastAsia="Arial" w:hAnsi="Arial"/>
          <w:sz w:val="15"/>
          <w:szCs w:val="15"/>
          <w:color w:val="auto"/>
        </w:rPr>
      </w:pPr>
      <w:r>
        <w:rPr>
          <w:rFonts w:ascii="Arial" w:cs="Arial" w:eastAsia="Arial" w:hAnsi="Arial"/>
          <w:sz w:val="15"/>
          <w:szCs w:val="15"/>
          <w:color w:val="auto"/>
        </w:rPr>
        <w:t>An increase of $17.0 million primarily related to stock options. From December 2020 through June 2021, we granted stock options, subject to shareholder approval of an amendment to our incentive compensation plan. Because stock-based awards subject to shareholder approval are not considered granted for accounting purposes until that approval is received, no stock-based compensation expense could be recognized with respect to those stock options until we received shareholder approval at the annual meeting on July 21, 2021.</w:t>
      </w:r>
    </w:p>
    <w:p>
      <w:pPr>
        <w:spacing w:after="0" w:line="2" w:lineRule="exact"/>
        <w:rPr>
          <w:rFonts w:ascii="Arial" w:cs="Arial" w:eastAsia="Arial" w:hAnsi="Arial"/>
          <w:sz w:val="15"/>
          <w:szCs w:val="15"/>
          <w:color w:val="auto"/>
        </w:rPr>
      </w:pPr>
    </w:p>
    <w:p>
      <w:pPr>
        <w:ind w:left="1280" w:right="100" w:hanging="320"/>
        <w:spacing w:after="0" w:line="245" w:lineRule="auto"/>
        <w:tabs>
          <w:tab w:leader="none" w:pos="1275" w:val="left"/>
        </w:tabs>
        <w:numPr>
          <w:ilvl w:val="2"/>
          <w:numId w:val="54"/>
        </w:numPr>
        <w:rPr>
          <w:rFonts w:ascii="Arial" w:cs="Arial" w:eastAsia="Arial" w:hAnsi="Arial"/>
          <w:sz w:val="18"/>
          <w:szCs w:val="18"/>
          <w:color w:val="auto"/>
        </w:rPr>
      </w:pPr>
      <w:r>
        <w:rPr>
          <w:rFonts w:ascii="Arial" w:cs="Arial" w:eastAsia="Arial" w:hAnsi="Arial"/>
          <w:sz w:val="18"/>
          <w:szCs w:val="18"/>
          <w:color w:val="auto"/>
        </w:rPr>
        <w:t>An $11.5 million reversal of expense during the second quarter of 2021 due to the forfeiture of unvested restricted stock and restricted stock units upon the retirement of our former Chief Executive Officer in May 2021.</w:t>
      </w:r>
    </w:p>
    <w:p>
      <w:pPr>
        <w:spacing w:after="0" w:line="1" w:lineRule="exact"/>
        <w:rPr>
          <w:rFonts w:ascii="Arial" w:cs="Arial" w:eastAsia="Arial" w:hAnsi="Arial"/>
          <w:sz w:val="18"/>
          <w:szCs w:val="18"/>
          <w:color w:val="auto"/>
        </w:rPr>
      </w:pPr>
    </w:p>
    <w:p>
      <w:pPr>
        <w:jc w:val="both"/>
        <w:ind w:left="960" w:right="100" w:hanging="318"/>
        <w:spacing w:after="0" w:line="245" w:lineRule="auto"/>
        <w:tabs>
          <w:tab w:leader="none" w:pos="955"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 increase of $14.1 million, excluding stock-based compensation expense, primarily related to increases of $9.7 million for our support function and $4.4 million for our servicing function. The increase in our support function was primarily related to an increase in the number of team members in our technology department.</w:t>
      </w:r>
    </w:p>
    <w:p>
      <w:pPr>
        <w:spacing w:after="0" w:line="2" w:lineRule="exact"/>
        <w:rPr>
          <w:rFonts w:ascii="Arial" w:cs="Arial" w:eastAsia="Arial" w:hAnsi="Arial"/>
          <w:sz w:val="18"/>
          <w:szCs w:val="18"/>
          <w:color w:val="auto"/>
        </w:rPr>
      </w:pPr>
    </w:p>
    <w:p>
      <w:pPr>
        <w:jc w:val="both"/>
        <w:ind w:left="720" w:right="100" w:hanging="396"/>
        <w:spacing w:after="0" w:line="313" w:lineRule="auto"/>
        <w:tabs>
          <w:tab w:leader="none" w:pos="716" w:val="left"/>
        </w:tabs>
        <w:numPr>
          <w:ilvl w:val="0"/>
          <w:numId w:val="54"/>
        </w:numPr>
        <w:rPr>
          <w:rFonts w:ascii="Arial" w:cs="Arial" w:eastAsia="Arial" w:hAnsi="Arial"/>
          <w:sz w:val="15"/>
          <w:szCs w:val="15"/>
          <w:color w:val="auto"/>
        </w:rPr>
      </w:pPr>
      <w:r>
        <w:rPr>
          <w:rFonts w:ascii="Arial" w:cs="Arial" w:eastAsia="Arial" w:hAnsi="Arial"/>
          <w:sz w:val="15"/>
          <w:szCs w:val="15"/>
          <w:color w:val="auto"/>
        </w:rPr>
        <w:t>A decrease in general and administrative expense of $11.8 million, or 18.7%, primarily due to a decrease in legal expenses. Legal expenses for the six months ended June 30, 2022 included the recognition of a $12.0 million contingent loss related to the Company reaching an agreement in principle to settle a previously-disclosed putative class action lawsuit. Legal expenses for the six months ended June 30, 2021 included a $27.2 million settlement with the Commonwealth of Massachusetts to settle and fully resolve the claims asserted against the Company.</w:t>
      </w:r>
    </w:p>
    <w:p>
      <w:pPr>
        <w:spacing w:after="0" w:line="175"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i w:val="1"/>
          <w:iCs w:val="1"/>
          <w:color w:val="auto"/>
        </w:rPr>
        <w:t>Provision for Credit Losses</w:t>
      </w:r>
      <w:r>
        <w:rPr>
          <w:rFonts w:ascii="Arial" w:cs="Arial" w:eastAsia="Arial" w:hAnsi="Arial"/>
          <w:sz w:val="18"/>
          <w:szCs w:val="18"/>
          <w:color w:val="auto"/>
        </w:rPr>
        <w:t>. The increase of $180.0 million, or 1,956.5%, was due to an increase in provision for credit losses on forecast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a decrease in provision for credit losses on new Consumer Loan assignments.</w:t>
      </w:r>
    </w:p>
    <w:p>
      <w:pPr>
        <w:spacing w:after="0" w:line="207" w:lineRule="exact"/>
        <w:rPr>
          <w:sz w:val="20"/>
          <w:szCs w:val="20"/>
          <w:color w:val="auto"/>
        </w:rPr>
      </w:pPr>
    </w:p>
    <w:p>
      <w:pPr>
        <w:jc w:val="both"/>
        <w:ind w:right="100" w:firstLine="318"/>
        <w:spacing w:after="0" w:line="277" w:lineRule="auto"/>
        <w:rPr>
          <w:sz w:val="20"/>
          <w:szCs w:val="20"/>
          <w:color w:val="auto"/>
        </w:rPr>
      </w:pPr>
      <w:r>
        <w:rPr>
          <w:rFonts w:ascii="Arial" w:cs="Arial" w:eastAsia="Arial" w:hAnsi="Arial"/>
          <w:sz w:val="17"/>
          <w:szCs w:val="17"/>
          <w:color w:val="auto"/>
        </w:rPr>
        <w:t>We recognize provision for credit losses on new Consumer Loan assignments for contractual net cash flows that are not expected to be realized at the time of assignment. We also recognize provision for credit losses on forecast changes in the amount and timing of expected future net cash flows subsequent to assignment. The following table summarizes the provision for credit losses for each of these components:</w:t>
      </w:r>
    </w:p>
    <w:p>
      <w:pPr>
        <w:spacing w:after="0" w:line="227" w:lineRule="exact"/>
        <w:rPr>
          <w:sz w:val="20"/>
          <w:szCs w:val="20"/>
          <w:color w:val="auto"/>
        </w:rPr>
      </w:pPr>
    </w:p>
    <w:tbl>
      <w:tblPr>
        <w:tblLayout w:type="fixed"/>
        <w:tblInd w:w="320" w:type="dxa"/>
        <w:tblCellMar>
          <w:top w:w="0" w:type="dxa"/>
          <w:left w:w="0" w:type="dxa"/>
          <w:bottom w:w="0" w:type="dxa"/>
          <w:right w:w="0" w:type="dxa"/>
        </w:tblCellMar>
      </w:tblPr>
      <w:tr>
        <w:trPr>
          <w:trHeight w:val="201"/>
        </w:trPr>
        <w:tc>
          <w:tcPr>
            <w:tcW w:w="5400" w:type="dxa"/>
            <w:vAlign w:val="bottom"/>
          </w:tcPr>
          <w:p>
            <w:pPr>
              <w:ind w:left="340"/>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For the Six Months Ended June 30,</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92"/>
        </w:trPr>
        <w:tc>
          <w:tcPr>
            <w:tcW w:w="5400" w:type="dxa"/>
            <w:vAlign w:val="bottom"/>
            <w:tcBorders>
              <w:bottom w:val="single" w:sz="8" w:color="CCEEFF"/>
            </w:tcBorders>
          </w:tcPr>
          <w:p>
            <w:pPr>
              <w:ind w:left="2040"/>
              <w:spacing w:after="0"/>
              <w:rPr>
                <w:sz w:val="20"/>
                <w:szCs w:val="20"/>
                <w:color w:val="auto"/>
              </w:rPr>
            </w:pPr>
            <w:r>
              <w:rPr>
                <w:rFonts w:ascii="Arial" w:cs="Arial" w:eastAsia="Arial" w:hAnsi="Arial"/>
                <w:sz w:val="14"/>
                <w:szCs w:val="14"/>
                <w:b w:val="1"/>
                <w:bCs w:val="1"/>
                <w:color w:val="auto"/>
              </w:rPr>
              <w:t>Provision for Credit Losses</w:t>
            </w:r>
          </w:p>
        </w:tc>
        <w:tc>
          <w:tcPr>
            <w:tcW w:w="6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Change</w:t>
            </w:r>
          </w:p>
        </w:tc>
      </w:tr>
      <w:tr>
        <w:trPr>
          <w:trHeight w:val="225"/>
        </w:trPr>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New Consumer Loan assignments</w:t>
            </w:r>
          </w:p>
        </w:tc>
        <w:tc>
          <w:tcPr>
            <w:tcW w:w="6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7"/>
              </w:rPr>
              <w:t>200.1</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2"/>
        </w:trPr>
        <w:tc>
          <w:tcPr>
            <w:tcW w:w="54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Forecast changes</w:t>
            </w:r>
          </w:p>
        </w:tc>
        <w:tc>
          <w:tcPr>
            <w:tcW w:w="6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89"/>
              </w:rPr>
              <w:t>(29.3)</w:t>
            </w:r>
          </w:p>
        </w:tc>
        <w:tc>
          <w:tcPr>
            <w:tcW w:w="1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50"/>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7"/>
              </w:rPr>
              <w:t>170.8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100" w:firstLine="318"/>
        <w:spacing w:after="0" w:line="306" w:lineRule="auto"/>
        <w:rPr>
          <w:sz w:val="20"/>
          <w:szCs w:val="20"/>
          <w:color w:val="auto"/>
        </w:rPr>
      </w:pPr>
      <w:r>
        <w:rPr>
          <w:rFonts w:ascii="Arial" w:cs="Arial" w:eastAsia="Arial" w:hAnsi="Arial"/>
          <w:sz w:val="15"/>
          <w:szCs w:val="15"/>
          <w:color w:val="auto"/>
        </w:rPr>
        <w:t>The smaller reversal of provision for credit losses related to forecast changes was primarily due to a smaller improvement in Consumer Loan performance. During the first six months of 2022 and 2021, we increased our estimate of future net cash flows by $66.8 million and $211.9 million, respectively, to reflect improvements in Consumer Loan performance during the periods. The results for the first six months of 2022 include the impact of forecasting methodology changes implemented during the first quarter, which upon implementation increased our estimate of future net cash flows by $95.7 million and reduced our provision for credit losses by $70.6 million. The forecasting methodology changes included the removal of the COVID forecast adjustment from our estimate of future net cash flows and an enhancement to our methodology for forecasting the amount and timing of future net cash flows from our Loan portfolio through the utilization of more recent data and new forecast variables. For additional information, see Note 6 to the consolidated financial statements contained in Part I - Item 1 of this Form 10-Q, which is incorporated herein by reference.</w:t>
      </w:r>
    </w:p>
    <w:p>
      <w:pPr>
        <w:spacing w:after="0" w:line="395"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decrease in provision for credit losses related to new Consumer Loan assignments was primarily due to a 10.5% decrease in Consumer Loan assignment unit volume.</w:t>
      </w:r>
    </w:p>
    <w:p>
      <w:pPr>
        <w:spacing w:after="0" w:line="31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The decrease of $10.4 million, or 12.1%, was primarily due to a decrease in our average cost of debt, as follows: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578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6"/>
          </w:tcPr>
          <w:p>
            <w:pPr>
              <w:jc w:val="right"/>
              <w:ind w:right="192"/>
              <w:spacing w:after="0"/>
              <w:rPr>
                <w:sz w:val="20"/>
                <w:szCs w:val="20"/>
                <w:color w:val="auto"/>
              </w:rPr>
            </w:pPr>
            <w:r>
              <w:rPr>
                <w:rFonts w:ascii="Arial" w:cs="Arial" w:eastAsia="Arial" w:hAnsi="Arial"/>
                <w:sz w:val="14"/>
                <w:szCs w:val="14"/>
                <w:b w:val="1"/>
                <w:bCs w:val="1"/>
                <w:color w:val="auto"/>
                <w:w w:val="92"/>
              </w:rPr>
              <w:t>For the Six Months Ended June 30,</w:t>
            </w:r>
          </w:p>
        </w:tc>
        <w:tc>
          <w:tcPr>
            <w:tcW w:w="1360" w:type="dxa"/>
            <w:vAlign w:val="bottom"/>
            <w:tcBorders>
              <w:bottom w:val="single" w:sz="8" w:color="auto"/>
            </w:tcBorders>
          </w:tcPr>
          <w:p>
            <w:pPr>
              <w:spacing w:after="0"/>
              <w:rPr>
                <w:sz w:val="17"/>
                <w:szCs w:val="17"/>
                <w:color w:val="auto"/>
              </w:rPr>
            </w:pPr>
          </w:p>
        </w:tc>
      </w:tr>
      <w:tr>
        <w:trPr>
          <w:trHeight w:val="192"/>
        </w:trPr>
        <w:tc>
          <w:tcPr>
            <w:tcW w:w="57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Change</w:t>
            </w:r>
          </w:p>
        </w:tc>
      </w:tr>
      <w:tr>
        <w:trPr>
          <w:trHeight w:val="225"/>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(10.4)</w:t>
            </w:r>
          </w:p>
        </w:tc>
      </w:tr>
      <w:tr>
        <w:trPr>
          <w:trHeight w:val="225"/>
        </w:trPr>
        <w:tc>
          <w:tcPr>
            <w:tcW w:w="5780" w:type="dxa"/>
            <w:vAlign w:val="bottom"/>
          </w:tcPr>
          <w:p>
            <w:pPr>
              <w:ind w:left="20"/>
              <w:spacing w:after="0"/>
              <w:rPr>
                <w:sz w:val="20"/>
                <w:szCs w:val="20"/>
                <w:color w:val="auto"/>
              </w:rPr>
            </w:pPr>
            <w:r>
              <w:rPr>
                <w:rFonts w:ascii="Arial" w:cs="Arial" w:eastAsia="Arial" w:hAnsi="Arial"/>
                <w:sz w:val="18"/>
                <w:szCs w:val="18"/>
                <w:color w:val="auto"/>
              </w:rPr>
              <w:t>Average outstanding debt principal balance (1)</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4,704.8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16"/>
              <w:spacing w:after="0"/>
              <w:rPr>
                <w:sz w:val="20"/>
                <w:szCs w:val="20"/>
                <w:color w:val="auto"/>
              </w:rPr>
            </w:pPr>
            <w:r>
              <w:rPr>
                <w:rFonts w:ascii="Arial" w:cs="Arial" w:eastAsia="Arial" w:hAnsi="Arial"/>
                <w:sz w:val="18"/>
                <w:szCs w:val="18"/>
                <w:color w:val="auto"/>
              </w:rPr>
              <w:t>4,755.7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ind w:right="76"/>
              <w:spacing w:after="0"/>
              <w:rPr>
                <w:sz w:val="20"/>
                <w:szCs w:val="20"/>
                <w:color w:val="auto"/>
              </w:rPr>
            </w:pPr>
            <w:r>
              <w:rPr>
                <w:rFonts w:ascii="Arial" w:cs="Arial" w:eastAsia="Arial" w:hAnsi="Arial"/>
                <w:sz w:val="18"/>
                <w:szCs w:val="18"/>
                <w:color w:val="auto"/>
              </w:rPr>
              <w:t>(50.9)</w:t>
            </w:r>
          </w:p>
        </w:tc>
      </w:tr>
      <w:tr>
        <w:trPr>
          <w:trHeight w:val="22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cost of debt</w:t>
            </w:r>
          </w:p>
        </w:tc>
        <w:tc>
          <w:tcPr>
            <w:tcW w:w="4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r>
    </w:tbl>
    <w:p>
      <w:pPr>
        <w:spacing w:after="0" w:line="299" w:lineRule="exact"/>
        <w:rPr>
          <w:sz w:val="20"/>
          <w:szCs w:val="20"/>
          <w:color w:val="auto"/>
        </w:rPr>
      </w:pPr>
    </w:p>
    <w:p>
      <w:pPr>
        <w:ind w:left="480" w:hanging="315"/>
        <w:spacing w:after="0"/>
        <w:tabs>
          <w:tab w:leader="none" w:pos="4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the unamortized debt discount and excludes deferred debt issuance costs.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decrease in our average cost of debt was primarily the result of lower interest rates on recently-completed secured financings.</w:t>
      </w:r>
    </w:p>
    <w:p>
      <w:pPr>
        <w:spacing w:after="0" w:line="23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i w:val="1"/>
          <w:iCs w:val="1"/>
          <w:color w:val="auto"/>
        </w:rPr>
        <w:t xml:space="preserve">Provision for Income Taxes. </w:t>
      </w:r>
      <w:r>
        <w:rPr>
          <w:rFonts w:ascii="Arial" w:cs="Arial" w:eastAsia="Arial" w:hAnsi="Arial"/>
          <w:sz w:val="15"/>
          <w:szCs w:val="15"/>
          <w:color w:val="auto"/>
        </w:rPr>
        <w:t>For the six months ended June 30, 2022, our effective income tax rate increased to 24.6% from 23.8% for the six months</w:t>
      </w:r>
      <w:r>
        <w:rPr>
          <w:rFonts w:ascii="Arial" w:cs="Arial" w:eastAsia="Arial" w:hAnsi="Arial"/>
          <w:sz w:val="15"/>
          <w:szCs w:val="15"/>
          <w:i w:val="1"/>
          <w:iCs w:val="1"/>
          <w:color w:val="auto"/>
        </w:rPr>
        <w:t xml:space="preserve"> </w:t>
      </w:r>
      <w:r>
        <w:rPr>
          <w:rFonts w:ascii="Arial" w:cs="Arial" w:eastAsia="Arial" w:hAnsi="Arial"/>
          <w:sz w:val="15"/>
          <w:szCs w:val="15"/>
          <w:color w:val="auto"/>
        </w:rPr>
        <w:t>ended June 30, 2021. The increase was primarily due to an increase in non-deductible executive compensation expenses. For additional information, see Note 11 to the consolidated financial statements contained in Part I - Item 1 of this Form 10-Q, which is incorporated herein by reference.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5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COVID-19 pandemic had a significant impact on our work environment, as the vast majority of our team members began working remotely. Because our remote operations and processes proved successful early on, we now pursue a “remote first” strategy to take advantage of the national talent pool and an increased rate of team member satisfaction. While remote work has become the primary experience for most of our team members, we do have team members that, due to their personal preference or the nature of their responsibilities, have continued to work primarily in one of our office properties. Additionally, we have various on-site meetings, events and team building activities for which in-person attendance is encouraged. Therefore, we believe we will always have a need for some amount of office space.</w:t>
      </w:r>
    </w:p>
    <w:p>
      <w:pPr>
        <w:spacing w:after="0" w:line="206"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As a result of the “remote first” strategy, we have excess space in the two office buildings that we own in Southfield, Michigan and the office space that we lease in Henderson, Nevada. Our Henderson lease, which we will not renew, expires in December 2022. We are currently considering options to further reduce our office space, which could result in the sale of one of our buildings. As there is currently a significant amount of unoccupied office space in Southfield, we believe the market value of our buildings and improvements, land and land improvements, and office furniture and equipment is significantly less than their combined carrying value of $40.2 million. If we were to reclassify one of these buildings as held for sale, we would be required to record an impairment charge to reduce the carrying value of the building held for sale to its estimated market value less costs to sell.</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need capital to maintain and grow our business. Our primary sources of capital are cash flows from operating activities, collections of Consumer Loans and borrowings under: (1) a revolving secured line of credit; (2) Warehouse facilities; (3) Term ABS financings; and (4) senior notes. There are various restrictive covenants to which we are subject under each financing arrangement and we were in compliance with those covenants as of June 30, 2022. For information regarding these financings and the covenants included in the related documents, see Note 9 to the consolidated financial statements contained in Part I - Item 1 of this Form 10-Q, which is incorporated herein by reference.</w:t>
      </w:r>
    </w:p>
    <w:p>
      <w:pPr>
        <w:spacing w:after="0" w:line="22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June 16, 2022, we completed a $350.0 million Term ABS financing, which was used to repay outstanding indebtedness and for general corporate purposes. The financing has an expected annualized cost of approximately 5.4% (including the initial purchasers’ fees and other costs), and it will revolve for 24 months, after which it will amortize based upon the cash flows on the contributed Loans.</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June 16, 2022, we extended the date on which our $300.0 million Warehouse Facility IV will cease to revolve from November 17, 2023 to May 20, 2025.</w:t>
      </w:r>
    </w:p>
    <w:p>
      <w:pPr>
        <w:spacing w:after="0" w:line="20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June 22, 2022, we extended the maturity of our revolving secured line of credit facility from June 22, 2024 to June 22, 2025. Prior to this amendment, the amount of the facility was set to decrease by $35.0 million on June 22, 2022; however, this amendment increased the amount of the facility by $10.0 million, resulting in a net decrease of $25.0 million, from $435.0 million to $410.0 million. As previously reported, the amount of the facility will further decrease by $25.0 million on June 22, 2023. Additionally, this amendment removed the covenant that required us to maintain consolidated net income of not less than $1 for the two most recently ended fiscal quarters.</w:t>
      </w:r>
    </w:p>
    <w:p>
      <w:pPr>
        <w:spacing w:after="0" w:line="22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Cash and cash equivalents as of June 30, 2022 and December 31, 2021 was $4.1 million and $23.3 million, respectively. As of June 30, 2022 and December 31, 2021, we had $1,239.3 million and $1,532.4 million, respectively, in unused and available lines of credit. Our total balance sheet indebtedness increased to $4,792.2 million as of June 30, 2022 from $4,616.3 million as of December 31, 2021, primarily due to stock repurchases.</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scheduled principal debt maturities as of June 30, 2022 is as follows: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7220" w:type="dxa"/>
            <w:vAlign w:val="bottom"/>
          </w:tcPr>
          <w:p>
            <w:pPr>
              <w:spacing w:after="0"/>
              <w:rPr>
                <w:sz w:val="20"/>
                <w:szCs w:val="20"/>
                <w:color w:val="auto"/>
              </w:rPr>
            </w:pPr>
            <w:r>
              <w:rPr>
                <w:rFonts w:ascii="Arial" w:cs="Arial" w:eastAsia="Arial" w:hAnsi="Arial"/>
                <w:sz w:val="14"/>
                <w:szCs w:val="14"/>
                <w:color w:val="auto"/>
              </w:rPr>
              <w:t>(In millions)</w:t>
            </w:r>
          </w:p>
        </w:tc>
        <w:tc>
          <w:tcPr>
            <w:tcW w:w="3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220" w:type="dxa"/>
            <w:vAlign w:val="bottom"/>
            <w:vMerge w:val="restart"/>
          </w:tcPr>
          <w:p>
            <w:pPr>
              <w:ind w:left="4560"/>
              <w:spacing w:after="0"/>
              <w:rPr>
                <w:sz w:val="20"/>
                <w:szCs w:val="20"/>
                <w:color w:val="auto"/>
              </w:rPr>
            </w:pPr>
            <w:r>
              <w:rPr>
                <w:rFonts w:ascii="Arial" w:cs="Arial" w:eastAsia="Arial" w:hAnsi="Arial"/>
                <w:sz w:val="14"/>
                <w:szCs w:val="14"/>
                <w:b w:val="1"/>
                <w:bCs w:val="1"/>
                <w:color w:val="auto"/>
              </w:rPr>
              <w:t>Year</w:t>
            </w:r>
          </w:p>
        </w:tc>
        <w:tc>
          <w:tcPr>
            <w:tcW w:w="3920" w:type="dxa"/>
            <w:vAlign w:val="bottom"/>
          </w:tcPr>
          <w:p>
            <w:pPr>
              <w:jc w:val="center"/>
              <w:ind w:left="2309"/>
              <w:spacing w:after="0" w:line="143" w:lineRule="exact"/>
              <w:rPr>
                <w:sz w:val="20"/>
                <w:szCs w:val="20"/>
                <w:color w:val="auto"/>
              </w:rPr>
            </w:pPr>
            <w:r>
              <w:rPr>
                <w:rFonts w:ascii="Arial" w:cs="Arial" w:eastAsia="Arial" w:hAnsi="Arial"/>
                <w:sz w:val="14"/>
                <w:szCs w:val="14"/>
                <w:b w:val="1"/>
                <w:bCs w:val="1"/>
                <w:color w:val="auto"/>
                <w:w w:val="91"/>
              </w:rPr>
              <w:t>Scheduled Principal Debt</w:t>
            </w:r>
          </w:p>
        </w:tc>
        <w:tc>
          <w:tcPr>
            <w:tcW w:w="0" w:type="dxa"/>
            <w:vAlign w:val="bottom"/>
          </w:tcPr>
          <w:p>
            <w:pPr>
              <w:spacing w:after="0"/>
              <w:rPr>
                <w:sz w:val="1"/>
                <w:szCs w:val="1"/>
                <w:color w:val="auto"/>
              </w:rPr>
            </w:pPr>
          </w:p>
        </w:tc>
      </w:tr>
      <w:tr>
        <w:trPr>
          <w:trHeight w:val="184"/>
        </w:trPr>
        <w:tc>
          <w:tcPr>
            <w:tcW w:w="7220" w:type="dxa"/>
            <w:vAlign w:val="bottom"/>
            <w:vMerge w:val="continue"/>
          </w:tcPr>
          <w:p>
            <w:pPr>
              <w:spacing w:after="0"/>
              <w:rPr>
                <w:sz w:val="15"/>
                <w:szCs w:val="15"/>
                <w:color w:val="auto"/>
              </w:rPr>
            </w:pPr>
          </w:p>
        </w:tc>
        <w:tc>
          <w:tcPr>
            <w:tcW w:w="3920" w:type="dxa"/>
            <w:vAlign w:val="bottom"/>
          </w:tcPr>
          <w:p>
            <w:pPr>
              <w:jc w:val="center"/>
              <w:ind w:left="2289"/>
              <w:spacing w:after="0"/>
              <w:rPr>
                <w:sz w:val="20"/>
                <w:szCs w:val="20"/>
                <w:color w:val="auto"/>
              </w:rPr>
            </w:pPr>
            <w:r>
              <w:rPr>
                <w:rFonts w:ascii="Arial" w:cs="Arial" w:eastAsia="Arial" w:hAnsi="Arial"/>
                <w:sz w:val="14"/>
                <w:szCs w:val="14"/>
                <w:b w:val="1"/>
                <w:bCs w:val="1"/>
                <w:color w:val="auto"/>
                <w:w w:val="96"/>
              </w:rPr>
              <w:t>Maturities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7117715" cy="1600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7715" cy="16002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29" w:lineRule="exact"/>
        <w:rPr>
          <w:sz w:val="20"/>
          <w:szCs w:val="20"/>
          <w:color w:val="auto"/>
        </w:rPr>
      </w:pPr>
    </w:p>
    <w:p>
      <w:pPr>
        <w:ind w:left="20"/>
        <w:spacing w:after="0"/>
        <w:rPr>
          <w:sz w:val="20"/>
          <w:szCs w:val="20"/>
          <w:color w:val="auto"/>
        </w:rPr>
      </w:pPr>
      <w:r>
        <w:rPr>
          <w:rFonts w:ascii="Arial" w:cs="Arial" w:eastAsia="Arial" w:hAnsi="Arial"/>
          <w:sz w:val="15"/>
          <w:szCs w:val="15"/>
          <w:color w:val="auto"/>
        </w:rPr>
        <w:t>Remainder of 2022</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2026</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Over five years</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3" w:hanging="1043"/>
        <w:spacing w:after="0"/>
        <w:tabs>
          <w:tab w:leader="none" w:pos="1043" w:val="left"/>
        </w:tabs>
        <w:numPr>
          <w:ilvl w:val="0"/>
          <w:numId w:val="56"/>
        </w:numPr>
        <w:rPr>
          <w:rFonts w:ascii="Arial" w:cs="Arial" w:eastAsia="Arial" w:hAnsi="Arial"/>
          <w:sz w:val="15"/>
          <w:szCs w:val="15"/>
          <w:color w:val="auto"/>
        </w:rPr>
      </w:pPr>
      <w:r>
        <w:rPr>
          <w:rFonts w:ascii="Arial" w:cs="Arial" w:eastAsia="Arial" w:hAnsi="Arial"/>
          <w:sz w:val="15"/>
          <w:szCs w:val="15"/>
          <w:color w:val="auto"/>
        </w:rPr>
        <w:t>1,034.6</w:t>
      </w:r>
    </w:p>
    <w:p>
      <w:pPr>
        <w:spacing w:after="0" w:line="52" w:lineRule="exact"/>
        <w:rPr>
          <w:rFonts w:ascii="Arial" w:cs="Arial" w:eastAsia="Arial" w:hAnsi="Arial"/>
          <w:sz w:val="15"/>
          <w:szCs w:val="15"/>
          <w:color w:val="auto"/>
        </w:rPr>
      </w:pPr>
    </w:p>
    <w:p>
      <w:pPr>
        <w:ind w:left="1043"/>
        <w:spacing w:after="0"/>
        <w:rPr>
          <w:rFonts w:ascii="Arial" w:cs="Arial" w:eastAsia="Arial" w:hAnsi="Arial"/>
          <w:sz w:val="15"/>
          <w:szCs w:val="15"/>
          <w:color w:val="auto"/>
        </w:rPr>
      </w:pPr>
      <w:r>
        <w:rPr>
          <w:rFonts w:ascii="Arial" w:cs="Arial" w:eastAsia="Arial" w:hAnsi="Arial"/>
          <w:sz w:val="15"/>
          <w:szCs w:val="15"/>
          <w:color w:val="auto"/>
        </w:rPr>
        <w:t>1,626.6</w:t>
      </w:r>
    </w:p>
    <w:p>
      <w:pPr>
        <w:spacing w:after="0" w:line="52" w:lineRule="exact"/>
        <w:rPr>
          <w:rFonts w:ascii="Arial" w:cs="Arial" w:eastAsia="Arial" w:hAnsi="Arial"/>
          <w:sz w:val="15"/>
          <w:szCs w:val="15"/>
          <w:color w:val="auto"/>
        </w:rPr>
      </w:pPr>
    </w:p>
    <w:p>
      <w:pPr>
        <w:ind w:left="1043"/>
        <w:spacing w:after="0"/>
        <w:rPr>
          <w:rFonts w:ascii="Arial" w:cs="Arial" w:eastAsia="Arial" w:hAnsi="Arial"/>
          <w:sz w:val="15"/>
          <w:szCs w:val="15"/>
          <w:color w:val="auto"/>
        </w:rPr>
      </w:pPr>
      <w:r>
        <w:rPr>
          <w:rFonts w:ascii="Arial" w:cs="Arial" w:eastAsia="Arial" w:hAnsi="Arial"/>
          <w:sz w:val="15"/>
          <w:szCs w:val="15"/>
          <w:color w:val="auto"/>
        </w:rPr>
        <w:t>1,243.8</w:t>
      </w:r>
    </w:p>
    <w:p>
      <w:pPr>
        <w:spacing w:after="0" w:line="52" w:lineRule="exact"/>
        <w:rPr>
          <w:rFonts w:ascii="Arial" w:cs="Arial" w:eastAsia="Arial" w:hAnsi="Arial"/>
          <w:sz w:val="15"/>
          <w:szCs w:val="15"/>
          <w:color w:val="auto"/>
        </w:rPr>
      </w:pPr>
    </w:p>
    <w:p>
      <w:pPr>
        <w:ind w:left="1163"/>
        <w:spacing w:after="0"/>
        <w:rPr>
          <w:rFonts w:ascii="Arial" w:cs="Arial" w:eastAsia="Arial" w:hAnsi="Arial"/>
          <w:sz w:val="15"/>
          <w:szCs w:val="15"/>
          <w:color w:val="auto"/>
        </w:rPr>
      </w:pPr>
      <w:r>
        <w:rPr>
          <w:rFonts w:ascii="Arial" w:cs="Arial" w:eastAsia="Arial" w:hAnsi="Arial"/>
          <w:sz w:val="15"/>
          <w:szCs w:val="15"/>
          <w:color w:val="auto"/>
        </w:rPr>
        <w:t>508.2</w:t>
      </w:r>
    </w:p>
    <w:p>
      <w:pPr>
        <w:spacing w:after="0" w:line="52" w:lineRule="exact"/>
        <w:rPr>
          <w:rFonts w:ascii="Arial" w:cs="Arial" w:eastAsia="Arial" w:hAnsi="Arial"/>
          <w:sz w:val="15"/>
          <w:szCs w:val="15"/>
          <w:color w:val="auto"/>
        </w:rPr>
      </w:pPr>
    </w:p>
    <w:p>
      <w:pPr>
        <w:ind w:left="1163"/>
        <w:spacing w:after="0"/>
        <w:rPr>
          <w:rFonts w:ascii="Arial" w:cs="Arial" w:eastAsia="Arial" w:hAnsi="Arial"/>
          <w:sz w:val="15"/>
          <w:szCs w:val="15"/>
          <w:color w:val="auto"/>
        </w:rPr>
      </w:pPr>
      <w:r>
        <w:rPr>
          <w:rFonts w:ascii="Arial" w:cs="Arial" w:eastAsia="Arial" w:hAnsi="Arial"/>
          <w:sz w:val="15"/>
          <w:szCs w:val="15"/>
          <w:color w:val="auto"/>
        </w:rPr>
        <w:t>403.1</w:t>
      </w:r>
    </w:p>
    <w:p>
      <w:pPr>
        <w:spacing w:after="0" w:line="52" w:lineRule="exact"/>
        <w:rPr>
          <w:rFonts w:ascii="Arial" w:cs="Arial" w:eastAsia="Arial" w:hAnsi="Arial"/>
          <w:sz w:val="15"/>
          <w:szCs w:val="15"/>
          <w:color w:val="auto"/>
        </w:rPr>
      </w:pPr>
    </w:p>
    <w:p>
      <w:pPr>
        <w:ind w:left="1383"/>
        <w:spacing w:after="0"/>
        <w:rPr>
          <w:rFonts w:ascii="Arial" w:cs="Arial" w:eastAsia="Arial" w:hAnsi="Arial"/>
          <w:sz w:val="15"/>
          <w:szCs w:val="15"/>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-6076950</wp:posOffset>
            </wp:positionH>
            <wp:positionV relativeFrom="paragraph">
              <wp:posOffset>-560705</wp:posOffset>
            </wp:positionV>
            <wp:extent cx="7117715" cy="142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7715" cy="14287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-274320</wp:posOffset>
            </wp:positionV>
            <wp:extent cx="7117715" cy="142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7715" cy="14287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10795</wp:posOffset>
            </wp:positionV>
            <wp:extent cx="7117715" cy="1765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17715" cy="176530"/>
                    </a:xfrm>
                    <a:prstGeom prst="rect">
                      <a:avLst/>
                    </a:prstGeom>
                    <a:noFill/>
                  </pic:spPr>
                </pic:pic>
              </a:graphicData>
            </a:graphic>
          </wp:anchor>
        </w:drawing>
      </w:r>
    </w:p>
    <w:p>
      <w:pPr>
        <w:spacing w:after="0" w:line="25" w:lineRule="exact"/>
        <w:rPr>
          <w:sz w:val="20"/>
          <w:szCs w:val="20"/>
          <w:color w:val="auto"/>
        </w:rPr>
      </w:pPr>
    </w:p>
    <w:p>
      <w:pPr>
        <w:ind w:left="1043" w:hanging="1043"/>
        <w:spacing w:after="0"/>
        <w:tabs>
          <w:tab w:leader="none" w:pos="1043" w:val="left"/>
        </w:tabs>
        <w:numPr>
          <w:ilvl w:val="0"/>
          <w:numId w:val="57"/>
        </w:numPr>
        <w:rPr>
          <w:rFonts w:ascii="Arial" w:cs="Arial" w:eastAsia="Arial" w:hAnsi="Arial"/>
          <w:sz w:val="15"/>
          <w:szCs w:val="15"/>
          <w:color w:val="auto"/>
        </w:rPr>
      </w:pPr>
      <w:r>
        <w:rPr>
          <w:rFonts w:ascii="Arial" w:cs="Arial" w:eastAsia="Arial" w:hAnsi="Arial"/>
          <w:sz w:val="15"/>
          <w:szCs w:val="15"/>
          <w:color w:val="auto"/>
        </w:rPr>
        <w:t>4,816.3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58420</wp:posOffset>
            </wp:positionV>
            <wp:extent cx="10515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261" w:lineRule="exact"/>
        <w:rPr>
          <w:sz w:val="20"/>
          <w:szCs w:val="20"/>
          <w:color w:val="auto"/>
        </w:rPr>
      </w:pPr>
    </w:p>
    <w:p>
      <w:pPr>
        <w:sectPr>
          <w:pgSz w:w="11900" w:h="16838" w:orient="portrait"/>
          <w:cols w:equalWidth="0" w:num="2">
            <w:col w:w="8857" w:space="720"/>
            <w:col w:w="1663"/>
          </w:cols>
          <w:pgMar w:left="320" w:top="127" w:right="339" w:bottom="1440" w:gutter="0" w:footer="0" w:header="0"/>
          <w:type w:val="continuous"/>
        </w:sectPr>
      </w:pPr>
    </w:p>
    <w:p>
      <w:pPr>
        <w:spacing w:after="0" w:line="143" w:lineRule="exact"/>
        <w:rPr>
          <w:sz w:val="20"/>
          <w:szCs w:val="20"/>
          <w:color w:val="auto"/>
        </w:rPr>
      </w:pPr>
    </w:p>
    <w:p>
      <w:pPr>
        <w:ind w:left="480" w:hanging="315"/>
        <w:spacing w:after="0"/>
        <w:tabs>
          <w:tab w:leader="none" w:pos="4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principal maturities of certain financings are estimated based on forecasted collections.</w:t>
      </w:r>
    </w:p>
    <w:p>
      <w:pPr>
        <w:spacing w:after="0" w:line="24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Based upon anticipated cash flows, management believes that cash flows from operations and our various financing alternatives will provide sufficient financing for debt maturities and for future operations. Our ability to borrow funds may be impacted by economic and financial market conditions. If the various financing alternatives were to become limited or unavailable to us, our operations and liquidity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0" w:lineRule="exact"/>
        <w:rPr>
          <w:sz w:val="20"/>
          <w:szCs w:val="20"/>
          <w:color w:val="auto"/>
        </w:rPr>
      </w:pPr>
    </w:p>
    <w:p>
      <w:pPr>
        <w:jc w:val="both"/>
        <w:ind w:right="100" w:firstLine="318"/>
        <w:spacing w:after="0" w:line="306" w:lineRule="auto"/>
        <w:rPr>
          <w:sz w:val="20"/>
          <w:szCs w:val="20"/>
          <w:color w:val="auto"/>
        </w:rPr>
      </w:pPr>
      <w:r>
        <w:rPr>
          <w:rFonts w:ascii="Arial" w:cs="Arial" w:eastAsia="Arial" w:hAnsi="Arial"/>
          <w:sz w:val="15"/>
          <w:szCs w:val="15"/>
          <w:color w:val="auto"/>
        </w:rPr>
        <w:t>Our consolidated financial statements are prepared in accordance with GAAP. The preparation of these financial statements requires management to make estimates and judgments that affect the reported amounts of assets and liabilities and disclosure of contingent assets and liabilities at the date of the financial statements and the reported amounts of revenues and expenses during the reporting period. On an ongoing basis, we review our accounting policies, assumptions, estimates and judgments to ensure that our financial statements are presented fairly and in accordance with GAAP. Item 7 of our Annual Report on Form 10-K for the year ended December 31, 2021 discusses several critical accounting estimates, which we believe involve a high degree of judgment and complexity. There have been no material changes to the estimates and assumptions associated with these accounting estimates from those discussed in our Annual Report on Form 10-K for the year ended December 31, 2021, except as described below:</w:t>
      </w:r>
    </w:p>
    <w:p>
      <w:pPr>
        <w:spacing w:after="0" w:line="183"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7"/>
          <w:szCs w:val="17"/>
          <w:color w:val="auto"/>
        </w:rPr>
        <w:t>The COVID-19 pandemic created conditions that increased the level of uncertainty associated with our estimate of the amount and timing of future net cash flows from our Loan portfolio. During the first quarter of 2020, we applied a subjective adjustment to our forecasting model to reflect our best estimate of the future impact of the COVID-19 pandemic on future net cash flows (“COVID forecast adjustment”), which reduced our estimate of future net cash flows by $162.2 million. We continued to apply the COVID forecast adjustment through the end of 2021 as it continued to represent our best estimate. During the first quarter of 2022, we determined that we had sufficient Consumer Loan performance experience since the lapse of federal stimulus payments and enhanced unemployment benefits to refine our estimate of future net cash flows. Accordingly, during the first quarter of 2022, we removed the COVID forecast adjustment and enhanced our methodology for forecasting the amount and timing of future net cash flows from our Loan portfolio through the utilization of more recent data and new forecast variables. Under CECL, changes in the amount and timing of forecasted net cash flows are recorded as a provision for credit losses in the period of change.</w:t>
      </w:r>
    </w:p>
    <w:p>
      <w:pPr>
        <w:spacing w:after="0" w:line="211"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removal of the COVID forecast adjustment and the implementation of the enhanced forecasting methodology during the first quarter of 2022 impacted forecasted net cash flows and provision for credit losses as follows:</w:t>
      </w:r>
    </w:p>
    <w:p>
      <w:pPr>
        <w:spacing w:after="0" w:line="91" w:lineRule="exact"/>
        <w:rPr>
          <w:sz w:val="20"/>
          <w:szCs w:val="20"/>
          <w:color w:val="auto"/>
        </w:rPr>
      </w:pPr>
    </w:p>
    <w:tbl>
      <w:tblPr>
        <w:tblLayout w:type="fixed"/>
        <w:tblInd w:w="320" w:type="dxa"/>
        <w:tblCellMar>
          <w:top w:w="0" w:type="dxa"/>
          <w:left w:w="0" w:type="dxa"/>
          <w:bottom w:w="0" w:type="dxa"/>
          <w:right w:w="0" w:type="dxa"/>
        </w:tblCellMar>
      </w:tblPr>
      <w:tr>
        <w:trPr>
          <w:trHeight w:val="201"/>
        </w:trPr>
        <w:tc>
          <w:tcPr>
            <w:tcW w:w="7460" w:type="dxa"/>
            <w:vAlign w:val="bottom"/>
            <w:gridSpan w:val="2"/>
          </w:tcPr>
          <w:p>
            <w:pPr>
              <w:ind w:left="340"/>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4"/>
                <w:szCs w:val="14"/>
                <w:b w:val="1"/>
                <w:bCs w:val="1"/>
                <w:color w:val="auto"/>
              </w:rPr>
              <w:t>Increase / (Decrease) in</w:t>
            </w:r>
          </w:p>
        </w:tc>
        <w:tc>
          <w:tcPr>
            <w:tcW w:w="0" w:type="dxa"/>
            <w:vAlign w:val="bottom"/>
          </w:tcPr>
          <w:p>
            <w:pPr>
              <w:spacing w:after="0"/>
              <w:rPr>
                <w:sz w:val="1"/>
                <w:szCs w:val="1"/>
                <w:color w:val="auto"/>
              </w:rPr>
            </w:pPr>
          </w:p>
        </w:tc>
      </w:tr>
      <w:tr>
        <w:trPr>
          <w:trHeight w:val="133"/>
        </w:trPr>
        <w:tc>
          <w:tcPr>
            <w:tcW w:w="7360" w:type="dxa"/>
            <w:vAlign w:val="bottom"/>
            <w:vMerge w:val="restart"/>
          </w:tcPr>
          <w:p>
            <w:pPr>
              <w:ind w:left="2800"/>
              <w:spacing w:after="0"/>
              <w:rPr>
                <w:sz w:val="20"/>
                <w:szCs w:val="20"/>
                <w:color w:val="auto"/>
              </w:rPr>
            </w:pPr>
            <w:r>
              <w:rPr>
                <w:rFonts w:ascii="Arial" w:cs="Arial" w:eastAsia="Arial" w:hAnsi="Arial"/>
                <w:sz w:val="14"/>
                <w:szCs w:val="14"/>
                <w:b w:val="1"/>
                <w:bCs w:val="1"/>
                <w:color w:val="auto"/>
              </w:rPr>
              <w:t>Forecasting Methodology Changes</w:t>
            </w:r>
          </w:p>
        </w:tc>
        <w:tc>
          <w:tcPr>
            <w:tcW w:w="100" w:type="dxa"/>
            <w:vAlign w:val="bottom"/>
            <w:vMerge w:val="restart"/>
          </w:tcPr>
          <w:p>
            <w:pPr>
              <w:spacing w:after="0"/>
              <w:rPr>
                <w:sz w:val="11"/>
                <w:szCs w:val="11"/>
                <w:color w:val="auto"/>
              </w:rPr>
            </w:pPr>
          </w:p>
        </w:tc>
        <w:tc>
          <w:tcPr>
            <w:tcW w:w="440" w:type="dxa"/>
            <w:vAlign w:val="bottom"/>
          </w:tcPr>
          <w:p>
            <w:pPr>
              <w:spacing w:after="0"/>
              <w:rPr>
                <w:sz w:val="11"/>
                <w:szCs w:val="11"/>
                <w:color w:val="auto"/>
              </w:rPr>
            </w:pPr>
          </w:p>
        </w:tc>
        <w:tc>
          <w:tcPr>
            <w:tcW w:w="150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Forecasted Net Cash</w:t>
            </w:r>
          </w:p>
        </w:tc>
        <w:tc>
          <w:tcPr>
            <w:tcW w:w="440" w:type="dxa"/>
            <w:vAlign w:val="bottom"/>
          </w:tcPr>
          <w:p>
            <w:pPr>
              <w:spacing w:after="0"/>
              <w:rPr>
                <w:sz w:val="11"/>
                <w:szCs w:val="11"/>
                <w:color w:val="auto"/>
              </w:rPr>
            </w:pPr>
          </w:p>
        </w:tc>
        <w:tc>
          <w:tcPr>
            <w:tcW w:w="118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2"/>
              </w:rPr>
              <w:t>Provision for Credi</w:t>
            </w:r>
          </w:p>
        </w:tc>
        <w:tc>
          <w:tcPr>
            <w:tcW w:w="0" w:type="dxa"/>
            <w:vAlign w:val="bottom"/>
          </w:tcPr>
          <w:p>
            <w:pPr>
              <w:spacing w:after="0"/>
              <w:rPr>
                <w:sz w:val="1"/>
                <w:szCs w:val="1"/>
                <w:color w:val="auto"/>
              </w:rPr>
            </w:pPr>
          </w:p>
        </w:tc>
      </w:tr>
      <w:tr>
        <w:trPr>
          <w:trHeight w:val="192"/>
        </w:trPr>
        <w:tc>
          <w:tcPr>
            <w:tcW w:w="7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Flows</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25"/>
        </w:trPr>
        <w:tc>
          <w:tcPr>
            <w:tcW w:w="7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Removal of COVID forecast adjustment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5"/>
        </w:trPr>
        <w:tc>
          <w:tcPr>
            <w:tcW w:w="74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Implementation of enhanced forecasting methodology</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4"/>
        </w:trPr>
        <w:tc>
          <w:tcPr>
            <w:tcW w:w="7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0" w:lineRule="exact"/>
        <w:rPr>
          <w:sz w:val="20"/>
          <w:szCs w:val="20"/>
          <w:color w:val="auto"/>
        </w:rPr>
      </w:pPr>
    </w:p>
    <w:p>
      <w:pPr>
        <w:jc w:val="both"/>
        <w:ind w:right="100" w:firstLine="318"/>
        <w:spacing w:after="0" w:line="250" w:lineRule="auto"/>
        <w:rPr>
          <w:sz w:val="20"/>
          <w:szCs w:val="20"/>
          <w:color w:val="auto"/>
        </w:rPr>
      </w:pPr>
      <w:r>
        <w:rPr>
          <w:rFonts w:ascii="Arial" w:cs="Arial" w:eastAsia="Arial" w:hAnsi="Arial"/>
          <w:sz w:val="18"/>
          <w:szCs w:val="18"/>
          <w:color w:val="auto"/>
        </w:rPr>
        <w:t>We make forward-looking statements in this report and may make such statements in future filings with the Securities and Exchange Commission (“SEC”). We may also make forward-looking statements in our press releases or other public or shareholder communications. Our forward-looking statements are subject to risks and uncertainties and include information about our expectations and possible or assumed future results of operations. When we use any of the words “may,” “will,” “should,” “believe,” “expect,” “anticipate,” “assume,” “forecast,” “estimate,” “intend,” “plan,” “target” or similar expressions, we are making forward-looking statements.</w:t>
      </w:r>
    </w:p>
    <w:p>
      <w:pPr>
        <w:spacing w:after="0" w:line="220" w:lineRule="exact"/>
        <w:rPr>
          <w:sz w:val="20"/>
          <w:szCs w:val="20"/>
          <w:color w:val="auto"/>
        </w:rPr>
      </w:pPr>
    </w:p>
    <w:p>
      <w:pPr>
        <w:jc w:val="both"/>
        <w:ind w:right="100" w:firstLine="318"/>
        <w:spacing w:after="0" w:line="249" w:lineRule="auto"/>
        <w:rPr>
          <w:sz w:val="20"/>
          <w:szCs w:val="20"/>
          <w:color w:val="auto"/>
        </w:rPr>
      </w:pPr>
      <w:r>
        <w:rPr>
          <w:rFonts w:ascii="Arial" w:cs="Arial" w:eastAsia="Arial" w:hAnsi="Arial"/>
          <w:sz w:val="18"/>
          <w:szCs w:val="18"/>
          <w:color w:val="auto"/>
        </w:rPr>
        <w:t>We claim the protection of the safe harbor for forward-looking statements contained in the Private Securities Litigation Reform Act of 1995 for all of our forward-looking statements. These forward-looking statements represent our outlook only as of the date of this report. While we believe that our forward-looking statements are reasonable, actual results could differ materially since the statements are based on our current expectations, which are subject to risks and uncertainties. Factors that might cause such a difference include, but are not limited to, the factors set forth in Item 1A of our Form 10-K for the year ended December 31, 2021 and Item 1A in Part II of this report, other risk factors discussed herein or listed from time to time in our reports filed with the SEC and the following:</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Industry, Operational and Macroeconomic Risks</w:t>
      </w:r>
    </w:p>
    <w:p>
      <w:pPr>
        <w:spacing w:after="0" w:line="16" w:lineRule="exact"/>
        <w:rPr>
          <w:sz w:val="20"/>
          <w:szCs w:val="20"/>
          <w:color w:val="auto"/>
        </w:rPr>
      </w:pPr>
    </w:p>
    <w:p>
      <w:pPr>
        <w:ind w:left="640" w:right="100" w:hanging="316"/>
        <w:spacing w:after="0" w:line="294" w:lineRule="auto"/>
        <w:tabs>
          <w:tab w:leader="none" w:pos="635"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outbreak of COVID-19 has adversely impacted our business, and the continuance of this pandemic, or any future outbreak of any contagious diseases or other public health emergency, could materially and adversely affect our business, financial condition, liquidity and results of operations.</w:t>
      </w:r>
    </w:p>
    <w:p>
      <w:pPr>
        <w:spacing w:after="0" w:line="1" w:lineRule="exact"/>
        <w:rPr>
          <w:rFonts w:ascii="Arial" w:cs="Arial" w:eastAsia="Arial" w:hAnsi="Arial"/>
          <w:sz w:val="15"/>
          <w:szCs w:val="15"/>
          <w:color w:val="auto"/>
        </w:rPr>
      </w:pPr>
    </w:p>
    <w:p>
      <w:pPr>
        <w:ind w:left="640" w:right="100" w:hanging="316"/>
        <w:spacing w:after="0" w:line="251" w:lineRule="auto"/>
        <w:tabs>
          <w:tab w:leader="none" w:pos="6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inability to accurately forecast and estimate the amount and timing of future collections could have a material adverse effect on results of operations.</w:t>
      </w:r>
    </w:p>
    <w:p>
      <w:pPr>
        <w:spacing w:after="0" w:line="32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Due to competition from traditional financing sources and non-traditional lenders, we may not be able to compete successfully.</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Reliance on third parties to administer our ancillary product offerings could adversely affect our business and financial results.</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are dependent on our senior management and the loss of any of these individuals or an inability to hire additional team members could adversely affect our ability to operate profitably.</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reputation is a key asset to our business, and our business may be affected by how we are perceived in the marketplace.</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concentration of our dealers in several states could adversely affect us.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Reliance on our outsourced business functions could adversely affect our business.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hire and retain foreign information technology personnel could be hindered by immigration restrictions.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may be unable to execute our business strategy due to current economic conditions.</w:t>
      </w:r>
    </w:p>
    <w:p>
      <w:pPr>
        <w:spacing w:after="0" w:line="5" w:lineRule="exact"/>
        <w:rPr>
          <w:rFonts w:ascii="Arial" w:cs="Arial" w:eastAsia="Arial" w:hAnsi="Arial"/>
          <w:sz w:val="18"/>
          <w:szCs w:val="18"/>
          <w:color w:val="auto"/>
        </w:rPr>
      </w:pPr>
    </w:p>
    <w:p>
      <w:pPr>
        <w:jc w:val="both"/>
        <w:ind w:left="640" w:hanging="316"/>
        <w:spacing w:after="0" w:line="245"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Adverse changes in economic conditions, the automobile or finance industries, or the non-prime consumer market could adversely affect our financial position, liquidity and results of operations, the ability of key vendors that we depend on to supply us with services, and our ability to enter into future financing transactions.</w:t>
      </w:r>
    </w:p>
    <w:p>
      <w:pPr>
        <w:spacing w:after="0" w:line="2"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Natural disasters, climate change, acts of war, terrorist attacks and threats or the escalation of military activity in response to these attacks or otherwise may negatively affect our business, financial condition and results of operations.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Governmental or market responses to climate change and related environmental issues could have a material adverse effect on our business.</w:t>
      </w:r>
    </w:p>
    <w:p>
      <w:pPr>
        <w:spacing w:after="0" w:line="39" w:lineRule="exact"/>
        <w:rPr>
          <w:rFonts w:ascii="Arial" w:cs="Arial" w:eastAsia="Arial" w:hAnsi="Arial"/>
          <w:sz w:val="15"/>
          <w:szCs w:val="15"/>
          <w:color w:val="auto"/>
        </w:rPr>
      </w:pPr>
    </w:p>
    <w:p>
      <w:pPr>
        <w:ind w:left="640" w:hanging="316"/>
        <w:spacing w:after="0" w:line="245"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Consequences of the current conflict between Russia and Ukraine could have a material adverse effect on our business, financial condition, liquidity and results of operations.</w:t>
      </w:r>
    </w:p>
    <w:p>
      <w:pPr>
        <w:spacing w:after="0" w:line="1"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small number of our shareholders have the ability to significantly influence matters requiring shareholder approval and such shareholders have interests which may conflict with the interests of our other security 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 and Liquidity Risks</w:t>
      </w:r>
    </w:p>
    <w:p>
      <w:pPr>
        <w:spacing w:after="0" w:line="16" w:lineRule="exact"/>
        <w:rPr>
          <w:sz w:val="20"/>
          <w:szCs w:val="20"/>
          <w:color w:val="auto"/>
        </w:rPr>
      </w:pPr>
    </w:p>
    <w:p>
      <w:pPr>
        <w:ind w:left="640" w:hanging="31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may be unable to continue to access or renew funding sources and obtain capital needed to maintain and grow our business.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terms of our debt limit how we conduct our business.</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violation of the terms of our asset-backed secured financing facilities or revolving secured warehouse facilities could have a material adverse impact on our operations.</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substantial debt could negatively impact our business, prevent us from satisfying our debt obligations and adversely affect our financial condition.</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may not be able to generate sufficient cash flows to service our outstanding debt and fund operations and may be forced to take other actions to satisfy our obligations under such debt.</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Interest rate fluctuations may adversely affect our borrowing costs, profitability and liquidity.</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phaseout of the London Interbank Offered Rate (“LIBOR”), or the replacement of LIBOR with a different reference rate, could result in a material adverse effect on our business.</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Reduction in our credit rating could increase the cost of our funding from, and restrict our access to, the capital markets and adversely affect our liquidity, financial condition and results of operations.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We may incur substantially more debt and other liabilities. This could exacerbate further the risks associated with our current debt levels.</w:t>
      </w:r>
    </w:p>
    <w:p>
      <w:pPr>
        <w:spacing w:after="0" w:line="16" w:lineRule="exact"/>
        <w:rPr>
          <w:rFonts w:ascii="Arial" w:cs="Arial" w:eastAsia="Arial" w:hAnsi="Arial"/>
          <w:sz w:val="17"/>
          <w:szCs w:val="17"/>
          <w:color w:val="auto"/>
        </w:rPr>
      </w:pPr>
    </w:p>
    <w:p>
      <w:pPr>
        <w:ind w:left="640" w:hanging="316"/>
        <w:spacing w:after="0" w:line="349" w:lineRule="auto"/>
        <w:tabs>
          <w:tab w:leader="none" w:pos="635"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conditions of the U.S. and international capital markets may adversely affect lenders with which we have relationships, causing us to incur additional costs and reducing our sources of liquidity, which may adversely affect our financial position, liquidity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Information Technology and Cybersecurity Risks</w:t>
      </w:r>
    </w:p>
    <w:p>
      <w:pPr>
        <w:spacing w:after="0" w:line="16" w:lineRule="exact"/>
        <w:rPr>
          <w:sz w:val="20"/>
          <w:szCs w:val="20"/>
          <w:color w:val="auto"/>
        </w:rPr>
      </w:pPr>
    </w:p>
    <w:p>
      <w:pPr>
        <w:ind w:left="640" w:hanging="31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dependence on technology could have a material adverse effect on our business.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use of electronic contracts could impact our ability to perfect our ownership or security interest in Consumer Loans.</w:t>
      </w:r>
    </w:p>
    <w:p>
      <w:pPr>
        <w:spacing w:after="0" w:line="5"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Failure to properly safeguard confidential consumer and team member information could subject us to liability, decrease our profitability and damage our reputation.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Legal and Regulatory Risks</w:t>
      </w:r>
    </w:p>
    <w:p>
      <w:pPr>
        <w:spacing w:after="0" w:line="16" w:lineRule="exact"/>
        <w:rPr>
          <w:sz w:val="20"/>
          <w:szCs w:val="20"/>
          <w:color w:val="auto"/>
        </w:rPr>
      </w:pPr>
    </w:p>
    <w:p>
      <w:pPr>
        <w:ind w:left="640" w:hanging="31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Litigation we are involved in from time to time may adversely affect our financial condition, results of operations and cash flows.</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Changes in tax laws and the resolution of uncertain income tax matters could have a material adverse effect on our results of operations and cash flows from operations.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regulations to which we are or may become subject could result in a material adverse effect on our business.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Other factors not currently anticipated by management may also materially and adversely affect our business, financial condition and results of operations. We do not undertake, and expressly disclaim any obligation, to update or alter our statements whether as a result of new information, future events or otherwise, except as required by applicable law.</w:t>
      </w:r>
    </w:p>
    <w:p>
      <w:pPr>
        <w:spacing w:after="0" w:line="20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Refer to our Annual Report on Form 10-K for the year ended December 31, 2021 for a complete discussion of our market risk. There have been no material changes to the market risk information included in our 2021 Annual Report on Form 10-K.</w:t>
      </w:r>
    </w:p>
    <w:p>
      <w:pPr>
        <w:spacing w:after="0" w:line="20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0" w:lineRule="exact"/>
        <w:rPr>
          <w:sz w:val="20"/>
          <w:szCs w:val="20"/>
          <w:color w:val="auto"/>
        </w:rPr>
      </w:pPr>
    </w:p>
    <w:p>
      <w:pPr>
        <w:jc w:val="both"/>
        <w:ind w:firstLine="324"/>
        <w:spacing w:after="0" w:line="306" w:lineRule="auto"/>
        <w:tabs>
          <w:tab w:leader="none" w:pos="558" w:val="left"/>
        </w:tabs>
        <w:numPr>
          <w:ilvl w:val="0"/>
          <w:numId w:val="64"/>
        </w:numPr>
        <w:rPr>
          <w:rFonts w:ascii="Arial" w:cs="Arial" w:eastAsia="Arial" w:hAnsi="Arial"/>
          <w:sz w:val="15"/>
          <w:szCs w:val="15"/>
          <w:color w:val="auto"/>
        </w:rPr>
      </w:pPr>
      <w:r>
        <w:rPr>
          <w:rFonts w:ascii="Arial" w:cs="Arial" w:eastAsia="Arial" w:hAnsi="Arial"/>
          <w:sz w:val="15"/>
          <w:szCs w:val="15"/>
          <w:i w:val="1"/>
          <w:iCs w:val="1"/>
          <w:color w:val="auto"/>
        </w:rPr>
        <w:t xml:space="preserve">Disclosure Controls and Procedures. </w:t>
      </w:r>
      <w:r>
        <w:rPr>
          <w:rFonts w:ascii="Arial" w:cs="Arial" w:eastAsia="Arial" w:hAnsi="Arial"/>
          <w:sz w:val="15"/>
          <w:szCs w:val="15"/>
          <w:color w:val="auto"/>
        </w:rPr>
        <w:t>Our management, with the participation of our principal executive and principal financial officer, has evaluated</w:t>
      </w:r>
      <w:r>
        <w:rPr>
          <w:rFonts w:ascii="Arial" w:cs="Arial" w:eastAsia="Arial" w:hAnsi="Arial"/>
          <w:sz w:val="15"/>
          <w:szCs w:val="15"/>
          <w:i w:val="1"/>
          <w:iCs w:val="1"/>
          <w:color w:val="auto"/>
        </w:rPr>
        <w:t xml:space="preserve"> </w:t>
      </w:r>
      <w:r>
        <w:rPr>
          <w:rFonts w:ascii="Arial" w:cs="Arial" w:eastAsia="Arial" w:hAnsi="Arial"/>
          <w:sz w:val="15"/>
          <w:szCs w:val="15"/>
          <w:color w:val="auto"/>
        </w:rPr>
        <w:t>the effectiveness of our disclosure controls and procedures (as such term is defined in Rules 13a-15(e) and 15d-15(e) under the Securities Exchange Act of 1934, as amended (the “Exchange Act”)) as of the end of the period covered by this report. Based on such evaluation, our principal executive and principal financial officer has concluded that, as of the end of such period, our disclosure controls and procedures are effective in recording, processing, summarizing and reporting, on a timely basis, information required to be disclosed by us in the reports that we file or submit under the Exchange Act and are effective in ensuring that information required to be disclosed by us in the reports that we file or submit under the Exchange Act is accumulated and communicated to our management, including our principal executive officer and principal financial officer, as appropriate to allow timely decisions regarding required disclosure.</w:t>
      </w:r>
    </w:p>
    <w:p>
      <w:pPr>
        <w:spacing w:after="0" w:line="183" w:lineRule="exact"/>
        <w:rPr>
          <w:rFonts w:ascii="Arial" w:cs="Arial" w:eastAsia="Arial" w:hAnsi="Arial"/>
          <w:sz w:val="15"/>
          <w:szCs w:val="15"/>
          <w:color w:val="auto"/>
        </w:rPr>
      </w:pPr>
    </w:p>
    <w:p>
      <w:pPr>
        <w:jc w:val="both"/>
        <w:ind w:firstLine="324"/>
        <w:spacing w:after="0" w:line="255" w:lineRule="auto"/>
        <w:tabs>
          <w:tab w:leader="none" w:pos="568"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our internal control over financial reporting (as such term is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in Rules 13a-15(f) and 15d-15(f) under the Exchange Act) during the fiscal quarter to which this report relates that have materially affected, or are reasonably likely to materially affect, our internal control over financial reporting.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4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0"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In the normal course of business and as a result of the consumer-oriented nature of the industry in which we operate, we and other industry participants are frequently subject to various consumer claims, litigation and regulatory investigations seeking damages, fines and statutory penalties. The claims allege, among other theories of liability, violations of state, federal and foreign truth-in-lending, credit availability, credit reporting, consumer protection, warranty, debt collection, insurance and other consumer-oriented laws and regulations, including claims seeking damages for alleged physical and mental harm relating to the repossession and sale of consumers’ vehicles and other debt collection activities. As the assignee of Consumer Loans originated by Dealers, we may also be named as a co-defendant in lawsuits filed by consumers principally against Dealers. We may also have disputes and litigation with Dealers. The claims may allege, among other theories of liability, that we breached our Dealer servicing agreement. We may also have disputes and litigation with vendors and other third parties. The claims may allege, among other theories of liability, that we breached a license agreement or contract. The damages, fines and penalties that may be claimed by consumers, regulatory agencies, Dealers, vendors or other third parties in these types of matters can be substantial. The relief requested by plaintiffs varies but may include requests for compensatory, statutory and punitive damages and injunctive relief, and plaintiffs may seek treatment as purported class actions. An adverse ultimate disposition in any action to which we are a party or otherwise subject could have a material adverse impact on our financial position, liquidity and results of operations.</w:t>
      </w:r>
    </w:p>
    <w:p>
      <w:pPr>
        <w:spacing w:after="0" w:line="200" w:lineRule="exact"/>
        <w:rPr>
          <w:sz w:val="20"/>
          <w:szCs w:val="20"/>
          <w:color w:val="auto"/>
        </w:rPr>
      </w:pPr>
    </w:p>
    <w:p>
      <w:pPr>
        <w:spacing w:after="0" w:line="203"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For a description of significant litigation to which we are a party, see Note 15 to the consolidated financial statements contained in Part I - Item 1 of this Form 10-Q, which is incorporated herein by reference.</w:t>
      </w:r>
    </w:p>
    <w:p>
      <w:pPr>
        <w:spacing w:after="0" w:line="20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risk factor updates and supplements, and should be read in conjunction with, the risk factors disclosed in Item 1A of our Annual Report on Form 10-K for the year ended December 31, 2021.</w:t>
      </w:r>
    </w:p>
    <w:p>
      <w:pPr>
        <w:spacing w:after="0" w:line="20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8"/>
          <w:szCs w:val="18"/>
          <w:b w:val="1"/>
          <w:bCs w:val="1"/>
          <w:color w:val="auto"/>
        </w:rPr>
        <w:t>Consequences of the current conflict between Russia and Ukraine could have a material adverse effect on our business, financial condition, liquidity and results of operations.</w:t>
      </w:r>
    </w:p>
    <w:p>
      <w:pPr>
        <w:spacing w:after="0" w:line="20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Credit and financial markets have experienced volatility and disruptions due to the current conflict between Russia and Ukraine and the sanctions that the United States and other countries have imposed on Russia and various related parties in response to Russia’s actions in Ukraine. The conflict and the sanctions that have been or may be imposed may have further global economic and other consequences, including diminished liquidity and credit availability, reduced consumer confidence, disruptions to energy and food supplies, decreased economic growth, higher unemployment rates, increased inflation and political and social upheaval. Expansion of the military conflict beyond Ukraine or other retaliatory action, such as cyberattacks, by Russia and its allies in response to sanctions and other measures that the United States and its allies have taken or may take in support of Ukraine, could broaden and intensify the negative impact of the conflict on financial markets, economic conditions and geopolitical stability. The consequences of the conflict could reduce used-car sales and demand for our product, impair the performance of our Loan portfolio, limit our access to capital, intensify other risks described in our Annual Report on Form 10-K for the year ended December 31, 2021, including cybersecurity-related risks, and otherwise have a material adverse effect on our business, financial condition, liquidity and results of operations.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stock repurchases for the three months ended June 30, 2022: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16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3"/>
              </w:rPr>
              <w:t>Maximum Number of Shares</w:t>
            </w:r>
          </w:p>
        </w:tc>
        <w:tc>
          <w:tcPr>
            <w:tcW w:w="0" w:type="dxa"/>
            <w:vAlign w:val="bottom"/>
          </w:tcPr>
          <w:p>
            <w:pPr>
              <w:spacing w:after="0"/>
              <w:rPr>
                <w:sz w:val="1"/>
                <w:szCs w:val="1"/>
                <w:color w:val="auto"/>
              </w:rPr>
            </w:pPr>
          </w:p>
        </w:tc>
      </w:tr>
      <w:tr>
        <w:trPr>
          <w:trHeight w:val="133"/>
        </w:trPr>
        <w:tc>
          <w:tcPr>
            <w:tcW w:w="3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Number of Shares</w:t>
            </w:r>
          </w:p>
        </w:tc>
        <w:tc>
          <w:tcPr>
            <w:tcW w:w="1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 Price Paid per</w:t>
            </w:r>
          </w:p>
        </w:tc>
        <w:tc>
          <w:tcPr>
            <w:tcW w:w="21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that May Yet Be Purchased</w:t>
            </w:r>
          </w:p>
        </w:tc>
        <w:tc>
          <w:tcPr>
            <w:tcW w:w="0" w:type="dxa"/>
            <w:vAlign w:val="bottom"/>
          </w:tcPr>
          <w:p>
            <w:pPr>
              <w:spacing w:after="0"/>
              <w:rPr>
                <w:sz w:val="1"/>
                <w:szCs w:val="1"/>
                <w:color w:val="auto"/>
              </w:rPr>
            </w:pPr>
          </w:p>
        </w:tc>
      </w:tr>
      <w:tr>
        <w:trPr>
          <w:trHeight w:val="133"/>
        </w:trPr>
        <w:tc>
          <w:tcPr>
            <w:tcW w:w="358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Period</w:t>
            </w:r>
          </w:p>
        </w:tc>
        <w:tc>
          <w:tcPr>
            <w:tcW w:w="140" w:type="dxa"/>
            <w:vAlign w:val="bottom"/>
            <w:vMerge w:val="restart"/>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2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Purchased as Part of Publicly</w:t>
            </w:r>
          </w:p>
        </w:tc>
        <w:tc>
          <w:tcPr>
            <w:tcW w:w="160" w:type="dxa"/>
            <w:vAlign w:val="bottom"/>
          </w:tcPr>
          <w:p>
            <w:pPr>
              <w:spacing w:after="0"/>
              <w:rPr>
                <w:sz w:val="11"/>
                <w:szCs w:val="11"/>
                <w:color w:val="auto"/>
              </w:rPr>
            </w:pPr>
          </w:p>
        </w:tc>
        <w:tc>
          <w:tcPr>
            <w:tcW w:w="1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Under the Plans or Programs</w:t>
            </w:r>
          </w:p>
        </w:tc>
        <w:tc>
          <w:tcPr>
            <w:tcW w:w="0" w:type="dxa"/>
            <w:vAlign w:val="bottom"/>
          </w:tcPr>
          <w:p>
            <w:pPr>
              <w:spacing w:after="0"/>
              <w:rPr>
                <w:sz w:val="1"/>
                <w:szCs w:val="1"/>
                <w:color w:val="auto"/>
              </w:rPr>
            </w:pPr>
          </w:p>
        </w:tc>
      </w:tr>
      <w:tr>
        <w:trPr>
          <w:trHeight w:val="192"/>
        </w:trPr>
        <w:tc>
          <w:tcPr>
            <w:tcW w:w="35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Purchased</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Share</w:t>
            </w:r>
          </w:p>
        </w:tc>
        <w:tc>
          <w:tcPr>
            <w:tcW w:w="160" w:type="dxa"/>
            <w:vAlign w:val="bottom"/>
            <w:tcBorders>
              <w:bottom w:val="single" w:sz="8" w:color="CCEEFF"/>
            </w:tcBorders>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Announced Plans or Programs (1)</w:t>
            </w:r>
          </w:p>
        </w:tc>
        <w:tc>
          <w:tcPr>
            <w:tcW w:w="16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225"/>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1 to April 30, 2022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224,204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557.52</w:t>
            </w:r>
          </w:p>
        </w:tc>
        <w:tc>
          <w:tcPr>
            <w:tcW w:w="16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224,204</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599,356</w:t>
            </w:r>
          </w:p>
        </w:tc>
        <w:tc>
          <w:tcPr>
            <w:tcW w:w="0" w:type="dxa"/>
            <w:vAlign w:val="bottom"/>
          </w:tcPr>
          <w:p>
            <w:pPr>
              <w:spacing w:after="0"/>
              <w:rPr>
                <w:sz w:val="1"/>
                <w:szCs w:val="1"/>
                <w:color w:val="auto"/>
              </w:rPr>
            </w:pPr>
          </w:p>
        </w:tc>
      </w:tr>
      <w:tr>
        <w:trPr>
          <w:trHeight w:val="225"/>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May 1 to May 31, 2022</w:t>
            </w:r>
          </w:p>
        </w:tc>
        <w:tc>
          <w:tcPr>
            <w:tcW w:w="1560" w:type="dxa"/>
            <w:vAlign w:val="bottom"/>
          </w:tcPr>
          <w:p>
            <w:pPr>
              <w:jc w:val="right"/>
              <w:spacing w:after="0"/>
              <w:rPr>
                <w:sz w:val="20"/>
                <w:szCs w:val="20"/>
                <w:color w:val="auto"/>
              </w:rPr>
            </w:pPr>
            <w:r>
              <w:rPr>
                <w:rFonts w:ascii="Arial" w:cs="Arial" w:eastAsia="Arial" w:hAnsi="Arial"/>
                <w:sz w:val="18"/>
                <w:szCs w:val="18"/>
                <w:color w:val="auto"/>
              </w:rPr>
              <w:t>179,749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582.80</w:t>
            </w:r>
          </w:p>
        </w:tc>
        <w:tc>
          <w:tcPr>
            <w:tcW w:w="16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179,749</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419,607</w:t>
            </w:r>
          </w:p>
        </w:tc>
        <w:tc>
          <w:tcPr>
            <w:tcW w:w="0" w:type="dxa"/>
            <w:vAlign w:val="bottom"/>
          </w:tcPr>
          <w:p>
            <w:pPr>
              <w:spacing w:after="0"/>
              <w:rPr>
                <w:sz w:val="1"/>
                <w:szCs w:val="1"/>
                <w:color w:val="auto"/>
              </w:rPr>
            </w:pPr>
          </w:p>
        </w:tc>
      </w:tr>
      <w:tr>
        <w:trPr>
          <w:trHeight w:val="23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 to June 30, 2022</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419,607</w:t>
            </w:r>
          </w:p>
        </w:tc>
        <w:tc>
          <w:tcPr>
            <w:tcW w:w="0" w:type="dxa"/>
            <w:vAlign w:val="bottom"/>
          </w:tcPr>
          <w:p>
            <w:pPr>
              <w:spacing w:after="0"/>
              <w:rPr>
                <w:sz w:val="1"/>
                <w:szCs w:val="1"/>
                <w:color w:val="auto"/>
              </w:rPr>
            </w:pPr>
          </w:p>
        </w:tc>
      </w:tr>
      <w:tr>
        <w:trPr>
          <w:trHeight w:val="225"/>
        </w:trPr>
        <w:tc>
          <w:tcPr>
            <w:tcW w:w="35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403,953</w:t>
            </w:r>
          </w:p>
        </w:tc>
        <w:tc>
          <w:tcPr>
            <w:tcW w:w="140" w:type="dxa"/>
            <w:vAlign w:val="bottom"/>
            <w:tcBorders>
              <w:top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568.77</w:t>
            </w:r>
          </w:p>
        </w:tc>
        <w:tc>
          <w:tcPr>
            <w:tcW w:w="160" w:type="dxa"/>
            <w:vAlign w:val="bottom"/>
            <w:tcBorders>
              <w:top w:val="single" w:sz="8" w:color="CCEEFF"/>
            </w:tcBorders>
          </w:tcPr>
          <w:p>
            <w:pPr>
              <w:spacing w:after="0"/>
              <w:rPr>
                <w:sz w:val="19"/>
                <w:szCs w:val="19"/>
                <w:color w:val="auto"/>
              </w:rPr>
            </w:pP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403,953</w:t>
            </w:r>
          </w:p>
        </w:tc>
        <w:tc>
          <w:tcPr>
            <w:tcW w:w="160" w:type="dxa"/>
            <w:vAlign w:val="bottom"/>
            <w:tcBorders>
              <w:top w:val="single" w:sz="8" w:color="CCEEFF"/>
            </w:tcBorders>
          </w:tcPr>
          <w:p>
            <w:pPr>
              <w:spacing w:after="0"/>
              <w:rPr>
                <w:sz w:val="19"/>
                <w:szCs w:val="19"/>
                <w:color w:val="auto"/>
              </w:rPr>
            </w:pPr>
          </w:p>
        </w:tc>
        <w:tc>
          <w:tcPr>
            <w:tcW w:w="19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jc w:val="both"/>
        <w:ind w:left="480" w:hanging="315"/>
        <w:spacing w:after="0" w:line="164" w:lineRule="exact"/>
        <w:tabs>
          <w:tab w:leader="none" w:pos="468" w:val="left"/>
        </w:tabs>
        <w:numPr>
          <w:ilvl w:val="0"/>
          <w:numId w:val="65"/>
        </w:numPr>
        <w:rPr>
          <w:rFonts w:ascii="Arial" w:cs="Arial" w:eastAsia="Arial" w:hAnsi="Arial"/>
          <w:sz w:val="14"/>
          <w:szCs w:val="14"/>
          <w:color w:val="auto"/>
        </w:rPr>
      </w:pPr>
      <w:r>
        <w:rPr>
          <w:rFonts w:ascii="Arial" w:cs="Arial" w:eastAsia="Arial" w:hAnsi="Arial"/>
          <w:sz w:val="14"/>
          <w:szCs w:val="14"/>
          <w:color w:val="auto"/>
        </w:rPr>
        <w:t>On September 28, 2021, our board of directors authorized the repurchase by us from time to time of up to two million shares of our common stock (the "September 2021 Authorization"). The September 2021 Authorization, which was announced on October 1, 2021, does not have a specified expiration date. Repurchases under the September 2021 Authorization may be made in the open market, through privately negotiated transactions, through block trades, pursuant to trading plans adopted in accordance with Rule 10b5</w:t>
      </w:r>
      <w:r>
        <w:rPr>
          <w:rFonts w:ascii="MS PGothic" w:cs="MS PGothic" w:eastAsia="MS PGothic" w:hAnsi="MS PGothic"/>
          <w:sz w:val="14"/>
          <w:szCs w:val="14"/>
          <w:color w:val="auto"/>
        </w:rPr>
        <w:t>‑</w:t>
      </w:r>
      <w:r>
        <w:rPr>
          <w:rFonts w:ascii="Arial" w:cs="Arial" w:eastAsia="Arial" w:hAnsi="Arial"/>
          <w:sz w:val="14"/>
          <w:szCs w:val="14"/>
          <w:color w:val="auto"/>
        </w:rPr>
        <w:t>1 under the Securities Exchange Act of 1934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220" w:type="dxa"/>
            <w:vAlign w:val="bottom"/>
          </w:tcPr>
          <w:p>
            <w:pPr>
              <w:ind w:left="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00"/>
        </w:trPr>
        <w:tc>
          <w:tcPr>
            <w:tcW w:w="1020" w:type="dxa"/>
            <w:vAlign w:val="bottom"/>
            <w:gridSpan w:val="3"/>
          </w:tcPr>
          <w:p>
            <w:pPr>
              <w:jc w:val="center"/>
              <w:ind w:left="212"/>
              <w:spacing w:after="0" w:line="200" w:lineRule="exact"/>
              <w:rPr>
                <w:sz w:val="20"/>
                <w:szCs w:val="20"/>
                <w:color w:val="auto"/>
              </w:rPr>
            </w:pPr>
            <w:r>
              <w:rPr>
                <w:rFonts w:ascii="Arial" w:cs="Arial" w:eastAsia="Arial" w:hAnsi="Arial"/>
                <w:sz w:val="18"/>
                <w:szCs w:val="18"/>
                <w:b w:val="1"/>
                <w:bCs w:val="1"/>
                <w:color w:val="auto"/>
                <w:w w:val="93"/>
              </w:rPr>
              <w:t>Exhibit</w:t>
            </w:r>
          </w:p>
        </w:tc>
        <w:tc>
          <w:tcPr>
            <w:tcW w:w="1022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5"/>
        </w:trPr>
        <w:tc>
          <w:tcPr>
            <w:tcW w:w="500" w:type="dxa"/>
            <w:vAlign w:val="bottom"/>
          </w:tcPr>
          <w:p>
            <w:pPr>
              <w:spacing w:after="0"/>
              <w:rPr>
                <w:sz w:val="19"/>
                <w:szCs w:val="19"/>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No.</w:t>
            </w:r>
          </w:p>
        </w:tc>
        <w:tc>
          <w:tcPr>
            <w:tcW w:w="10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020" w:type="dxa"/>
            <w:vAlign w:val="bottom"/>
            <w:gridSpan w:val="3"/>
            <w:vMerge w:val="restart"/>
            <w:shd w:val="clear" w:color="auto" w:fill="CCEEFF"/>
          </w:tcPr>
          <w:p>
            <w:pPr>
              <w:jc w:val="center"/>
              <w:ind w:left="212"/>
              <w:spacing w:after="0"/>
              <w:rPr>
                <w:rFonts w:ascii="Arial" w:cs="Arial" w:eastAsia="Arial" w:hAnsi="Arial"/>
                <w:sz w:val="18"/>
                <w:szCs w:val="18"/>
                <w:color w:val="0000FF"/>
                <w:w w:val="91"/>
              </w:rPr>
            </w:pPr>
            <w:hyperlink r:id="rId109">
              <w:r>
                <w:rPr>
                  <w:rFonts w:ascii="Arial" w:cs="Arial" w:eastAsia="Arial" w:hAnsi="Arial"/>
                  <w:sz w:val="18"/>
                  <w:szCs w:val="18"/>
                  <w:color w:val="0000FF"/>
                  <w:w w:val="91"/>
                </w:rPr>
                <w:t>4.</w:t>
              </w:r>
              <w:r>
                <w:rPr>
                  <w:rFonts w:ascii="Arial" w:cs="Arial" w:eastAsia="Arial" w:hAnsi="Arial"/>
                  <w:sz w:val="18"/>
                  <w:szCs w:val="18"/>
                  <w:u w:val="single" w:color="auto"/>
                  <w:color w:val="0000FF"/>
                  <w:w w:val="91"/>
                </w:rPr>
                <w:t>94</w:t>
              </w:r>
            </w:hyperlink>
          </w:p>
        </w:tc>
        <w:tc>
          <w:tcPr>
            <w:tcW w:w="10220" w:type="dxa"/>
            <w:vAlign w:val="bottom"/>
            <w:shd w:val="clear" w:color="auto" w:fill="CCEEFF"/>
          </w:tcPr>
          <w:p>
            <w:pPr>
              <w:ind w:left="320"/>
              <w:spacing w:after="0" w:line="187" w:lineRule="exact"/>
              <w:rPr>
                <w:sz w:val="20"/>
                <w:szCs w:val="20"/>
                <w:color w:val="auto"/>
              </w:rPr>
            </w:pPr>
            <w:r>
              <w:rPr>
                <w:rFonts w:ascii="Arial" w:cs="Arial" w:eastAsia="Arial" w:hAnsi="Arial"/>
                <w:sz w:val="18"/>
                <w:szCs w:val="18"/>
                <w:color w:val="auto"/>
                <w:w w:val="94"/>
              </w:rPr>
              <w:t>Indenture dated as of June 16, 2022, between Credit Acceptance Auto Loan Trust 2022-1 and Computershare Trust Company, N.A.</w:t>
            </w:r>
          </w:p>
        </w:tc>
        <w:tc>
          <w:tcPr>
            <w:tcW w:w="0" w:type="dxa"/>
            <w:vAlign w:val="bottom"/>
          </w:tcPr>
          <w:p>
            <w:pPr>
              <w:spacing w:after="0"/>
              <w:rPr>
                <w:sz w:val="1"/>
                <w:szCs w:val="1"/>
                <w:color w:val="auto"/>
              </w:rPr>
            </w:pPr>
          </w:p>
        </w:tc>
      </w:tr>
      <w:tr>
        <w:trPr>
          <w:trHeight w:val="92"/>
        </w:trPr>
        <w:tc>
          <w:tcPr>
            <w:tcW w:w="1020" w:type="dxa"/>
            <w:vAlign w:val="bottom"/>
            <w:gridSpan w:val="3"/>
            <w:vMerge w:val="continue"/>
            <w:shd w:val="clear" w:color="auto" w:fill="CCEEFF"/>
          </w:tcPr>
          <w:p>
            <w:pPr>
              <w:spacing w:after="0"/>
              <w:rPr>
                <w:sz w:val="7"/>
                <w:szCs w:val="7"/>
                <w:color w:val="auto"/>
              </w:rPr>
            </w:pPr>
          </w:p>
        </w:tc>
        <w:tc>
          <w:tcPr>
            <w:tcW w:w="1022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w w:val="97"/>
              </w:rPr>
              <w:t>(incorporated by reference to Exhibit 4.94 to Credit Acceptance Corporation’s Current Report on Form 8-K filed June 23, 2022).</w:t>
            </w:r>
          </w:p>
        </w:tc>
        <w:tc>
          <w:tcPr>
            <w:tcW w:w="0" w:type="dxa"/>
            <w:vAlign w:val="bottom"/>
          </w:tcPr>
          <w:p>
            <w:pPr>
              <w:spacing w:after="0"/>
              <w:rPr>
                <w:sz w:val="1"/>
                <w:szCs w:val="1"/>
                <w:color w:val="auto"/>
              </w:rPr>
            </w:pPr>
          </w:p>
        </w:tc>
      </w:tr>
      <w:tr>
        <w:trPr>
          <w:trHeight w:val="126"/>
        </w:trPr>
        <w:tc>
          <w:tcPr>
            <w:tcW w:w="5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0000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0220" w:type="dxa"/>
            <w:vAlign w:val="bottom"/>
            <w:tcBorders>
              <w:top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20" w:type="dxa"/>
            <w:vAlign w:val="bottom"/>
          </w:tcPr>
          <w:p>
            <w:pPr>
              <w:ind w:left="320"/>
              <w:spacing w:after="0" w:line="187" w:lineRule="exact"/>
              <w:rPr>
                <w:sz w:val="20"/>
                <w:szCs w:val="20"/>
                <w:color w:val="auto"/>
              </w:rPr>
            </w:pPr>
            <w:r>
              <w:rPr>
                <w:rFonts w:ascii="Arial" w:cs="Arial" w:eastAsia="Arial" w:hAnsi="Arial"/>
                <w:sz w:val="18"/>
                <w:szCs w:val="18"/>
                <w:color w:val="auto"/>
                <w:w w:val="92"/>
              </w:rPr>
              <w:t>Sale and Servicing Agreement, dated as of June 16, 2022, among Credit Acceptance Corporation, Credit Acceptance Auto Loan Trust</w:t>
            </w:r>
          </w:p>
        </w:tc>
        <w:tc>
          <w:tcPr>
            <w:tcW w:w="0" w:type="dxa"/>
            <w:vAlign w:val="bottom"/>
          </w:tcPr>
          <w:p>
            <w:pPr>
              <w:spacing w:after="0"/>
              <w:rPr>
                <w:sz w:val="1"/>
                <w:szCs w:val="1"/>
                <w:color w:val="auto"/>
              </w:rPr>
            </w:pPr>
          </w:p>
        </w:tc>
      </w:tr>
      <w:tr>
        <w:trPr>
          <w:trHeight w:val="185"/>
        </w:trPr>
        <w:tc>
          <w:tcPr>
            <w:tcW w:w="1020" w:type="dxa"/>
            <w:vAlign w:val="bottom"/>
            <w:gridSpan w:val="3"/>
          </w:tcPr>
          <w:p>
            <w:pPr>
              <w:jc w:val="center"/>
              <w:ind w:left="212"/>
              <w:spacing w:after="0" w:line="185" w:lineRule="exact"/>
              <w:rPr>
                <w:rFonts w:ascii="Arial" w:cs="Arial" w:eastAsia="Arial" w:hAnsi="Arial"/>
                <w:sz w:val="18"/>
                <w:szCs w:val="18"/>
                <w:color w:val="0000FF"/>
                <w:w w:val="91"/>
              </w:rPr>
            </w:pPr>
            <w:hyperlink r:id="rId110">
              <w:r>
                <w:rPr>
                  <w:rFonts w:ascii="Arial" w:cs="Arial" w:eastAsia="Arial" w:hAnsi="Arial"/>
                  <w:sz w:val="18"/>
                  <w:szCs w:val="18"/>
                  <w:color w:val="0000FF"/>
                  <w:w w:val="91"/>
                </w:rPr>
                <w:t>4.</w:t>
              </w:r>
              <w:r>
                <w:rPr>
                  <w:rFonts w:ascii="Arial" w:cs="Arial" w:eastAsia="Arial" w:hAnsi="Arial"/>
                  <w:sz w:val="18"/>
                  <w:szCs w:val="18"/>
                  <w:u w:val="single" w:color="auto"/>
                  <w:color w:val="0000FF"/>
                  <w:w w:val="91"/>
                </w:rPr>
                <w:t>95</w:t>
              </w:r>
            </w:hyperlink>
          </w:p>
        </w:tc>
        <w:tc>
          <w:tcPr>
            <w:tcW w:w="10220" w:type="dxa"/>
            <w:vAlign w:val="bottom"/>
          </w:tcPr>
          <w:p>
            <w:pPr>
              <w:ind w:left="320"/>
              <w:spacing w:after="0" w:line="185" w:lineRule="exact"/>
              <w:rPr>
                <w:sz w:val="20"/>
                <w:szCs w:val="20"/>
                <w:color w:val="auto"/>
              </w:rPr>
            </w:pPr>
            <w:r>
              <w:rPr>
                <w:rFonts w:ascii="Arial" w:cs="Arial" w:eastAsia="Arial" w:hAnsi="Arial"/>
                <w:sz w:val="18"/>
                <w:szCs w:val="18"/>
                <w:color w:val="auto"/>
                <w:w w:val="91"/>
              </w:rPr>
              <w:t>2022-1, Credit Acceptance Funding LLC 2022-1 and Computershare Trust Company, N.A. (incorporated by reference to Exhibit 4.95 to</w:t>
            </w:r>
          </w:p>
        </w:tc>
        <w:tc>
          <w:tcPr>
            <w:tcW w:w="0" w:type="dxa"/>
            <w:vAlign w:val="bottom"/>
          </w:tcPr>
          <w:p>
            <w:pPr>
              <w:spacing w:after="0"/>
              <w:rPr>
                <w:sz w:val="1"/>
                <w:szCs w:val="1"/>
                <w:color w:val="auto"/>
              </w:rPr>
            </w:pPr>
          </w:p>
        </w:tc>
      </w:tr>
      <w:tr>
        <w:trPr>
          <w:trHeight w:val="211"/>
        </w:trPr>
        <w:tc>
          <w:tcPr>
            <w:tcW w:w="50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10220" w:type="dxa"/>
            <w:vAlign w:val="bottom"/>
          </w:tcPr>
          <w:p>
            <w:pPr>
              <w:ind w:left="320"/>
              <w:spacing w:after="0" w:line="204" w:lineRule="exact"/>
              <w:rPr>
                <w:sz w:val="20"/>
                <w:szCs w:val="20"/>
                <w:color w:val="auto"/>
              </w:rPr>
            </w:pPr>
            <w:r>
              <w:rPr>
                <w:rFonts w:ascii="Arial" w:cs="Arial" w:eastAsia="Arial" w:hAnsi="Arial"/>
                <w:sz w:val="18"/>
                <w:szCs w:val="18"/>
                <w:color w:val="auto"/>
              </w:rPr>
              <w:t>Credit Acceptance Corporation’s Current Report on Form 8-K filed June 23, 2022).</w:t>
            </w:r>
          </w:p>
        </w:tc>
        <w:tc>
          <w:tcPr>
            <w:tcW w:w="0" w:type="dxa"/>
            <w:vAlign w:val="bottom"/>
          </w:tcPr>
          <w:p>
            <w:pPr>
              <w:spacing w:after="0"/>
              <w:rPr>
                <w:sz w:val="1"/>
                <w:szCs w:val="1"/>
                <w:color w:val="auto"/>
              </w:rPr>
            </w:pPr>
          </w:p>
        </w:tc>
      </w:tr>
      <w:tr>
        <w:trPr>
          <w:trHeight w:val="180"/>
        </w:trPr>
        <w:tc>
          <w:tcPr>
            <w:tcW w:w="1020" w:type="dxa"/>
            <w:vAlign w:val="bottom"/>
            <w:gridSpan w:val="3"/>
            <w:vMerge w:val="restart"/>
            <w:shd w:val="clear" w:color="auto" w:fill="CCEEFF"/>
          </w:tcPr>
          <w:p>
            <w:pPr>
              <w:jc w:val="center"/>
              <w:ind w:left="212"/>
              <w:spacing w:after="0"/>
              <w:rPr>
                <w:rFonts w:ascii="Arial" w:cs="Arial" w:eastAsia="Arial" w:hAnsi="Arial"/>
                <w:sz w:val="18"/>
                <w:szCs w:val="18"/>
                <w:color w:val="0000FF"/>
                <w:w w:val="91"/>
              </w:rPr>
            </w:pPr>
            <w:hyperlink r:id="rId111">
              <w:r>
                <w:rPr>
                  <w:rFonts w:ascii="Arial" w:cs="Arial" w:eastAsia="Arial" w:hAnsi="Arial"/>
                  <w:sz w:val="18"/>
                  <w:szCs w:val="18"/>
                  <w:color w:val="0000FF"/>
                  <w:w w:val="91"/>
                </w:rPr>
                <w:t>4.</w:t>
              </w:r>
              <w:r>
                <w:rPr>
                  <w:rFonts w:ascii="Arial" w:cs="Arial" w:eastAsia="Arial" w:hAnsi="Arial"/>
                  <w:sz w:val="18"/>
                  <w:szCs w:val="18"/>
                  <w:u w:val="single" w:color="auto"/>
                  <w:color w:val="0000FF"/>
                  <w:w w:val="91"/>
                </w:rPr>
                <w:t>96</w:t>
              </w:r>
            </w:hyperlink>
          </w:p>
        </w:tc>
        <w:tc>
          <w:tcPr>
            <w:tcW w:w="10220" w:type="dxa"/>
            <w:vAlign w:val="bottom"/>
            <w:shd w:val="clear" w:color="auto" w:fill="CCEEFF"/>
          </w:tcPr>
          <w:p>
            <w:pPr>
              <w:ind w:left="320"/>
              <w:spacing w:after="0" w:line="181" w:lineRule="exact"/>
              <w:rPr>
                <w:sz w:val="20"/>
                <w:szCs w:val="20"/>
                <w:color w:val="auto"/>
              </w:rPr>
            </w:pPr>
            <w:r>
              <w:rPr>
                <w:rFonts w:ascii="Arial" w:cs="Arial" w:eastAsia="Arial" w:hAnsi="Arial"/>
                <w:sz w:val="18"/>
                <w:szCs w:val="18"/>
                <w:color w:val="auto"/>
                <w:w w:val="90"/>
              </w:rPr>
              <w:t>Backup Servicing Agreement, dated as of June 16, 2022, among Credit Acceptance Corporation, Credit Acceptance Funding LLC 2022-1,</w:t>
            </w:r>
          </w:p>
        </w:tc>
        <w:tc>
          <w:tcPr>
            <w:tcW w:w="0" w:type="dxa"/>
            <w:vAlign w:val="bottom"/>
          </w:tcPr>
          <w:p>
            <w:pPr>
              <w:spacing w:after="0"/>
              <w:rPr>
                <w:sz w:val="1"/>
                <w:szCs w:val="1"/>
                <w:color w:val="auto"/>
              </w:rPr>
            </w:pPr>
          </w:p>
        </w:tc>
      </w:tr>
      <w:tr>
        <w:trPr>
          <w:trHeight w:val="185"/>
        </w:trPr>
        <w:tc>
          <w:tcPr>
            <w:tcW w:w="1020" w:type="dxa"/>
            <w:vAlign w:val="bottom"/>
            <w:gridSpan w:val="3"/>
            <w:vMerge w:val="continue"/>
            <w:shd w:val="clear" w:color="auto" w:fill="CCEEFF"/>
          </w:tcPr>
          <w:p>
            <w:pPr>
              <w:spacing w:after="0"/>
              <w:rPr>
                <w:sz w:val="16"/>
                <w:szCs w:val="16"/>
                <w:color w:val="auto"/>
              </w:rPr>
            </w:pPr>
          </w:p>
        </w:tc>
        <w:tc>
          <w:tcPr>
            <w:tcW w:w="10220" w:type="dxa"/>
            <w:vAlign w:val="bottom"/>
            <w:shd w:val="clear" w:color="auto" w:fill="CCEEFF"/>
          </w:tcPr>
          <w:p>
            <w:pPr>
              <w:ind w:left="320"/>
              <w:spacing w:after="0" w:line="185" w:lineRule="exact"/>
              <w:rPr>
                <w:sz w:val="20"/>
                <w:szCs w:val="20"/>
                <w:color w:val="auto"/>
              </w:rPr>
            </w:pPr>
            <w:r>
              <w:rPr>
                <w:rFonts w:ascii="Arial" w:cs="Arial" w:eastAsia="Arial" w:hAnsi="Arial"/>
                <w:sz w:val="18"/>
                <w:szCs w:val="18"/>
                <w:color w:val="auto"/>
                <w:w w:val="90"/>
              </w:rPr>
              <w:t>Credit Acceptance Auto Loan Trust 2022-1 and Computershare Trust Company, N.A. (incorporated by reference to Exhibit 4.96 to Credit</w:t>
            </w:r>
          </w:p>
        </w:tc>
        <w:tc>
          <w:tcPr>
            <w:tcW w:w="0" w:type="dxa"/>
            <w:vAlign w:val="bottom"/>
          </w:tcPr>
          <w:p>
            <w:pPr>
              <w:spacing w:after="0"/>
              <w:rPr>
                <w:sz w:val="1"/>
                <w:szCs w:val="1"/>
                <w:color w:val="auto"/>
              </w:rPr>
            </w:pPr>
          </w:p>
        </w:tc>
      </w:tr>
      <w:tr>
        <w:trPr>
          <w:trHeight w:val="192"/>
        </w:trPr>
        <w:tc>
          <w:tcPr>
            <w:tcW w:w="5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220" w:type="dxa"/>
            <w:vAlign w:val="bottom"/>
            <w:tcBorders>
              <w:top w:val="single" w:sz="8" w:color="CCEEFF"/>
            </w:tcBorders>
            <w:shd w:val="clear" w:color="auto" w:fill="CCEEFF"/>
          </w:tcPr>
          <w:p>
            <w:pPr>
              <w:ind w:left="320"/>
              <w:spacing w:after="0" w:line="192" w:lineRule="exact"/>
              <w:rPr>
                <w:sz w:val="20"/>
                <w:szCs w:val="20"/>
                <w:color w:val="auto"/>
              </w:rPr>
            </w:pPr>
            <w:r>
              <w:rPr>
                <w:rFonts w:ascii="Arial" w:cs="Arial" w:eastAsia="Arial" w:hAnsi="Arial"/>
                <w:sz w:val="18"/>
                <w:szCs w:val="18"/>
                <w:color w:val="auto"/>
              </w:rPr>
              <w:t>Acceptance Corporation’s Current Report on Form 8-K filed June 23, 2022).</w:t>
            </w:r>
          </w:p>
        </w:tc>
        <w:tc>
          <w:tcPr>
            <w:tcW w:w="0" w:type="dxa"/>
            <w:vAlign w:val="bottom"/>
          </w:tcPr>
          <w:p>
            <w:pPr>
              <w:spacing w:after="0"/>
              <w:rPr>
                <w:sz w:val="1"/>
                <w:szCs w:val="1"/>
                <w:color w:val="auto"/>
              </w:rPr>
            </w:pPr>
          </w:p>
        </w:tc>
      </w:tr>
      <w:tr>
        <w:trPr>
          <w:trHeight w:val="186"/>
        </w:trPr>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20" w:type="dxa"/>
            <w:vAlign w:val="bottom"/>
          </w:tcPr>
          <w:p>
            <w:pPr>
              <w:ind w:left="320"/>
              <w:spacing w:after="0" w:line="187" w:lineRule="exact"/>
              <w:rPr>
                <w:sz w:val="20"/>
                <w:szCs w:val="20"/>
                <w:color w:val="auto"/>
              </w:rPr>
            </w:pPr>
            <w:r>
              <w:rPr>
                <w:rFonts w:ascii="Arial" w:cs="Arial" w:eastAsia="Arial" w:hAnsi="Arial"/>
                <w:sz w:val="18"/>
                <w:szCs w:val="18"/>
                <w:color w:val="auto"/>
                <w:w w:val="91"/>
              </w:rPr>
              <w:t>Amended and Restated Trust Agreement, dated as of June 16, 2022, among Credit Acceptance Funding LLC 2022-1, each of the initial</w:t>
            </w:r>
          </w:p>
        </w:tc>
        <w:tc>
          <w:tcPr>
            <w:tcW w:w="0" w:type="dxa"/>
            <w:vAlign w:val="bottom"/>
          </w:tcPr>
          <w:p>
            <w:pPr>
              <w:spacing w:after="0"/>
              <w:rPr>
                <w:sz w:val="1"/>
                <w:szCs w:val="1"/>
                <w:color w:val="auto"/>
              </w:rPr>
            </w:pPr>
          </w:p>
        </w:tc>
      </w:tr>
      <w:tr>
        <w:trPr>
          <w:trHeight w:val="185"/>
        </w:trPr>
        <w:tc>
          <w:tcPr>
            <w:tcW w:w="1020" w:type="dxa"/>
            <w:vAlign w:val="bottom"/>
            <w:gridSpan w:val="3"/>
          </w:tcPr>
          <w:p>
            <w:pPr>
              <w:jc w:val="center"/>
              <w:ind w:left="212"/>
              <w:spacing w:after="0" w:line="185" w:lineRule="exact"/>
              <w:rPr>
                <w:rFonts w:ascii="Arial" w:cs="Arial" w:eastAsia="Arial" w:hAnsi="Arial"/>
                <w:sz w:val="18"/>
                <w:szCs w:val="18"/>
                <w:color w:val="0000FF"/>
                <w:w w:val="91"/>
              </w:rPr>
            </w:pPr>
            <w:hyperlink r:id="rId112">
              <w:r>
                <w:rPr>
                  <w:rFonts w:ascii="Arial" w:cs="Arial" w:eastAsia="Arial" w:hAnsi="Arial"/>
                  <w:sz w:val="18"/>
                  <w:szCs w:val="18"/>
                  <w:color w:val="0000FF"/>
                  <w:w w:val="91"/>
                </w:rPr>
                <w:t>4.</w:t>
              </w:r>
              <w:r>
                <w:rPr>
                  <w:rFonts w:ascii="Arial" w:cs="Arial" w:eastAsia="Arial" w:hAnsi="Arial"/>
                  <w:sz w:val="18"/>
                  <w:szCs w:val="18"/>
                  <w:u w:val="single" w:color="auto"/>
                  <w:color w:val="0000FF"/>
                  <w:w w:val="91"/>
                </w:rPr>
                <w:t>97</w:t>
              </w:r>
            </w:hyperlink>
          </w:p>
        </w:tc>
        <w:tc>
          <w:tcPr>
            <w:tcW w:w="10220" w:type="dxa"/>
            <w:vAlign w:val="bottom"/>
          </w:tcPr>
          <w:p>
            <w:pPr>
              <w:ind w:left="320"/>
              <w:spacing w:after="0" w:line="185" w:lineRule="exact"/>
              <w:rPr>
                <w:sz w:val="20"/>
                <w:szCs w:val="20"/>
                <w:color w:val="auto"/>
              </w:rPr>
            </w:pPr>
            <w:r>
              <w:rPr>
                <w:rFonts w:ascii="Arial" w:cs="Arial" w:eastAsia="Arial" w:hAnsi="Arial"/>
                <w:sz w:val="18"/>
                <w:szCs w:val="18"/>
                <w:color w:val="auto"/>
                <w:w w:val="93"/>
              </w:rPr>
              <w:t>members of the Board of Trustees of the Trust and U.S. Bank Trust National Association (incorporated by reference to Exhibit 4.97 to</w:t>
            </w:r>
          </w:p>
        </w:tc>
        <w:tc>
          <w:tcPr>
            <w:tcW w:w="0" w:type="dxa"/>
            <w:vAlign w:val="bottom"/>
          </w:tcPr>
          <w:p>
            <w:pPr>
              <w:spacing w:after="0"/>
              <w:rPr>
                <w:sz w:val="1"/>
                <w:szCs w:val="1"/>
                <w:color w:val="auto"/>
              </w:rPr>
            </w:pPr>
          </w:p>
        </w:tc>
      </w:tr>
      <w:tr>
        <w:trPr>
          <w:trHeight w:val="211"/>
        </w:trPr>
        <w:tc>
          <w:tcPr>
            <w:tcW w:w="50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10220" w:type="dxa"/>
            <w:vAlign w:val="bottom"/>
          </w:tcPr>
          <w:p>
            <w:pPr>
              <w:ind w:left="320"/>
              <w:spacing w:after="0" w:line="204" w:lineRule="exact"/>
              <w:rPr>
                <w:sz w:val="20"/>
                <w:szCs w:val="20"/>
                <w:color w:val="auto"/>
              </w:rPr>
            </w:pPr>
            <w:r>
              <w:rPr>
                <w:rFonts w:ascii="Arial" w:cs="Arial" w:eastAsia="Arial" w:hAnsi="Arial"/>
                <w:sz w:val="18"/>
                <w:szCs w:val="18"/>
                <w:color w:val="auto"/>
              </w:rPr>
              <w:t>Credit Acceptance Corporation’s Current Report on Form 8-K filed June 23, 2022).</w:t>
            </w:r>
          </w:p>
        </w:tc>
        <w:tc>
          <w:tcPr>
            <w:tcW w:w="0" w:type="dxa"/>
            <w:vAlign w:val="bottom"/>
          </w:tcPr>
          <w:p>
            <w:pPr>
              <w:spacing w:after="0"/>
              <w:rPr>
                <w:sz w:val="1"/>
                <w:szCs w:val="1"/>
                <w:color w:val="auto"/>
              </w:rPr>
            </w:pPr>
          </w:p>
        </w:tc>
      </w:tr>
      <w:tr>
        <w:trPr>
          <w:trHeight w:val="194"/>
        </w:trPr>
        <w:tc>
          <w:tcPr>
            <w:tcW w:w="1020" w:type="dxa"/>
            <w:vAlign w:val="bottom"/>
            <w:gridSpan w:val="3"/>
            <w:vMerge w:val="restart"/>
            <w:shd w:val="clear" w:color="auto" w:fill="CCEEFF"/>
          </w:tcPr>
          <w:p>
            <w:pPr>
              <w:jc w:val="center"/>
              <w:ind w:left="212"/>
              <w:spacing w:after="0"/>
              <w:rPr>
                <w:rFonts w:ascii="Arial" w:cs="Arial" w:eastAsia="Arial" w:hAnsi="Arial"/>
                <w:sz w:val="18"/>
                <w:szCs w:val="18"/>
                <w:color w:val="0000FF"/>
                <w:w w:val="91"/>
              </w:rPr>
            </w:pPr>
            <w:hyperlink r:id="rId113">
              <w:r>
                <w:rPr>
                  <w:rFonts w:ascii="Arial" w:cs="Arial" w:eastAsia="Arial" w:hAnsi="Arial"/>
                  <w:sz w:val="18"/>
                  <w:szCs w:val="18"/>
                  <w:color w:val="0000FF"/>
                  <w:w w:val="91"/>
                </w:rPr>
                <w:t>4.</w:t>
              </w:r>
              <w:r>
                <w:rPr>
                  <w:rFonts w:ascii="Arial" w:cs="Arial" w:eastAsia="Arial" w:hAnsi="Arial"/>
                  <w:sz w:val="18"/>
                  <w:szCs w:val="18"/>
                  <w:u w:val="single" w:color="auto"/>
                  <w:color w:val="0000FF"/>
                  <w:w w:val="91"/>
                </w:rPr>
                <w:t>98</w:t>
              </w:r>
            </w:hyperlink>
          </w:p>
        </w:tc>
        <w:tc>
          <w:tcPr>
            <w:tcW w:w="10220" w:type="dxa"/>
            <w:vAlign w:val="bottom"/>
            <w:shd w:val="clear" w:color="auto" w:fill="CCEEFF"/>
          </w:tcPr>
          <w:p>
            <w:pPr>
              <w:ind w:left="320"/>
              <w:spacing w:after="0" w:line="194" w:lineRule="exact"/>
              <w:rPr>
                <w:sz w:val="20"/>
                <w:szCs w:val="20"/>
                <w:color w:val="auto"/>
              </w:rPr>
            </w:pPr>
            <w:r>
              <w:rPr>
                <w:rFonts w:ascii="Arial" w:cs="Arial" w:eastAsia="Arial" w:hAnsi="Arial"/>
                <w:sz w:val="18"/>
                <w:szCs w:val="18"/>
                <w:color w:val="auto"/>
                <w:w w:val="89"/>
              </w:rPr>
              <w:t>Sale and Contribution Agreement, dated as of June 16, 2022, between Credit Acceptance Corporation and Credit Acceptance Funding LLC</w:t>
            </w:r>
          </w:p>
        </w:tc>
        <w:tc>
          <w:tcPr>
            <w:tcW w:w="0" w:type="dxa"/>
            <w:vAlign w:val="bottom"/>
          </w:tcPr>
          <w:p>
            <w:pPr>
              <w:spacing w:after="0"/>
              <w:rPr>
                <w:sz w:val="1"/>
                <w:szCs w:val="1"/>
                <w:color w:val="auto"/>
              </w:rPr>
            </w:pPr>
          </w:p>
        </w:tc>
      </w:tr>
      <w:tr>
        <w:trPr>
          <w:trHeight w:val="92"/>
        </w:trPr>
        <w:tc>
          <w:tcPr>
            <w:tcW w:w="1020" w:type="dxa"/>
            <w:vAlign w:val="bottom"/>
            <w:gridSpan w:val="3"/>
            <w:vMerge w:val="continue"/>
            <w:shd w:val="clear" w:color="auto" w:fill="CCEEFF"/>
          </w:tcPr>
          <w:p>
            <w:pPr>
              <w:spacing w:after="0"/>
              <w:rPr>
                <w:sz w:val="7"/>
                <w:szCs w:val="7"/>
                <w:color w:val="auto"/>
              </w:rPr>
            </w:pPr>
          </w:p>
        </w:tc>
        <w:tc>
          <w:tcPr>
            <w:tcW w:w="1022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w w:val="92"/>
              </w:rPr>
              <w:t>2022-1 (incorporated by reference to Exhibit 4.98 to Credit Acceptance Corporation’s Current Report on Form 8-K filed June 23, 2022).</w:t>
            </w:r>
          </w:p>
        </w:tc>
        <w:tc>
          <w:tcPr>
            <w:tcW w:w="0" w:type="dxa"/>
            <w:vAlign w:val="bottom"/>
          </w:tcPr>
          <w:p>
            <w:pPr>
              <w:spacing w:after="0"/>
              <w:rPr>
                <w:sz w:val="1"/>
                <w:szCs w:val="1"/>
                <w:color w:val="auto"/>
              </w:rPr>
            </w:pPr>
          </w:p>
        </w:tc>
      </w:tr>
      <w:tr>
        <w:trPr>
          <w:trHeight w:val="126"/>
        </w:trPr>
        <w:tc>
          <w:tcPr>
            <w:tcW w:w="5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0000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0220" w:type="dxa"/>
            <w:vAlign w:val="bottom"/>
            <w:tcBorders>
              <w:top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20" w:type="dxa"/>
            <w:vAlign w:val="bottom"/>
          </w:tcPr>
          <w:p>
            <w:pPr>
              <w:ind w:left="320"/>
              <w:spacing w:after="0" w:line="187" w:lineRule="exact"/>
              <w:rPr>
                <w:sz w:val="20"/>
                <w:szCs w:val="20"/>
                <w:color w:val="auto"/>
              </w:rPr>
            </w:pPr>
            <w:r>
              <w:rPr>
                <w:rFonts w:ascii="Arial" w:cs="Arial" w:eastAsia="Arial" w:hAnsi="Arial"/>
                <w:sz w:val="18"/>
                <w:szCs w:val="18"/>
                <w:color w:val="auto"/>
                <w:w w:val="90"/>
              </w:rPr>
              <w:t>Amended and Restated Intercreditor Agreement, dated June 16, 2022, among Credit Acceptance Corporation, CAC Warehouse Funding</w:t>
            </w:r>
          </w:p>
        </w:tc>
        <w:tc>
          <w:tcPr>
            <w:tcW w:w="0" w:type="dxa"/>
            <w:vAlign w:val="bottom"/>
          </w:tcPr>
          <w:p>
            <w:pPr>
              <w:spacing w:after="0"/>
              <w:rPr>
                <w:sz w:val="1"/>
                <w:szCs w:val="1"/>
                <w:color w:val="auto"/>
              </w:rPr>
            </w:pPr>
          </w:p>
        </w:tc>
      </w:tr>
      <w:tr>
        <w:trPr>
          <w:trHeight w:val="185"/>
        </w:trPr>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20" w:type="dxa"/>
            <w:vAlign w:val="bottom"/>
          </w:tcPr>
          <w:p>
            <w:pPr>
              <w:ind w:left="320"/>
              <w:spacing w:after="0" w:line="186" w:lineRule="exact"/>
              <w:rPr>
                <w:sz w:val="20"/>
                <w:szCs w:val="20"/>
                <w:color w:val="auto"/>
              </w:rPr>
            </w:pPr>
            <w:r>
              <w:rPr>
                <w:rFonts w:ascii="Arial" w:cs="Arial" w:eastAsia="Arial" w:hAnsi="Arial"/>
                <w:sz w:val="18"/>
                <w:szCs w:val="18"/>
                <w:color w:val="auto"/>
                <w:w w:val="91"/>
              </w:rPr>
              <w:t>LLC II, CAC Warehouse Funding LLC IV, CAC Warehouse Funding LLC V, CAC Warehouse Funding LLC VI, CAC Warehouse Funding</w:t>
            </w:r>
          </w:p>
        </w:tc>
        <w:tc>
          <w:tcPr>
            <w:tcW w:w="0" w:type="dxa"/>
            <w:vAlign w:val="bottom"/>
          </w:tcPr>
          <w:p>
            <w:pPr>
              <w:spacing w:after="0"/>
              <w:rPr>
                <w:sz w:val="1"/>
                <w:szCs w:val="1"/>
                <w:color w:val="auto"/>
              </w:rPr>
            </w:pPr>
          </w:p>
        </w:tc>
      </w:tr>
      <w:tr>
        <w:trPr>
          <w:trHeight w:val="186"/>
        </w:trPr>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20" w:type="dxa"/>
            <w:vAlign w:val="bottom"/>
          </w:tcPr>
          <w:p>
            <w:pPr>
              <w:ind w:left="320"/>
              <w:spacing w:after="0" w:line="186" w:lineRule="exact"/>
              <w:rPr>
                <w:sz w:val="20"/>
                <w:szCs w:val="20"/>
                <w:color w:val="auto"/>
              </w:rPr>
            </w:pPr>
            <w:r>
              <w:rPr>
                <w:rFonts w:ascii="Arial" w:cs="Arial" w:eastAsia="Arial" w:hAnsi="Arial"/>
                <w:sz w:val="18"/>
                <w:szCs w:val="18"/>
                <w:color w:val="auto"/>
                <w:w w:val="94"/>
              </w:rPr>
              <w:t>LLC VIII, Credit Acceptance Funding LLC 2022-1, Credit Acceptance Funding LLC 2021-4, Credit Acceptance Funding LLC 2021-3,</w:t>
            </w:r>
          </w:p>
        </w:tc>
        <w:tc>
          <w:tcPr>
            <w:tcW w:w="0" w:type="dxa"/>
            <w:vAlign w:val="bottom"/>
          </w:tcPr>
          <w:p>
            <w:pPr>
              <w:spacing w:after="0"/>
              <w:rPr>
                <w:sz w:val="1"/>
                <w:szCs w:val="1"/>
                <w:color w:val="auto"/>
              </w:rPr>
            </w:pPr>
          </w:p>
        </w:tc>
      </w:tr>
      <w:tr>
        <w:trPr>
          <w:trHeight w:val="185"/>
        </w:trPr>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20" w:type="dxa"/>
            <w:vAlign w:val="bottom"/>
          </w:tcPr>
          <w:p>
            <w:pPr>
              <w:ind w:left="320"/>
              <w:spacing w:after="0" w:line="186" w:lineRule="exact"/>
              <w:rPr>
                <w:sz w:val="20"/>
                <w:szCs w:val="20"/>
                <w:color w:val="auto"/>
              </w:rPr>
            </w:pPr>
            <w:r>
              <w:rPr>
                <w:rFonts w:ascii="Arial" w:cs="Arial" w:eastAsia="Arial" w:hAnsi="Arial"/>
                <w:sz w:val="18"/>
                <w:szCs w:val="18"/>
                <w:color w:val="auto"/>
                <w:w w:val="96"/>
              </w:rPr>
              <w:t>Credit Acceptance Funding LLC 2021-2, Credit Acceptance Funding LLC 2021-1, Credit Acceptance Funding LLC 2020-3, Credit</w:t>
            </w:r>
          </w:p>
        </w:tc>
        <w:tc>
          <w:tcPr>
            <w:tcW w:w="0" w:type="dxa"/>
            <w:vAlign w:val="bottom"/>
          </w:tcPr>
          <w:p>
            <w:pPr>
              <w:spacing w:after="0"/>
              <w:rPr>
                <w:sz w:val="1"/>
                <w:szCs w:val="1"/>
                <w:color w:val="auto"/>
              </w:rPr>
            </w:pPr>
          </w:p>
        </w:tc>
      </w:tr>
      <w:tr>
        <w:trPr>
          <w:trHeight w:val="186"/>
        </w:trPr>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20" w:type="dxa"/>
            <w:vAlign w:val="bottom"/>
          </w:tcPr>
          <w:p>
            <w:pPr>
              <w:ind w:left="320"/>
              <w:spacing w:after="0" w:line="186" w:lineRule="exact"/>
              <w:rPr>
                <w:sz w:val="20"/>
                <w:szCs w:val="20"/>
                <w:color w:val="auto"/>
              </w:rPr>
            </w:pPr>
            <w:r>
              <w:rPr>
                <w:rFonts w:ascii="Arial" w:cs="Arial" w:eastAsia="Arial" w:hAnsi="Arial"/>
                <w:sz w:val="18"/>
                <w:szCs w:val="18"/>
                <w:color w:val="auto"/>
                <w:w w:val="92"/>
              </w:rPr>
              <w:t>Acceptance Funding LLC 2020-2, Credit Acceptance Funding LLC 2020-1, Credit Acceptance Funding LLC 2019-3, Credit Acceptance</w:t>
            </w:r>
          </w:p>
        </w:tc>
        <w:tc>
          <w:tcPr>
            <w:tcW w:w="0" w:type="dxa"/>
            <w:vAlign w:val="bottom"/>
          </w:tcPr>
          <w:p>
            <w:pPr>
              <w:spacing w:after="0"/>
              <w:rPr>
                <w:sz w:val="1"/>
                <w:szCs w:val="1"/>
                <w:color w:val="auto"/>
              </w:rPr>
            </w:pPr>
          </w:p>
        </w:tc>
      </w:tr>
      <w:tr>
        <w:trPr>
          <w:trHeight w:val="185"/>
        </w:trPr>
        <w:tc>
          <w:tcPr>
            <w:tcW w:w="1020" w:type="dxa"/>
            <w:vAlign w:val="bottom"/>
            <w:gridSpan w:val="3"/>
          </w:tcPr>
          <w:p>
            <w:pPr>
              <w:jc w:val="center"/>
              <w:ind w:left="212"/>
              <w:spacing w:after="0" w:line="185"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4.</w:t>
              </w:r>
              <w:r>
                <w:rPr>
                  <w:rFonts w:ascii="Arial" w:cs="Arial" w:eastAsia="Arial" w:hAnsi="Arial"/>
                  <w:sz w:val="18"/>
                  <w:szCs w:val="18"/>
                  <w:u w:val="single" w:color="auto"/>
                  <w:color w:val="0000FF"/>
                  <w:w w:val="91"/>
                </w:rPr>
                <w:t>99</w:t>
              </w:r>
            </w:hyperlink>
          </w:p>
        </w:tc>
        <w:tc>
          <w:tcPr>
            <w:tcW w:w="10220" w:type="dxa"/>
            <w:vAlign w:val="bottom"/>
          </w:tcPr>
          <w:p>
            <w:pPr>
              <w:ind w:left="320"/>
              <w:spacing w:after="0" w:line="185" w:lineRule="exact"/>
              <w:rPr>
                <w:sz w:val="20"/>
                <w:szCs w:val="20"/>
                <w:color w:val="auto"/>
              </w:rPr>
            </w:pPr>
            <w:r>
              <w:rPr>
                <w:rFonts w:ascii="Arial" w:cs="Arial" w:eastAsia="Arial" w:hAnsi="Arial"/>
                <w:sz w:val="18"/>
                <w:szCs w:val="18"/>
                <w:color w:val="auto"/>
                <w:w w:val="92"/>
              </w:rPr>
              <w:t>Funding LLC 2019-2, Credit Acceptance Auto Loan Trust 2022-1, Credit Acceptance Auto Loan Trust 2021-4, Credit Acceptance Auto</w:t>
            </w:r>
          </w:p>
        </w:tc>
        <w:tc>
          <w:tcPr>
            <w:tcW w:w="0" w:type="dxa"/>
            <w:vAlign w:val="bottom"/>
          </w:tcPr>
          <w:p>
            <w:pPr>
              <w:spacing w:after="0"/>
              <w:rPr>
                <w:sz w:val="1"/>
                <w:szCs w:val="1"/>
                <w:color w:val="auto"/>
              </w:rPr>
            </w:pPr>
          </w:p>
        </w:tc>
      </w:tr>
      <w:tr>
        <w:trPr>
          <w:trHeight w:val="166"/>
        </w:trPr>
        <w:tc>
          <w:tcPr>
            <w:tcW w:w="50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0" w:type="dxa"/>
            <w:vAlign w:val="bottom"/>
          </w:tcPr>
          <w:p>
            <w:pPr>
              <w:spacing w:after="0"/>
              <w:rPr>
                <w:sz w:val="14"/>
                <w:szCs w:val="14"/>
                <w:color w:val="auto"/>
              </w:rPr>
            </w:pPr>
          </w:p>
        </w:tc>
        <w:tc>
          <w:tcPr>
            <w:tcW w:w="10220" w:type="dxa"/>
            <w:vAlign w:val="bottom"/>
          </w:tcPr>
          <w:p>
            <w:pPr>
              <w:ind w:left="320"/>
              <w:spacing w:after="0" w:line="166" w:lineRule="exact"/>
              <w:rPr>
                <w:sz w:val="20"/>
                <w:szCs w:val="20"/>
                <w:color w:val="auto"/>
              </w:rPr>
            </w:pPr>
            <w:r>
              <w:rPr>
                <w:rFonts w:ascii="Arial" w:cs="Arial" w:eastAsia="Arial" w:hAnsi="Arial"/>
                <w:sz w:val="18"/>
                <w:szCs w:val="18"/>
                <w:color w:val="auto"/>
                <w:w w:val="90"/>
              </w:rPr>
              <w:t>Loan Trust 2021-3, Credit Acceptance Auto Loan Trust 2021-2, Credit Acceptance Auto Loan Trust 2020-3, Credit Acceptance Auto Loan</w:t>
            </w:r>
          </w:p>
        </w:tc>
        <w:tc>
          <w:tcPr>
            <w:tcW w:w="0" w:type="dxa"/>
            <w:vAlign w:val="bottom"/>
          </w:tcPr>
          <w:p>
            <w:pPr>
              <w:spacing w:after="0"/>
              <w:rPr>
                <w:sz w:val="1"/>
                <w:szCs w:val="1"/>
                <w:color w:val="auto"/>
              </w:rPr>
            </w:pPr>
          </w:p>
        </w:tc>
      </w:tr>
      <w:tr>
        <w:trPr>
          <w:trHeight w:val="200"/>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20" w:type="dxa"/>
            <w:vAlign w:val="bottom"/>
          </w:tcPr>
          <w:p>
            <w:pPr>
              <w:ind w:left="320"/>
              <w:spacing w:after="0" w:line="200" w:lineRule="exact"/>
              <w:rPr>
                <w:sz w:val="20"/>
                <w:szCs w:val="20"/>
                <w:color w:val="auto"/>
              </w:rPr>
            </w:pPr>
            <w:r>
              <w:rPr>
                <w:rFonts w:ascii="Arial" w:cs="Arial" w:eastAsia="Arial" w:hAnsi="Arial"/>
                <w:sz w:val="18"/>
                <w:szCs w:val="18"/>
                <w:color w:val="auto"/>
                <w:w w:val="92"/>
              </w:rPr>
              <w:t>Trust 2020-2, Credit Acceptance Auto Loan Trust 2020-1, Credit Acceptance Auto Loan Trust 2019-3, Computershare Trust Company,</w:t>
            </w:r>
          </w:p>
        </w:tc>
        <w:tc>
          <w:tcPr>
            <w:tcW w:w="0" w:type="dxa"/>
            <w:vAlign w:val="bottom"/>
          </w:tcPr>
          <w:p>
            <w:pPr>
              <w:spacing w:after="0"/>
              <w:rPr>
                <w:sz w:val="1"/>
                <w:szCs w:val="1"/>
                <w:color w:val="auto"/>
              </w:rPr>
            </w:pPr>
          </w:p>
        </w:tc>
      </w:tr>
    </w:tbl>
    <w:p>
      <w:pPr>
        <w:ind w:left="1340" w:right="140"/>
        <w:spacing w:after="0" w:line="224" w:lineRule="auto"/>
        <w:rPr>
          <w:sz w:val="20"/>
          <w:szCs w:val="20"/>
          <w:color w:val="auto"/>
        </w:rPr>
      </w:pPr>
      <w:r>
        <w:rPr>
          <w:rFonts w:ascii="Arial" w:cs="Arial" w:eastAsia="Arial" w:hAnsi="Arial"/>
          <w:sz w:val="18"/>
          <w:szCs w:val="18"/>
          <w:color w:val="auto"/>
        </w:rPr>
        <w:t>N.A., Wells Fargo Bank, National Association, Fifth Third Bank, National Association, Bank of Montreal, Flagstar Bank, FSB, Citizens Bank, N.A. and Comerica Bank (incorporated by reference to Exhibit 4.99 to Credit Acceptance Corporation’s Current Report on Form 8-K filed June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860" cy="5048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134860" cy="50482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294" w:lineRule="exact"/>
        <w:rPr>
          <w:sz w:val="20"/>
          <w:szCs w:val="20"/>
          <w:color w:val="auto"/>
        </w:rPr>
      </w:pPr>
    </w:p>
    <w:p>
      <w:pPr>
        <w:jc w:val="center"/>
        <w:ind w:left="460"/>
        <w:spacing w:after="0"/>
        <w:rPr>
          <w:rFonts w:ascii="Arial" w:cs="Arial" w:eastAsia="Arial" w:hAnsi="Arial"/>
          <w:sz w:val="15"/>
          <w:szCs w:val="15"/>
          <w:u w:val="single" w:color="auto"/>
          <w:color w:val="0000FF"/>
        </w:rPr>
      </w:pPr>
      <w:hyperlink r:id="rId116">
        <w:r>
          <w:rPr>
            <w:rFonts w:ascii="Arial" w:cs="Arial" w:eastAsia="Arial" w:hAnsi="Arial"/>
            <w:sz w:val="15"/>
            <w:szCs w:val="15"/>
            <w:u w:val="single" w:color="auto"/>
            <w:color w:val="0000FF"/>
          </w:rPr>
          <w:t>4.100</w:t>
        </w:r>
      </w:hyperlink>
    </w:p>
    <w:p>
      <w:pPr>
        <w:spacing w:after="0" w:line="200" w:lineRule="exact"/>
        <w:rPr>
          <w:sz w:val="20"/>
          <w:szCs w:val="20"/>
          <w:color w:val="auto"/>
        </w:rPr>
      </w:pPr>
    </w:p>
    <w:p>
      <w:pPr>
        <w:spacing w:after="0" w:line="317" w:lineRule="exact"/>
        <w:rPr>
          <w:sz w:val="20"/>
          <w:szCs w:val="20"/>
          <w:color w:val="auto"/>
        </w:rPr>
      </w:pPr>
    </w:p>
    <w:p>
      <w:pPr>
        <w:jc w:val="center"/>
        <w:ind w:left="460"/>
        <w:spacing w:after="0"/>
        <w:rPr>
          <w:rFonts w:ascii="Arial" w:cs="Arial" w:eastAsia="Arial" w:hAnsi="Arial"/>
          <w:sz w:val="15"/>
          <w:szCs w:val="15"/>
          <w:u w:val="single" w:color="auto"/>
          <w:color w:val="0000FF"/>
        </w:rPr>
      </w:pPr>
      <w:hyperlink r:id="rId117">
        <w:r>
          <w:rPr>
            <w:rFonts w:ascii="Arial" w:cs="Arial" w:eastAsia="Arial" w:hAnsi="Arial"/>
            <w:sz w:val="15"/>
            <w:szCs w:val="15"/>
            <w:u w:val="single" w:color="auto"/>
            <w:color w:val="0000FF"/>
          </w:rPr>
          <w:t>4.101</w:t>
        </w:r>
      </w:hyperlink>
    </w:p>
    <w:p>
      <w:pPr>
        <w:spacing w:after="0" w:line="20" w:lineRule="exact"/>
        <w:rPr>
          <w:sz w:val="20"/>
          <w:szCs w:val="20"/>
          <w:color w:val="auto"/>
        </w:rPr>
      </w:pPr>
      <w:r>
        <w:rPr>
          <w:sz w:val="20"/>
          <w:szCs w:val="20"/>
          <w:color w:val="auto"/>
        </w:rPr>
        <w:br w:type="column"/>
      </w:r>
    </w:p>
    <w:p>
      <w:pPr>
        <w:ind w:right="340"/>
        <w:spacing w:after="0" w:line="226" w:lineRule="auto"/>
        <w:rPr>
          <w:sz w:val="20"/>
          <w:szCs w:val="20"/>
          <w:color w:val="auto"/>
        </w:rPr>
      </w:pPr>
      <w:r>
        <w:rPr>
          <w:rFonts w:ascii="Arial" w:cs="Arial" w:eastAsia="Arial" w:hAnsi="Arial"/>
          <w:sz w:val="18"/>
          <w:szCs w:val="18"/>
          <w:color w:val="auto"/>
        </w:rPr>
        <w:t>Third Amendment to Amended and Restated Loan and Security Agreement, dated as of June 16, 2022, among Credit Acceptance Corporation, CAC Warehouse Funding LLC IV, Bank of Montreal, BMO Capital Markets Corp. and Wells Fargo Bank, National Association (incorporated by reference to Exhibit 4.100 to Credit Acceptance Corporation’s Current Report on Form 8-K filed June 23, 2022).</w:t>
      </w:r>
    </w:p>
    <w:p>
      <w:pPr>
        <w:spacing w:after="0" w:line="15"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color w:val="auto"/>
        </w:rPr>
        <w:t>Ninth Amendment to Sixth Amended and Restated Credit Agreement and Extension Agreement dated as of June 22, 2022 among Credit Acceptance Corporation, Comerica Bank and the other banks signatory thereto and Comerica Bank, as administrative agent for the banks (incorporated by reference to Exhibit 4.101 to Credit Acceptance Corporation’s Current Report on Form 8-K filed June 23, 2022).</w:t>
      </w:r>
    </w:p>
    <w:p>
      <w:pPr>
        <w:spacing w:after="0" w:line="1" w:lineRule="exact"/>
        <w:rPr>
          <w:sz w:val="20"/>
          <w:szCs w:val="20"/>
          <w:color w:val="auto"/>
        </w:rPr>
      </w:pPr>
    </w:p>
    <w:p>
      <w:pPr>
        <w:sectPr>
          <w:pgSz w:w="11900" w:h="16838" w:orient="portrait"/>
          <w:cols w:equalWidth="0" w:num="2">
            <w:col w:w="860" w:space="480"/>
            <w:col w:w="990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5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0000FF"/>
            </w:tcBorders>
            <w:shd w:val="clear" w:color="auto" w:fill="CCEEFF"/>
          </w:tcPr>
          <w:p>
            <w:pPr>
              <w:jc w:val="center"/>
              <w:spacing w:after="0" w:line="168" w:lineRule="exact"/>
              <w:rPr>
                <w:rFonts w:ascii="Arial" w:cs="Arial" w:eastAsia="Arial" w:hAnsi="Arial"/>
                <w:sz w:val="18"/>
                <w:szCs w:val="18"/>
                <w:color w:val="0000FF"/>
                <w:w w:val="91"/>
              </w:rPr>
            </w:pPr>
            <w:hyperlink w:anchor="page67">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360" w:type="dxa"/>
            <w:vAlign w:val="bottom"/>
            <w:tcBorders>
              <w:bottom w:val="single" w:sz="8" w:color="CCEEFF"/>
            </w:tcBorders>
            <w:shd w:val="clear" w:color="auto" w:fill="CCEEFF"/>
          </w:tcPr>
          <w:p>
            <w:pPr>
              <w:spacing w:after="0"/>
              <w:rPr>
                <w:sz w:val="16"/>
                <w:szCs w:val="16"/>
                <w:color w:val="auto"/>
              </w:rPr>
            </w:pPr>
          </w:p>
        </w:tc>
        <w:tc>
          <w:tcPr>
            <w:tcW w:w="10060" w:type="dxa"/>
            <w:vAlign w:val="bottom"/>
            <w:tcBorders>
              <w:bottom w:val="single" w:sz="8" w:color="CCEEFF"/>
            </w:tcBorders>
            <w:shd w:val="clear" w:color="auto" w:fill="CCEEFF"/>
          </w:tcPr>
          <w:p>
            <w:pPr>
              <w:ind w:left="160"/>
              <w:spacing w:after="0" w:line="168" w:lineRule="exact"/>
              <w:rPr>
                <w:sz w:val="20"/>
                <w:szCs w:val="20"/>
                <w:color w:val="auto"/>
              </w:rPr>
            </w:pPr>
            <w:r>
              <w:rPr>
                <w:rFonts w:ascii="Arial" w:cs="Arial" w:eastAsia="Arial" w:hAnsi="Arial"/>
                <w:sz w:val="18"/>
                <w:szCs w:val="18"/>
                <w:color w:val="auto"/>
                <w:w w:val="95"/>
              </w:rPr>
              <w:t>Certification of principal executive officer and principal financial officer pursuant to Section 302 of the Sarbanes-Oxley Act of 2002.</w:t>
            </w:r>
          </w:p>
        </w:tc>
        <w:tc>
          <w:tcPr>
            <w:tcW w:w="0" w:type="dxa"/>
            <w:vAlign w:val="bottom"/>
          </w:tcPr>
          <w:p>
            <w:pPr>
              <w:spacing w:after="0"/>
              <w:rPr>
                <w:sz w:val="1"/>
                <w:szCs w:val="1"/>
                <w:color w:val="auto"/>
              </w:rPr>
            </w:pPr>
          </w:p>
        </w:tc>
      </w:tr>
      <w:tr>
        <w:trPr>
          <w:trHeight w:val="173"/>
        </w:trPr>
        <w:tc>
          <w:tcPr>
            <w:tcW w:w="1180" w:type="dxa"/>
            <w:vAlign w:val="bottom"/>
            <w:gridSpan w:val="3"/>
            <w:vMerge w:val="restart"/>
          </w:tcPr>
          <w:p>
            <w:pPr>
              <w:jc w:val="center"/>
              <w:ind w:left="52"/>
              <w:spacing w:after="0"/>
              <w:rPr>
                <w:rFonts w:ascii="Arial" w:cs="Arial" w:eastAsia="Arial" w:hAnsi="Arial"/>
                <w:sz w:val="18"/>
                <w:szCs w:val="18"/>
                <w:color w:val="0000FF"/>
                <w:w w:val="91"/>
              </w:rPr>
            </w:pPr>
            <w:hyperlink w:anchor="page68">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10060" w:type="dxa"/>
            <w:vAlign w:val="bottom"/>
          </w:tcPr>
          <w:p>
            <w:pPr>
              <w:ind w:left="160"/>
              <w:spacing w:after="0" w:line="173" w:lineRule="exact"/>
              <w:rPr>
                <w:sz w:val="20"/>
                <w:szCs w:val="20"/>
                <w:color w:val="auto"/>
              </w:rPr>
            </w:pPr>
            <w:r>
              <w:rPr>
                <w:rFonts w:ascii="Arial" w:cs="Arial" w:eastAsia="Arial" w:hAnsi="Arial"/>
                <w:sz w:val="18"/>
                <w:szCs w:val="18"/>
                <w:color w:val="auto"/>
                <w:w w:val="95"/>
              </w:rPr>
              <w:t>Certification of principal executive officer and principal financial officer pursuant to 18 U.S.C. Section 1350, as adopted pursuant to</w:t>
            </w:r>
          </w:p>
        </w:tc>
        <w:tc>
          <w:tcPr>
            <w:tcW w:w="0" w:type="dxa"/>
            <w:vAlign w:val="bottom"/>
          </w:tcPr>
          <w:p>
            <w:pPr>
              <w:spacing w:after="0"/>
              <w:rPr>
                <w:sz w:val="1"/>
                <w:szCs w:val="1"/>
                <w:color w:val="auto"/>
              </w:rPr>
            </w:pPr>
          </w:p>
        </w:tc>
      </w:tr>
      <w:tr>
        <w:trPr>
          <w:trHeight w:val="92"/>
        </w:trPr>
        <w:tc>
          <w:tcPr>
            <w:tcW w:w="1180" w:type="dxa"/>
            <w:vAlign w:val="bottom"/>
            <w:gridSpan w:val="3"/>
            <w:vMerge w:val="continue"/>
          </w:tcPr>
          <w:p>
            <w:pPr>
              <w:spacing w:after="0"/>
              <w:rPr>
                <w:sz w:val="7"/>
                <w:szCs w:val="7"/>
                <w:color w:val="auto"/>
              </w:rPr>
            </w:pPr>
          </w:p>
        </w:tc>
        <w:tc>
          <w:tcPr>
            <w:tcW w:w="10060" w:type="dxa"/>
            <w:vAlign w:val="bottom"/>
            <w:vMerge w:val="restart"/>
          </w:tcPr>
          <w:p>
            <w:pPr>
              <w:ind w:left="16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112"/>
        </w:trPr>
        <w:tc>
          <w:tcPr>
            <w:tcW w:w="500" w:type="dxa"/>
            <w:vAlign w:val="bottom"/>
          </w:tcPr>
          <w:p>
            <w:pPr>
              <w:spacing w:after="0"/>
              <w:rPr>
                <w:sz w:val="9"/>
                <w:szCs w:val="9"/>
                <w:color w:val="auto"/>
              </w:rPr>
            </w:pPr>
          </w:p>
        </w:tc>
        <w:tc>
          <w:tcPr>
            <w:tcW w:w="320" w:type="dxa"/>
            <w:vAlign w:val="bottom"/>
            <w:tcBorders>
              <w:top w:val="single" w:sz="8" w:color="0000FF"/>
            </w:tcBorders>
          </w:tcPr>
          <w:p>
            <w:pPr>
              <w:spacing w:after="0"/>
              <w:rPr>
                <w:sz w:val="9"/>
                <w:szCs w:val="9"/>
                <w:color w:val="auto"/>
              </w:rPr>
            </w:pPr>
          </w:p>
        </w:tc>
        <w:tc>
          <w:tcPr>
            <w:tcW w:w="360" w:type="dxa"/>
            <w:vAlign w:val="bottom"/>
          </w:tcPr>
          <w:p>
            <w:pPr>
              <w:spacing w:after="0"/>
              <w:rPr>
                <w:sz w:val="9"/>
                <w:szCs w:val="9"/>
                <w:color w:val="auto"/>
              </w:rPr>
            </w:pPr>
          </w:p>
        </w:tc>
        <w:tc>
          <w:tcPr>
            <w:tcW w:w="10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1180" w:type="dxa"/>
            <w:vAlign w:val="bottom"/>
            <w:gridSpan w:val="3"/>
            <w:shd w:val="clear" w:color="auto" w:fill="CCEEFF"/>
          </w:tcPr>
          <w:p>
            <w:pPr>
              <w:jc w:val="center"/>
              <w:ind w:left="52"/>
              <w:spacing w:after="0"/>
              <w:rPr>
                <w:sz w:val="20"/>
                <w:szCs w:val="20"/>
                <w:color w:val="auto"/>
              </w:rPr>
            </w:pPr>
            <w:r>
              <w:rPr>
                <w:rFonts w:ascii="Arial" w:cs="Arial" w:eastAsia="Arial" w:hAnsi="Arial"/>
                <w:sz w:val="18"/>
                <w:szCs w:val="18"/>
                <w:color w:val="auto"/>
                <w:w w:val="89"/>
              </w:rPr>
              <w:t>101(SCH)</w:t>
            </w:r>
          </w:p>
        </w:tc>
        <w:tc>
          <w:tcPr>
            <w:tcW w:w="10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5"/>
        </w:trPr>
        <w:tc>
          <w:tcPr>
            <w:tcW w:w="1180" w:type="dxa"/>
            <w:vAlign w:val="bottom"/>
            <w:gridSpan w:val="3"/>
          </w:tcPr>
          <w:p>
            <w:pPr>
              <w:jc w:val="center"/>
              <w:ind w:left="52"/>
              <w:spacing w:after="0"/>
              <w:rPr>
                <w:sz w:val="20"/>
                <w:szCs w:val="20"/>
                <w:color w:val="auto"/>
              </w:rPr>
            </w:pPr>
            <w:r>
              <w:rPr>
                <w:rFonts w:ascii="Arial" w:cs="Arial" w:eastAsia="Arial" w:hAnsi="Arial"/>
                <w:sz w:val="18"/>
                <w:szCs w:val="18"/>
                <w:color w:val="auto"/>
                <w:w w:val="93"/>
              </w:rPr>
              <w:t>101(CAL)</w:t>
            </w:r>
          </w:p>
        </w:tc>
        <w:tc>
          <w:tcPr>
            <w:tcW w:w="10060" w:type="dxa"/>
            <w:vAlign w:val="bottom"/>
          </w:tcPr>
          <w:p>
            <w:pPr>
              <w:ind w:left="160"/>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6"/>
        </w:trPr>
        <w:tc>
          <w:tcPr>
            <w:tcW w:w="1180" w:type="dxa"/>
            <w:vAlign w:val="bottom"/>
            <w:gridSpan w:val="3"/>
            <w:shd w:val="clear" w:color="auto" w:fill="CCEEFF"/>
          </w:tcPr>
          <w:p>
            <w:pPr>
              <w:jc w:val="center"/>
              <w:ind w:left="52"/>
              <w:spacing w:after="0"/>
              <w:rPr>
                <w:sz w:val="20"/>
                <w:szCs w:val="20"/>
                <w:color w:val="auto"/>
              </w:rPr>
            </w:pPr>
            <w:r>
              <w:rPr>
                <w:rFonts w:ascii="Arial" w:cs="Arial" w:eastAsia="Arial" w:hAnsi="Arial"/>
                <w:sz w:val="18"/>
                <w:szCs w:val="18"/>
                <w:color w:val="auto"/>
                <w:w w:val="92"/>
              </w:rPr>
              <w:t>101(DEF)</w:t>
            </w:r>
          </w:p>
        </w:tc>
        <w:tc>
          <w:tcPr>
            <w:tcW w:w="10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5"/>
        </w:trPr>
        <w:tc>
          <w:tcPr>
            <w:tcW w:w="1180" w:type="dxa"/>
            <w:vAlign w:val="bottom"/>
            <w:gridSpan w:val="3"/>
          </w:tcPr>
          <w:p>
            <w:pPr>
              <w:jc w:val="center"/>
              <w:ind w:left="52"/>
              <w:spacing w:after="0"/>
              <w:rPr>
                <w:sz w:val="20"/>
                <w:szCs w:val="20"/>
                <w:color w:val="auto"/>
              </w:rPr>
            </w:pPr>
            <w:r>
              <w:rPr>
                <w:rFonts w:ascii="Arial" w:cs="Arial" w:eastAsia="Arial" w:hAnsi="Arial"/>
                <w:sz w:val="18"/>
                <w:szCs w:val="18"/>
                <w:color w:val="auto"/>
                <w:w w:val="94"/>
              </w:rPr>
              <w:t>101(LAB)</w:t>
            </w:r>
          </w:p>
        </w:tc>
        <w:tc>
          <w:tcPr>
            <w:tcW w:w="10060" w:type="dxa"/>
            <w:vAlign w:val="bottom"/>
          </w:tcPr>
          <w:p>
            <w:pPr>
              <w:ind w:left="160"/>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6"/>
        </w:trPr>
        <w:tc>
          <w:tcPr>
            <w:tcW w:w="1180" w:type="dxa"/>
            <w:vAlign w:val="bottom"/>
            <w:gridSpan w:val="3"/>
            <w:shd w:val="clear" w:color="auto" w:fill="CCEEFF"/>
          </w:tcPr>
          <w:p>
            <w:pPr>
              <w:jc w:val="center"/>
              <w:ind w:left="52"/>
              <w:spacing w:after="0"/>
              <w:rPr>
                <w:sz w:val="20"/>
                <w:szCs w:val="20"/>
                <w:color w:val="auto"/>
              </w:rPr>
            </w:pPr>
            <w:r>
              <w:rPr>
                <w:rFonts w:ascii="Arial" w:cs="Arial" w:eastAsia="Arial" w:hAnsi="Arial"/>
                <w:sz w:val="18"/>
                <w:szCs w:val="18"/>
                <w:color w:val="auto"/>
                <w:w w:val="91"/>
              </w:rPr>
              <w:t>101(PRE)</w:t>
            </w:r>
          </w:p>
        </w:tc>
        <w:tc>
          <w:tcPr>
            <w:tcW w:w="10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5540" w:right="3440" w:hanging="5011"/>
        <w:spacing w:after="0" w:line="879" w:lineRule="auto"/>
        <w:tabs>
          <w:tab w:leader="none" w:pos="1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Cover Page Interactive Data File (included in the Exhibit 101 Inline XBRL Document Set).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-142240</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7"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CREDIT ACCEPTANCE CORPORATION</w:t>
      </w:r>
    </w:p>
    <w:p>
      <w:pPr>
        <w:spacing w:after="0" w:line="18"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(Registrant)</w:t>
      </w:r>
    </w:p>
    <w:p>
      <w:pPr>
        <w:spacing w:after="0" w:line="204" w:lineRule="exact"/>
        <w:rPr>
          <w:sz w:val="20"/>
          <w:szCs w:val="20"/>
          <w:color w:val="auto"/>
        </w:rPr>
      </w:pPr>
    </w:p>
    <w:tbl>
      <w:tblPr>
        <w:tblLayout w:type="fixed"/>
        <w:tblInd w:w="2460" w:type="dxa"/>
        <w:tblCellMar>
          <w:top w:w="0" w:type="dxa"/>
          <w:left w:w="0" w:type="dxa"/>
          <w:bottom w:w="0" w:type="dxa"/>
          <w:right w:w="0" w:type="dxa"/>
        </w:tblCellMar>
      </w:tblPr>
      <w:tr>
        <w:trPr>
          <w:trHeight w:val="231"/>
        </w:trPr>
        <w:tc>
          <w:tcPr>
            <w:tcW w:w="164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Jay D. Martin</w:t>
            </w:r>
          </w:p>
        </w:tc>
      </w:tr>
      <w:tr>
        <w:trPr>
          <w:trHeight w:val="224"/>
        </w:trPr>
        <w:tc>
          <w:tcPr>
            <w:tcW w:w="164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Jay D. Martin</w:t>
            </w:r>
          </w:p>
        </w:tc>
      </w:tr>
      <w:tr>
        <w:trPr>
          <w:trHeight w:val="225"/>
        </w:trPr>
        <w:tc>
          <w:tcPr>
            <w:tcW w:w="164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Senior Vice President, Finance and Accounting</w:t>
            </w:r>
          </w:p>
        </w:tc>
      </w:tr>
      <w:tr>
        <w:trPr>
          <w:trHeight w:val="225"/>
        </w:trPr>
        <w:tc>
          <w:tcPr>
            <w:tcW w:w="164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225"/>
        </w:trPr>
        <w:tc>
          <w:tcPr>
            <w:tcW w:w="164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ind w:left="20"/>
              <w:spacing w:after="0"/>
              <w:rPr>
                <w:sz w:val="20"/>
                <w:szCs w:val="20"/>
                <w:color w:val="auto"/>
              </w:rPr>
            </w:pPr>
            <w:r>
              <w:rPr>
                <w:rFonts w:ascii="Arial" w:cs="Arial" w:eastAsia="Arial" w:hAnsi="Arial"/>
                <w:sz w:val="18"/>
                <w:szCs w:val="18"/>
                <w:color w:val="auto"/>
              </w:rPr>
              <w:t>August 1, 2022</w:t>
            </w:r>
          </w:p>
        </w:tc>
      </w:tr>
      <w:tr>
        <w:trPr>
          <w:trHeight w:val="888"/>
        </w:trPr>
        <w:tc>
          <w:tcPr>
            <w:tcW w:w="1640" w:type="dxa"/>
            <w:vAlign w:val="bottom"/>
          </w:tcPr>
          <w:p>
            <w:pPr>
              <w:spacing w:after="0"/>
              <w:rPr>
                <w:sz w:val="24"/>
                <w:szCs w:val="24"/>
                <w:color w:val="auto"/>
              </w:rPr>
            </w:pPr>
          </w:p>
        </w:tc>
        <w:tc>
          <w:tcPr>
            <w:tcW w:w="5040" w:type="dxa"/>
            <w:vAlign w:val="bottom"/>
          </w:tcPr>
          <w:p>
            <w:pPr>
              <w:ind w:left="1440"/>
              <w:spacing w:after="0"/>
              <w:rPr>
                <w:sz w:val="20"/>
                <w:szCs w:val="20"/>
                <w:color w:val="auto"/>
              </w:rPr>
            </w:pPr>
            <w:r>
              <w:rPr>
                <w:rFonts w:ascii="Arial" w:cs="Arial" w:eastAsia="Arial" w:hAnsi="Arial"/>
                <w:sz w:val="18"/>
                <w:szCs w:val="18"/>
                <w:color w:val="auto"/>
              </w:rPr>
              <w:t>64</w:t>
            </w:r>
          </w:p>
        </w:tc>
      </w:tr>
    </w:tbl>
    <w:p>
      <w:pPr>
        <w:sectPr>
          <w:pgSz w:w="11900" w:h="16838" w:orient="portrait"/>
          <w:cols w:equalWidth="0" w:num="1">
            <w:col w:w="11240"/>
          </w:cols>
          <w:pgMar w:left="320" w:top="127"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CERTIFICATIONS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I, Kenneth S. Booth, certify that:</w:t>
      </w:r>
    </w:p>
    <w:p>
      <w:pPr>
        <w:spacing w:after="0" w:line="244" w:lineRule="exact"/>
        <w:rPr>
          <w:sz w:val="20"/>
          <w:szCs w:val="20"/>
          <w:color w:val="auto"/>
        </w:rPr>
      </w:pPr>
    </w:p>
    <w:p>
      <w:pPr>
        <w:ind w:left="820" w:hanging="178"/>
        <w:spacing w:after="0"/>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Credit Acceptance Corporation;</w:t>
      </w:r>
    </w:p>
    <w:p>
      <w:pPr>
        <w:spacing w:after="0" w:line="243" w:lineRule="exact"/>
        <w:rPr>
          <w:rFonts w:ascii="Arial" w:cs="Arial" w:eastAsia="Arial" w:hAnsi="Arial"/>
          <w:sz w:val="18"/>
          <w:szCs w:val="18"/>
          <w:color w:val="auto"/>
        </w:rPr>
      </w:pPr>
    </w:p>
    <w:p>
      <w:pPr>
        <w:ind w:firstLine="642"/>
        <w:spacing w:after="0" w:line="365" w:lineRule="auto"/>
        <w:tabs>
          <w:tab w:leader="none" w:pos="818" w:val="left"/>
        </w:tabs>
        <w:numPr>
          <w:ilvl w:val="0"/>
          <w:numId w:val="6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5"/>
          <w:szCs w:val="15"/>
          <w:color w:val="auto"/>
        </w:rPr>
      </w:pPr>
    </w:p>
    <w:p>
      <w:pPr>
        <w:ind w:firstLine="642"/>
        <w:spacing w:after="0" w:line="294" w:lineRule="auto"/>
        <w:tabs>
          <w:tab w:leader="none" w:pos="817"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jc w:val="both"/>
        <w:ind w:firstLine="642"/>
        <w:spacing w:after="0" w:line="255" w:lineRule="auto"/>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4" w:lineRule="exact"/>
        <w:rPr>
          <w:rFonts w:ascii="Arial" w:cs="Arial" w:eastAsia="Arial" w:hAnsi="Arial"/>
          <w:sz w:val="18"/>
          <w:szCs w:val="18"/>
          <w:color w:val="auto"/>
        </w:rPr>
      </w:pPr>
    </w:p>
    <w:p>
      <w:pPr>
        <w:jc w:val="both"/>
        <w:ind w:firstLine="960"/>
        <w:spacing w:after="0" w:line="255" w:lineRule="auto"/>
        <w:tabs>
          <w:tab w:leader="none" w:pos="1195"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firstLine="960"/>
        <w:spacing w:after="0" w:line="255" w:lineRule="auto"/>
        <w:tabs>
          <w:tab w:leader="none" w:pos="1224"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firstLine="960"/>
        <w:spacing w:after="0" w:line="294" w:lineRule="auto"/>
        <w:tabs>
          <w:tab w:leader="none" w:pos="1221" w:val="left"/>
        </w:tabs>
        <w:numPr>
          <w:ilvl w:val="1"/>
          <w:numId w:val="6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7"/>
          <w:szCs w:val="17"/>
          <w:color w:val="auto"/>
        </w:rPr>
      </w:pPr>
    </w:p>
    <w:p>
      <w:pPr>
        <w:jc w:val="both"/>
        <w:ind w:firstLine="960"/>
        <w:spacing w:after="0" w:line="255" w:lineRule="auto"/>
        <w:tabs>
          <w:tab w:leader="none" w:pos="1204"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firstLine="642"/>
        <w:spacing w:after="0" w:line="294" w:lineRule="auto"/>
        <w:tabs>
          <w:tab w:leader="none" w:pos="817"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7"/>
          <w:szCs w:val="17"/>
          <w:color w:val="auto"/>
        </w:rPr>
      </w:pPr>
    </w:p>
    <w:p>
      <w:pPr>
        <w:ind w:firstLine="960"/>
        <w:spacing w:after="0" w:line="264" w:lineRule="auto"/>
        <w:tabs>
          <w:tab w:leader="none" w:pos="1233"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Arial" w:cs="Arial" w:eastAsia="Arial" w:hAnsi="Arial"/>
          <w:sz w:val="18"/>
          <w:szCs w:val="18"/>
          <w:color w:val="auto"/>
        </w:rPr>
      </w:pPr>
    </w:p>
    <w:p>
      <w:pPr>
        <w:ind w:firstLine="960"/>
        <w:spacing w:after="0" w:line="264" w:lineRule="auto"/>
        <w:tabs>
          <w:tab w:leader="none" w:pos="1224"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640" w:val="left"/>
          <w:tab w:leader="none" w:pos="6260" w:val="left"/>
        </w:tabs>
        <w:rPr>
          <w:sz w:val="20"/>
          <w:szCs w:val="20"/>
          <w:color w:val="auto"/>
        </w:rPr>
      </w:pPr>
      <w:r>
        <w:rPr>
          <w:rFonts w:ascii="Arial" w:cs="Arial" w:eastAsia="Arial" w:hAnsi="Arial"/>
          <w:sz w:val="18"/>
          <w:szCs w:val="18"/>
          <w:color w:val="auto"/>
        </w:rPr>
        <w:t>Date:</w:t>
        <w:tab/>
        <w:t>August 1, 2022</w:t>
      </w:r>
      <w:r>
        <w:rPr>
          <w:sz w:val="20"/>
          <w:szCs w:val="20"/>
          <w:color w:val="auto"/>
        </w:rPr>
        <w:tab/>
      </w:r>
      <w:r>
        <w:rPr>
          <w:rFonts w:ascii="Arial" w:cs="Arial" w:eastAsia="Arial" w:hAnsi="Arial"/>
          <w:sz w:val="15"/>
          <w:szCs w:val="15"/>
          <w:color w:val="auto"/>
        </w:rPr>
        <w:t>/s/ 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10795</wp:posOffset>
            </wp:positionV>
            <wp:extent cx="23812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2381250" cy="17145"/>
                    </a:xfrm>
                    <a:prstGeom prst="rect">
                      <a:avLst/>
                    </a:prstGeom>
                    <a:noFill/>
                  </pic:spPr>
                </pic:pic>
              </a:graphicData>
            </a:graphic>
          </wp:anchor>
        </w:drawing>
      </w:r>
    </w:p>
    <w:p>
      <w:pPr>
        <w:spacing w:after="0" w:line="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Kenneth S. Booth</w:t>
      </w:r>
    </w:p>
    <w:p>
      <w:pPr>
        <w:spacing w:after="0" w:line="1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ind w:left="6280"/>
        <w:spacing w:after="0" w:line="237" w:lineRule="auto"/>
        <w:rPr>
          <w:sz w:val="20"/>
          <w:szCs w:val="20"/>
          <w:color w:val="auto"/>
        </w:rPr>
      </w:pPr>
      <w:r>
        <w:rPr>
          <w:rFonts w:ascii="Arial" w:cs="Arial" w:eastAsia="Arial" w:hAnsi="Arial"/>
          <w:sz w:val="18"/>
          <w:szCs w:val="18"/>
          <w:color w:val="auto"/>
        </w:rPr>
        <w:t>(Principal Executive Officer and Principal Financial</w:t>
      </w:r>
    </w:p>
    <w:p>
      <w:pPr>
        <w:ind w:left="62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40"/>
          </w:cols>
          <w:pgMar w:left="320" w:top="876" w:right="339" w:bottom="1440" w:gutter="0" w:footer="0" w:header="0"/>
        </w:sectPr>
      </w:pPr>
    </w:p>
    <w:bookmarkStart w:id="67" w:name="page68"/>
    <w:bookmarkEnd w:id="67"/>
    <w:p>
      <w:pPr>
        <w:ind w:left="10140"/>
        <w:spacing w:after="0"/>
        <w:rPr>
          <w:sz w:val="20"/>
          <w:szCs w:val="20"/>
          <w:color w:val="auto"/>
        </w:rPr>
      </w:pPr>
      <w:r>
        <w:rPr>
          <w:rFonts w:ascii="Arial" w:cs="Arial" w:eastAsia="Arial" w:hAnsi="Arial"/>
          <w:sz w:val="17"/>
          <w:szCs w:val="17"/>
          <w:b w:val="1"/>
          <w:bCs w:val="1"/>
          <w:color w:val="auto"/>
        </w:rPr>
        <w:t>EXHIBIT 32.1</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connection with the Quarterly Report on Form 10-Q of Credit Acceptance Corporation (the "Company") for the quarterly period ended June 30, 2022 (the "Report"), I, Kenneth S. Booth, as Chief Executive Officer of the Company, hereby certify, pursuant to 18 U.S.C. §1350, as adopted pursuant to §906 of the Sarbanes-Oxley Act of 2002, that, to the best of my knowledge:</w:t>
      </w:r>
    </w:p>
    <w:p>
      <w:pPr>
        <w:spacing w:after="0" w:line="2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5" w:lineRule="exact"/>
        <w:rPr>
          <w:sz w:val="20"/>
          <w:szCs w:val="20"/>
          <w:color w:val="auto"/>
        </w:rPr>
      </w:pPr>
    </w:p>
    <w:p>
      <w:pPr>
        <w:ind w:left="680"/>
        <w:spacing w:after="0"/>
        <w:rPr>
          <w:sz w:val="20"/>
          <w:szCs w:val="20"/>
          <w:color w:val="auto"/>
        </w:rPr>
      </w:pPr>
      <w:r>
        <w:rPr>
          <w:rFonts w:ascii="Arial" w:cs="Arial" w:eastAsia="Arial" w:hAnsi="Arial"/>
          <w:sz w:val="15"/>
          <w:szCs w:val="15"/>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800" w:val="left"/>
          <w:tab w:leader="none" w:pos="6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 2022</w:t>
      </w:r>
      <w:r>
        <w:rPr>
          <w:sz w:val="20"/>
          <w:szCs w:val="20"/>
          <w:color w:val="auto"/>
        </w:rPr>
        <w:tab/>
      </w:r>
      <w:r>
        <w:rPr>
          <w:rFonts w:ascii="Arial" w:cs="Arial" w:eastAsia="Arial" w:hAnsi="Arial"/>
          <w:sz w:val="15"/>
          <w:szCs w:val="15"/>
          <w:color w:val="auto"/>
        </w:rPr>
        <w:t>/s/ 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3957955</wp:posOffset>
            </wp:positionH>
            <wp:positionV relativeFrom="paragraph">
              <wp:posOffset>10795</wp:posOffset>
            </wp:positionV>
            <wp:extent cx="23812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2381250" cy="17145"/>
                    </a:xfrm>
                    <a:prstGeom prst="rect">
                      <a:avLst/>
                    </a:prstGeom>
                    <a:noFill/>
                  </pic:spPr>
                </pic:pic>
              </a:graphicData>
            </a:graphic>
          </wp:anchor>
        </w:drawing>
      </w:r>
    </w:p>
    <w:p>
      <w:pPr>
        <w:spacing w:after="0" w:line="25"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Kenneth S. Booth</w:t>
      </w:r>
    </w:p>
    <w:p>
      <w:pPr>
        <w:spacing w:after="0" w:line="18"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Executive Officer</w:t>
      </w:r>
    </w:p>
    <w:p>
      <w:pPr>
        <w:ind w:left="6260"/>
        <w:spacing w:after="0" w:line="237" w:lineRule="auto"/>
        <w:rPr>
          <w:sz w:val="20"/>
          <w:szCs w:val="20"/>
          <w:color w:val="auto"/>
        </w:rPr>
      </w:pPr>
      <w:r>
        <w:rPr>
          <w:rFonts w:ascii="Arial" w:cs="Arial" w:eastAsia="Arial" w:hAnsi="Arial"/>
          <w:sz w:val="18"/>
          <w:szCs w:val="18"/>
          <w:color w:val="auto"/>
        </w:rPr>
        <w:t>(Principal Executive Officer and Principal Financial</w:t>
      </w:r>
    </w:p>
    <w:p>
      <w:pPr>
        <w:ind w:left="626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1."/>
      <w:numFmt w:val="decimal"/>
      <w:start w:val="1"/>
    </w:lvl>
  </w:abstractNum>
  <w:abstractNum w:abstractNumId="4">
    <w:nsid w:val="5072367"/>
    <w:multiLevelType w:val="hybridMultilevel"/>
    <w:lvl w:ilvl="0">
      <w:lvlJc w:val="left"/>
      <w:lvlText w:val="%1."/>
      <w:numFmt w:val="decimal"/>
      <w:start w:val="2"/>
    </w:lvl>
  </w:abstractNum>
  <w:abstractNum w:abstractNumId="5">
    <w:nsid w:val="3804823E"/>
    <w:multiLevelType w:val="hybridMultilevel"/>
    <w:lvl w:ilvl="0">
      <w:lvlJc w:val="left"/>
      <w:lvlText w:val="(%1)"/>
      <w:numFmt w:val="decimal"/>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1."/>
      <w:numFmt w:val="decimal"/>
      <w:start w:val="3"/>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1."/>
      <w:numFmt w:val="decimal"/>
      <w:start w:val="4"/>
    </w:lvl>
  </w:abstractNum>
  <w:abstractNum w:abstractNumId="21">
    <w:nsid w:val="2CD89A32"/>
    <w:multiLevelType w:val="hybridMultilevel"/>
    <w:lvl w:ilvl="0">
      <w:lvlJc w:val="left"/>
      <w:lvlText w:val="(%1)"/>
      <w:numFmt w:val="decimal"/>
      <w:start w:val="1"/>
    </w:lvl>
  </w:abstractNum>
  <w:abstractNum w:abstractNumId="22">
    <w:nsid w:val="57E4CCAF"/>
    <w:multiLevelType w:val="hybridMultilevel"/>
    <w:lvl w:ilvl="0">
      <w:lvlJc w:val="left"/>
      <w:lvlText w:val="%1."/>
      <w:numFmt w:val="decimal"/>
      <w:start w:val="5"/>
    </w:lvl>
  </w:abstractNum>
  <w:abstractNum w:abstractNumId="23">
    <w:nsid w:val="7A6D8D3C"/>
    <w:multiLevelType w:val="hybridMultilevel"/>
    <w:lvl w:ilvl="0">
      <w:lvlJc w:val="left"/>
      <w:lvlText w:val="%1."/>
      <w:numFmt w:val="decimal"/>
      <w:start w:val="6"/>
    </w:lvl>
  </w:abstractNum>
  <w:abstractNum w:abstractNumId="24">
    <w:nsid w:val="4B588F54"/>
    <w:multiLevelType w:val="hybridMultilevel"/>
    <w:lvl w:ilvl="0">
      <w:lvlJc w:val="left"/>
      <w:lvlText w:val="(%1)"/>
      <w:numFmt w:val="decimal"/>
      <w:start w:val="1"/>
    </w:lvl>
  </w:abstractNum>
  <w:abstractNum w:abstractNumId="25">
    <w:nsid w:val="542289EC"/>
    <w:multiLevelType w:val="hybridMultilevel"/>
    <w:lvl w:ilvl="0">
      <w:lvlJc w:val="left"/>
      <w:lvlText w:val="(%1)"/>
      <w:numFmt w:val="decimal"/>
      <w:start w:val="1"/>
    </w:lvl>
  </w:abstractNum>
  <w:abstractNum w:abstractNumId="26">
    <w:nsid w:val="6DE91B18"/>
    <w:multiLevelType w:val="hybridMultilevel"/>
    <w:lvl w:ilvl="0">
      <w:lvlJc w:val="left"/>
      <w:lvlText w:val="(%1)"/>
      <w:numFmt w:val="decimal"/>
      <w:start w:val="1"/>
    </w:lvl>
  </w:abstractNum>
  <w:abstractNum w:abstractNumId="27">
    <w:nsid w:val="38437FDB"/>
    <w:multiLevelType w:val="hybridMultilevel"/>
    <w:lvl w:ilvl="0">
      <w:lvlJc w:val="left"/>
      <w:lvlText w:val="(%1)"/>
      <w:numFmt w:val="decimal"/>
      <w:start w:val="1"/>
    </w:lvl>
  </w:abstractNum>
  <w:abstractNum w:abstractNumId="28">
    <w:nsid w:val="7644A45C"/>
    <w:multiLevelType w:val="hybridMultilevel"/>
    <w:lvl w:ilvl="0">
      <w:lvlJc w:val="left"/>
      <w:lvlText w:val="(%1)"/>
      <w:numFmt w:val="decimal"/>
      <w:start w:val="1"/>
    </w:lvl>
  </w:abstractNum>
  <w:abstractNum w:abstractNumId="29">
    <w:nsid w:val="32FFF902"/>
    <w:multiLevelType w:val="hybridMultilevel"/>
    <w:lvl w:ilvl="0">
      <w:lvlJc w:val="left"/>
      <w:lvlText w:val="(%1)"/>
      <w:numFmt w:val="decimal"/>
      <w:start w:val="1"/>
    </w:lvl>
  </w:abstractNum>
  <w:abstractNum w:abstractNumId="30">
    <w:nsid w:val="684A481A"/>
    <w:multiLevelType w:val="hybridMultilevel"/>
    <w:lvl w:ilvl="0">
      <w:lvlJc w:val="left"/>
      <w:lvlText w:val="(%1)"/>
      <w:numFmt w:val="decimal"/>
      <w:start w:val="1"/>
    </w:lvl>
  </w:abstractNum>
  <w:abstractNum w:abstractNumId="31">
    <w:nsid w:val="579478FE"/>
    <w:multiLevelType w:val="hybridMultilevel"/>
    <w:lvl w:ilvl="0">
      <w:lvlJc w:val="left"/>
      <w:lvlText w:val="(%1)"/>
      <w:numFmt w:val="decimal"/>
      <w:start w:val="1"/>
    </w:lvl>
  </w:abstractNum>
  <w:abstractNum w:abstractNumId="32">
    <w:nsid w:val="749ABB43"/>
    <w:multiLevelType w:val="hybridMultilevel"/>
    <w:lvl w:ilvl="0">
      <w:lvlJc w:val="left"/>
      <w:lvlText w:val="%1."/>
      <w:numFmt w:val="decimal"/>
      <w:start w:val="10"/>
    </w:lvl>
  </w:abstractNum>
  <w:abstractNum w:abstractNumId="33">
    <w:nsid w:val="3DC240FB"/>
    <w:multiLevelType w:val="hybridMultilevel"/>
    <w:lvl w:ilvl="0">
      <w:lvlJc w:val="left"/>
      <w:lvlText w:val="(%1)"/>
      <w:numFmt w:val="decimal"/>
      <w:start w:val="1"/>
    </w:lvl>
  </w:abstractNum>
  <w:abstractNum w:abstractNumId="34">
    <w:nsid w:val="1BA026FA"/>
    <w:multiLevelType w:val="hybridMultilevel"/>
    <w:lvl w:ilvl="0">
      <w:lvlJc w:val="left"/>
      <w:lvlText w:val="%1."/>
      <w:numFmt w:val="decimal"/>
      <w:start w:val="11"/>
    </w:lvl>
  </w:abstractNum>
  <w:abstractNum w:abstractNumId="35">
    <w:nsid w:val="79A1DEAA"/>
    <w:multiLevelType w:val="hybridMultilevel"/>
    <w:lvl w:ilvl="0">
      <w:lvlJc w:val="left"/>
      <w:lvlText w:val="%1."/>
      <w:numFmt w:val="decimal"/>
      <w:start w:val="12"/>
    </w:lvl>
  </w:abstractNum>
  <w:abstractNum w:abstractNumId="36">
    <w:nsid w:val="75C6C33A"/>
    <w:multiLevelType w:val="hybridMultilevel"/>
    <w:lvl w:ilvl="0">
      <w:lvlJc w:val="left"/>
      <w:lvlText w:val="%1."/>
      <w:numFmt w:val="decimal"/>
      <w:start w:val="13"/>
    </w:lvl>
  </w:abstractNum>
  <w:abstractNum w:abstractNumId="37">
    <w:nsid w:val="12E685FB"/>
    <w:multiLevelType w:val="hybridMultilevel"/>
    <w:lvl w:ilvl="0">
      <w:lvlJc w:val="left"/>
      <w:lvlText w:val="(%1)"/>
      <w:numFmt w:val="decimal"/>
      <w:start w:val="1"/>
    </w:lvl>
  </w:abstractNum>
  <w:abstractNum w:abstractNumId="38">
    <w:nsid w:val="70C6A529"/>
    <w:multiLevelType w:val="hybridMultilevel"/>
    <w:lvl w:ilvl="0">
      <w:lvlJc w:val="left"/>
      <w:lvlText w:val="%1."/>
      <w:numFmt w:val="decimal"/>
      <w:start w:val="14"/>
    </w:lvl>
  </w:abstractNum>
  <w:abstractNum w:abstractNumId="39">
    <w:nsid w:val="520EEDD1"/>
    <w:multiLevelType w:val="hybridMultilevel"/>
    <w:lvl w:ilvl="0">
      <w:lvlJc w:val="left"/>
      <w:lvlText w:val="%1."/>
      <w:numFmt w:val="decimal"/>
      <w:start w:val="15"/>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1)"/>
      <w:numFmt w:val="decimal"/>
      <w:start w:val="1"/>
    </w:lvl>
  </w:abstractNum>
  <w:abstractNum w:abstractNumId="44">
    <w:nsid w:val="275AC794"/>
    <w:multiLevelType w:val="hybridMultilevel"/>
    <w:lvl w:ilvl="0">
      <w:lvlJc w:val="left"/>
      <w:lvlText w:val="(%1)"/>
      <w:numFmt w:val="decimal"/>
      <w:start w:val="1"/>
    </w:lvl>
  </w:abstractNum>
  <w:abstractNum w:abstractNumId="45">
    <w:nsid w:val="39386575"/>
    <w:multiLevelType w:val="hybridMultilevel"/>
    <w:lvl w:ilvl="0">
      <w:lvlJc w:val="left"/>
      <w:lvlText w:val="(%1)"/>
      <w:numFmt w:val="decimal"/>
      <w:start w:val="1"/>
    </w:lvl>
  </w:abstractNum>
  <w:abstractNum w:abstractNumId="46">
    <w:nsid w:val="1CF10FD8"/>
    <w:multiLevelType w:val="hybridMultilevel"/>
    <w:lvl w:ilvl="0">
      <w:lvlJc w:val="left"/>
      <w:lvlText w:val="(%1)"/>
      <w:numFmt w:val="decimal"/>
      <w:start w:val="1"/>
    </w:lvl>
  </w:abstractNum>
  <w:abstractNum w:abstractNumId="47">
    <w:nsid w:val="180115BE"/>
    <w:multiLevelType w:val="hybridMultilevel"/>
    <w:lvl w:ilvl="0">
      <w:lvlJc w:val="left"/>
      <w:lvlText w:val="(%1)"/>
      <w:numFmt w:val="decimal"/>
      <w:start w:val="1"/>
    </w:lvl>
  </w:abstractNum>
  <w:abstractNum w:abstractNumId="48">
    <w:nsid w:val="235BA861"/>
    <w:multiLevelType w:val="hybridMultilevel"/>
    <w:lvl w:ilvl="0">
      <w:lvlJc w:val="left"/>
      <w:lvlText w:val="(%1)"/>
      <w:numFmt w:val="decimal"/>
      <w:start w:val="1"/>
    </w:lvl>
  </w:abstractNum>
  <w:abstractNum w:abstractNumId="49">
    <w:nsid w:val="47398C89"/>
    <w:multiLevelType w:val="hybridMultilevel"/>
    <w:lvl w:ilvl="0">
      <w:lvlJc w:val="left"/>
      <w:lvlText w:val="(%1)"/>
      <w:numFmt w:val="decimal"/>
      <w:start w:val="1"/>
    </w:lvl>
  </w:abstractNum>
  <w:abstractNum w:abstractNumId="50">
    <w:nsid w:val="354FE9F9"/>
    <w:multiLevelType w:val="hybridMultilevel"/>
    <w:lvl w:ilvl="0">
      <w:lvlJc w:val="left"/>
      <w:lvlText w:val="(%1)"/>
      <w:numFmt w:val="decimal"/>
      <w:start w:val="1"/>
    </w:lvl>
  </w:abstractNum>
  <w:abstractNum w:abstractNumId="51">
    <w:nsid w:val="15B5AF5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2">
    <w:nsid w:val="741226BB"/>
    <w:multiLevelType w:val="hybridMultilevel"/>
    <w:lvl w:ilvl="0">
      <w:lvlJc w:val="left"/>
      <w:lvlText w:val="(%1)"/>
      <w:numFmt w:val="decimal"/>
      <w:start w:val="1"/>
    </w:lvl>
  </w:abstractNum>
  <w:abstractNum w:abstractNumId="53">
    <w:nsid w:val="D34B6A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4">
    <w:nsid w:val="10233C99"/>
    <w:multiLevelType w:val="hybridMultilevel"/>
    <w:lvl w:ilvl="0">
      <w:lvlJc w:val="left"/>
      <w:lvlText w:val="(%1)"/>
      <w:numFmt w:val="decimal"/>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1)"/>
      <w:numFmt w:val="decimal"/>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
      <w:numFmt w:val="bullet"/>
      <w:start w:val="1"/>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
      <w:numFmt w:val="bullet"/>
      <w:start w:val="1"/>
    </w:lvl>
  </w:abstractNum>
  <w:abstractNum w:abstractNumId="63">
    <w:nsid w:val="25A70BF7"/>
    <w:multiLevelType w:val="hybridMultilevel"/>
    <w:lvl w:ilvl="0">
      <w:lvlJc w:val="left"/>
      <w:lvlText w:val="(%1)"/>
      <w:numFmt w:val="lowerLetter"/>
      <w:start w:val="1"/>
    </w:lvl>
  </w:abstractNum>
  <w:abstractNum w:abstractNumId="64">
    <w:nsid w:val="1DBABF00"/>
    <w:multiLevelType w:val="hybridMultilevel"/>
    <w:lvl w:ilvl="0">
      <w:lvlJc w:val="left"/>
      <w:lvlText w:val="(%1)"/>
      <w:numFmt w:val="decimal"/>
      <w:start w:val="1"/>
    </w:lvl>
  </w:abstractNum>
  <w:abstractNum w:abstractNumId="65">
    <w:nsid w:val="4AD084E9"/>
    <w:multiLevelType w:val="hybridMultilevel"/>
    <w:lvl w:ilvl="0">
      <w:lvlJc w:val="left"/>
      <w:lvlText w:val="%1"/>
      <w:numFmt w:val="decimal"/>
      <w:start w:val="104"/>
    </w:lvl>
  </w:abstractNum>
  <w:abstractNum w:abstractNumId="66">
    <w:nsid w:val="1F48EA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5"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09" Type="http://schemas.openxmlformats.org/officeDocument/2006/relationships/hyperlink" Target="http://www.sec.gov/Archives/edgar/data/885550/000088555022000056/cacc_8k20220616ia.htm" TargetMode="External"/><Relationship Id="rId110" Type="http://schemas.openxmlformats.org/officeDocument/2006/relationships/hyperlink" Target="http://www.sec.gov/Archives/edgar/data/885550/000088555022000056/cacc_8k20220616ssa.htm" TargetMode="External"/><Relationship Id="rId111" Type="http://schemas.openxmlformats.org/officeDocument/2006/relationships/hyperlink" Target="http://www.sec.gov/Archives/edgar/data/885550/000088555022000056/cacc_8k20220616bsa.htm" TargetMode="External"/><Relationship Id="rId112" Type="http://schemas.openxmlformats.org/officeDocument/2006/relationships/hyperlink" Target="http://www.sec.gov/Archives/edgar/data/885550/000088555022000056/cacc_8k20220616arta.htm" TargetMode="External"/><Relationship Id="rId113" Type="http://schemas.openxmlformats.org/officeDocument/2006/relationships/hyperlink" Target="http://www.sec.gov/Archives/edgar/data/885550/000088555022000056/cacc_8k20220616sca.htm" TargetMode="External"/><Relationship Id="rId114" Type="http://schemas.openxmlformats.org/officeDocument/2006/relationships/hyperlink" Target="http://www.sec.gov/Archives/edgar/data/885550/000088555022000056/cacc_8k20220616aria.htm" TargetMode="External"/><Relationship Id="rId116" Type="http://schemas.openxmlformats.org/officeDocument/2006/relationships/hyperlink" Target="http://www.sec.gov/Archives/edgar/data/885550/000088555022000056/cacc_8k20220616bmolsa.htm" TargetMode="External"/><Relationship Id="rId117" Type="http://schemas.openxmlformats.org/officeDocument/2006/relationships/hyperlink" Target="https://www.sec.gov/Archives/edgar/data/885550/000088555022000056/cacc_8k20220616rc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2022-08-01T15:11:38Z</dcterms:created>
  <dcterms:modified xsi:type="dcterms:W3CDTF">2022-08-01T15:11:38Z</dcterms:modified>
</cp:coreProperties>
</file>