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31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093"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Prescott General Partners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CREDIT ACCEPTANCE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CACC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00" w:type="dxa"/>
            <w:vAlign w:val="bottom"/>
            <w:gridSpan w:val="2"/>
            <w:vMerge w:val="restart"/>
          </w:tcPr>
          <w:p>
            <w:pPr>
              <w:spacing w:after="0"/>
              <w:rPr>
                <w:sz w:val="20"/>
                <w:szCs w:val="20"/>
                <w:color w:val="auto"/>
              </w:rPr>
            </w:pPr>
            <w:r>
              <w:rPr>
                <w:rFonts w:ascii="Arial" w:cs="Arial" w:eastAsia="Arial" w:hAnsi="Arial"/>
                <w:sz w:val="18"/>
                <w:szCs w:val="18"/>
                <w:color w:val="0000FF"/>
              </w:rPr>
              <w:t>2200 BUTTS ROAD</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0" w:type="dxa"/>
            <w:vAlign w:val="bottom"/>
            <w:gridSpan w:val="3"/>
          </w:tcPr>
          <w:p>
            <w:pPr>
              <w:ind w:left="160"/>
              <w:spacing w:after="0"/>
              <w:rPr>
                <w:sz w:val="20"/>
                <w:szCs w:val="20"/>
                <w:color w:val="auto"/>
              </w:rPr>
            </w:pPr>
            <w:r>
              <w:rPr>
                <w:rFonts w:ascii="Arial" w:cs="Arial" w:eastAsia="Arial" w:hAnsi="Arial"/>
                <w:sz w:val="18"/>
                <w:szCs w:val="18"/>
                <w:color w:val="0000FF"/>
              </w:rPr>
              <w:t>12/26/2012</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320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Member of Section 13(d) Group</w:t>
      </w:r>
    </w:p>
    <w:p>
      <w:pPr>
        <w:spacing w:after="0" w:line="409" w:lineRule="exact"/>
        <w:rPr>
          <w:sz w:val="20"/>
          <w:szCs w:val="20"/>
          <w:color w:val="auto"/>
        </w:rPr>
      </w:pPr>
    </w:p>
    <w:p>
      <w:pPr>
        <w:sectPr>
          <w:pgSz w:w="11900" w:h="16838" w:orient="portrait"/>
          <w:cols w:equalWidth="0" w:num="2">
            <w:col w:w="7980" w:space="77"/>
            <w:col w:w="3363"/>
          </w:cols>
          <w:pgMar w:left="240" w:top="226" w:right="239" w:bottom="1093"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BOCA RATON</w:t>
            </w:r>
          </w:p>
        </w:tc>
        <w:tc>
          <w:tcPr>
            <w:tcW w:w="920" w:type="dxa"/>
            <w:vAlign w:val="bottom"/>
          </w:tcPr>
          <w:p>
            <w:pPr>
              <w:ind w:left="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33431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09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8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2620" w:type="dxa"/>
            <w:vAlign w:val="bottom"/>
            <w:vMerge w:val="restart"/>
          </w:tcPr>
          <w:p>
            <w:pPr>
              <w:jc w:val="right"/>
              <w:ind w:right="652"/>
              <w:spacing w:after="0"/>
              <w:rPr>
                <w:sz w:val="20"/>
                <w:szCs w:val="20"/>
                <w:color w:val="auto"/>
              </w:rPr>
            </w:pPr>
            <w:r>
              <w:rPr>
                <w:rFonts w:ascii="Arial" w:cs="Arial" w:eastAsia="Arial" w:hAnsi="Arial"/>
                <w:sz w:val="18"/>
                <w:szCs w:val="18"/>
                <w:color w:val="0000FF"/>
              </w:rPr>
              <w:t>12/26/2012</w:t>
            </w:r>
          </w:p>
        </w:tc>
        <w:tc>
          <w:tcPr>
            <w:tcW w:w="1180" w:type="dxa"/>
            <w:vAlign w:val="bottom"/>
            <w:vMerge w:val="restart"/>
          </w:tcPr>
          <w:p>
            <w:pPr>
              <w:ind w:left="740"/>
              <w:spacing w:after="0"/>
              <w:rPr>
                <w:sz w:val="20"/>
                <w:szCs w:val="20"/>
                <w:color w:val="auto"/>
              </w:rPr>
            </w:pPr>
            <w:r>
              <w:rPr>
                <w:rFonts w:ascii="Arial" w:cs="Arial" w:eastAsia="Arial" w:hAnsi="Arial"/>
                <w:sz w:val="14"/>
                <w:szCs w:val="14"/>
                <w:color w:val="0000FF"/>
              </w:rPr>
              <w:t>S</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0000FF"/>
              </w:rPr>
              <w:t>20,000</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0000FF"/>
              </w:rPr>
              <w:t xml:space="preserve">D   </w:t>
            </w:r>
            <w:r>
              <w:rPr>
                <w:rFonts w:ascii="Arial" w:cs="Arial" w:eastAsia="Arial" w:hAnsi="Arial"/>
                <w:sz w:val="18"/>
                <w:szCs w:val="18"/>
                <w:color w:val="000000"/>
              </w:rPr>
              <w:t>$</w:t>
            </w:r>
            <w:r>
              <w:rPr>
                <w:rFonts w:ascii="Arial" w:cs="Arial" w:eastAsia="Arial" w:hAnsi="Arial"/>
                <w:sz w:val="18"/>
                <w:szCs w:val="18"/>
                <w:color w:val="0000FF"/>
              </w:rPr>
              <w:t>99.44</w:t>
            </w:r>
          </w:p>
        </w:tc>
        <w:tc>
          <w:tcPr>
            <w:tcW w:w="1200" w:type="dxa"/>
            <w:vAlign w:val="bottom"/>
            <w:vMerge w:val="restart"/>
          </w:tcPr>
          <w:p>
            <w:pPr>
              <w:jc w:val="center"/>
              <w:ind w:right="92"/>
              <w:spacing w:after="0"/>
              <w:rPr>
                <w:sz w:val="20"/>
                <w:szCs w:val="20"/>
                <w:color w:val="auto"/>
              </w:rPr>
            </w:pPr>
            <w:r>
              <w:rPr>
                <w:rFonts w:ascii="Arial" w:cs="Arial" w:eastAsia="Arial" w:hAnsi="Arial"/>
                <w:sz w:val="18"/>
                <w:szCs w:val="18"/>
                <w:color w:val="0000FF"/>
                <w:w w:val="87"/>
              </w:rPr>
              <w:t>1,256,626</w:t>
            </w:r>
          </w:p>
        </w:tc>
        <w:tc>
          <w:tcPr>
            <w:tcW w:w="660" w:type="dxa"/>
            <w:vAlign w:val="bottom"/>
            <w:vMerge w:val="restart"/>
          </w:tcPr>
          <w:p>
            <w:pPr>
              <w:ind w:left="34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rPr>
              <w:t>By Idoya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89"/>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ind w:left="26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rPr>
              <w:t>By Prescott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color w:val="0000FF"/>
                <w:w w:val="87"/>
              </w:rPr>
              <w:t>1,709,407</w:t>
            </w:r>
          </w:p>
        </w:tc>
        <w:tc>
          <w:tcPr>
            <w:tcW w:w="660" w:type="dxa"/>
            <w:vAlign w:val="bottom"/>
          </w:tcPr>
          <w:p>
            <w:pPr>
              <w:ind w:left="34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rPr>
              <w:t>Associates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rPr>
              <w:t>By Prescott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vMerge w:val="restart"/>
          </w:tcPr>
          <w:p>
            <w:pPr>
              <w:jc w:val="center"/>
              <w:ind w:right="72"/>
              <w:spacing w:after="0"/>
              <w:rPr>
                <w:sz w:val="20"/>
                <w:szCs w:val="20"/>
                <w:color w:val="auto"/>
              </w:rPr>
            </w:pPr>
            <w:r>
              <w:rPr>
                <w:rFonts w:ascii="Arial" w:cs="Arial" w:eastAsia="Arial" w:hAnsi="Arial"/>
                <w:sz w:val="18"/>
                <w:szCs w:val="18"/>
                <w:color w:val="0000FF"/>
                <w:w w:val="87"/>
              </w:rPr>
              <w:t>71,778</w:t>
            </w:r>
          </w:p>
        </w:tc>
        <w:tc>
          <w:tcPr>
            <w:tcW w:w="660" w:type="dxa"/>
            <w:vAlign w:val="bottom"/>
            <w:vMerge w:val="restart"/>
          </w:tcPr>
          <w:p>
            <w:pPr>
              <w:ind w:left="34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w w:val="94"/>
              </w:rPr>
              <w:t>International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color w:val="0000FF"/>
                <w:w w:val="89"/>
              </w:rPr>
              <w:t>Partners L.P.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ind w:left="260"/>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40" w:type="dxa"/>
            <w:vAlign w:val="bottom"/>
            <w:tcBorders>
              <w:top w:val="single" w:sz="8" w:color="808080"/>
            </w:tcBorders>
            <w:shd w:val="clear" w:color="auto" w:fill="2C2C2C"/>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owned directly by Idoya Partners L.P. ("Idoya"), a private investment limited partnership, and are beneficially owned indirectly by Prescott General Partners LLC ("PGP"), a Delaware limited liability company, as general partner of Idoya. PGP disclaims beneficial ownership of these shares in excess of its pecuniary interest under Rule 16a-1(a)(2)(ii)(B). The address for Idoya is 2200 Butts Road, Suite 320, Boca Raton, FL 33431.</w:t>
      </w:r>
    </w:p>
    <w:p>
      <w:pPr>
        <w:spacing w:after="0" w:line="30"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Associates L.P. ("Prescott Associates"), a private investment limited partnership, and are beneficially owned indirectly by PGP as general partner of Prescott Associates. PGP disclaims beneficial ownership of these shares in excess of its pecuniary interest under Rule 16a-1(a)(2)(ii)(B). The address for 2200 Butts Road, Suite 320, Boca Raton, FL 33431.</w:t>
      </w:r>
    </w:p>
    <w:p>
      <w:pPr>
        <w:ind w:left="40" w:right="5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International Partners L.P. ("PIP"), a private investment limited partnership, and are beneficially owned indirectly by PGP as general partner of PIP. PGP disclaims beneficial ownership of these shares in excess of its pecuniary interest under Rule 16a-1(a)(2)(ii)(B). The address for PIP is 2200 Butts Road, Suite 320, Boca Raton, FL 33431.</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PRESCOTT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8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PARTNERS LLC, /s/ Scott</w:t>
      </w:r>
      <w:r>
        <w:rPr>
          <w:sz w:val="20"/>
          <w:szCs w:val="20"/>
          <w:color w:val="auto"/>
        </w:rPr>
        <w:tab/>
      </w:r>
      <w:r>
        <w:rPr>
          <w:rFonts w:ascii="Arial" w:cs="Arial" w:eastAsia="Arial" w:hAnsi="Arial"/>
          <w:sz w:val="23"/>
          <w:szCs w:val="23"/>
          <w:color w:val="0000FF"/>
          <w:vertAlign w:val="subscript"/>
        </w:rPr>
        <w:t>12/28/2012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2096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96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Vassalluzzo,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33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37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77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0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38653"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2019-12-17T06:59:35Z</dcterms:created>
  <dcterms:modified xsi:type="dcterms:W3CDTF">2019-12-17T06:59:35Z</dcterms:modified>
</cp:coreProperties>
</file>