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582"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06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980" w:type="dxa"/>
            <w:vAlign w:val="bottom"/>
            <w:gridSpan w:val="4"/>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4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Watson Jill Foss</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CREDIT ACCEPTANCE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CACC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4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gridSpan w:val="3"/>
            <w:vMerge w:val="continue"/>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gridSpan w:val="3"/>
            <w:vMerge w:val="continue"/>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vMerge w:val="restart"/>
          </w:tcPr>
          <w:p>
            <w:pPr>
              <w:ind w:left="180"/>
              <w:spacing w:after="0"/>
              <w:rPr>
                <w:sz w:val="20"/>
                <w:szCs w:val="20"/>
                <w:color w:val="auto"/>
              </w:rPr>
            </w:pPr>
            <w:r>
              <w:rPr>
                <w:rFonts w:ascii="Arial" w:cs="Arial" w:eastAsia="Arial" w:hAnsi="Arial"/>
                <w:sz w:val="14"/>
                <w:szCs w:val="14"/>
                <w:color w:val="auto"/>
              </w:rPr>
              <w:t>Director</w:t>
            </w:r>
          </w:p>
        </w:tc>
        <w:tc>
          <w:tcPr>
            <w:tcW w:w="1800" w:type="dxa"/>
            <w:vAlign w:val="bottom"/>
            <w:gridSpan w:val="3"/>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8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0" w:type="dxa"/>
            <w:vAlign w:val="bottom"/>
            <w:vMerge w:val="restart"/>
          </w:tcPr>
          <w:p>
            <w:pPr>
              <w:ind w:left="180"/>
              <w:spacing w:after="0"/>
              <w:rPr>
                <w:sz w:val="20"/>
                <w:szCs w:val="20"/>
                <w:color w:val="auto"/>
              </w:rPr>
            </w:pPr>
            <w:r>
              <w:rPr>
                <w:rFonts w:ascii="Arial" w:cs="Arial" w:eastAsia="Arial" w:hAnsi="Arial"/>
                <w:sz w:val="14"/>
                <w:szCs w:val="14"/>
                <w:color w:val="auto"/>
                <w:w w:val="98"/>
              </w:rPr>
              <w:t>Officer (give title</w:t>
            </w:r>
          </w:p>
        </w:tc>
        <w:tc>
          <w:tcPr>
            <w:tcW w:w="1800" w:type="dxa"/>
            <w:vAlign w:val="bottom"/>
            <w:gridSpan w:val="3"/>
            <w:vMerge w:val="restart"/>
          </w:tcPr>
          <w:p>
            <w:pPr>
              <w:ind w:left="6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16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8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4"/>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8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(Last)</w:t>
            </w: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(First)</w:t>
            </w:r>
          </w:p>
        </w:tc>
        <w:tc>
          <w:tcPr>
            <w:tcW w:w="180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2980" w:type="dxa"/>
            <w:vAlign w:val="bottom"/>
            <w:gridSpan w:val="4"/>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Arial" w:cs="Arial" w:eastAsia="Arial" w:hAnsi="Arial"/>
                <w:sz w:val="14"/>
                <w:szCs w:val="14"/>
                <w:color w:val="auto"/>
              </w:rPr>
              <w:t>below)</w:t>
            </w:r>
          </w:p>
        </w:tc>
        <w:tc>
          <w:tcPr>
            <w:tcW w:w="1800" w:type="dxa"/>
            <w:vAlign w:val="bottom"/>
            <w:gridSpan w:val="3"/>
          </w:tcPr>
          <w:p>
            <w:pPr>
              <w:ind w:left="6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3"/>
            <w:vMerge w:val="restart"/>
          </w:tcPr>
          <w:p>
            <w:pPr>
              <w:spacing w:after="0"/>
              <w:rPr>
                <w:sz w:val="20"/>
                <w:szCs w:val="20"/>
                <w:color w:val="auto"/>
              </w:rPr>
            </w:pPr>
            <w:r>
              <w:rPr>
                <w:rFonts w:ascii="Arial" w:cs="Arial" w:eastAsia="Arial" w:hAnsi="Arial"/>
                <w:sz w:val="18"/>
                <w:szCs w:val="18"/>
                <w:color w:val="0000FF"/>
                <w:w w:val="96"/>
              </w:rPr>
              <w:t>29777 TELEGRAPH ROAD</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0000FF"/>
              </w:rPr>
              <w:t>05/22/2017</w:t>
            </w: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60" w:type="dxa"/>
            <w:vAlign w:val="bottom"/>
            <w:gridSpan w:val="3"/>
            <w:vMerge w:val="continue"/>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spacing w:after="0"/>
              <w:rPr>
                <w:sz w:val="20"/>
                <w:szCs w:val="20"/>
                <w:color w:val="auto"/>
              </w:rPr>
            </w:pPr>
            <w:r>
              <w:rPr>
                <w:rFonts w:ascii="Arial" w:cs="Arial" w:eastAsia="Arial" w:hAnsi="Arial"/>
                <w:sz w:val="18"/>
                <w:szCs w:val="18"/>
                <w:color w:val="0000FF"/>
              </w:rPr>
              <w:t>SUITE 2611</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5"/>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3440" w:type="dxa"/>
            <w:vAlign w:val="bottom"/>
            <w:gridSpan w:val="5"/>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5"/>
            <w:vMerge w:val="continue"/>
          </w:tcPr>
          <w:p>
            <w:pPr>
              <w:spacing w:after="0"/>
              <w:rPr>
                <w:sz w:val="8"/>
                <w:szCs w:val="8"/>
                <w:color w:val="auto"/>
              </w:rPr>
            </w:pPr>
          </w:p>
        </w:tc>
        <w:tc>
          <w:tcPr>
            <w:tcW w:w="420" w:type="dxa"/>
            <w:vAlign w:val="bottom"/>
          </w:tcPr>
          <w:p>
            <w:pPr>
              <w:spacing w:after="0"/>
              <w:rPr>
                <w:sz w:val="8"/>
                <w:szCs w:val="8"/>
                <w:color w:val="auto"/>
              </w:rPr>
            </w:pPr>
          </w:p>
        </w:tc>
        <w:tc>
          <w:tcPr>
            <w:tcW w:w="34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16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vMerge w:val="restart"/>
          </w:tcPr>
          <w:p>
            <w:pPr>
              <w:ind w:left="80"/>
              <w:spacing w:after="0"/>
              <w:rPr>
                <w:sz w:val="20"/>
                <w:szCs w:val="20"/>
                <w:color w:val="auto"/>
              </w:rPr>
            </w:pPr>
            <w:r>
              <w:rPr>
                <w:rFonts w:ascii="Arial" w:cs="Arial" w:eastAsia="Arial" w:hAnsi="Arial"/>
                <w:sz w:val="14"/>
                <w:szCs w:val="14"/>
                <w:color w:val="auto"/>
              </w:rPr>
              <w:t>Line)</w:t>
            </w:r>
          </w:p>
        </w:tc>
        <w:tc>
          <w:tcPr>
            <w:tcW w:w="1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40" w:type="dxa"/>
            <w:vAlign w:val="bottom"/>
            <w:gridSpan w:val="5"/>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SOUTHFIELD</w:t>
            </w:r>
          </w:p>
        </w:tc>
        <w:tc>
          <w:tcPr>
            <w:tcW w:w="980" w:type="dxa"/>
            <w:vAlign w:val="bottom"/>
            <w:gridSpan w:val="2"/>
          </w:tcPr>
          <w:p>
            <w:pPr>
              <w:ind w:left="100"/>
              <w:spacing w:after="0"/>
              <w:rPr>
                <w:sz w:val="20"/>
                <w:szCs w:val="20"/>
                <w:color w:val="auto"/>
              </w:rPr>
            </w:pPr>
            <w:r>
              <w:rPr>
                <w:rFonts w:ascii="Arial" w:cs="Arial" w:eastAsia="Arial" w:hAnsi="Arial"/>
                <w:sz w:val="18"/>
                <w:szCs w:val="18"/>
                <w:color w:val="0000FF"/>
              </w:rPr>
              <w:t>MI</w:t>
            </w:r>
          </w:p>
        </w:tc>
        <w:tc>
          <w:tcPr>
            <w:tcW w:w="1640" w:type="dxa"/>
            <w:vAlign w:val="bottom"/>
          </w:tcPr>
          <w:p>
            <w:pPr>
              <w:ind w:left="380"/>
              <w:spacing w:after="0"/>
              <w:rPr>
                <w:sz w:val="20"/>
                <w:szCs w:val="20"/>
                <w:color w:val="auto"/>
              </w:rPr>
            </w:pPr>
            <w:r>
              <w:rPr>
                <w:rFonts w:ascii="Arial" w:cs="Arial" w:eastAsia="Arial" w:hAnsi="Arial"/>
                <w:sz w:val="18"/>
                <w:szCs w:val="18"/>
                <w:color w:val="0000FF"/>
              </w:rPr>
              <w:t>48034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0" w:type="dxa"/>
            <w:vAlign w:val="bottom"/>
            <w:gridSpan w:val="4"/>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tcPr>
          <w:p>
            <w:pPr>
              <w:ind w:left="200"/>
              <w:spacing w:after="0" w:line="136"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(State)</w:t>
            </w:r>
          </w:p>
        </w:tc>
        <w:tc>
          <w:tcPr>
            <w:tcW w:w="180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9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5"/>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11"/>
          </w:tcPr>
          <w:p>
            <w:pPr>
              <w:ind w:lef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6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960"/>
              <w:spacing w:after="0"/>
              <w:rPr>
                <w:sz w:val="20"/>
                <w:szCs w:val="20"/>
                <w:color w:val="auto"/>
              </w:rPr>
            </w:pPr>
            <w:r>
              <w:rPr>
                <w:rFonts w:ascii="Arial" w:cs="Arial" w:eastAsia="Arial" w:hAnsi="Arial"/>
                <w:sz w:val="12"/>
                <w:szCs w:val="12"/>
                <w:b w:val="1"/>
                <w:bCs w:val="1"/>
                <w:color w:val="auto"/>
              </w:rPr>
              <w:t>2. Transaction</w:t>
            </w:r>
          </w:p>
        </w:tc>
        <w:tc>
          <w:tcPr>
            <w:tcW w:w="1360" w:type="dxa"/>
            <w:vAlign w:val="bottom"/>
          </w:tcPr>
          <w:p>
            <w:pPr>
              <w:ind w:left="3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40" w:type="dxa"/>
            <w:vAlign w:val="bottom"/>
          </w:tcPr>
          <w:p>
            <w:pPr>
              <w:spacing w:after="0"/>
              <w:rPr>
                <w:sz w:val="15"/>
                <w:szCs w:val="15"/>
                <w:color w:val="auto"/>
              </w:rPr>
            </w:pP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0" w:type="dxa"/>
            <w:vAlign w:val="bottom"/>
            <w:gridSpan w:val="3"/>
          </w:tcPr>
          <w:p>
            <w:pPr>
              <w:ind w:left="96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160" w:type="dxa"/>
            <w:vAlign w:val="bottom"/>
            <w:gridSpan w:val="4"/>
          </w:tcPr>
          <w:p>
            <w:pPr>
              <w:ind w:left="960"/>
              <w:spacing w:after="0" w:line="135"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2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40" w:type="dxa"/>
            <w:vAlign w:val="bottom"/>
          </w:tcPr>
          <w:p>
            <w:pPr>
              <w:spacing w:after="0"/>
              <w:rPr>
                <w:sz w:val="11"/>
                <w:szCs w:val="11"/>
                <w:color w:val="auto"/>
              </w:rPr>
            </w:pP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05/22/2017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7"/>
              <w:spacing w:after="0"/>
              <w:rPr>
                <w:sz w:val="20"/>
                <w:szCs w:val="20"/>
                <w:color w:val="auto"/>
              </w:rPr>
            </w:pPr>
            <w:r>
              <w:rPr>
                <w:rFonts w:ascii="Arial" w:cs="Arial" w:eastAsia="Arial" w:hAnsi="Arial"/>
                <w:sz w:val="18"/>
                <w:szCs w:val="18"/>
                <w:color w:val="0000FF"/>
                <w:w w:val="93"/>
              </w:rPr>
              <w:t>174</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221.48</w:t>
            </w:r>
            <w:r>
              <w:rPr>
                <w:rFonts w:ascii="Arial" w:cs="Arial" w:eastAsia="Arial" w:hAnsi="Arial"/>
                <w:sz w:val="22"/>
                <w:szCs w:val="22"/>
                <w:color w:val="008000"/>
                <w:w w:val="91"/>
                <w:vertAlign w:val="superscript"/>
              </w:rPr>
              <w:t>(1)</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9"/>
              </w:rPr>
              <w:t>141,222</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05/22/2017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7"/>
              <w:spacing w:after="0"/>
              <w:rPr>
                <w:sz w:val="20"/>
                <w:szCs w:val="20"/>
                <w:color w:val="auto"/>
              </w:rPr>
            </w:pPr>
            <w:r>
              <w:rPr>
                <w:rFonts w:ascii="Arial" w:cs="Arial" w:eastAsia="Arial" w:hAnsi="Arial"/>
                <w:sz w:val="18"/>
                <w:szCs w:val="18"/>
                <w:color w:val="0000FF"/>
                <w:w w:val="79"/>
              </w:rPr>
              <w:t>61</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221.48</w:t>
            </w:r>
            <w:r>
              <w:rPr>
                <w:rFonts w:ascii="Arial" w:cs="Arial" w:eastAsia="Arial" w:hAnsi="Arial"/>
                <w:sz w:val="22"/>
                <w:szCs w:val="22"/>
                <w:color w:val="008000"/>
                <w:w w:val="91"/>
                <w:vertAlign w:val="superscript"/>
              </w:rPr>
              <w:t>(1)</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90"/>
              </w:rPr>
              <w:t>49,991</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05/22/2017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7"/>
              <w:spacing w:after="0"/>
              <w:rPr>
                <w:sz w:val="20"/>
                <w:szCs w:val="20"/>
                <w:color w:val="auto"/>
              </w:rPr>
            </w:pPr>
            <w:r>
              <w:rPr>
                <w:rFonts w:ascii="Arial" w:cs="Arial" w:eastAsia="Arial" w:hAnsi="Arial"/>
                <w:sz w:val="18"/>
                <w:szCs w:val="18"/>
                <w:color w:val="0000FF"/>
                <w:w w:val="79"/>
              </w:rPr>
              <w:t>61</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221.48</w:t>
            </w:r>
            <w:r>
              <w:rPr>
                <w:rFonts w:ascii="Arial" w:cs="Arial" w:eastAsia="Arial" w:hAnsi="Arial"/>
                <w:sz w:val="22"/>
                <w:szCs w:val="22"/>
                <w:color w:val="008000"/>
                <w:w w:val="91"/>
                <w:vertAlign w:val="superscript"/>
              </w:rPr>
              <w:t>(1)</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90"/>
              </w:rPr>
              <w:t>49,991</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05/22/2017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7"/>
              <w:spacing w:after="0"/>
              <w:rPr>
                <w:sz w:val="20"/>
                <w:szCs w:val="20"/>
                <w:color w:val="auto"/>
              </w:rPr>
            </w:pPr>
            <w:r>
              <w:rPr>
                <w:rFonts w:ascii="Arial" w:cs="Arial" w:eastAsia="Arial" w:hAnsi="Arial"/>
                <w:sz w:val="18"/>
                <w:szCs w:val="18"/>
                <w:color w:val="0000FF"/>
                <w:w w:val="93"/>
              </w:rPr>
              <w:t>337</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223.09</w:t>
            </w:r>
            <w:r>
              <w:rPr>
                <w:rFonts w:ascii="Arial" w:cs="Arial" w:eastAsia="Arial" w:hAnsi="Arial"/>
                <w:sz w:val="22"/>
                <w:szCs w:val="22"/>
                <w:color w:val="008000"/>
                <w:w w:val="91"/>
                <w:vertAlign w:val="superscript"/>
              </w:rPr>
              <w:t>(5)</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9"/>
              </w:rPr>
              <w:t>140,885</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05/22/2017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7"/>
              <w:spacing w:after="0"/>
              <w:rPr>
                <w:sz w:val="20"/>
                <w:szCs w:val="20"/>
                <w:color w:val="auto"/>
              </w:rPr>
            </w:pPr>
            <w:r>
              <w:rPr>
                <w:rFonts w:ascii="Arial" w:cs="Arial" w:eastAsia="Arial" w:hAnsi="Arial"/>
                <w:sz w:val="18"/>
                <w:szCs w:val="18"/>
                <w:color w:val="0000FF"/>
                <w:w w:val="79"/>
              </w:rPr>
              <w:t>117</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223.09</w:t>
            </w:r>
            <w:r>
              <w:rPr>
                <w:rFonts w:ascii="Arial" w:cs="Arial" w:eastAsia="Arial" w:hAnsi="Arial"/>
                <w:sz w:val="22"/>
                <w:szCs w:val="22"/>
                <w:color w:val="008000"/>
                <w:w w:val="91"/>
                <w:vertAlign w:val="superscript"/>
              </w:rPr>
              <w:t>(5)</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90"/>
              </w:rPr>
              <w:t>49,874</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05/22/2017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7"/>
              <w:spacing w:after="0"/>
              <w:rPr>
                <w:sz w:val="20"/>
                <w:szCs w:val="20"/>
                <w:color w:val="auto"/>
              </w:rPr>
            </w:pPr>
            <w:r>
              <w:rPr>
                <w:rFonts w:ascii="Arial" w:cs="Arial" w:eastAsia="Arial" w:hAnsi="Arial"/>
                <w:sz w:val="18"/>
                <w:szCs w:val="18"/>
                <w:color w:val="0000FF"/>
                <w:w w:val="79"/>
              </w:rPr>
              <w:t>117</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223.09</w:t>
            </w:r>
            <w:r>
              <w:rPr>
                <w:rFonts w:ascii="Arial" w:cs="Arial" w:eastAsia="Arial" w:hAnsi="Arial"/>
                <w:sz w:val="22"/>
                <w:szCs w:val="22"/>
                <w:color w:val="008000"/>
                <w:w w:val="91"/>
                <w:vertAlign w:val="superscript"/>
              </w:rPr>
              <w:t>(5)</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90"/>
              </w:rPr>
              <w:t>49,874</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05/22/2017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7"/>
              <w:spacing w:after="0"/>
              <w:rPr>
                <w:sz w:val="20"/>
                <w:szCs w:val="20"/>
                <w:color w:val="auto"/>
              </w:rPr>
            </w:pPr>
            <w:r>
              <w:rPr>
                <w:rFonts w:ascii="Arial" w:cs="Arial" w:eastAsia="Arial" w:hAnsi="Arial"/>
                <w:sz w:val="18"/>
                <w:szCs w:val="18"/>
                <w:color w:val="0000FF"/>
                <w:w w:val="93"/>
              </w:rPr>
              <w:t>715</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224.34</w:t>
            </w:r>
            <w:r>
              <w:rPr>
                <w:rFonts w:ascii="Arial" w:cs="Arial" w:eastAsia="Arial" w:hAnsi="Arial"/>
                <w:sz w:val="22"/>
                <w:szCs w:val="22"/>
                <w:color w:val="008000"/>
                <w:w w:val="91"/>
                <w:vertAlign w:val="superscript"/>
              </w:rPr>
              <w:t>(6)</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9"/>
              </w:rPr>
              <w:t>140,170</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05/22/2017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7"/>
              <w:spacing w:after="0"/>
              <w:rPr>
                <w:sz w:val="20"/>
                <w:szCs w:val="20"/>
                <w:color w:val="auto"/>
              </w:rPr>
            </w:pPr>
            <w:r>
              <w:rPr>
                <w:rFonts w:ascii="Arial" w:cs="Arial" w:eastAsia="Arial" w:hAnsi="Arial"/>
                <w:sz w:val="18"/>
                <w:szCs w:val="18"/>
                <w:color w:val="0000FF"/>
                <w:w w:val="93"/>
              </w:rPr>
              <w:t>249</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224.34</w:t>
            </w:r>
            <w:r>
              <w:rPr>
                <w:rFonts w:ascii="Arial" w:cs="Arial" w:eastAsia="Arial" w:hAnsi="Arial"/>
                <w:sz w:val="22"/>
                <w:szCs w:val="22"/>
                <w:color w:val="008000"/>
                <w:w w:val="91"/>
                <w:vertAlign w:val="superscript"/>
              </w:rPr>
              <w:t>(6)</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90"/>
              </w:rPr>
              <w:t>49,625</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05/22/2017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7"/>
              <w:spacing w:after="0"/>
              <w:rPr>
                <w:sz w:val="20"/>
                <w:szCs w:val="20"/>
                <w:color w:val="auto"/>
              </w:rPr>
            </w:pPr>
            <w:r>
              <w:rPr>
                <w:rFonts w:ascii="Arial" w:cs="Arial" w:eastAsia="Arial" w:hAnsi="Arial"/>
                <w:sz w:val="18"/>
                <w:szCs w:val="18"/>
                <w:color w:val="0000FF"/>
                <w:w w:val="93"/>
              </w:rPr>
              <w:t>249</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224.34</w:t>
            </w:r>
            <w:r>
              <w:rPr>
                <w:rFonts w:ascii="Arial" w:cs="Arial" w:eastAsia="Arial" w:hAnsi="Arial"/>
                <w:sz w:val="22"/>
                <w:szCs w:val="22"/>
                <w:color w:val="008000"/>
                <w:w w:val="91"/>
                <w:vertAlign w:val="superscript"/>
              </w:rPr>
              <w:t>(6)</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90"/>
              </w:rPr>
              <w:t>49,625</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05/22/2017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7"/>
              <w:spacing w:after="0"/>
              <w:rPr>
                <w:sz w:val="20"/>
                <w:szCs w:val="20"/>
                <w:color w:val="auto"/>
              </w:rPr>
            </w:pPr>
            <w:r>
              <w:rPr>
                <w:rFonts w:ascii="Arial" w:cs="Arial" w:eastAsia="Arial" w:hAnsi="Arial"/>
                <w:sz w:val="18"/>
                <w:szCs w:val="18"/>
                <w:color w:val="0000FF"/>
                <w:w w:val="88"/>
              </w:rPr>
              <w:t>1,334</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225.14</w:t>
            </w:r>
            <w:r>
              <w:rPr>
                <w:rFonts w:ascii="Arial" w:cs="Arial" w:eastAsia="Arial" w:hAnsi="Arial"/>
                <w:sz w:val="22"/>
                <w:szCs w:val="22"/>
                <w:color w:val="008000"/>
                <w:w w:val="91"/>
                <w:vertAlign w:val="superscript"/>
              </w:rPr>
              <w:t>(7)</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9"/>
              </w:rPr>
              <w:t>138,836</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05/22/2017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7"/>
              <w:spacing w:after="0"/>
              <w:rPr>
                <w:sz w:val="20"/>
                <w:szCs w:val="20"/>
                <w:color w:val="auto"/>
              </w:rPr>
            </w:pPr>
            <w:r>
              <w:rPr>
                <w:rFonts w:ascii="Arial" w:cs="Arial" w:eastAsia="Arial" w:hAnsi="Arial"/>
                <w:sz w:val="18"/>
                <w:szCs w:val="18"/>
                <w:color w:val="0000FF"/>
                <w:w w:val="93"/>
              </w:rPr>
              <w:t>466</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225.14</w:t>
            </w:r>
            <w:r>
              <w:rPr>
                <w:rFonts w:ascii="Arial" w:cs="Arial" w:eastAsia="Arial" w:hAnsi="Arial"/>
                <w:sz w:val="22"/>
                <w:szCs w:val="22"/>
                <w:color w:val="008000"/>
                <w:w w:val="91"/>
                <w:vertAlign w:val="superscript"/>
              </w:rPr>
              <w:t>(7)</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90"/>
              </w:rPr>
              <w:t>49,159</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05/22/2017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7"/>
              <w:spacing w:after="0"/>
              <w:rPr>
                <w:sz w:val="20"/>
                <w:szCs w:val="20"/>
                <w:color w:val="auto"/>
              </w:rPr>
            </w:pPr>
            <w:r>
              <w:rPr>
                <w:rFonts w:ascii="Arial" w:cs="Arial" w:eastAsia="Arial" w:hAnsi="Arial"/>
                <w:sz w:val="18"/>
                <w:szCs w:val="18"/>
                <w:color w:val="0000FF"/>
                <w:w w:val="93"/>
              </w:rPr>
              <w:t>466</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225.14</w:t>
            </w:r>
            <w:r>
              <w:rPr>
                <w:rFonts w:ascii="Arial" w:cs="Arial" w:eastAsia="Arial" w:hAnsi="Arial"/>
                <w:sz w:val="22"/>
                <w:szCs w:val="22"/>
                <w:color w:val="008000"/>
                <w:w w:val="91"/>
                <w:vertAlign w:val="superscript"/>
              </w:rPr>
              <w:t>(7)</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90"/>
              </w:rPr>
              <w:t>49,159</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05/22/2017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7"/>
              <w:spacing w:after="0"/>
              <w:rPr>
                <w:sz w:val="20"/>
                <w:szCs w:val="20"/>
                <w:color w:val="auto"/>
              </w:rPr>
            </w:pPr>
            <w:r>
              <w:rPr>
                <w:rFonts w:ascii="Arial" w:cs="Arial" w:eastAsia="Arial" w:hAnsi="Arial"/>
                <w:sz w:val="18"/>
                <w:szCs w:val="18"/>
                <w:color w:val="0000FF"/>
                <w:w w:val="93"/>
              </w:rPr>
              <w:t>397</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225.85</w:t>
            </w:r>
            <w:r>
              <w:rPr>
                <w:rFonts w:ascii="Arial" w:cs="Arial" w:eastAsia="Arial" w:hAnsi="Arial"/>
                <w:sz w:val="22"/>
                <w:szCs w:val="22"/>
                <w:color w:val="008000"/>
                <w:w w:val="91"/>
                <w:vertAlign w:val="superscript"/>
              </w:rPr>
              <w:t>(8)</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9"/>
              </w:rPr>
              <w:t>138,439</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05/22/2017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7"/>
              <w:spacing w:after="0"/>
              <w:rPr>
                <w:sz w:val="20"/>
                <w:szCs w:val="20"/>
                <w:color w:val="auto"/>
              </w:rPr>
            </w:pPr>
            <w:r>
              <w:rPr>
                <w:rFonts w:ascii="Arial" w:cs="Arial" w:eastAsia="Arial" w:hAnsi="Arial"/>
                <w:sz w:val="18"/>
                <w:szCs w:val="18"/>
                <w:color w:val="0000FF"/>
                <w:w w:val="93"/>
              </w:rPr>
              <w:t>139</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225.85</w:t>
            </w:r>
            <w:r>
              <w:rPr>
                <w:rFonts w:ascii="Arial" w:cs="Arial" w:eastAsia="Arial" w:hAnsi="Arial"/>
                <w:sz w:val="22"/>
                <w:szCs w:val="22"/>
                <w:color w:val="008000"/>
                <w:w w:val="91"/>
                <w:vertAlign w:val="superscript"/>
              </w:rPr>
              <w:t>(8)</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90"/>
              </w:rPr>
              <w:t>49,020</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05/22/2017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7"/>
              <w:spacing w:after="0"/>
              <w:rPr>
                <w:sz w:val="20"/>
                <w:szCs w:val="20"/>
                <w:color w:val="auto"/>
              </w:rPr>
            </w:pPr>
            <w:r>
              <w:rPr>
                <w:rFonts w:ascii="Arial" w:cs="Arial" w:eastAsia="Arial" w:hAnsi="Arial"/>
                <w:sz w:val="18"/>
                <w:szCs w:val="18"/>
                <w:color w:val="0000FF"/>
                <w:w w:val="93"/>
              </w:rPr>
              <w:t>139</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225.85</w:t>
            </w:r>
            <w:r>
              <w:rPr>
                <w:rFonts w:ascii="Arial" w:cs="Arial" w:eastAsia="Arial" w:hAnsi="Arial"/>
                <w:sz w:val="22"/>
                <w:szCs w:val="22"/>
                <w:color w:val="008000"/>
                <w:w w:val="91"/>
                <w:vertAlign w:val="superscript"/>
              </w:rPr>
              <w:t>(8)</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90"/>
              </w:rPr>
              <w:t>49,020</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2,146</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By Son</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16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3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4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42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ectPr>
          <w:pgSz w:w="11900" w:h="16838" w:orient="portrait"/>
          <w:cols w:equalWidth="0" w:num="1">
            <w:col w:w="11420"/>
          </w:cols>
          <w:pgMar w:left="240" w:top="226" w:right="239" w:bottom="58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2"/>
                <w:szCs w:val="12"/>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9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6400" w:type="dxa"/>
            <w:vAlign w:val="bottom"/>
            <w:gridSpan w:val="11"/>
          </w:tcPr>
          <w:p>
            <w:pPr>
              <w:jc w:val="center"/>
              <w:spacing w:after="0" w:line="54"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Execution Date,</w:t>
            </w:r>
          </w:p>
        </w:tc>
        <w:tc>
          <w:tcPr>
            <w:tcW w:w="84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Transaction</w:t>
            </w:r>
          </w:p>
        </w:tc>
        <w:tc>
          <w:tcPr>
            <w:tcW w:w="460" w:type="dxa"/>
            <w:vAlign w:val="bottom"/>
          </w:tcPr>
          <w:p>
            <w:pPr>
              <w:ind w:left="80"/>
              <w:spacing w:after="0" w:line="81" w:lineRule="exact"/>
              <w:rPr>
                <w:sz w:val="20"/>
                <w:szCs w:val="20"/>
                <w:color w:val="auto"/>
              </w:rPr>
            </w:pPr>
            <w:r>
              <w:rPr>
                <w:rFonts w:ascii="Arial" w:cs="Arial" w:eastAsia="Arial" w:hAnsi="Arial"/>
                <w:sz w:val="9"/>
                <w:szCs w:val="9"/>
                <w:b w:val="1"/>
                <w:bCs w:val="1"/>
                <w:color w:val="auto"/>
              </w:rPr>
              <w:t>of</w:t>
            </w:r>
          </w:p>
        </w:tc>
        <w:tc>
          <w:tcPr>
            <w:tcW w:w="320" w:type="dxa"/>
            <w:vAlign w:val="bottom"/>
          </w:tcPr>
          <w:p>
            <w:pPr>
              <w:spacing w:after="0"/>
              <w:rPr>
                <w:sz w:val="7"/>
                <w:szCs w:val="7"/>
                <w:color w:val="auto"/>
              </w:rPr>
            </w:pPr>
          </w:p>
        </w:tc>
        <w:tc>
          <w:tcPr>
            <w:tcW w:w="160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Expiration Date</w:t>
            </w:r>
          </w:p>
        </w:tc>
        <w:tc>
          <w:tcPr>
            <w:tcW w:w="1080" w:type="dxa"/>
            <w:vAlign w:val="bottom"/>
          </w:tcPr>
          <w:p>
            <w:pPr>
              <w:ind w:left="40"/>
              <w:spacing w:after="0" w:line="81" w:lineRule="exact"/>
              <w:rPr>
                <w:sz w:val="20"/>
                <w:szCs w:val="20"/>
                <w:color w:val="auto"/>
              </w:rPr>
            </w:pPr>
            <w:r>
              <w:rPr>
                <w:rFonts w:ascii="Arial" w:cs="Arial" w:eastAsia="Arial" w:hAnsi="Arial"/>
                <w:sz w:val="9"/>
                <w:szCs w:val="9"/>
                <w:b w:val="1"/>
                <w:bCs w:val="1"/>
                <w:color w:val="auto"/>
              </w:rPr>
              <w:t>Amount of</w:t>
            </w:r>
          </w:p>
        </w:tc>
        <w:tc>
          <w:tcPr>
            <w:tcW w:w="760" w:type="dxa"/>
            <w:vAlign w:val="bottom"/>
          </w:tcPr>
          <w:p>
            <w:pPr>
              <w:ind w:left="60"/>
              <w:spacing w:after="0" w:line="81" w:lineRule="exact"/>
              <w:rPr>
                <w:sz w:val="20"/>
                <w:szCs w:val="20"/>
                <w:color w:val="auto"/>
              </w:rPr>
            </w:pPr>
            <w:r>
              <w:rPr>
                <w:rFonts w:ascii="Arial" w:cs="Arial" w:eastAsia="Arial" w:hAnsi="Arial"/>
                <w:sz w:val="9"/>
                <w:szCs w:val="9"/>
                <w:b w:val="1"/>
                <w:bCs w:val="1"/>
                <w:color w:val="auto"/>
              </w:rPr>
              <w:t>Derivative</w:t>
            </w:r>
          </w:p>
        </w:tc>
        <w:tc>
          <w:tcPr>
            <w:tcW w:w="9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40" w:type="dxa"/>
            <w:vAlign w:val="bottom"/>
          </w:tcPr>
          <w:p>
            <w:pPr>
              <w:ind w:left="60"/>
              <w:spacing w:after="0"/>
              <w:rPr>
                <w:sz w:val="20"/>
                <w:szCs w:val="20"/>
                <w:color w:val="auto"/>
              </w:rPr>
            </w:pPr>
            <w:r>
              <w:rPr>
                <w:rFonts w:ascii="Arial" w:cs="Arial" w:eastAsia="Arial" w:hAnsi="Arial"/>
                <w:sz w:val="2"/>
                <w:szCs w:val="2"/>
                <w:b w:val="1"/>
                <w:bCs w:val="1"/>
                <w:color w:val="auto"/>
              </w:rPr>
              <w:t>Security</w:t>
            </w:r>
          </w:p>
        </w:tc>
        <w:tc>
          <w:tcPr>
            <w:tcW w:w="820" w:type="dxa"/>
            <w:vAlign w:val="bottom"/>
          </w:tcPr>
          <w:p>
            <w:pPr>
              <w:ind w:left="80"/>
              <w:spacing w:after="0"/>
              <w:rPr>
                <w:sz w:val="20"/>
                <w:szCs w:val="20"/>
                <w:color w:val="auto"/>
              </w:rPr>
            </w:pPr>
            <w:r>
              <w:rPr>
                <w:rFonts w:ascii="Arial" w:cs="Arial" w:eastAsia="Arial" w:hAnsi="Arial"/>
                <w:sz w:val="2"/>
                <w:szCs w:val="2"/>
                <w:b w:val="1"/>
                <w:bCs w:val="1"/>
                <w:color w:val="auto"/>
              </w:rPr>
              <w:t>or Exercise</w:t>
            </w:r>
          </w:p>
        </w:tc>
        <w:tc>
          <w:tcPr>
            <w:tcW w:w="1140" w:type="dxa"/>
            <w:vAlign w:val="bottom"/>
            <w:gridSpan w:val="2"/>
          </w:tcPr>
          <w:p>
            <w:pPr>
              <w:ind w:left="80"/>
              <w:spacing w:after="0"/>
              <w:rPr>
                <w:sz w:val="20"/>
                <w:szCs w:val="20"/>
                <w:color w:val="auto"/>
              </w:rPr>
            </w:pPr>
            <w:r>
              <w:rPr>
                <w:rFonts w:ascii="Arial" w:cs="Arial" w:eastAsia="Arial" w:hAnsi="Arial"/>
                <w:sz w:val="2"/>
                <w:szCs w:val="2"/>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2"/>
                <w:szCs w:val="2"/>
                <w:b w:val="1"/>
                <w:bCs w:val="1"/>
                <w:color w:val="auto"/>
              </w:rPr>
              <w:t>if any</w:t>
            </w:r>
          </w:p>
        </w:tc>
        <w:tc>
          <w:tcPr>
            <w:tcW w:w="4960" w:type="dxa"/>
            <w:vAlign w:val="bottom"/>
            <w:gridSpan w:val="8"/>
          </w:tcPr>
          <w:p>
            <w:pPr>
              <w:jc w:val="center"/>
              <w:ind w:left="6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rPr>
                <w:sz w:val="20"/>
                <w:szCs w:val="20"/>
                <w:color w:val="auto"/>
              </w:rPr>
            </w:pPr>
            <w:r>
              <w:rPr>
                <w:rFonts w:ascii="Arial" w:cs="Arial" w:eastAsia="Arial" w:hAnsi="Arial"/>
                <w:sz w:val="2"/>
                <w:szCs w:val="2"/>
                <w:b w:val="1"/>
                <w:bCs w:val="1"/>
                <w:color w:val="auto"/>
              </w:rPr>
              <w:t>Securities</w:t>
            </w:r>
          </w:p>
        </w:tc>
        <w:tc>
          <w:tcPr>
            <w:tcW w:w="760" w:type="dxa"/>
            <w:vAlign w:val="bottom"/>
          </w:tcPr>
          <w:p>
            <w:pPr>
              <w:ind w:left="60"/>
              <w:spacing w:after="0"/>
              <w:rPr>
                <w:sz w:val="20"/>
                <w:szCs w:val="20"/>
                <w:color w:val="auto"/>
              </w:rPr>
            </w:pPr>
            <w:r>
              <w:rPr>
                <w:rFonts w:ascii="Arial" w:cs="Arial" w:eastAsia="Arial" w:hAnsi="Arial"/>
                <w:sz w:val="2"/>
                <w:szCs w:val="2"/>
                <w:b w:val="1"/>
                <w:bCs w:val="1"/>
                <w:color w:val="auto"/>
              </w:rPr>
              <w:t>Form:</w:t>
            </w:r>
          </w:p>
        </w:tc>
        <w:tc>
          <w:tcPr>
            <w:tcW w:w="800" w:type="dxa"/>
            <w:vAlign w:val="bottom"/>
            <w:gridSpan w:val="2"/>
          </w:tcPr>
          <w:p>
            <w:pPr>
              <w:ind w:left="80"/>
              <w:spacing w:after="0"/>
              <w:rPr>
                <w:sz w:val="20"/>
                <w:szCs w:val="20"/>
                <w:color w:val="auto"/>
              </w:rPr>
            </w:pPr>
            <w:r>
              <w:rPr>
                <w:rFonts w:ascii="Arial" w:cs="Arial" w:eastAsia="Arial" w:hAnsi="Arial"/>
                <w:sz w:val="2"/>
                <w:szCs w:val="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4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 iv</w:t>
            </w:r>
          </w:p>
        </w:tc>
        <w:tc>
          <w:tcPr>
            <w:tcW w:w="320" w:type="dxa"/>
            <w:vAlign w:val="bottom"/>
          </w:tcPr>
          <w:p>
            <w:pPr>
              <w:spacing w:after="0" w:line="121" w:lineRule="exact"/>
              <w:rPr>
                <w:sz w:val="20"/>
                <w:szCs w:val="20"/>
                <w:color w:val="auto"/>
              </w:rPr>
            </w:pPr>
            <w:r>
              <w:rPr>
                <w:rFonts w:ascii="Arial" w:cs="Arial" w:eastAsia="Arial" w:hAnsi="Arial"/>
                <w:sz w:val="12"/>
                <w:szCs w:val="12"/>
                <w:b w:val="1"/>
                <w:bCs w:val="1"/>
                <w:color w:val="auto"/>
              </w:rPr>
              <w:t>tive</w:t>
            </w:r>
          </w:p>
        </w:tc>
        <w:tc>
          <w:tcPr>
            <w:tcW w:w="160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4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gridSpan w:val="2"/>
          </w:tcPr>
          <w:p>
            <w:pPr>
              <w:spacing w:after="0"/>
              <w:rPr>
                <w:sz w:val="6"/>
                <w:szCs w:val="6"/>
                <w:color w:val="auto"/>
              </w:rPr>
            </w:pPr>
          </w:p>
        </w:tc>
        <w:tc>
          <w:tcPr>
            <w:tcW w:w="1600" w:type="dxa"/>
            <w:vAlign w:val="bottom"/>
            <w:tcBorders>
              <w:bottom w:val="single" w:sz="8" w:color="2C2C2C"/>
            </w:tcBorders>
            <w:gridSpan w:val="2"/>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3"/>
                <w:szCs w:val="13"/>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w w:val="94"/>
              </w:rPr>
              <w:t>7. Title andAmount</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Amountorof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SecuritiesNumber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w w:val="79"/>
              </w:rPr>
              <w:t>Acquired(A)(D)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w w:val="83"/>
              </w:rPr>
              <w:t>DerivativeTitleShares</w:t>
            </w:r>
          </w:p>
        </w:tc>
        <w:tc>
          <w:tcPr>
            <w:tcW w:w="760" w:type="dxa"/>
            <w:vAlign w:val="bottom"/>
          </w:tcPr>
          <w:p>
            <w:pPr>
              <w:spacing w:after="0"/>
              <w:rPr>
                <w:sz w:val="12"/>
                <w:szCs w:val="12"/>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ind w:left="40"/>
              <w:spacing w:after="0" w:line="124"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0"/>
                <w:szCs w:val="10"/>
                <w:color w:val="auto"/>
              </w:rPr>
            </w:pPr>
          </w:p>
        </w:tc>
        <w:tc>
          <w:tcPr>
            <w:tcW w:w="94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00" w:type="dxa"/>
            <w:vAlign w:val="bottom"/>
            <w:gridSpan w:val="3"/>
          </w:tcPr>
          <w:p>
            <w:pPr>
              <w:ind w:left="20"/>
              <w:spacing w:after="0" w:line="146" w:lineRule="exact"/>
              <w:rPr>
                <w:sz w:val="20"/>
                <w:szCs w:val="20"/>
                <w:color w:val="auto"/>
              </w:rPr>
            </w:pPr>
            <w:r>
              <w:rPr>
                <w:rFonts w:ascii="Arial" w:cs="Arial" w:eastAsia="Arial" w:hAnsi="Arial"/>
                <w:sz w:val="14"/>
                <w:szCs w:val="14"/>
                <w:b w:val="1"/>
                <w:bCs w:val="1"/>
                <w:color w:val="auto"/>
              </w:rPr>
              <w:t>Explanation of Responses:</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2"/>
                <w:szCs w:val="12"/>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400" w:type="dxa"/>
            <w:vAlign w:val="bottom"/>
            <w:gridSpan w:val="18"/>
          </w:tcPr>
          <w:p>
            <w:pPr>
              <w:ind w:left="20"/>
              <w:spacing w:after="0" w:line="54" w:lineRule="exact"/>
              <w:rPr>
                <w:sz w:val="20"/>
                <w:szCs w:val="20"/>
                <w:color w:val="auto"/>
              </w:rPr>
            </w:pPr>
            <w:r>
              <w:rPr>
                <w:rFonts w:ascii="Arial" w:cs="Arial" w:eastAsia="Arial" w:hAnsi="Arial"/>
                <w:sz w:val="6"/>
                <w:szCs w:val="6"/>
                <w:color w:val="008000"/>
              </w:rPr>
              <w:t>1. The price reported in Column 4 is a weighted average price. These shares were sold in multiple transactions at prices ranging from $220.90 to $221.88, inclusive. The reporting person undertakes to provide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(Instr. 3, 4</w:t>
            </w: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ind w:left="20"/>
              <w:spacing w:after="0" w:line="81" w:lineRule="exact"/>
              <w:rPr>
                <w:sz w:val="20"/>
                <w:szCs w:val="20"/>
                <w:color w:val="auto"/>
              </w:rPr>
            </w:pPr>
            <w:r>
              <w:rPr>
                <w:rFonts w:ascii="Arial" w:cs="Arial" w:eastAsia="Arial" w:hAnsi="Arial"/>
                <w:sz w:val="9"/>
                <w:szCs w:val="9"/>
                <w:b w:val="1"/>
                <w:bCs w:val="1"/>
                <w:color w:val="auto"/>
              </w:rPr>
              <w:t>(Instr. 4)</w:t>
            </w: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400" w:type="dxa"/>
            <w:vAlign w:val="bottom"/>
            <w:gridSpan w:val="18"/>
          </w:tcPr>
          <w:p>
            <w:pPr>
              <w:ind w:left="20"/>
              <w:spacing w:after="0" w:line="68" w:lineRule="exact"/>
              <w:rPr>
                <w:sz w:val="20"/>
                <w:szCs w:val="20"/>
                <w:color w:val="auto"/>
              </w:rPr>
            </w:pPr>
            <w:r>
              <w:rPr>
                <w:rFonts w:ascii="Arial" w:cs="Arial" w:eastAsia="Arial" w:hAnsi="Arial"/>
                <w:sz w:val="7"/>
                <w:szCs w:val="7"/>
                <w:color w:val="008000"/>
              </w:rPr>
              <w:t>to Credit Acceptance Corporation, any security holder of Credit Acceptance Corporation, or the staff of the Securities and Exchange Commission, upon request, full information regarding the 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7"/>
            <w:vMerge w:val="restart"/>
          </w:tcPr>
          <w:p>
            <w:pPr>
              <w:ind w:left="20"/>
              <w:spacing w:after="0"/>
              <w:rPr>
                <w:sz w:val="20"/>
                <w:szCs w:val="20"/>
                <w:color w:val="auto"/>
              </w:rPr>
            </w:pPr>
            <w:r>
              <w:rPr>
                <w:rFonts w:ascii="Arial" w:cs="Arial" w:eastAsia="Arial" w:hAnsi="Arial"/>
                <w:sz w:val="14"/>
                <w:szCs w:val="14"/>
                <w:color w:val="008000"/>
                <w:w w:val="85"/>
              </w:rPr>
              <w:t>sold at each separate price within the ranges set forth in the preceding sentence.</w:t>
            </w:r>
          </w:p>
        </w:tc>
        <w:tc>
          <w:tcPr>
            <w:tcW w:w="340" w:type="dxa"/>
            <w:vAlign w:val="bottom"/>
          </w:tcPr>
          <w:p>
            <w:pPr>
              <w:spacing w:after="0"/>
              <w:rPr>
                <w:sz w:val="12"/>
                <w:szCs w:val="12"/>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340" w:type="dxa"/>
            <w:vAlign w:val="bottom"/>
            <w:gridSpan w:val="7"/>
            <w:vMerge w:val="continue"/>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060" w:type="dxa"/>
            <w:vAlign w:val="bottom"/>
            <w:gridSpan w:val="12"/>
          </w:tcPr>
          <w:p>
            <w:pPr>
              <w:ind w:left="20"/>
              <w:spacing w:after="0"/>
              <w:rPr>
                <w:sz w:val="20"/>
                <w:szCs w:val="20"/>
                <w:color w:val="auto"/>
              </w:rPr>
            </w:pPr>
            <w:r>
              <w:rPr>
                <w:rFonts w:ascii="Arial" w:cs="Arial" w:eastAsia="Arial" w:hAnsi="Arial"/>
                <w:sz w:val="14"/>
                <w:szCs w:val="14"/>
                <w:color w:val="008000"/>
                <w:w w:val="86"/>
              </w:rPr>
              <w:t>2. These shares are owned of record by Jill Foss Watson, as Trustee of the Jill Foss Watson 2016 Grantor Retained Annuity Trust.</w:t>
            </w:r>
          </w:p>
        </w:tc>
        <w:tc>
          <w:tcPr>
            <w:tcW w:w="1080" w:type="dxa"/>
            <w:vAlign w:val="bottom"/>
          </w:tcPr>
          <w:p>
            <w:pPr>
              <w:ind w:left="50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ind w:left="500"/>
              <w:spacing w:after="0" w:line="122"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9840" w:type="dxa"/>
            <w:vAlign w:val="bottom"/>
            <w:gridSpan w:val="15"/>
          </w:tcPr>
          <w:p>
            <w:pPr>
              <w:ind w:left="20"/>
              <w:spacing w:after="0" w:line="81" w:lineRule="exact"/>
              <w:rPr>
                <w:sz w:val="20"/>
                <w:szCs w:val="20"/>
                <w:color w:val="auto"/>
              </w:rPr>
            </w:pPr>
            <w:r>
              <w:rPr>
                <w:rFonts w:ascii="Arial" w:cs="Arial" w:eastAsia="Arial" w:hAnsi="Arial"/>
                <w:sz w:val="9"/>
                <w:szCs w:val="9"/>
                <w:color w:val="008000"/>
              </w:rPr>
              <w:t>3. These shares are owned of record by Todd Watson, spouse of Jill Foss Watson, as trustee of the Jill Foss Watson 2014 Children's Trust FBO Duncan Todd Watson.</w:t>
            </w: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ind w:left="500"/>
              <w:spacing w:after="0" w:line="66" w:lineRule="exact"/>
              <w:rPr>
                <w:sz w:val="20"/>
                <w:szCs w:val="20"/>
                <w:color w:val="auto"/>
              </w:rPr>
            </w:pPr>
            <w:r>
              <w:rPr>
                <w:rFonts w:ascii="Arial" w:cs="Arial" w:eastAsia="Arial" w:hAnsi="Arial"/>
                <w:sz w:val="7"/>
                <w:szCs w:val="7"/>
                <w:b w:val="1"/>
                <w:bCs w:val="1"/>
                <w:color w:val="auto"/>
              </w:rPr>
              <w:t>Number</w:t>
            </w: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840" w:type="dxa"/>
            <w:vAlign w:val="bottom"/>
            <w:gridSpan w:val="15"/>
          </w:tcPr>
          <w:p>
            <w:pPr>
              <w:ind w:left="20"/>
              <w:spacing w:after="0" w:line="137" w:lineRule="exact"/>
              <w:rPr>
                <w:sz w:val="20"/>
                <w:szCs w:val="20"/>
                <w:color w:val="auto"/>
              </w:rPr>
            </w:pPr>
            <w:r>
              <w:rPr>
                <w:rFonts w:ascii="Arial" w:cs="Arial" w:eastAsia="Arial" w:hAnsi="Arial"/>
                <w:sz w:val="14"/>
                <w:szCs w:val="14"/>
                <w:color w:val="008000"/>
                <w:w w:val="86"/>
              </w:rPr>
              <w:t>4. These shares are owned of record by Todd Watson, spouse of Jill Foss Watson, as trustee of the Jill Foss</w:t>
            </w:r>
            <w:r>
              <w:rPr>
                <w:rFonts w:ascii="Arial" w:cs="Arial" w:eastAsia="Arial" w:hAnsi="Arial"/>
                <w:sz w:val="12"/>
                <w:szCs w:val="12"/>
                <w:b w:val="1"/>
                <w:bCs w:val="1"/>
                <w:color w:val="000000"/>
                <w:w w:val="86"/>
              </w:rPr>
              <w:t>Date</w:t>
            </w:r>
            <w:r>
              <w:rPr>
                <w:rFonts w:ascii="Arial" w:cs="Arial" w:eastAsia="Arial" w:hAnsi="Arial"/>
                <w:sz w:val="14"/>
                <w:szCs w:val="14"/>
                <w:color w:val="008000"/>
                <w:w w:val="86"/>
              </w:rPr>
              <w:t xml:space="preserve"> Watson 2014</w:t>
            </w:r>
            <w:r>
              <w:rPr>
                <w:rFonts w:ascii="Arial" w:cs="Arial" w:eastAsia="Arial" w:hAnsi="Arial"/>
                <w:sz w:val="12"/>
                <w:szCs w:val="12"/>
                <w:b w:val="1"/>
                <w:bCs w:val="1"/>
                <w:color w:val="000000"/>
                <w:w w:val="86"/>
              </w:rPr>
              <w:t>Expiration</w:t>
            </w:r>
            <w:r>
              <w:rPr>
                <w:rFonts w:ascii="Arial" w:cs="Arial" w:eastAsia="Arial" w:hAnsi="Arial"/>
                <w:sz w:val="14"/>
                <w:szCs w:val="14"/>
                <w:color w:val="008000"/>
                <w:w w:val="86"/>
              </w:rPr>
              <w:t>Children's Trust FBO</w:t>
            </w:r>
            <w:r>
              <w:rPr>
                <w:rFonts w:ascii="Arial" w:cs="Arial" w:eastAsia="Arial" w:hAnsi="Arial"/>
                <w:sz w:val="12"/>
                <w:szCs w:val="12"/>
                <w:b w:val="1"/>
                <w:bCs w:val="1"/>
                <w:color w:val="000000"/>
                <w:w w:val="86"/>
              </w:rPr>
              <w:t>of</w:t>
            </w:r>
            <w:r>
              <w:rPr>
                <w:rFonts w:ascii="Arial" w:cs="Arial" w:eastAsia="Arial" w:hAnsi="Arial"/>
                <w:sz w:val="14"/>
                <w:szCs w:val="14"/>
                <w:color w:val="008000"/>
                <w:w w:val="86"/>
              </w:rPr>
              <w:t xml:space="preserve"> Gwyneth Ellen Watson.</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ind w:left="60"/>
              <w:spacing w:after="0" w:line="82" w:lineRule="exact"/>
              <w:rPr>
                <w:sz w:val="20"/>
                <w:szCs w:val="20"/>
                <w:color w:val="auto"/>
              </w:rPr>
            </w:pPr>
            <w:r>
              <w:rPr>
                <w:rFonts w:ascii="Arial" w:cs="Arial" w:eastAsia="Arial" w:hAnsi="Arial"/>
                <w:sz w:val="9"/>
                <w:szCs w:val="9"/>
                <w:b w:val="1"/>
                <w:bCs w:val="1"/>
                <w:color w:val="auto"/>
              </w:rPr>
              <w:t>Code</w:t>
            </w:r>
          </w:p>
        </w:tc>
        <w:tc>
          <w:tcPr>
            <w:tcW w:w="340" w:type="dxa"/>
            <w:vAlign w:val="bottom"/>
          </w:tcPr>
          <w:p>
            <w:pPr>
              <w:ind w:left="20"/>
              <w:spacing w:after="0" w:line="82" w:lineRule="exact"/>
              <w:rPr>
                <w:sz w:val="20"/>
                <w:szCs w:val="20"/>
                <w:color w:val="auto"/>
              </w:rPr>
            </w:pPr>
            <w:r>
              <w:rPr>
                <w:rFonts w:ascii="Arial" w:cs="Arial" w:eastAsia="Arial" w:hAnsi="Arial"/>
                <w:sz w:val="9"/>
                <w:szCs w:val="9"/>
                <w:b w:val="1"/>
                <w:bCs w:val="1"/>
                <w:color w:val="auto"/>
              </w:rPr>
              <w:t>V</w:t>
            </w:r>
          </w:p>
        </w:tc>
        <w:tc>
          <w:tcPr>
            <w:tcW w:w="460" w:type="dxa"/>
            <w:vAlign w:val="bottom"/>
          </w:tcPr>
          <w:p>
            <w:pPr>
              <w:ind w:left="80"/>
              <w:spacing w:after="0" w:line="82" w:lineRule="exact"/>
              <w:rPr>
                <w:sz w:val="20"/>
                <w:szCs w:val="20"/>
                <w:color w:val="auto"/>
              </w:rPr>
            </w:pPr>
            <w:r>
              <w:rPr>
                <w:rFonts w:ascii="Arial" w:cs="Arial" w:eastAsia="Arial" w:hAnsi="Arial"/>
                <w:sz w:val="9"/>
                <w:szCs w:val="9"/>
                <w:b w:val="1"/>
                <w:bCs w:val="1"/>
                <w:color w:val="auto"/>
              </w:rPr>
              <w:t>(A)</w:t>
            </w:r>
          </w:p>
        </w:tc>
        <w:tc>
          <w:tcPr>
            <w:tcW w:w="320" w:type="dxa"/>
            <w:vAlign w:val="bottom"/>
          </w:tcPr>
          <w:p>
            <w:pPr>
              <w:spacing w:after="0" w:line="82" w:lineRule="exact"/>
              <w:rPr>
                <w:sz w:val="20"/>
                <w:szCs w:val="20"/>
                <w:color w:val="auto"/>
              </w:rPr>
            </w:pPr>
            <w:r>
              <w:rPr>
                <w:rFonts w:ascii="Arial" w:cs="Arial" w:eastAsia="Arial" w:hAnsi="Arial"/>
                <w:sz w:val="9"/>
                <w:szCs w:val="9"/>
                <w:b w:val="1"/>
                <w:bCs w:val="1"/>
                <w:color w:val="auto"/>
              </w:rPr>
              <w:t>(D)</w:t>
            </w:r>
          </w:p>
        </w:tc>
        <w:tc>
          <w:tcPr>
            <w:tcW w:w="820" w:type="dxa"/>
            <w:vAlign w:val="bottom"/>
          </w:tcPr>
          <w:p>
            <w:pPr>
              <w:ind w:left="80"/>
              <w:spacing w:after="0" w:line="82" w:lineRule="exact"/>
              <w:rPr>
                <w:sz w:val="20"/>
                <w:szCs w:val="20"/>
                <w:color w:val="auto"/>
              </w:rPr>
            </w:pPr>
            <w:r>
              <w:rPr>
                <w:rFonts w:ascii="Arial" w:cs="Arial" w:eastAsia="Arial" w:hAnsi="Arial"/>
                <w:sz w:val="9"/>
                <w:szCs w:val="9"/>
                <w:b w:val="1"/>
                <w:bCs w:val="1"/>
                <w:color w:val="auto"/>
              </w:rPr>
              <w:t>Exercisable</w:t>
            </w:r>
          </w:p>
        </w:tc>
        <w:tc>
          <w:tcPr>
            <w:tcW w:w="780" w:type="dxa"/>
            <w:vAlign w:val="bottom"/>
          </w:tcPr>
          <w:p>
            <w:pPr>
              <w:ind w:left="80"/>
              <w:spacing w:after="0" w:line="82" w:lineRule="exact"/>
              <w:rPr>
                <w:sz w:val="20"/>
                <w:szCs w:val="20"/>
                <w:color w:val="auto"/>
              </w:rPr>
            </w:pPr>
            <w:r>
              <w:rPr>
                <w:rFonts w:ascii="Arial" w:cs="Arial" w:eastAsia="Arial" w:hAnsi="Arial"/>
                <w:sz w:val="9"/>
                <w:szCs w:val="9"/>
                <w:b w:val="1"/>
                <w:bCs w:val="1"/>
                <w:color w:val="auto"/>
              </w:rPr>
              <w:t>Date</w:t>
            </w:r>
          </w:p>
        </w:tc>
        <w:tc>
          <w:tcPr>
            <w:tcW w:w="1080" w:type="dxa"/>
            <w:vAlign w:val="bottom"/>
          </w:tcPr>
          <w:p>
            <w:pPr>
              <w:ind w:left="40"/>
              <w:spacing w:after="0" w:line="82" w:lineRule="exact"/>
              <w:rPr>
                <w:sz w:val="20"/>
                <w:szCs w:val="20"/>
                <w:color w:val="auto"/>
              </w:rPr>
            </w:pPr>
            <w:r>
              <w:rPr>
                <w:rFonts w:ascii="Arial" w:cs="Arial" w:eastAsia="Arial" w:hAnsi="Arial"/>
                <w:sz w:val="9"/>
                <w:szCs w:val="9"/>
                <w:b w:val="1"/>
                <w:bCs w:val="1"/>
                <w:color w:val="auto"/>
              </w:rPr>
              <w:t>Title   Shares</w:t>
            </w: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jc w:val="both"/>
        <w:ind w:left="40" w:right="100"/>
        <w:spacing w:after="0" w:line="227" w:lineRule="auto"/>
        <w:rPr>
          <w:sz w:val="20"/>
          <w:szCs w:val="20"/>
          <w:color w:val="auto"/>
        </w:rPr>
      </w:pPr>
      <w:r>
        <w:rPr>
          <w:rFonts w:ascii="Arial" w:cs="Arial" w:eastAsia="Arial" w:hAnsi="Arial"/>
          <w:sz w:val="14"/>
          <w:szCs w:val="14"/>
          <w:color w:val="008000"/>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615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2615565"/>
                    </a:xfrm>
                    <a:prstGeom prst="rect">
                      <a:avLst/>
                    </a:prstGeom>
                    <a:noFill/>
                  </pic:spPr>
                </pic:pic>
              </a:graphicData>
            </a:graphic>
          </wp:anchor>
        </w:drawing>
        <w:t>5. The price reported in Column 4 is a weighted average price. These shares were sold in multiple transactions at prices ranging from $222.63 to $223.62,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p>
      <w:pPr>
        <w:spacing w:after="0" w:line="31" w:lineRule="exact"/>
        <w:rPr>
          <w:sz w:val="20"/>
          <w:szCs w:val="20"/>
          <w:color w:val="auto"/>
        </w:rPr>
      </w:pPr>
    </w:p>
    <w:p>
      <w:pPr>
        <w:jc w:val="both"/>
        <w:ind w:left="40" w:right="100"/>
        <w:spacing w:after="0" w:line="233" w:lineRule="auto"/>
        <w:rPr>
          <w:sz w:val="20"/>
          <w:szCs w:val="20"/>
          <w:color w:val="auto"/>
        </w:rPr>
      </w:pPr>
      <w:r>
        <w:rPr>
          <w:rFonts w:ascii="Arial" w:cs="Arial" w:eastAsia="Arial" w:hAnsi="Arial"/>
          <w:sz w:val="14"/>
          <w:szCs w:val="14"/>
          <w:color w:val="008000"/>
        </w:rPr>
        <w:t>6. The price reported in Column 4 is a weighted average price. These shares were sold in multiple transactions at prices ranging from $223.65 to $224.64,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p>
      <w:pPr>
        <w:spacing w:after="0" w:line="31" w:lineRule="exact"/>
        <w:rPr>
          <w:sz w:val="20"/>
          <w:szCs w:val="20"/>
          <w:color w:val="auto"/>
        </w:rPr>
      </w:pPr>
    </w:p>
    <w:p>
      <w:pPr>
        <w:jc w:val="both"/>
        <w:ind w:left="40" w:right="100"/>
        <w:spacing w:after="0" w:line="233" w:lineRule="auto"/>
        <w:rPr>
          <w:sz w:val="20"/>
          <w:szCs w:val="20"/>
          <w:color w:val="auto"/>
        </w:rPr>
      </w:pPr>
      <w:r>
        <w:rPr>
          <w:rFonts w:ascii="Arial" w:cs="Arial" w:eastAsia="Arial" w:hAnsi="Arial"/>
          <w:sz w:val="14"/>
          <w:szCs w:val="14"/>
          <w:color w:val="008000"/>
        </w:rPr>
        <w:t>7. The price reported in Column 4 is a weighted average price. These shares were sold in multiple transactions at prices ranging from $224.66 to $225.64,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p>
      <w:pPr>
        <w:spacing w:after="0" w:line="31" w:lineRule="exact"/>
        <w:rPr>
          <w:sz w:val="20"/>
          <w:szCs w:val="20"/>
          <w:color w:val="auto"/>
        </w:rPr>
      </w:pPr>
    </w:p>
    <w:p>
      <w:pPr>
        <w:jc w:val="both"/>
        <w:ind w:left="40" w:right="100"/>
        <w:spacing w:after="0" w:line="233" w:lineRule="auto"/>
        <w:rPr>
          <w:sz w:val="20"/>
          <w:szCs w:val="20"/>
          <w:color w:val="auto"/>
        </w:rPr>
      </w:pPr>
      <w:r>
        <w:rPr>
          <w:rFonts w:ascii="Arial" w:cs="Arial" w:eastAsia="Arial" w:hAnsi="Arial"/>
          <w:sz w:val="14"/>
          <w:szCs w:val="14"/>
          <w:color w:val="008000"/>
        </w:rPr>
        <w:t>8. The price reported in Column 4 is a weighted average price. These shares were sold in multiple transactions at prices ranging from $225.68 to $226.29,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p>
      <w:pPr>
        <w:spacing w:after="0" w:line="31" w:lineRule="exact"/>
        <w:rPr>
          <w:sz w:val="20"/>
          <w:szCs w:val="20"/>
          <w:color w:val="auto"/>
        </w:rPr>
      </w:pPr>
    </w:p>
    <w:p>
      <w:pPr>
        <w:ind w:left="40" w:right="260"/>
        <w:spacing w:after="0" w:line="239" w:lineRule="auto"/>
        <w:rPr>
          <w:sz w:val="20"/>
          <w:szCs w:val="20"/>
          <w:color w:val="auto"/>
        </w:rPr>
      </w:pPr>
      <w:r>
        <w:rPr>
          <w:rFonts w:ascii="Arial" w:cs="Arial" w:eastAsia="Arial" w:hAnsi="Arial"/>
          <w:sz w:val="14"/>
          <w:szCs w:val="14"/>
          <w:color w:val="008000"/>
        </w:rPr>
        <w:t>9. The reporting person disclaims beneficial ownership of these securities, and this report shall not be deemed an admission that the reporting person is the beneficial owner of such securities for purposes of Section 16 or any other purpose.</w:t>
      </w:r>
    </w:p>
    <w:p>
      <w:pPr>
        <w:sectPr>
          <w:pgSz w:w="11900" w:h="16838" w:orient="portrait"/>
          <w:cols w:equalWidth="0" w:num="1">
            <w:col w:w="11420"/>
          </w:cols>
          <w:pgMar w:left="240" w:top="177" w:right="239" w:bottom="1440" w:gutter="0" w:footer="0" w:header="0"/>
        </w:sectPr>
      </w:pPr>
    </w:p>
    <w:p>
      <w:pPr>
        <w:spacing w:after="0" w:line="60"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Bradley J. Wyatt,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67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779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15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1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0000FF"/>
        </w:rPr>
        <w:t>05/24/2017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20" w:space="140"/>
            <w:col w:w="2260"/>
          </w:cols>
          <w:pgMar w:left="240" w:top="177"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17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68982" TargetMode="External"/><Relationship Id="rId13" Type="http://schemas.openxmlformats.org/officeDocument/2006/relationships/hyperlink" Target="http://www.sec.gov/cgi-bin/browse-edgar?action=getcompany&amp;CIK=0000885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2019-12-24T07:19:18Z</dcterms:created>
  <dcterms:modified xsi:type="dcterms:W3CDTF">2019-12-24T07:19:18Z</dcterms:modified>
</cp:coreProperties>
</file>