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20"/>
        <w:spacing w:after="0"/>
        <w:rPr>
          <w:sz w:val="20"/>
          <w:szCs w:val="20"/>
          <w:color w:val="auto"/>
        </w:rPr>
      </w:pPr>
      <w:r>
        <w:rPr>
          <w:rFonts w:ascii="Arial" w:cs="Arial" w:eastAsia="Arial" w:hAnsi="Arial"/>
          <w:sz w:val="17"/>
          <w:szCs w:val="17"/>
          <w:b w:val="1"/>
          <w:bCs w:val="1"/>
          <w:color w:val="auto"/>
        </w:rPr>
        <w:t>_________________________________________________________________________________________________________________</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SECURITIES AND EXCHANGE COMMISSION</w:t>
      </w:r>
    </w:p>
    <w:p>
      <w:pPr>
        <w:jc w:val="center"/>
        <w:ind w:right="-19"/>
        <w:spacing w:after="0"/>
        <w:rPr>
          <w:sz w:val="20"/>
          <w:szCs w:val="20"/>
          <w:color w:val="auto"/>
        </w:rPr>
      </w:pPr>
      <w:r>
        <w:rPr>
          <w:rFonts w:ascii="Arial" w:cs="Arial" w:eastAsia="Arial" w:hAnsi="Arial"/>
          <w:sz w:val="23"/>
          <w:szCs w:val="23"/>
          <w:b w:val="1"/>
          <w:bCs w:val="1"/>
          <w:color w:val="auto"/>
        </w:rPr>
        <w:t>Washington, DC 20549</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61" w:lineRule="exact"/>
        <w:rPr>
          <w:sz w:val="24"/>
          <w:szCs w:val="24"/>
          <w:color w:val="auto"/>
        </w:rPr>
      </w:pPr>
    </w:p>
    <w:p>
      <w:pPr>
        <w:ind w:left="500" w:hanging="343"/>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47"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For the fiscal year ended December 31, 2017</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152" w:lineRule="exact"/>
        <w:rPr>
          <w:sz w:val="24"/>
          <w:szCs w:val="24"/>
          <w:color w:val="auto"/>
        </w:rPr>
      </w:pPr>
    </w:p>
    <w:p>
      <w:pPr>
        <w:ind w:left="660" w:right="1760" w:hanging="467"/>
        <w:spacing w:after="0" w:line="313" w:lineRule="auto"/>
        <w:tabs>
          <w:tab w:leader="none" w:pos="498"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 to ________</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Commission file number 000-20202</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CREDIT ACCEPTANCE CORPORATION</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152" w:lineRule="exact"/>
        <w:rPr>
          <w:sz w:val="24"/>
          <w:szCs w:val="24"/>
          <w:color w:val="auto"/>
        </w:rPr>
      </w:pPr>
    </w:p>
    <w:tbl>
      <w:tblPr>
        <w:tblLayout w:type="fixed"/>
        <w:tblInd w:w="1060" w:type="dxa"/>
        <w:tblCellMar>
          <w:top w:w="0" w:type="dxa"/>
          <w:left w:w="0" w:type="dxa"/>
          <w:bottom w:w="0" w:type="dxa"/>
          <w:right w:w="0" w:type="dxa"/>
        </w:tblCellMar>
      </w:tblPr>
      <w:tr>
        <w:trPr>
          <w:trHeight w:val="234"/>
        </w:trPr>
        <w:tc>
          <w:tcPr>
            <w:tcW w:w="5020" w:type="dxa"/>
            <w:vAlign w:val="bottom"/>
          </w:tcPr>
          <w:p>
            <w:pPr>
              <w:jc w:val="center"/>
              <w:ind w:right="1437"/>
              <w:spacing w:after="0"/>
              <w:rPr>
                <w:sz w:val="20"/>
                <w:szCs w:val="20"/>
                <w:color w:val="auto"/>
              </w:rPr>
            </w:pPr>
            <w:r>
              <w:rPr>
                <w:rFonts w:ascii="Arial" w:cs="Arial" w:eastAsia="Arial" w:hAnsi="Arial"/>
                <w:sz w:val="18"/>
                <w:szCs w:val="18"/>
                <w:b w:val="1"/>
                <w:bCs w:val="1"/>
                <w:color w:val="auto"/>
                <w:w w:val="94"/>
              </w:rPr>
              <w:t>Michigan</w:t>
            </w:r>
          </w:p>
        </w:tc>
        <w:tc>
          <w:tcPr>
            <w:tcW w:w="3580" w:type="dxa"/>
            <w:vAlign w:val="bottom"/>
          </w:tcPr>
          <w:p>
            <w:pPr>
              <w:jc w:val="center"/>
              <w:ind w:left="1439"/>
              <w:spacing w:after="0"/>
              <w:rPr>
                <w:sz w:val="20"/>
                <w:szCs w:val="20"/>
                <w:color w:val="auto"/>
              </w:rPr>
            </w:pPr>
            <w:r>
              <w:rPr>
                <w:rFonts w:ascii="Arial" w:cs="Arial" w:eastAsia="Arial" w:hAnsi="Arial"/>
                <w:sz w:val="18"/>
                <w:szCs w:val="18"/>
                <w:b w:val="1"/>
                <w:bCs w:val="1"/>
                <w:color w:val="auto"/>
                <w:w w:val="89"/>
              </w:rPr>
              <w:t>38-1999511</w:t>
            </w:r>
          </w:p>
        </w:tc>
      </w:tr>
      <w:tr>
        <w:trPr>
          <w:trHeight w:val="218"/>
        </w:trPr>
        <w:tc>
          <w:tcPr>
            <w:tcW w:w="5020" w:type="dxa"/>
            <w:vAlign w:val="bottom"/>
          </w:tcPr>
          <w:p>
            <w:pPr>
              <w:jc w:val="center"/>
              <w:ind w:right="1437"/>
              <w:spacing w:after="0"/>
              <w:rPr>
                <w:sz w:val="20"/>
                <w:szCs w:val="20"/>
                <w:color w:val="auto"/>
              </w:rPr>
            </w:pPr>
            <w:r>
              <w:rPr>
                <w:rFonts w:ascii="Arial" w:cs="Arial" w:eastAsia="Arial" w:hAnsi="Arial"/>
                <w:sz w:val="14"/>
                <w:szCs w:val="14"/>
                <w:i w:val="1"/>
                <w:iCs w:val="1"/>
                <w:color w:val="auto"/>
                <w:w w:val="96"/>
              </w:rPr>
              <w:t>(State or other jurisdiction of incorporation or organization)</w:t>
            </w:r>
          </w:p>
        </w:tc>
        <w:tc>
          <w:tcPr>
            <w:tcW w:w="3580" w:type="dxa"/>
            <w:vAlign w:val="bottom"/>
          </w:tcPr>
          <w:p>
            <w:pPr>
              <w:jc w:val="center"/>
              <w:ind w:left="1439"/>
              <w:spacing w:after="0"/>
              <w:rPr>
                <w:sz w:val="20"/>
                <w:szCs w:val="20"/>
                <w:color w:val="auto"/>
              </w:rPr>
            </w:pPr>
            <w:r>
              <w:rPr>
                <w:rFonts w:ascii="Arial" w:cs="Arial" w:eastAsia="Arial" w:hAnsi="Arial"/>
                <w:sz w:val="14"/>
                <w:szCs w:val="14"/>
                <w:i w:val="1"/>
                <w:iCs w:val="1"/>
                <w:color w:val="auto"/>
                <w:w w:val="95"/>
              </w:rPr>
              <w:t>(I.R.S. Employer Identification No.)</w:t>
            </w:r>
          </w:p>
        </w:tc>
      </w:tr>
      <w:tr>
        <w:trPr>
          <w:trHeight w:val="525"/>
        </w:trPr>
        <w:tc>
          <w:tcPr>
            <w:tcW w:w="5020" w:type="dxa"/>
            <w:vAlign w:val="bottom"/>
          </w:tcPr>
          <w:p>
            <w:pPr>
              <w:jc w:val="center"/>
              <w:ind w:right="1437"/>
              <w:spacing w:after="0"/>
              <w:rPr>
                <w:sz w:val="20"/>
                <w:szCs w:val="20"/>
                <w:color w:val="auto"/>
              </w:rPr>
            </w:pPr>
            <w:r>
              <w:rPr>
                <w:rFonts w:ascii="Arial" w:cs="Arial" w:eastAsia="Arial" w:hAnsi="Arial"/>
                <w:sz w:val="18"/>
                <w:szCs w:val="18"/>
                <w:b w:val="1"/>
                <w:bCs w:val="1"/>
                <w:color w:val="auto"/>
                <w:w w:val="92"/>
              </w:rPr>
              <w:t>25505 W. Twelve Mile Road</w:t>
            </w:r>
          </w:p>
        </w:tc>
        <w:tc>
          <w:tcPr>
            <w:tcW w:w="3580" w:type="dxa"/>
            <w:vAlign w:val="bottom"/>
          </w:tcPr>
          <w:p>
            <w:pPr>
              <w:spacing w:after="0"/>
              <w:rPr>
                <w:sz w:val="24"/>
                <w:szCs w:val="24"/>
                <w:color w:val="auto"/>
              </w:rPr>
            </w:pPr>
          </w:p>
        </w:tc>
      </w:tr>
      <w:tr>
        <w:trPr>
          <w:trHeight w:val="270"/>
        </w:trPr>
        <w:tc>
          <w:tcPr>
            <w:tcW w:w="5020" w:type="dxa"/>
            <w:vAlign w:val="bottom"/>
          </w:tcPr>
          <w:p>
            <w:pPr>
              <w:jc w:val="center"/>
              <w:ind w:right="1437"/>
              <w:spacing w:after="0"/>
              <w:rPr>
                <w:sz w:val="20"/>
                <w:szCs w:val="20"/>
                <w:color w:val="auto"/>
              </w:rPr>
            </w:pPr>
            <w:r>
              <w:rPr>
                <w:rFonts w:ascii="Arial" w:cs="Arial" w:eastAsia="Arial" w:hAnsi="Arial"/>
                <w:sz w:val="18"/>
                <w:szCs w:val="18"/>
                <w:b w:val="1"/>
                <w:bCs w:val="1"/>
                <w:color w:val="auto"/>
                <w:w w:val="92"/>
              </w:rPr>
              <w:t>Southfield, Michigan</w:t>
            </w:r>
          </w:p>
        </w:tc>
        <w:tc>
          <w:tcPr>
            <w:tcW w:w="3580" w:type="dxa"/>
            <w:vAlign w:val="bottom"/>
          </w:tcPr>
          <w:p>
            <w:pPr>
              <w:jc w:val="center"/>
              <w:ind w:left="1419"/>
              <w:spacing w:after="0"/>
              <w:rPr>
                <w:sz w:val="20"/>
                <w:szCs w:val="20"/>
                <w:color w:val="auto"/>
              </w:rPr>
            </w:pPr>
            <w:r>
              <w:rPr>
                <w:rFonts w:ascii="Arial" w:cs="Arial" w:eastAsia="Arial" w:hAnsi="Arial"/>
                <w:sz w:val="18"/>
                <w:szCs w:val="18"/>
                <w:b w:val="1"/>
                <w:bCs w:val="1"/>
                <w:color w:val="auto"/>
                <w:w w:val="91"/>
              </w:rPr>
              <w:t>48034-8339</w:t>
            </w:r>
          </w:p>
        </w:tc>
      </w:tr>
      <w:tr>
        <w:trPr>
          <w:trHeight w:val="218"/>
        </w:trPr>
        <w:tc>
          <w:tcPr>
            <w:tcW w:w="5020" w:type="dxa"/>
            <w:vAlign w:val="bottom"/>
          </w:tcPr>
          <w:p>
            <w:pPr>
              <w:jc w:val="center"/>
              <w:ind w:right="1437"/>
              <w:spacing w:after="0"/>
              <w:rPr>
                <w:sz w:val="20"/>
                <w:szCs w:val="20"/>
                <w:color w:val="auto"/>
              </w:rPr>
            </w:pPr>
            <w:r>
              <w:rPr>
                <w:rFonts w:ascii="Arial" w:cs="Arial" w:eastAsia="Arial" w:hAnsi="Arial"/>
                <w:sz w:val="14"/>
                <w:szCs w:val="14"/>
                <w:i w:val="1"/>
                <w:iCs w:val="1"/>
                <w:color w:val="auto"/>
                <w:w w:val="94"/>
              </w:rPr>
              <w:t>(Address of principal executive offices)</w:t>
            </w:r>
          </w:p>
        </w:tc>
        <w:tc>
          <w:tcPr>
            <w:tcW w:w="3580" w:type="dxa"/>
            <w:vAlign w:val="bottom"/>
          </w:tcPr>
          <w:p>
            <w:pPr>
              <w:jc w:val="center"/>
              <w:ind w:left="1439"/>
              <w:spacing w:after="0"/>
              <w:rPr>
                <w:sz w:val="20"/>
                <w:szCs w:val="20"/>
                <w:color w:val="auto"/>
              </w:rPr>
            </w:pPr>
            <w:r>
              <w:rPr>
                <w:rFonts w:ascii="Arial" w:cs="Arial" w:eastAsia="Arial" w:hAnsi="Arial"/>
                <w:sz w:val="14"/>
                <w:szCs w:val="14"/>
                <w:i w:val="1"/>
                <w:iCs w:val="1"/>
                <w:color w:val="auto"/>
                <w:w w:val="93"/>
              </w:rPr>
              <w:t>(Zip Code)</w:t>
            </w:r>
          </w:p>
        </w:tc>
      </w:tr>
    </w:tbl>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(248) 353-2700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49" w:lineRule="exact"/>
        <w:rPr>
          <w:sz w:val="24"/>
          <w:szCs w:val="24"/>
          <w:color w:val="auto"/>
        </w:rPr>
      </w:pPr>
    </w:p>
    <w:tbl>
      <w:tblPr>
        <w:tblLayout w:type="fixed"/>
        <w:tblInd w:w="2200" w:type="dxa"/>
        <w:tblCellMar>
          <w:top w:w="0" w:type="dxa"/>
          <w:left w:w="0" w:type="dxa"/>
          <w:bottom w:w="0" w:type="dxa"/>
          <w:right w:w="0" w:type="dxa"/>
        </w:tblCellMar>
      </w:tblPr>
      <w:tr>
        <w:trPr>
          <w:trHeight w:val="184"/>
        </w:trPr>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1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91"/>
        </w:trPr>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Common Stock</w:t>
            </w:r>
          </w:p>
        </w:tc>
        <w:tc>
          <w:tcPr>
            <w:tcW w:w="3580" w:type="dxa"/>
            <w:vAlign w:val="bottom"/>
          </w:tcPr>
          <w:p>
            <w:pPr>
              <w:spacing w:after="0"/>
              <w:rPr>
                <w:sz w:val="24"/>
                <w:szCs w:val="24"/>
                <w:color w:val="auto"/>
              </w:rPr>
            </w:pPr>
          </w:p>
        </w:tc>
        <w:tc>
          <w:tcPr>
            <w:tcW w:w="3000" w:type="dxa"/>
            <w:vAlign w:val="bottom"/>
          </w:tcPr>
          <w:p>
            <w:pPr>
              <w:jc w:val="center"/>
              <w:spacing w:after="0"/>
              <w:rPr>
                <w:sz w:val="20"/>
                <w:szCs w:val="20"/>
                <w:color w:val="auto"/>
              </w:rPr>
            </w:pPr>
            <w:r>
              <w:rPr>
                <w:rFonts w:ascii="Arial" w:cs="Arial" w:eastAsia="Arial" w:hAnsi="Arial"/>
                <w:sz w:val="18"/>
                <w:szCs w:val="18"/>
                <w:color w:val="auto"/>
                <w:w w:val="90"/>
              </w:rPr>
              <w:t>The Nasdaq Stock Market</w:t>
            </w:r>
          </w:p>
        </w:tc>
      </w:tr>
      <w:tr>
        <w:trPr>
          <w:trHeight w:val="225"/>
        </w:trPr>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580" w:type="dxa"/>
            <w:vAlign w:val="bottom"/>
            <w:gridSpan w:val="2"/>
          </w:tcPr>
          <w:p>
            <w:pPr>
              <w:jc w:val="center"/>
              <w:ind w:right="2134"/>
              <w:spacing w:after="0"/>
              <w:rPr>
                <w:sz w:val="20"/>
                <w:szCs w:val="20"/>
                <w:color w:val="auto"/>
              </w:rPr>
            </w:pPr>
            <w:r>
              <w:rPr>
                <w:rFonts w:ascii="Arial" w:cs="Arial" w:eastAsia="Arial" w:hAnsi="Arial"/>
                <w:sz w:val="18"/>
                <w:szCs w:val="18"/>
                <w:color w:val="auto"/>
                <w:w w:val="90"/>
              </w:rPr>
              <w:t>Securities registered pursuant to section 12(g) of the Act:</w:t>
            </w:r>
          </w:p>
        </w:tc>
      </w:tr>
      <w:tr>
        <w:trPr>
          <w:trHeight w:val="234"/>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580" w:type="dxa"/>
            <w:vAlign w:val="bottom"/>
            <w:gridSpan w:val="2"/>
          </w:tcPr>
          <w:p>
            <w:pPr>
              <w:jc w:val="center"/>
              <w:ind w:right="2134"/>
              <w:spacing w:after="0"/>
              <w:rPr>
                <w:sz w:val="20"/>
                <w:szCs w:val="20"/>
                <w:color w:val="auto"/>
              </w:rPr>
            </w:pPr>
            <w:r>
              <w:rPr>
                <w:rFonts w:ascii="Arial" w:cs="Arial" w:eastAsia="Arial" w:hAnsi="Arial"/>
                <w:sz w:val="18"/>
                <w:szCs w:val="18"/>
                <w:b w:val="1"/>
                <w:bCs w:val="1"/>
                <w:color w:val="auto"/>
                <w:w w:val="88"/>
              </w:rPr>
              <w:t>None</w:t>
            </w:r>
          </w:p>
        </w:tc>
      </w:tr>
    </w:tbl>
    <w:p>
      <w:pPr>
        <w:spacing w:after="0" w:line="76" w:lineRule="exact"/>
        <w:rPr>
          <w:sz w:val="24"/>
          <w:szCs w:val="24"/>
          <w:color w:val="auto"/>
        </w:rPr>
      </w:pPr>
    </w:p>
    <w:p>
      <w:pPr>
        <w:ind w:right="3760"/>
        <w:spacing w:after="0" w:line="255"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 Indicate by check mark if the registrant is not required to file reports pursuant to Section 13 or Section 15(d) of the Act. Yes o No </w:t>
      </w:r>
      <w:r>
        <w:rPr>
          <w:rFonts w:ascii="MS PGothic" w:cs="MS PGothic" w:eastAsia="MS PGothic" w:hAnsi="MS PGothic"/>
          <w:sz w:val="13"/>
          <w:szCs w:val="13"/>
          <w:color w:val="auto"/>
        </w:rPr>
        <w:t>☑</w:t>
      </w:r>
    </w:p>
    <w:p>
      <w:pPr>
        <w:spacing w:after="0" w:line="86" w:lineRule="exact"/>
        <w:rPr>
          <w:sz w:val="24"/>
          <w:szCs w:val="24"/>
          <w:color w:val="auto"/>
        </w:rPr>
      </w:pPr>
    </w:p>
    <w:p>
      <w:pPr>
        <w:ind w:right="10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86" w:lineRule="exact"/>
        <w:rPr>
          <w:sz w:val="24"/>
          <w:szCs w:val="24"/>
          <w:color w:val="auto"/>
        </w:rPr>
      </w:pPr>
    </w:p>
    <w:p>
      <w:pPr>
        <w:ind w:right="220"/>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pacing w:after="0" w:line="86" w:lineRule="exact"/>
        <w:rPr>
          <w:sz w:val="24"/>
          <w:szCs w:val="24"/>
          <w:color w:val="auto"/>
        </w:rPr>
      </w:pPr>
    </w:p>
    <w:p>
      <w:pPr>
        <w:ind w:right="640"/>
        <w:spacing w:after="0" w:line="273" w:lineRule="auto"/>
        <w:rPr>
          <w:sz w:val="20"/>
          <w:szCs w:val="20"/>
          <w:color w:val="auto"/>
        </w:rPr>
      </w:pPr>
      <w:r>
        <w:rPr>
          <w:rFonts w:ascii="Arial" w:cs="Arial" w:eastAsia="Arial" w:hAnsi="Arial"/>
          <w:sz w:val="14"/>
          <w:szCs w:val="14"/>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o</w:t>
      </w:r>
    </w:p>
    <w:p>
      <w:pPr>
        <w:spacing w:after="0" w:line="79" w:lineRule="exact"/>
        <w:rPr>
          <w:sz w:val="24"/>
          <w:szCs w:val="24"/>
          <w:color w:val="auto"/>
        </w:rPr>
      </w:pPr>
    </w:p>
    <w:p>
      <w:pPr>
        <w:ind w:right="2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06" w:lineRule="exact"/>
        <w:rPr>
          <w:sz w:val="24"/>
          <w:szCs w:val="24"/>
          <w:color w:val="auto"/>
        </w:rPr>
      </w:pPr>
    </w:p>
    <w:p>
      <w:pPr>
        <w:ind w:left="420"/>
        <w:spacing w:after="0" w:line="161" w:lineRule="exact"/>
        <w:tabs>
          <w:tab w:leader="none" w:pos="2880" w:val="left"/>
          <w:tab w:leader="none" w:pos="5040" w:val="left"/>
          <w:tab w:leader="none" w:pos="7140" w:val="left"/>
          <w:tab w:leader="none" w:pos="942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 o</w:t>
      </w:r>
      <w:r>
        <w:rPr>
          <w:sz w:val="20"/>
          <w:szCs w:val="20"/>
          <w:color w:val="auto"/>
        </w:rPr>
        <w:tab/>
      </w:r>
      <w:r>
        <w:rPr>
          <w:rFonts w:ascii="Arial" w:cs="Arial" w:eastAsia="Arial" w:hAnsi="Arial"/>
          <w:sz w:val="14"/>
          <w:szCs w:val="14"/>
          <w:color w:val="auto"/>
        </w:rPr>
        <w:t>Non-accelerated filer o</w:t>
      </w:r>
      <w:r>
        <w:rPr>
          <w:sz w:val="20"/>
          <w:szCs w:val="20"/>
          <w:color w:val="auto"/>
        </w:rPr>
        <w:tab/>
      </w:r>
      <w:r>
        <w:rPr>
          <w:rFonts w:ascii="Arial" w:cs="Arial" w:eastAsia="Arial" w:hAnsi="Arial"/>
          <w:sz w:val="14"/>
          <w:szCs w:val="14"/>
          <w:color w:val="auto"/>
        </w:rPr>
        <w:t>Smaller reporting company o</w:t>
      </w:r>
      <w:r>
        <w:rPr>
          <w:sz w:val="20"/>
          <w:szCs w:val="20"/>
          <w:color w:val="auto"/>
        </w:rPr>
        <w:tab/>
      </w:r>
      <w:r>
        <w:rPr>
          <w:rFonts w:ascii="Arial" w:cs="Arial" w:eastAsia="Arial" w:hAnsi="Arial"/>
          <w:sz w:val="13"/>
          <w:szCs w:val="13"/>
          <w:color w:val="auto"/>
        </w:rPr>
        <w:t>Emerging growth company o</w:t>
      </w:r>
    </w:p>
    <w:p>
      <w:pPr>
        <w:spacing w:after="0" w:line="150"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(Do not check if a smaller reporting company)</w:t>
      </w:r>
    </w:p>
    <w:p>
      <w:pPr>
        <w:spacing w:after="0" w:line="136" w:lineRule="exact"/>
        <w:rPr>
          <w:sz w:val="24"/>
          <w:szCs w:val="24"/>
          <w:color w:val="auto"/>
        </w:rPr>
      </w:pPr>
    </w:p>
    <w:p>
      <w:pPr>
        <w:ind w:right="160"/>
        <w:spacing w:after="0" w:line="27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52"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o No </w:t>
      </w:r>
      <w:r>
        <w:rPr>
          <w:rFonts w:ascii="MS PGothic" w:cs="MS PGothic" w:eastAsia="MS PGothic" w:hAnsi="MS PGothic"/>
          <w:sz w:val="14"/>
          <w:szCs w:val="14"/>
          <w:color w:val="auto"/>
        </w:rPr>
        <w:t>☑</w:t>
      </w:r>
    </w:p>
    <w:p>
      <w:pPr>
        <w:spacing w:after="0" w:line="150" w:lineRule="exact"/>
        <w:rPr>
          <w:sz w:val="24"/>
          <w:szCs w:val="24"/>
          <w:color w:val="auto"/>
        </w:rPr>
      </w:pPr>
    </w:p>
    <w:p>
      <w:pPr>
        <w:jc w:val="both"/>
        <w:spacing w:after="0" w:line="257" w:lineRule="auto"/>
        <w:rPr>
          <w:sz w:val="20"/>
          <w:szCs w:val="20"/>
          <w:color w:val="auto"/>
        </w:rPr>
      </w:pPr>
      <w:r>
        <w:rPr>
          <w:rFonts w:ascii="Arial" w:cs="Arial" w:eastAsia="Arial" w:hAnsi="Arial"/>
          <w:sz w:val="14"/>
          <w:szCs w:val="14"/>
          <w:color w:val="auto"/>
        </w:rPr>
        <w:t>The aggregate market value of 8,740,796 shares of the Registrant's common stock held by non-affiliates on June 30, 2017 was approximately $2,247.6 million. For purposes of this computation all officers, directors and 10% beneficial owners of the Registrant are assumed to be affiliates. Such determination should not be deemed an admission that such officers, directors and beneficial owners are, in fact, affiliates of the Registrant.</w:t>
      </w:r>
    </w:p>
    <w:p>
      <w:pPr>
        <w:spacing w:after="0" w:line="91" w:lineRule="exact"/>
        <w:rPr>
          <w:sz w:val="24"/>
          <w:szCs w:val="24"/>
          <w:color w:val="auto"/>
        </w:rPr>
      </w:pPr>
    </w:p>
    <w:p>
      <w:pPr>
        <w:spacing w:after="0"/>
        <w:rPr>
          <w:sz w:val="20"/>
          <w:szCs w:val="20"/>
          <w:color w:val="auto"/>
        </w:rPr>
      </w:pPr>
      <w:r>
        <w:rPr>
          <w:rFonts w:ascii="Arial" w:cs="Arial" w:eastAsia="Arial" w:hAnsi="Arial"/>
          <w:sz w:val="14"/>
          <w:szCs w:val="14"/>
          <w:color w:val="auto"/>
        </w:rPr>
        <w:t>At February 2, 2018, there were 19,310,049 shares of the Registrant's common stock issued and outstanding.</w:t>
      </w:r>
    </w:p>
    <w:p>
      <w:pPr>
        <w:spacing w:after="0" w:line="119" w:lineRule="exact"/>
        <w:rPr>
          <w:sz w:val="24"/>
          <w:szCs w:val="24"/>
          <w:color w:val="auto"/>
        </w:rPr>
      </w:pPr>
    </w:p>
    <w:p>
      <w:pPr>
        <w:ind w:left="4060"/>
        <w:spacing w:after="0"/>
        <w:rPr>
          <w:sz w:val="20"/>
          <w:szCs w:val="20"/>
          <w:color w:val="auto"/>
        </w:rPr>
      </w:pPr>
      <w:r>
        <w:rPr>
          <w:rFonts w:ascii="Arial" w:cs="Arial" w:eastAsia="Arial" w:hAnsi="Arial"/>
          <w:sz w:val="14"/>
          <w:szCs w:val="14"/>
          <w:b w:val="1"/>
          <w:bCs w:val="1"/>
          <w:color w:val="auto"/>
        </w:rPr>
        <w:t>DOCUMENTS INCORPORATED BY REFERENCE</w:t>
      </w:r>
    </w:p>
    <w:p>
      <w:pPr>
        <w:spacing w:after="0" w:line="127" w:lineRule="exact"/>
        <w:rPr>
          <w:sz w:val="24"/>
          <w:szCs w:val="24"/>
          <w:color w:val="auto"/>
        </w:rPr>
      </w:pPr>
    </w:p>
    <w:p>
      <w:pPr>
        <w:ind w:right="160"/>
        <w:spacing w:after="0" w:line="256" w:lineRule="auto"/>
        <w:rPr>
          <w:sz w:val="20"/>
          <w:szCs w:val="20"/>
          <w:color w:val="auto"/>
        </w:rPr>
      </w:pPr>
      <w:r>
        <w:rPr>
          <w:rFonts w:ascii="Arial" w:cs="Arial" w:eastAsia="Arial" w:hAnsi="Arial"/>
          <w:sz w:val="14"/>
          <w:szCs w:val="14"/>
          <w:color w:val="auto"/>
        </w:rPr>
        <w:t>Portions of the Registrant's definitive Proxy Statement pertaining to the 2018 Annual Meeting of Shareholders (the "Proxy Statement") filed pursuant to Regulation 14A are incorporated herein by reference into Part III of this Annual Report on Form 10-K (this “Form 10-K”).</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_________________________________________________________________________________________________________________</w:t>
      </w:r>
    </w:p>
    <w:p>
      <w:pPr>
        <w:sectPr>
          <w:pgSz w:w="11900" w:h="16838" w:orient="portrait"/>
          <w:cols w:equalWidth="0" w:num="1">
            <w:col w:w="11420"/>
          </w:cols>
          <w:pgMar w:left="240" w:top="472"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18"/>
                <w:szCs w:val="18"/>
                <w:color w:val="auto"/>
              </w:rPr>
            </w:pPr>
          </w:p>
        </w:tc>
        <w:tc>
          <w:tcPr>
            <w:tcW w:w="9160" w:type="dxa"/>
            <w:vAlign w:val="bottom"/>
          </w:tcPr>
          <w:p>
            <w:pPr>
              <w:jc w:val="center"/>
              <w:ind w:left="730"/>
              <w:spacing w:after="0"/>
              <w:rPr>
                <w:sz w:val="20"/>
                <w:szCs w:val="20"/>
                <w:color w:val="auto"/>
              </w:rPr>
            </w:pPr>
            <w:r>
              <w:rPr>
                <w:rFonts w:ascii="Arial" w:cs="Arial" w:eastAsia="Arial" w:hAnsi="Arial"/>
                <w:sz w:val="18"/>
                <w:szCs w:val="18"/>
                <w:b w:val="1"/>
                <w:bCs w:val="1"/>
                <w:color w:val="auto"/>
              </w:rPr>
              <w:t>CREDIT ACCEPTANCE CORPORATION</w:t>
            </w:r>
          </w:p>
        </w:tc>
        <w:tc>
          <w:tcPr>
            <w:tcW w:w="1540" w:type="dxa"/>
            <w:vAlign w:val="bottom"/>
          </w:tcPr>
          <w:p>
            <w:pPr>
              <w:spacing w:after="0"/>
              <w:rPr>
                <w:sz w:val="18"/>
                <w:szCs w:val="18"/>
                <w:color w:val="auto"/>
              </w:rPr>
            </w:pPr>
          </w:p>
        </w:tc>
      </w:tr>
      <w:tr>
        <w:trPr>
          <w:trHeight w:val="234"/>
        </w:trPr>
        <w:tc>
          <w:tcPr>
            <w:tcW w:w="720" w:type="dxa"/>
            <w:vAlign w:val="bottom"/>
          </w:tcPr>
          <w:p>
            <w:pPr>
              <w:spacing w:after="0"/>
              <w:rPr>
                <w:sz w:val="20"/>
                <w:szCs w:val="20"/>
                <w:color w:val="auto"/>
              </w:rPr>
            </w:pPr>
          </w:p>
        </w:tc>
        <w:tc>
          <w:tcPr>
            <w:tcW w:w="9160" w:type="dxa"/>
            <w:vAlign w:val="bottom"/>
          </w:tcPr>
          <w:p>
            <w:pPr>
              <w:jc w:val="center"/>
              <w:ind w:left="730"/>
              <w:spacing w:after="0"/>
              <w:rPr>
                <w:sz w:val="20"/>
                <w:szCs w:val="20"/>
                <w:color w:val="auto"/>
              </w:rPr>
            </w:pPr>
            <w:r>
              <w:rPr>
                <w:rFonts w:ascii="Arial" w:cs="Arial" w:eastAsia="Arial" w:hAnsi="Arial"/>
                <w:sz w:val="18"/>
                <w:szCs w:val="18"/>
                <w:b w:val="1"/>
                <w:bCs w:val="1"/>
                <w:color w:val="auto"/>
                <w:w w:val="97"/>
              </w:rPr>
              <w:t>YEAR ENDED DECEMBER 31, 2017</w:t>
            </w:r>
          </w:p>
        </w:tc>
        <w:tc>
          <w:tcPr>
            <w:tcW w:w="1540" w:type="dxa"/>
            <w:vAlign w:val="bottom"/>
          </w:tcPr>
          <w:p>
            <w:pPr>
              <w:spacing w:after="0"/>
              <w:rPr>
                <w:sz w:val="20"/>
                <w:szCs w:val="20"/>
                <w:color w:val="auto"/>
              </w:rPr>
            </w:pPr>
          </w:p>
        </w:tc>
      </w:tr>
      <w:tr>
        <w:trPr>
          <w:trHeight w:val="432"/>
        </w:trPr>
        <w:tc>
          <w:tcPr>
            <w:tcW w:w="720" w:type="dxa"/>
            <w:vAlign w:val="bottom"/>
          </w:tcPr>
          <w:p>
            <w:pPr>
              <w:spacing w:after="0"/>
              <w:rPr>
                <w:sz w:val="24"/>
                <w:szCs w:val="24"/>
                <w:color w:val="auto"/>
              </w:rPr>
            </w:pPr>
          </w:p>
        </w:tc>
        <w:tc>
          <w:tcPr>
            <w:tcW w:w="9160" w:type="dxa"/>
            <w:vAlign w:val="bottom"/>
          </w:tcPr>
          <w:p>
            <w:pPr>
              <w:jc w:val="center"/>
              <w:ind w:left="730"/>
              <w:spacing w:after="0"/>
              <w:rPr>
                <w:sz w:val="20"/>
                <w:szCs w:val="20"/>
                <w:color w:val="auto"/>
              </w:rPr>
            </w:pPr>
            <w:r>
              <w:rPr>
                <w:rFonts w:ascii="Arial" w:cs="Arial" w:eastAsia="Arial" w:hAnsi="Arial"/>
                <w:sz w:val="18"/>
                <w:szCs w:val="18"/>
                <w:b w:val="1"/>
                <w:bCs w:val="1"/>
                <w:color w:val="auto"/>
              </w:rPr>
              <w:t>INDEX TO FORM 10-K</w:t>
            </w:r>
          </w:p>
        </w:tc>
        <w:tc>
          <w:tcPr>
            <w:tcW w:w="1540" w:type="dxa"/>
            <w:vAlign w:val="bottom"/>
          </w:tcPr>
          <w:p>
            <w:pPr>
              <w:spacing w:after="0"/>
              <w:rPr>
                <w:sz w:val="24"/>
                <w:szCs w:val="24"/>
                <w:color w:val="auto"/>
              </w:rPr>
            </w:pPr>
          </w:p>
        </w:tc>
      </w:tr>
      <w:tr>
        <w:trPr>
          <w:trHeight w:val="594"/>
        </w:trPr>
        <w:tc>
          <w:tcPr>
            <w:tcW w:w="720" w:type="dxa"/>
            <w:vAlign w:val="bottom"/>
          </w:tcPr>
          <w:p>
            <w:pPr>
              <w:ind w:left="240"/>
              <w:spacing w:after="0"/>
              <w:rPr>
                <w:sz w:val="20"/>
                <w:szCs w:val="20"/>
                <w:color w:val="auto"/>
              </w:rPr>
            </w:pPr>
            <w:r>
              <w:rPr>
                <w:rFonts w:ascii="Arial" w:cs="Arial" w:eastAsia="Arial" w:hAnsi="Arial"/>
                <w:sz w:val="18"/>
                <w:szCs w:val="18"/>
                <w:b w:val="1"/>
                <w:bCs w:val="1"/>
                <w:color w:val="auto"/>
              </w:rPr>
              <w:t>Item</w:t>
            </w:r>
          </w:p>
        </w:tc>
        <w:tc>
          <w:tcPr>
            <w:tcW w:w="9160" w:type="dxa"/>
            <w:vAlign w:val="bottom"/>
          </w:tcPr>
          <w:p>
            <w:pPr>
              <w:ind w:left="220"/>
              <w:spacing w:after="0"/>
              <w:rPr>
                <w:sz w:val="20"/>
                <w:szCs w:val="20"/>
                <w:color w:val="auto"/>
              </w:rPr>
            </w:pPr>
            <w:r>
              <w:rPr>
                <w:rFonts w:ascii="Arial" w:cs="Arial" w:eastAsia="Arial" w:hAnsi="Arial"/>
                <w:sz w:val="18"/>
                <w:szCs w:val="18"/>
                <w:b w:val="1"/>
                <w:bCs w:val="1"/>
                <w:color w:val="auto"/>
              </w:rPr>
              <w:t>Description</w:t>
            </w:r>
          </w:p>
        </w:tc>
        <w:tc>
          <w:tcPr>
            <w:tcW w:w="1540" w:type="dxa"/>
            <w:vAlign w:val="bottom"/>
          </w:tcPr>
          <w:p>
            <w:pPr>
              <w:jc w:val="right"/>
              <w:ind w:right="130"/>
              <w:spacing w:after="0"/>
              <w:rPr>
                <w:sz w:val="20"/>
                <w:szCs w:val="20"/>
                <w:color w:val="auto"/>
              </w:rPr>
            </w:pPr>
            <w:r>
              <w:rPr>
                <w:rFonts w:ascii="Arial" w:cs="Arial" w:eastAsia="Arial" w:hAnsi="Arial"/>
                <w:sz w:val="18"/>
                <w:szCs w:val="18"/>
                <w:b w:val="1"/>
                <w:bCs w:val="1"/>
                <w:color w:val="auto"/>
              </w:rPr>
              <w:t>Page</w:t>
            </w:r>
          </w:p>
        </w:tc>
      </w:tr>
      <w:tr>
        <w:trPr>
          <w:trHeight w:val="34"/>
        </w:trPr>
        <w:tc>
          <w:tcPr>
            <w:tcW w:w="720" w:type="dxa"/>
            <w:vAlign w:val="bottom"/>
            <w:tcBorders>
              <w:bottom w:val="single" w:sz="8" w:color="auto"/>
            </w:tcBorders>
          </w:tcPr>
          <w:p>
            <w:pPr>
              <w:spacing w:after="0"/>
              <w:rPr>
                <w:sz w:val="2"/>
                <w:szCs w:val="2"/>
                <w:color w:val="auto"/>
              </w:rPr>
            </w:pPr>
          </w:p>
        </w:tc>
        <w:tc>
          <w:tcPr>
            <w:tcW w:w="9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3"/>
        </w:trPr>
        <w:tc>
          <w:tcPr>
            <w:tcW w:w="720" w:type="dxa"/>
            <w:vAlign w:val="bottom"/>
          </w:tcPr>
          <w:p>
            <w:pPr>
              <w:spacing w:after="0"/>
              <w:rPr>
                <w:sz w:val="21"/>
                <w:szCs w:val="21"/>
                <w:color w:val="auto"/>
              </w:rPr>
            </w:pPr>
          </w:p>
        </w:tc>
        <w:tc>
          <w:tcPr>
            <w:tcW w:w="9160" w:type="dxa"/>
            <w:vAlign w:val="bottom"/>
          </w:tcPr>
          <w:p>
            <w:pPr>
              <w:jc w:val="center"/>
              <w:ind w:left="750"/>
              <w:spacing w:after="0"/>
              <w:rPr>
                <w:sz w:val="20"/>
                <w:szCs w:val="20"/>
                <w:color w:val="auto"/>
              </w:rPr>
            </w:pPr>
            <w:r>
              <w:rPr>
                <w:rFonts w:ascii="Arial" w:cs="Arial" w:eastAsia="Arial" w:hAnsi="Arial"/>
                <w:sz w:val="18"/>
                <w:szCs w:val="18"/>
                <w:b w:val="1"/>
                <w:bCs w:val="1"/>
                <w:color w:val="auto"/>
              </w:rPr>
              <w:t>PART I</w:t>
            </w:r>
          </w:p>
        </w:tc>
        <w:tc>
          <w:tcPr>
            <w:tcW w:w="1540" w:type="dxa"/>
            <w:vAlign w:val="bottom"/>
          </w:tcPr>
          <w:p>
            <w:pPr>
              <w:spacing w:after="0"/>
              <w:rPr>
                <w:sz w:val="21"/>
                <w:szCs w:val="21"/>
                <w:color w:val="auto"/>
              </w:rPr>
            </w:pPr>
          </w:p>
        </w:tc>
      </w:tr>
      <w:tr>
        <w:trPr>
          <w:trHeight w:val="27"/>
        </w:trPr>
        <w:tc>
          <w:tcPr>
            <w:tcW w:w="720" w:type="dxa"/>
            <w:vAlign w:val="bottom"/>
          </w:tcPr>
          <w:p>
            <w:pPr>
              <w:spacing w:after="0"/>
              <w:rPr>
                <w:sz w:val="2"/>
                <w:szCs w:val="2"/>
                <w:color w:val="auto"/>
              </w:rPr>
            </w:pPr>
          </w:p>
        </w:tc>
        <w:tc>
          <w:tcPr>
            <w:tcW w:w="9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20" w:type="dxa"/>
            <w:vAlign w:val="bottom"/>
            <w:tcBorders>
              <w:bottom w:val="single" w:sz="8" w:color="CCEEFF"/>
            </w:tcBorders>
            <w:shd w:val="clear" w:color="auto" w:fill="CCEEFF"/>
          </w:tcPr>
          <w:p>
            <w:pPr>
              <w:jc w:val="center"/>
              <w:ind w:left="10"/>
              <w:spacing w:after="0"/>
              <w:rPr>
                <w:rFonts w:ascii="Arial" w:cs="Arial" w:eastAsia="Arial" w:hAnsi="Arial"/>
                <w:sz w:val="18"/>
                <w:szCs w:val="18"/>
                <w:color w:val="auto"/>
                <w:w w:val="92"/>
              </w:rPr>
            </w:pPr>
            <w:hyperlink w:anchor="page3">
              <w:r>
                <w:rPr>
                  <w:rFonts w:ascii="Arial" w:cs="Arial" w:eastAsia="Arial" w:hAnsi="Arial"/>
                  <w:sz w:val="18"/>
                  <w:szCs w:val="18"/>
                  <w:color w:val="auto"/>
                  <w:w w:val="92"/>
                </w:rPr>
                <w:t>1.</w:t>
              </w:r>
            </w:hyperlink>
          </w:p>
        </w:tc>
        <w:tc>
          <w:tcPr>
            <w:tcW w:w="9160" w:type="dxa"/>
            <w:vAlign w:val="bottom"/>
            <w:tcBorders>
              <w:bottom w:val="single" w:sz="8" w:color="CCEEFF"/>
            </w:tcBorders>
            <w:shd w:val="clear" w:color="auto" w:fill="CCEEFF"/>
          </w:tcPr>
          <w:p>
            <w:pPr>
              <w:ind w:left="120"/>
              <w:spacing w:after="0"/>
              <w:rPr>
                <w:rFonts w:ascii="Arial" w:cs="Arial" w:eastAsia="Arial" w:hAnsi="Arial"/>
                <w:sz w:val="18"/>
                <w:szCs w:val="18"/>
                <w:color w:val="auto"/>
              </w:rPr>
            </w:pPr>
            <w:hyperlink w:anchor="page3">
              <w:r>
                <w:rPr>
                  <w:rFonts w:ascii="Arial" w:cs="Arial" w:eastAsia="Arial" w:hAnsi="Arial"/>
                  <w:sz w:val="18"/>
                  <w:szCs w:val="18"/>
                  <w:color w:val="auto"/>
                </w:rPr>
                <w:t>Business</w:t>
              </w:r>
            </w:hyperlink>
          </w:p>
        </w:tc>
        <w:tc>
          <w:tcPr>
            <w:tcW w:w="15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43"/>
        </w:trPr>
        <w:tc>
          <w:tcPr>
            <w:tcW w:w="720" w:type="dxa"/>
            <w:vAlign w:val="bottom"/>
          </w:tcPr>
          <w:p>
            <w:pPr>
              <w:jc w:val="center"/>
              <w:ind w:left="10"/>
              <w:spacing w:after="0"/>
              <w:rPr>
                <w:rFonts w:ascii="Arial" w:cs="Arial" w:eastAsia="Arial" w:hAnsi="Arial"/>
                <w:sz w:val="18"/>
                <w:szCs w:val="18"/>
                <w:color w:val="auto"/>
                <w:w w:val="96"/>
              </w:rPr>
            </w:pPr>
            <w:hyperlink w:anchor="page13">
              <w:r>
                <w:rPr>
                  <w:rFonts w:ascii="Arial" w:cs="Arial" w:eastAsia="Arial" w:hAnsi="Arial"/>
                  <w:sz w:val="18"/>
                  <w:szCs w:val="18"/>
                  <w:color w:val="auto"/>
                  <w:w w:val="96"/>
                </w:rPr>
                <w:t>1A.</w:t>
              </w:r>
            </w:hyperlink>
          </w:p>
        </w:tc>
        <w:tc>
          <w:tcPr>
            <w:tcW w:w="9160" w:type="dxa"/>
            <w:vAlign w:val="bottom"/>
          </w:tcPr>
          <w:p>
            <w:pPr>
              <w:ind w:left="120"/>
              <w:spacing w:after="0"/>
              <w:rPr>
                <w:rFonts w:ascii="Arial" w:cs="Arial" w:eastAsia="Arial" w:hAnsi="Arial"/>
                <w:sz w:val="18"/>
                <w:szCs w:val="18"/>
                <w:color w:val="auto"/>
              </w:rPr>
            </w:pPr>
            <w:hyperlink w:anchor="page13">
              <w:r>
                <w:rPr>
                  <w:rFonts w:ascii="Arial" w:cs="Arial" w:eastAsia="Arial" w:hAnsi="Arial"/>
                  <w:sz w:val="18"/>
                  <w:szCs w:val="18"/>
                  <w:color w:val="auto"/>
                </w:rPr>
                <w:t>Risk Factors</w:t>
              </w:r>
            </w:hyperlink>
          </w:p>
        </w:tc>
        <w:tc>
          <w:tcPr>
            <w:tcW w:w="1540" w:type="dxa"/>
            <w:vAlign w:val="bottom"/>
          </w:tcPr>
          <w:p>
            <w:pPr>
              <w:jc w:val="right"/>
              <w:spacing w:after="0"/>
              <w:rPr>
                <w:rFonts w:ascii="Arial" w:cs="Arial" w:eastAsia="Arial" w:hAnsi="Arial"/>
                <w:sz w:val="18"/>
                <w:szCs w:val="18"/>
                <w:color w:val="auto"/>
              </w:rPr>
            </w:pPr>
            <w:hyperlink w:anchor="page13">
              <w:r>
                <w:rPr>
                  <w:rFonts w:ascii="Arial" w:cs="Arial" w:eastAsia="Arial" w:hAnsi="Arial"/>
                  <w:sz w:val="18"/>
                  <w:szCs w:val="18"/>
                  <w:color w:val="auto"/>
                </w:rPr>
                <w:t>13</w:t>
              </w:r>
            </w:hyperlink>
          </w:p>
        </w:tc>
      </w:tr>
      <w:tr>
        <w:trPr>
          <w:trHeight w:val="27"/>
        </w:trPr>
        <w:tc>
          <w:tcPr>
            <w:tcW w:w="720" w:type="dxa"/>
            <w:vAlign w:val="bottom"/>
          </w:tcPr>
          <w:p>
            <w:pPr>
              <w:spacing w:after="0"/>
              <w:rPr>
                <w:sz w:val="2"/>
                <w:szCs w:val="2"/>
                <w:color w:val="auto"/>
              </w:rPr>
            </w:pPr>
          </w:p>
        </w:tc>
        <w:tc>
          <w:tcPr>
            <w:tcW w:w="9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20" w:type="dxa"/>
            <w:vAlign w:val="bottom"/>
            <w:tcBorders>
              <w:bottom w:val="single" w:sz="8" w:color="CCEEFF"/>
            </w:tcBorders>
            <w:shd w:val="clear" w:color="auto" w:fill="CCEEFF"/>
          </w:tcPr>
          <w:p>
            <w:pPr>
              <w:jc w:val="center"/>
              <w:ind w:left="10"/>
              <w:spacing w:after="0"/>
              <w:rPr>
                <w:rFonts w:ascii="Arial" w:cs="Arial" w:eastAsia="Arial" w:hAnsi="Arial"/>
                <w:sz w:val="18"/>
                <w:szCs w:val="18"/>
                <w:color w:val="auto"/>
                <w:w w:val="96"/>
              </w:rPr>
            </w:pPr>
            <w:hyperlink w:anchor="page20">
              <w:r>
                <w:rPr>
                  <w:rFonts w:ascii="Arial" w:cs="Arial" w:eastAsia="Arial" w:hAnsi="Arial"/>
                  <w:sz w:val="18"/>
                  <w:szCs w:val="18"/>
                  <w:color w:val="auto"/>
                  <w:w w:val="96"/>
                </w:rPr>
                <w:t>1B.</w:t>
              </w:r>
            </w:hyperlink>
          </w:p>
        </w:tc>
        <w:tc>
          <w:tcPr>
            <w:tcW w:w="9160" w:type="dxa"/>
            <w:vAlign w:val="bottom"/>
            <w:tcBorders>
              <w:bottom w:val="single" w:sz="8" w:color="CCEEFF"/>
            </w:tcBorders>
            <w:shd w:val="clear" w:color="auto" w:fill="CCEEFF"/>
          </w:tcPr>
          <w:p>
            <w:pPr>
              <w:ind w:left="120"/>
              <w:spacing w:after="0"/>
              <w:rPr>
                <w:rFonts w:ascii="Arial" w:cs="Arial" w:eastAsia="Arial" w:hAnsi="Arial"/>
                <w:sz w:val="18"/>
                <w:szCs w:val="18"/>
                <w:color w:val="auto"/>
              </w:rPr>
            </w:pPr>
            <w:hyperlink w:anchor="page20">
              <w:r>
                <w:rPr>
                  <w:rFonts w:ascii="Arial" w:cs="Arial" w:eastAsia="Arial" w:hAnsi="Arial"/>
                  <w:sz w:val="18"/>
                  <w:szCs w:val="18"/>
                  <w:color w:val="auto"/>
                </w:rPr>
                <w:t>Unresolved Staff Comments</w:t>
              </w:r>
            </w:hyperlink>
          </w:p>
        </w:tc>
        <w:tc>
          <w:tcPr>
            <w:tcW w:w="15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20">
              <w:r>
                <w:rPr>
                  <w:rFonts w:ascii="Arial" w:cs="Arial" w:eastAsia="Arial" w:hAnsi="Arial"/>
                  <w:sz w:val="18"/>
                  <w:szCs w:val="18"/>
                  <w:color w:val="auto"/>
                </w:rPr>
                <w:t>20</w:t>
              </w:r>
            </w:hyperlink>
          </w:p>
        </w:tc>
      </w:tr>
      <w:tr>
        <w:trPr>
          <w:trHeight w:val="243"/>
        </w:trPr>
        <w:tc>
          <w:tcPr>
            <w:tcW w:w="720" w:type="dxa"/>
            <w:vAlign w:val="bottom"/>
          </w:tcPr>
          <w:p>
            <w:pPr>
              <w:jc w:val="center"/>
              <w:ind w:left="10"/>
              <w:spacing w:after="0"/>
              <w:rPr>
                <w:rFonts w:ascii="Arial" w:cs="Arial" w:eastAsia="Arial" w:hAnsi="Arial"/>
                <w:sz w:val="18"/>
                <w:szCs w:val="18"/>
                <w:color w:val="auto"/>
                <w:w w:val="92"/>
              </w:rPr>
            </w:pPr>
            <w:hyperlink w:anchor="page20">
              <w:r>
                <w:rPr>
                  <w:rFonts w:ascii="Arial" w:cs="Arial" w:eastAsia="Arial" w:hAnsi="Arial"/>
                  <w:sz w:val="18"/>
                  <w:szCs w:val="18"/>
                  <w:color w:val="auto"/>
                  <w:w w:val="92"/>
                </w:rPr>
                <w:t>2.</w:t>
              </w:r>
            </w:hyperlink>
          </w:p>
        </w:tc>
        <w:tc>
          <w:tcPr>
            <w:tcW w:w="9160" w:type="dxa"/>
            <w:vAlign w:val="bottom"/>
          </w:tcPr>
          <w:p>
            <w:pPr>
              <w:ind w:left="120"/>
              <w:spacing w:after="0"/>
              <w:rPr>
                <w:rFonts w:ascii="Arial" w:cs="Arial" w:eastAsia="Arial" w:hAnsi="Arial"/>
                <w:sz w:val="18"/>
                <w:szCs w:val="18"/>
                <w:color w:val="auto"/>
              </w:rPr>
            </w:pPr>
            <w:hyperlink w:anchor="page20">
              <w:r>
                <w:rPr>
                  <w:rFonts w:ascii="Arial" w:cs="Arial" w:eastAsia="Arial" w:hAnsi="Arial"/>
                  <w:sz w:val="18"/>
                  <w:szCs w:val="18"/>
                  <w:color w:val="auto"/>
                </w:rPr>
                <w:t>Properties</w:t>
              </w:r>
            </w:hyperlink>
          </w:p>
        </w:tc>
        <w:tc>
          <w:tcPr>
            <w:tcW w:w="1540" w:type="dxa"/>
            <w:vAlign w:val="bottom"/>
          </w:tcPr>
          <w:p>
            <w:pPr>
              <w:jc w:val="right"/>
              <w:spacing w:after="0"/>
              <w:rPr>
                <w:rFonts w:ascii="Arial" w:cs="Arial" w:eastAsia="Arial" w:hAnsi="Arial"/>
                <w:sz w:val="18"/>
                <w:szCs w:val="18"/>
                <w:color w:val="auto"/>
              </w:rPr>
            </w:pPr>
            <w:hyperlink w:anchor="page20">
              <w:r>
                <w:rPr>
                  <w:rFonts w:ascii="Arial" w:cs="Arial" w:eastAsia="Arial" w:hAnsi="Arial"/>
                  <w:sz w:val="18"/>
                  <w:szCs w:val="18"/>
                  <w:color w:val="auto"/>
                </w:rPr>
                <w:t>20</w:t>
              </w:r>
            </w:hyperlink>
          </w:p>
        </w:tc>
      </w:tr>
      <w:tr>
        <w:trPr>
          <w:trHeight w:val="27"/>
        </w:trPr>
        <w:tc>
          <w:tcPr>
            <w:tcW w:w="720" w:type="dxa"/>
            <w:vAlign w:val="bottom"/>
          </w:tcPr>
          <w:p>
            <w:pPr>
              <w:spacing w:after="0"/>
              <w:rPr>
                <w:sz w:val="2"/>
                <w:szCs w:val="2"/>
                <w:color w:val="auto"/>
              </w:rPr>
            </w:pPr>
          </w:p>
        </w:tc>
        <w:tc>
          <w:tcPr>
            <w:tcW w:w="9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20" w:type="dxa"/>
            <w:vAlign w:val="bottom"/>
            <w:tcBorders>
              <w:bottom w:val="single" w:sz="8" w:color="CCEEFF"/>
            </w:tcBorders>
            <w:shd w:val="clear" w:color="auto" w:fill="CCEEFF"/>
          </w:tcPr>
          <w:p>
            <w:pPr>
              <w:jc w:val="center"/>
              <w:ind w:left="10"/>
              <w:spacing w:after="0"/>
              <w:rPr>
                <w:rFonts w:ascii="Arial" w:cs="Arial" w:eastAsia="Arial" w:hAnsi="Arial"/>
                <w:sz w:val="18"/>
                <w:szCs w:val="18"/>
                <w:color w:val="auto"/>
                <w:w w:val="92"/>
              </w:rPr>
            </w:pPr>
            <w:hyperlink w:anchor="page20">
              <w:r>
                <w:rPr>
                  <w:rFonts w:ascii="Arial" w:cs="Arial" w:eastAsia="Arial" w:hAnsi="Arial"/>
                  <w:sz w:val="18"/>
                  <w:szCs w:val="18"/>
                  <w:color w:val="auto"/>
                  <w:w w:val="92"/>
                </w:rPr>
                <w:t>3.</w:t>
              </w:r>
            </w:hyperlink>
          </w:p>
        </w:tc>
        <w:tc>
          <w:tcPr>
            <w:tcW w:w="9160" w:type="dxa"/>
            <w:vAlign w:val="bottom"/>
            <w:tcBorders>
              <w:bottom w:val="single" w:sz="8" w:color="CCEEFF"/>
            </w:tcBorders>
            <w:shd w:val="clear" w:color="auto" w:fill="CCEEFF"/>
          </w:tcPr>
          <w:p>
            <w:pPr>
              <w:ind w:left="120"/>
              <w:spacing w:after="0"/>
              <w:rPr>
                <w:rFonts w:ascii="Arial" w:cs="Arial" w:eastAsia="Arial" w:hAnsi="Arial"/>
                <w:sz w:val="18"/>
                <w:szCs w:val="18"/>
                <w:color w:val="auto"/>
              </w:rPr>
            </w:pPr>
            <w:hyperlink w:anchor="page20">
              <w:r>
                <w:rPr>
                  <w:rFonts w:ascii="Arial" w:cs="Arial" w:eastAsia="Arial" w:hAnsi="Arial"/>
                  <w:sz w:val="18"/>
                  <w:szCs w:val="18"/>
                  <w:color w:val="auto"/>
                </w:rPr>
                <w:t>Legal Proceedings</w:t>
              </w:r>
            </w:hyperlink>
          </w:p>
        </w:tc>
        <w:tc>
          <w:tcPr>
            <w:tcW w:w="15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20">
              <w:r>
                <w:rPr>
                  <w:rFonts w:ascii="Arial" w:cs="Arial" w:eastAsia="Arial" w:hAnsi="Arial"/>
                  <w:sz w:val="18"/>
                  <w:szCs w:val="18"/>
                  <w:color w:val="auto"/>
                </w:rPr>
                <w:t>20</w:t>
              </w:r>
            </w:hyperlink>
          </w:p>
        </w:tc>
      </w:tr>
      <w:tr>
        <w:trPr>
          <w:trHeight w:val="243"/>
        </w:trPr>
        <w:tc>
          <w:tcPr>
            <w:tcW w:w="720" w:type="dxa"/>
            <w:vAlign w:val="bottom"/>
          </w:tcPr>
          <w:p>
            <w:pPr>
              <w:jc w:val="center"/>
              <w:ind w:left="10"/>
              <w:spacing w:after="0"/>
              <w:rPr>
                <w:rFonts w:ascii="Arial" w:cs="Arial" w:eastAsia="Arial" w:hAnsi="Arial"/>
                <w:sz w:val="18"/>
                <w:szCs w:val="18"/>
                <w:color w:val="auto"/>
                <w:w w:val="92"/>
              </w:rPr>
            </w:pPr>
            <w:hyperlink w:anchor="page20">
              <w:r>
                <w:rPr>
                  <w:rFonts w:ascii="Arial" w:cs="Arial" w:eastAsia="Arial" w:hAnsi="Arial"/>
                  <w:sz w:val="18"/>
                  <w:szCs w:val="18"/>
                  <w:color w:val="auto"/>
                  <w:w w:val="92"/>
                </w:rPr>
                <w:t>4.</w:t>
              </w:r>
            </w:hyperlink>
          </w:p>
        </w:tc>
        <w:tc>
          <w:tcPr>
            <w:tcW w:w="9160" w:type="dxa"/>
            <w:vAlign w:val="bottom"/>
          </w:tcPr>
          <w:p>
            <w:pPr>
              <w:ind w:left="120"/>
              <w:spacing w:after="0"/>
              <w:rPr>
                <w:rFonts w:ascii="Arial" w:cs="Arial" w:eastAsia="Arial" w:hAnsi="Arial"/>
                <w:sz w:val="18"/>
                <w:szCs w:val="18"/>
                <w:color w:val="auto"/>
              </w:rPr>
            </w:pPr>
            <w:hyperlink w:anchor="page20">
              <w:r>
                <w:rPr>
                  <w:rFonts w:ascii="Arial" w:cs="Arial" w:eastAsia="Arial" w:hAnsi="Arial"/>
                  <w:sz w:val="18"/>
                  <w:szCs w:val="18"/>
                  <w:color w:val="auto"/>
                </w:rPr>
                <w:t>Mine Safety Disclosures</w:t>
              </w:r>
            </w:hyperlink>
          </w:p>
        </w:tc>
        <w:tc>
          <w:tcPr>
            <w:tcW w:w="1540" w:type="dxa"/>
            <w:vAlign w:val="bottom"/>
          </w:tcPr>
          <w:p>
            <w:pPr>
              <w:jc w:val="right"/>
              <w:spacing w:after="0"/>
              <w:rPr>
                <w:rFonts w:ascii="Arial" w:cs="Arial" w:eastAsia="Arial" w:hAnsi="Arial"/>
                <w:sz w:val="18"/>
                <w:szCs w:val="18"/>
                <w:color w:val="auto"/>
              </w:rPr>
            </w:pPr>
            <w:hyperlink w:anchor="page20">
              <w:r>
                <w:rPr>
                  <w:rFonts w:ascii="Arial" w:cs="Arial" w:eastAsia="Arial" w:hAnsi="Arial"/>
                  <w:sz w:val="18"/>
                  <w:szCs w:val="18"/>
                  <w:color w:val="auto"/>
                </w:rPr>
                <w:t>20</w:t>
              </w:r>
            </w:hyperlink>
          </w:p>
        </w:tc>
      </w:tr>
      <w:tr>
        <w:trPr>
          <w:trHeight w:val="27"/>
        </w:trPr>
        <w:tc>
          <w:tcPr>
            <w:tcW w:w="720" w:type="dxa"/>
            <w:vAlign w:val="bottom"/>
          </w:tcPr>
          <w:p>
            <w:pPr>
              <w:spacing w:after="0"/>
              <w:rPr>
                <w:sz w:val="2"/>
                <w:szCs w:val="2"/>
                <w:color w:val="auto"/>
              </w:rPr>
            </w:pPr>
          </w:p>
        </w:tc>
        <w:tc>
          <w:tcPr>
            <w:tcW w:w="9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20" w:type="dxa"/>
            <w:vAlign w:val="bottom"/>
            <w:tcBorders>
              <w:bottom w:val="single" w:sz="8" w:color="CCEEFF"/>
            </w:tcBorders>
            <w:shd w:val="clear" w:color="auto" w:fill="CCEEFF"/>
          </w:tcPr>
          <w:p>
            <w:pPr>
              <w:spacing w:after="0"/>
              <w:rPr>
                <w:sz w:val="21"/>
                <w:szCs w:val="21"/>
                <w:color w:val="auto"/>
              </w:rPr>
            </w:pPr>
          </w:p>
        </w:tc>
        <w:tc>
          <w:tcPr>
            <w:tcW w:w="9160" w:type="dxa"/>
            <w:vAlign w:val="bottom"/>
            <w:tcBorders>
              <w:bottom w:val="single" w:sz="8" w:color="CCEEFF"/>
            </w:tcBorders>
            <w:shd w:val="clear" w:color="auto" w:fill="CCEEFF"/>
          </w:tcPr>
          <w:p>
            <w:pPr>
              <w:jc w:val="center"/>
              <w:ind w:left="750"/>
              <w:spacing w:after="0"/>
              <w:rPr>
                <w:sz w:val="20"/>
                <w:szCs w:val="20"/>
                <w:color w:val="auto"/>
              </w:rPr>
            </w:pPr>
            <w:r>
              <w:rPr>
                <w:rFonts w:ascii="Arial" w:cs="Arial" w:eastAsia="Arial" w:hAnsi="Arial"/>
                <w:sz w:val="18"/>
                <w:szCs w:val="18"/>
                <w:b w:val="1"/>
                <w:bCs w:val="1"/>
                <w:color w:val="auto"/>
                <w:w w:val="99"/>
              </w:rPr>
              <w:t>PART II</w:t>
            </w: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720" w:type="dxa"/>
            <w:vAlign w:val="bottom"/>
          </w:tcPr>
          <w:p>
            <w:pPr>
              <w:jc w:val="center"/>
              <w:ind w:left="10"/>
              <w:spacing w:after="0"/>
              <w:rPr>
                <w:rFonts w:ascii="Arial" w:cs="Arial" w:eastAsia="Arial" w:hAnsi="Arial"/>
                <w:sz w:val="18"/>
                <w:szCs w:val="18"/>
                <w:color w:val="auto"/>
                <w:w w:val="92"/>
              </w:rPr>
            </w:pPr>
            <w:hyperlink w:anchor="page21">
              <w:r>
                <w:rPr>
                  <w:rFonts w:ascii="Arial" w:cs="Arial" w:eastAsia="Arial" w:hAnsi="Arial"/>
                  <w:sz w:val="18"/>
                  <w:szCs w:val="18"/>
                  <w:color w:val="auto"/>
                  <w:w w:val="92"/>
                </w:rPr>
                <w:t>5.</w:t>
              </w:r>
            </w:hyperlink>
          </w:p>
        </w:tc>
        <w:tc>
          <w:tcPr>
            <w:tcW w:w="9160" w:type="dxa"/>
            <w:vAlign w:val="bottom"/>
          </w:tcPr>
          <w:p>
            <w:pPr>
              <w:ind w:left="120"/>
              <w:spacing w:after="0"/>
              <w:rPr>
                <w:rFonts w:ascii="Arial" w:cs="Arial" w:eastAsia="Arial" w:hAnsi="Arial"/>
                <w:sz w:val="18"/>
                <w:szCs w:val="18"/>
                <w:color w:val="auto"/>
              </w:rPr>
            </w:pPr>
            <w:hyperlink w:anchor="page21">
              <w:r>
                <w:rPr>
                  <w:rFonts w:ascii="Arial" w:cs="Arial" w:eastAsia="Arial" w:hAnsi="Arial"/>
                  <w:sz w:val="18"/>
                  <w:szCs w:val="18"/>
                  <w:color w:val="auto"/>
                </w:rPr>
                <w:t>Market for Registrant's Common Equity, Related Stockholder Matters and Issuer Purchases of Equity Securities</w:t>
              </w:r>
            </w:hyperlink>
          </w:p>
        </w:tc>
        <w:tc>
          <w:tcPr>
            <w:tcW w:w="1540" w:type="dxa"/>
            <w:vAlign w:val="bottom"/>
          </w:tcPr>
          <w:p>
            <w:pPr>
              <w:jc w:val="right"/>
              <w:spacing w:after="0"/>
              <w:rPr>
                <w:rFonts w:ascii="Arial" w:cs="Arial" w:eastAsia="Arial" w:hAnsi="Arial"/>
                <w:sz w:val="18"/>
                <w:szCs w:val="18"/>
                <w:color w:val="auto"/>
              </w:rPr>
            </w:pPr>
            <w:hyperlink w:anchor="page21">
              <w:r>
                <w:rPr>
                  <w:rFonts w:ascii="Arial" w:cs="Arial" w:eastAsia="Arial" w:hAnsi="Arial"/>
                  <w:sz w:val="18"/>
                  <w:szCs w:val="18"/>
                  <w:color w:val="auto"/>
                </w:rPr>
                <w:t>21</w:t>
              </w:r>
            </w:hyperlink>
          </w:p>
        </w:tc>
      </w:tr>
      <w:tr>
        <w:trPr>
          <w:trHeight w:val="27"/>
        </w:trPr>
        <w:tc>
          <w:tcPr>
            <w:tcW w:w="720" w:type="dxa"/>
            <w:vAlign w:val="bottom"/>
          </w:tcPr>
          <w:p>
            <w:pPr>
              <w:spacing w:after="0"/>
              <w:rPr>
                <w:sz w:val="2"/>
                <w:szCs w:val="2"/>
                <w:color w:val="auto"/>
              </w:rPr>
            </w:pPr>
          </w:p>
        </w:tc>
        <w:tc>
          <w:tcPr>
            <w:tcW w:w="9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20" w:type="dxa"/>
            <w:vAlign w:val="bottom"/>
            <w:tcBorders>
              <w:bottom w:val="single" w:sz="8" w:color="CCEEFF"/>
            </w:tcBorders>
            <w:shd w:val="clear" w:color="auto" w:fill="CCEEFF"/>
          </w:tcPr>
          <w:p>
            <w:pPr>
              <w:jc w:val="center"/>
              <w:ind w:left="10"/>
              <w:spacing w:after="0"/>
              <w:rPr>
                <w:rFonts w:ascii="Arial" w:cs="Arial" w:eastAsia="Arial" w:hAnsi="Arial"/>
                <w:sz w:val="18"/>
                <w:szCs w:val="18"/>
                <w:color w:val="auto"/>
                <w:w w:val="92"/>
              </w:rPr>
            </w:pPr>
            <w:hyperlink w:anchor="page22">
              <w:r>
                <w:rPr>
                  <w:rFonts w:ascii="Arial" w:cs="Arial" w:eastAsia="Arial" w:hAnsi="Arial"/>
                  <w:sz w:val="18"/>
                  <w:szCs w:val="18"/>
                  <w:color w:val="auto"/>
                  <w:w w:val="92"/>
                </w:rPr>
                <w:t>6.</w:t>
              </w:r>
            </w:hyperlink>
          </w:p>
        </w:tc>
        <w:tc>
          <w:tcPr>
            <w:tcW w:w="9160" w:type="dxa"/>
            <w:vAlign w:val="bottom"/>
            <w:tcBorders>
              <w:bottom w:val="single" w:sz="8" w:color="CCEEFF"/>
            </w:tcBorders>
            <w:shd w:val="clear" w:color="auto" w:fill="CCEEFF"/>
          </w:tcPr>
          <w:p>
            <w:pPr>
              <w:ind w:left="120"/>
              <w:spacing w:after="0"/>
              <w:rPr>
                <w:rFonts w:ascii="Arial" w:cs="Arial" w:eastAsia="Arial" w:hAnsi="Arial"/>
                <w:sz w:val="18"/>
                <w:szCs w:val="18"/>
                <w:color w:val="auto"/>
              </w:rPr>
            </w:pPr>
            <w:hyperlink w:anchor="page22">
              <w:r>
                <w:rPr>
                  <w:rFonts w:ascii="Arial" w:cs="Arial" w:eastAsia="Arial" w:hAnsi="Arial"/>
                  <w:sz w:val="18"/>
                  <w:szCs w:val="18"/>
                  <w:color w:val="auto"/>
                </w:rPr>
                <w:t>Selected Financial Data</w:t>
              </w:r>
            </w:hyperlink>
          </w:p>
        </w:tc>
        <w:tc>
          <w:tcPr>
            <w:tcW w:w="15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22">
              <w:r>
                <w:rPr>
                  <w:rFonts w:ascii="Arial" w:cs="Arial" w:eastAsia="Arial" w:hAnsi="Arial"/>
                  <w:sz w:val="18"/>
                  <w:szCs w:val="18"/>
                  <w:color w:val="auto"/>
                </w:rPr>
                <w:t>22</w:t>
              </w:r>
            </w:hyperlink>
          </w:p>
        </w:tc>
      </w:tr>
      <w:tr>
        <w:trPr>
          <w:trHeight w:val="243"/>
        </w:trPr>
        <w:tc>
          <w:tcPr>
            <w:tcW w:w="720" w:type="dxa"/>
            <w:vAlign w:val="bottom"/>
          </w:tcPr>
          <w:p>
            <w:pPr>
              <w:jc w:val="center"/>
              <w:ind w:left="10"/>
              <w:spacing w:after="0"/>
              <w:rPr>
                <w:rFonts w:ascii="Arial" w:cs="Arial" w:eastAsia="Arial" w:hAnsi="Arial"/>
                <w:sz w:val="18"/>
                <w:szCs w:val="18"/>
                <w:color w:val="auto"/>
                <w:w w:val="92"/>
              </w:rPr>
            </w:pPr>
            <w:hyperlink w:anchor="page38">
              <w:r>
                <w:rPr>
                  <w:rFonts w:ascii="Arial" w:cs="Arial" w:eastAsia="Arial" w:hAnsi="Arial"/>
                  <w:sz w:val="18"/>
                  <w:szCs w:val="18"/>
                  <w:color w:val="auto"/>
                  <w:w w:val="92"/>
                </w:rPr>
                <w:t>7.</w:t>
              </w:r>
            </w:hyperlink>
          </w:p>
        </w:tc>
        <w:tc>
          <w:tcPr>
            <w:tcW w:w="9160" w:type="dxa"/>
            <w:vAlign w:val="bottom"/>
          </w:tcPr>
          <w:p>
            <w:pPr>
              <w:ind w:left="120"/>
              <w:spacing w:after="0"/>
              <w:rPr>
                <w:rFonts w:ascii="Arial" w:cs="Arial" w:eastAsia="Arial" w:hAnsi="Arial"/>
                <w:sz w:val="18"/>
                <w:szCs w:val="18"/>
                <w:color w:val="auto"/>
              </w:rPr>
            </w:pPr>
            <w:hyperlink w:anchor="page38">
              <w:r>
                <w:rPr>
                  <w:rFonts w:ascii="Arial" w:cs="Arial" w:eastAsia="Arial" w:hAnsi="Arial"/>
                  <w:sz w:val="18"/>
                  <w:szCs w:val="18"/>
                  <w:color w:val="auto"/>
                </w:rPr>
                <w:t>Management's Discussion and Analysis of Financial Condition and Results of Operations</w:t>
              </w:r>
            </w:hyperlink>
          </w:p>
        </w:tc>
        <w:tc>
          <w:tcPr>
            <w:tcW w:w="1540" w:type="dxa"/>
            <w:vAlign w:val="bottom"/>
          </w:tcPr>
          <w:p>
            <w:pPr>
              <w:jc w:val="right"/>
              <w:spacing w:after="0"/>
              <w:rPr>
                <w:rFonts w:ascii="Arial" w:cs="Arial" w:eastAsia="Arial" w:hAnsi="Arial"/>
                <w:sz w:val="18"/>
                <w:szCs w:val="18"/>
                <w:color w:val="auto"/>
              </w:rPr>
            </w:pPr>
            <w:hyperlink w:anchor="page23">
              <w:r>
                <w:rPr>
                  <w:rFonts w:ascii="Arial" w:cs="Arial" w:eastAsia="Arial" w:hAnsi="Arial"/>
                  <w:sz w:val="18"/>
                  <w:szCs w:val="18"/>
                  <w:color w:val="auto"/>
                </w:rPr>
                <w:t>23</w:t>
              </w:r>
            </w:hyperlink>
          </w:p>
        </w:tc>
      </w:tr>
      <w:tr>
        <w:trPr>
          <w:trHeight w:val="27"/>
        </w:trPr>
        <w:tc>
          <w:tcPr>
            <w:tcW w:w="720" w:type="dxa"/>
            <w:vAlign w:val="bottom"/>
          </w:tcPr>
          <w:p>
            <w:pPr>
              <w:spacing w:after="0"/>
              <w:rPr>
                <w:sz w:val="2"/>
                <w:szCs w:val="2"/>
                <w:color w:val="auto"/>
              </w:rPr>
            </w:pPr>
          </w:p>
        </w:tc>
        <w:tc>
          <w:tcPr>
            <w:tcW w:w="9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20" w:type="dxa"/>
            <w:vAlign w:val="bottom"/>
            <w:tcBorders>
              <w:bottom w:val="single" w:sz="8" w:color="CCEEFF"/>
            </w:tcBorders>
            <w:shd w:val="clear" w:color="auto" w:fill="CCEEFF"/>
          </w:tcPr>
          <w:p>
            <w:pPr>
              <w:jc w:val="center"/>
              <w:ind w:left="10"/>
              <w:spacing w:after="0"/>
              <w:rPr>
                <w:rFonts w:ascii="Arial" w:cs="Arial" w:eastAsia="Arial" w:hAnsi="Arial"/>
                <w:sz w:val="18"/>
                <w:szCs w:val="18"/>
                <w:color w:val="auto"/>
                <w:w w:val="96"/>
              </w:rPr>
            </w:pPr>
            <w:hyperlink w:anchor="page41">
              <w:r>
                <w:rPr>
                  <w:rFonts w:ascii="Arial" w:cs="Arial" w:eastAsia="Arial" w:hAnsi="Arial"/>
                  <w:sz w:val="18"/>
                  <w:szCs w:val="18"/>
                  <w:color w:val="auto"/>
                  <w:w w:val="96"/>
                </w:rPr>
                <w:t>7A.</w:t>
              </w:r>
            </w:hyperlink>
          </w:p>
        </w:tc>
        <w:tc>
          <w:tcPr>
            <w:tcW w:w="9160" w:type="dxa"/>
            <w:vAlign w:val="bottom"/>
            <w:tcBorders>
              <w:bottom w:val="single" w:sz="8" w:color="CCEEFF"/>
            </w:tcBorders>
            <w:shd w:val="clear" w:color="auto" w:fill="CCEEFF"/>
          </w:tcPr>
          <w:p>
            <w:pPr>
              <w:ind w:left="120"/>
              <w:spacing w:after="0"/>
              <w:rPr>
                <w:rFonts w:ascii="Arial" w:cs="Arial" w:eastAsia="Arial" w:hAnsi="Arial"/>
                <w:sz w:val="18"/>
                <w:szCs w:val="18"/>
                <w:color w:val="auto"/>
              </w:rPr>
            </w:pPr>
            <w:hyperlink w:anchor="page41">
              <w:r>
                <w:rPr>
                  <w:rFonts w:ascii="Arial" w:cs="Arial" w:eastAsia="Arial" w:hAnsi="Arial"/>
                  <w:sz w:val="18"/>
                  <w:szCs w:val="18"/>
                  <w:color w:val="auto"/>
                </w:rPr>
                <w:t>Quantitative and Qualitative Disclosures About Market Risk</w:t>
              </w:r>
            </w:hyperlink>
          </w:p>
        </w:tc>
        <w:tc>
          <w:tcPr>
            <w:tcW w:w="15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41">
              <w:r>
                <w:rPr>
                  <w:rFonts w:ascii="Arial" w:cs="Arial" w:eastAsia="Arial" w:hAnsi="Arial"/>
                  <w:sz w:val="18"/>
                  <w:szCs w:val="18"/>
                  <w:color w:val="auto"/>
                </w:rPr>
                <w:t>41</w:t>
              </w:r>
            </w:hyperlink>
          </w:p>
        </w:tc>
      </w:tr>
      <w:tr>
        <w:trPr>
          <w:trHeight w:val="243"/>
        </w:trPr>
        <w:tc>
          <w:tcPr>
            <w:tcW w:w="720" w:type="dxa"/>
            <w:vAlign w:val="bottom"/>
          </w:tcPr>
          <w:p>
            <w:pPr>
              <w:jc w:val="center"/>
              <w:ind w:left="10"/>
              <w:spacing w:after="0"/>
              <w:rPr>
                <w:rFonts w:ascii="Arial" w:cs="Arial" w:eastAsia="Arial" w:hAnsi="Arial"/>
                <w:sz w:val="18"/>
                <w:szCs w:val="18"/>
                <w:color w:val="auto"/>
                <w:w w:val="92"/>
              </w:rPr>
            </w:pPr>
            <w:hyperlink w:anchor="page42">
              <w:r>
                <w:rPr>
                  <w:rFonts w:ascii="Arial" w:cs="Arial" w:eastAsia="Arial" w:hAnsi="Arial"/>
                  <w:sz w:val="18"/>
                  <w:szCs w:val="18"/>
                  <w:color w:val="auto"/>
                  <w:w w:val="92"/>
                </w:rPr>
                <w:t>8.</w:t>
              </w:r>
            </w:hyperlink>
          </w:p>
        </w:tc>
        <w:tc>
          <w:tcPr>
            <w:tcW w:w="9160" w:type="dxa"/>
            <w:vAlign w:val="bottom"/>
          </w:tcPr>
          <w:p>
            <w:pPr>
              <w:ind w:left="120"/>
              <w:spacing w:after="0"/>
              <w:rPr>
                <w:rFonts w:ascii="Arial" w:cs="Arial" w:eastAsia="Arial" w:hAnsi="Arial"/>
                <w:sz w:val="18"/>
                <w:szCs w:val="18"/>
                <w:color w:val="auto"/>
              </w:rPr>
            </w:pPr>
            <w:hyperlink w:anchor="page42">
              <w:r>
                <w:rPr>
                  <w:rFonts w:ascii="Arial" w:cs="Arial" w:eastAsia="Arial" w:hAnsi="Arial"/>
                  <w:sz w:val="18"/>
                  <w:szCs w:val="18"/>
                  <w:color w:val="auto"/>
                </w:rPr>
                <w:t>Financial Statements and Supplementary Data</w:t>
              </w:r>
            </w:hyperlink>
          </w:p>
        </w:tc>
        <w:tc>
          <w:tcPr>
            <w:tcW w:w="1540" w:type="dxa"/>
            <w:vAlign w:val="bottom"/>
          </w:tcPr>
          <w:p>
            <w:pPr>
              <w:jc w:val="right"/>
              <w:spacing w:after="0"/>
              <w:rPr>
                <w:rFonts w:ascii="Arial" w:cs="Arial" w:eastAsia="Arial" w:hAnsi="Arial"/>
                <w:sz w:val="18"/>
                <w:szCs w:val="18"/>
                <w:color w:val="auto"/>
              </w:rPr>
            </w:pPr>
            <w:hyperlink w:anchor="page42">
              <w:r>
                <w:rPr>
                  <w:rFonts w:ascii="Arial" w:cs="Arial" w:eastAsia="Arial" w:hAnsi="Arial"/>
                  <w:sz w:val="18"/>
                  <w:szCs w:val="18"/>
                  <w:color w:val="auto"/>
                </w:rPr>
                <w:t>42</w:t>
              </w:r>
            </w:hyperlink>
          </w:p>
        </w:tc>
      </w:tr>
      <w:tr>
        <w:trPr>
          <w:trHeight w:val="27"/>
        </w:trPr>
        <w:tc>
          <w:tcPr>
            <w:tcW w:w="720" w:type="dxa"/>
            <w:vAlign w:val="bottom"/>
          </w:tcPr>
          <w:p>
            <w:pPr>
              <w:spacing w:after="0"/>
              <w:rPr>
                <w:sz w:val="2"/>
                <w:szCs w:val="2"/>
                <w:color w:val="auto"/>
              </w:rPr>
            </w:pPr>
          </w:p>
        </w:tc>
        <w:tc>
          <w:tcPr>
            <w:tcW w:w="9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20" w:type="dxa"/>
            <w:vAlign w:val="bottom"/>
            <w:tcBorders>
              <w:bottom w:val="single" w:sz="8" w:color="CCEEFF"/>
            </w:tcBorders>
            <w:shd w:val="clear" w:color="auto" w:fill="CCEEFF"/>
          </w:tcPr>
          <w:p>
            <w:pPr>
              <w:jc w:val="center"/>
              <w:ind w:left="10"/>
              <w:spacing w:after="0"/>
              <w:rPr>
                <w:rFonts w:ascii="Arial" w:cs="Arial" w:eastAsia="Arial" w:hAnsi="Arial"/>
                <w:sz w:val="18"/>
                <w:szCs w:val="18"/>
                <w:color w:val="auto"/>
                <w:w w:val="92"/>
              </w:rPr>
            </w:pPr>
            <w:hyperlink w:anchor="page89">
              <w:r>
                <w:rPr>
                  <w:rFonts w:ascii="Arial" w:cs="Arial" w:eastAsia="Arial" w:hAnsi="Arial"/>
                  <w:sz w:val="18"/>
                  <w:szCs w:val="18"/>
                  <w:color w:val="auto"/>
                  <w:w w:val="92"/>
                </w:rPr>
                <w:t>9.</w:t>
              </w:r>
            </w:hyperlink>
          </w:p>
        </w:tc>
        <w:tc>
          <w:tcPr>
            <w:tcW w:w="9160" w:type="dxa"/>
            <w:vAlign w:val="bottom"/>
            <w:tcBorders>
              <w:bottom w:val="single" w:sz="8" w:color="CCEEFF"/>
            </w:tcBorders>
            <w:shd w:val="clear" w:color="auto" w:fill="CCEEFF"/>
          </w:tcPr>
          <w:p>
            <w:pPr>
              <w:ind w:left="120"/>
              <w:spacing w:after="0"/>
              <w:rPr>
                <w:rFonts w:ascii="Arial" w:cs="Arial" w:eastAsia="Arial" w:hAnsi="Arial"/>
                <w:sz w:val="18"/>
                <w:szCs w:val="18"/>
                <w:color w:val="auto"/>
              </w:rPr>
            </w:pPr>
            <w:hyperlink w:anchor="page89">
              <w:r>
                <w:rPr>
                  <w:rFonts w:ascii="Arial" w:cs="Arial" w:eastAsia="Arial" w:hAnsi="Arial"/>
                  <w:sz w:val="18"/>
                  <w:szCs w:val="18"/>
                  <w:color w:val="auto"/>
                </w:rPr>
                <w:t>Changes in and Disagreements with Accountants on Accounting and Financial Disclosure</w:t>
              </w:r>
            </w:hyperlink>
          </w:p>
        </w:tc>
        <w:tc>
          <w:tcPr>
            <w:tcW w:w="15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89">
              <w:r>
                <w:rPr>
                  <w:rFonts w:ascii="Arial" w:cs="Arial" w:eastAsia="Arial" w:hAnsi="Arial"/>
                  <w:sz w:val="18"/>
                  <w:szCs w:val="18"/>
                  <w:color w:val="auto"/>
                </w:rPr>
                <w:t>89</w:t>
              </w:r>
            </w:hyperlink>
          </w:p>
        </w:tc>
      </w:tr>
      <w:tr>
        <w:trPr>
          <w:trHeight w:val="243"/>
        </w:trPr>
        <w:tc>
          <w:tcPr>
            <w:tcW w:w="720" w:type="dxa"/>
            <w:vAlign w:val="bottom"/>
          </w:tcPr>
          <w:p>
            <w:pPr>
              <w:jc w:val="center"/>
              <w:ind w:left="10"/>
              <w:spacing w:after="0"/>
              <w:rPr>
                <w:rFonts w:ascii="Arial" w:cs="Arial" w:eastAsia="Arial" w:hAnsi="Arial"/>
                <w:sz w:val="18"/>
                <w:szCs w:val="18"/>
                <w:color w:val="auto"/>
                <w:w w:val="96"/>
              </w:rPr>
            </w:pPr>
            <w:hyperlink w:anchor="page89">
              <w:r>
                <w:rPr>
                  <w:rFonts w:ascii="Arial" w:cs="Arial" w:eastAsia="Arial" w:hAnsi="Arial"/>
                  <w:sz w:val="18"/>
                  <w:szCs w:val="18"/>
                  <w:color w:val="auto"/>
                  <w:w w:val="96"/>
                </w:rPr>
                <w:t>9A.</w:t>
              </w:r>
            </w:hyperlink>
          </w:p>
        </w:tc>
        <w:tc>
          <w:tcPr>
            <w:tcW w:w="9160" w:type="dxa"/>
            <w:vAlign w:val="bottom"/>
          </w:tcPr>
          <w:p>
            <w:pPr>
              <w:ind w:left="120"/>
              <w:spacing w:after="0"/>
              <w:rPr>
                <w:rFonts w:ascii="Arial" w:cs="Arial" w:eastAsia="Arial" w:hAnsi="Arial"/>
                <w:sz w:val="18"/>
                <w:szCs w:val="18"/>
                <w:color w:val="auto"/>
              </w:rPr>
            </w:pPr>
            <w:hyperlink w:anchor="page89">
              <w:r>
                <w:rPr>
                  <w:rFonts w:ascii="Arial" w:cs="Arial" w:eastAsia="Arial" w:hAnsi="Arial"/>
                  <w:sz w:val="18"/>
                  <w:szCs w:val="18"/>
                  <w:color w:val="auto"/>
                </w:rPr>
                <w:t>Controls and Procedures</w:t>
              </w:r>
            </w:hyperlink>
          </w:p>
        </w:tc>
        <w:tc>
          <w:tcPr>
            <w:tcW w:w="1540" w:type="dxa"/>
            <w:vAlign w:val="bottom"/>
          </w:tcPr>
          <w:p>
            <w:pPr>
              <w:jc w:val="right"/>
              <w:spacing w:after="0"/>
              <w:rPr>
                <w:rFonts w:ascii="Arial" w:cs="Arial" w:eastAsia="Arial" w:hAnsi="Arial"/>
                <w:sz w:val="18"/>
                <w:szCs w:val="18"/>
                <w:color w:val="auto"/>
              </w:rPr>
            </w:pPr>
            <w:hyperlink w:anchor="page89">
              <w:r>
                <w:rPr>
                  <w:rFonts w:ascii="Arial" w:cs="Arial" w:eastAsia="Arial" w:hAnsi="Arial"/>
                  <w:sz w:val="18"/>
                  <w:szCs w:val="18"/>
                  <w:color w:val="auto"/>
                </w:rPr>
                <w:t>89</w:t>
              </w:r>
            </w:hyperlink>
          </w:p>
        </w:tc>
      </w:tr>
      <w:tr>
        <w:trPr>
          <w:trHeight w:val="27"/>
        </w:trPr>
        <w:tc>
          <w:tcPr>
            <w:tcW w:w="720" w:type="dxa"/>
            <w:vAlign w:val="bottom"/>
          </w:tcPr>
          <w:p>
            <w:pPr>
              <w:spacing w:after="0"/>
              <w:rPr>
                <w:sz w:val="2"/>
                <w:szCs w:val="2"/>
                <w:color w:val="auto"/>
              </w:rPr>
            </w:pPr>
          </w:p>
        </w:tc>
        <w:tc>
          <w:tcPr>
            <w:tcW w:w="9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20" w:type="dxa"/>
            <w:vAlign w:val="bottom"/>
            <w:tcBorders>
              <w:bottom w:val="single" w:sz="8" w:color="CCEEFF"/>
            </w:tcBorders>
            <w:shd w:val="clear" w:color="auto" w:fill="CCEEFF"/>
          </w:tcPr>
          <w:p>
            <w:pPr>
              <w:jc w:val="center"/>
              <w:ind w:left="10"/>
              <w:spacing w:after="0"/>
              <w:rPr>
                <w:rFonts w:ascii="Arial" w:cs="Arial" w:eastAsia="Arial" w:hAnsi="Arial"/>
                <w:sz w:val="18"/>
                <w:szCs w:val="18"/>
                <w:color w:val="auto"/>
                <w:w w:val="96"/>
              </w:rPr>
            </w:pPr>
            <w:hyperlink w:anchor="page91">
              <w:r>
                <w:rPr>
                  <w:rFonts w:ascii="Arial" w:cs="Arial" w:eastAsia="Arial" w:hAnsi="Arial"/>
                  <w:sz w:val="18"/>
                  <w:szCs w:val="18"/>
                  <w:color w:val="auto"/>
                  <w:w w:val="96"/>
                </w:rPr>
                <w:t>9B.</w:t>
              </w:r>
            </w:hyperlink>
          </w:p>
        </w:tc>
        <w:tc>
          <w:tcPr>
            <w:tcW w:w="9160" w:type="dxa"/>
            <w:vAlign w:val="bottom"/>
            <w:tcBorders>
              <w:bottom w:val="single" w:sz="8" w:color="CCEEFF"/>
            </w:tcBorders>
            <w:shd w:val="clear" w:color="auto" w:fill="CCEEFF"/>
          </w:tcPr>
          <w:p>
            <w:pPr>
              <w:ind w:left="120"/>
              <w:spacing w:after="0"/>
              <w:rPr>
                <w:rFonts w:ascii="Arial" w:cs="Arial" w:eastAsia="Arial" w:hAnsi="Arial"/>
                <w:sz w:val="18"/>
                <w:szCs w:val="18"/>
                <w:color w:val="auto"/>
              </w:rPr>
            </w:pPr>
            <w:hyperlink w:anchor="page91">
              <w:r>
                <w:rPr>
                  <w:rFonts w:ascii="Arial" w:cs="Arial" w:eastAsia="Arial" w:hAnsi="Arial"/>
                  <w:sz w:val="18"/>
                  <w:szCs w:val="18"/>
                  <w:color w:val="auto"/>
                </w:rPr>
                <w:t>Other Information</w:t>
              </w:r>
            </w:hyperlink>
          </w:p>
        </w:tc>
        <w:tc>
          <w:tcPr>
            <w:tcW w:w="15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91">
              <w:r>
                <w:rPr>
                  <w:rFonts w:ascii="Arial" w:cs="Arial" w:eastAsia="Arial" w:hAnsi="Arial"/>
                  <w:sz w:val="18"/>
                  <w:szCs w:val="18"/>
                  <w:color w:val="auto"/>
                </w:rPr>
                <w:t>91</w:t>
              </w:r>
            </w:hyperlink>
          </w:p>
        </w:tc>
      </w:tr>
      <w:tr>
        <w:trPr>
          <w:trHeight w:val="243"/>
        </w:trPr>
        <w:tc>
          <w:tcPr>
            <w:tcW w:w="720" w:type="dxa"/>
            <w:vAlign w:val="bottom"/>
          </w:tcPr>
          <w:p>
            <w:pPr>
              <w:spacing w:after="0"/>
              <w:rPr>
                <w:sz w:val="21"/>
                <w:szCs w:val="21"/>
                <w:color w:val="auto"/>
              </w:rPr>
            </w:pPr>
          </w:p>
        </w:tc>
        <w:tc>
          <w:tcPr>
            <w:tcW w:w="9160" w:type="dxa"/>
            <w:vAlign w:val="bottom"/>
          </w:tcPr>
          <w:p>
            <w:pPr>
              <w:jc w:val="center"/>
              <w:ind w:left="750"/>
              <w:spacing w:after="0"/>
              <w:rPr>
                <w:sz w:val="20"/>
                <w:szCs w:val="20"/>
                <w:color w:val="auto"/>
              </w:rPr>
            </w:pPr>
            <w:r>
              <w:rPr>
                <w:rFonts w:ascii="Arial" w:cs="Arial" w:eastAsia="Arial" w:hAnsi="Arial"/>
                <w:sz w:val="18"/>
                <w:szCs w:val="18"/>
                <w:b w:val="1"/>
                <w:bCs w:val="1"/>
                <w:color w:val="auto"/>
              </w:rPr>
              <w:t>PART III</w:t>
            </w:r>
          </w:p>
        </w:tc>
        <w:tc>
          <w:tcPr>
            <w:tcW w:w="1540" w:type="dxa"/>
            <w:vAlign w:val="bottom"/>
          </w:tcPr>
          <w:p>
            <w:pPr>
              <w:spacing w:after="0"/>
              <w:rPr>
                <w:sz w:val="21"/>
                <w:szCs w:val="21"/>
                <w:color w:val="auto"/>
              </w:rPr>
            </w:pPr>
          </w:p>
        </w:tc>
      </w:tr>
      <w:tr>
        <w:trPr>
          <w:trHeight w:val="27"/>
        </w:trPr>
        <w:tc>
          <w:tcPr>
            <w:tcW w:w="720" w:type="dxa"/>
            <w:vAlign w:val="bottom"/>
          </w:tcPr>
          <w:p>
            <w:pPr>
              <w:spacing w:after="0"/>
              <w:rPr>
                <w:sz w:val="2"/>
                <w:szCs w:val="2"/>
                <w:color w:val="auto"/>
              </w:rPr>
            </w:pPr>
          </w:p>
        </w:tc>
        <w:tc>
          <w:tcPr>
            <w:tcW w:w="9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20" w:type="dxa"/>
            <w:vAlign w:val="bottom"/>
            <w:tcBorders>
              <w:bottom w:val="single" w:sz="8" w:color="CCEEFF"/>
            </w:tcBorders>
            <w:shd w:val="clear" w:color="auto" w:fill="CCEEFF"/>
          </w:tcPr>
          <w:p>
            <w:pPr>
              <w:jc w:val="center"/>
              <w:ind w:left="10"/>
              <w:spacing w:after="0"/>
              <w:rPr>
                <w:rFonts w:ascii="Arial" w:cs="Arial" w:eastAsia="Arial" w:hAnsi="Arial"/>
                <w:sz w:val="18"/>
                <w:szCs w:val="18"/>
                <w:color w:val="auto"/>
                <w:w w:val="87"/>
              </w:rPr>
            </w:pPr>
            <w:hyperlink w:anchor="page91">
              <w:r>
                <w:rPr>
                  <w:rFonts w:ascii="Arial" w:cs="Arial" w:eastAsia="Arial" w:hAnsi="Arial"/>
                  <w:sz w:val="18"/>
                  <w:szCs w:val="18"/>
                  <w:color w:val="auto"/>
                  <w:w w:val="87"/>
                </w:rPr>
                <w:t>10.</w:t>
              </w:r>
            </w:hyperlink>
          </w:p>
        </w:tc>
        <w:tc>
          <w:tcPr>
            <w:tcW w:w="9160" w:type="dxa"/>
            <w:vAlign w:val="bottom"/>
            <w:tcBorders>
              <w:bottom w:val="single" w:sz="8" w:color="CCEEFF"/>
            </w:tcBorders>
            <w:shd w:val="clear" w:color="auto" w:fill="CCEEFF"/>
          </w:tcPr>
          <w:p>
            <w:pPr>
              <w:ind w:left="120"/>
              <w:spacing w:after="0"/>
              <w:rPr>
                <w:rFonts w:ascii="Arial" w:cs="Arial" w:eastAsia="Arial" w:hAnsi="Arial"/>
                <w:sz w:val="18"/>
                <w:szCs w:val="18"/>
                <w:color w:val="auto"/>
              </w:rPr>
            </w:pPr>
            <w:hyperlink w:anchor="page91">
              <w:r>
                <w:rPr>
                  <w:rFonts w:ascii="Arial" w:cs="Arial" w:eastAsia="Arial" w:hAnsi="Arial"/>
                  <w:sz w:val="18"/>
                  <w:szCs w:val="18"/>
                  <w:color w:val="auto"/>
                </w:rPr>
                <w:t>Directors, Executive Officers and Corporate Governance</w:t>
              </w:r>
            </w:hyperlink>
          </w:p>
        </w:tc>
        <w:tc>
          <w:tcPr>
            <w:tcW w:w="15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91">
              <w:r>
                <w:rPr>
                  <w:rFonts w:ascii="Arial" w:cs="Arial" w:eastAsia="Arial" w:hAnsi="Arial"/>
                  <w:sz w:val="18"/>
                  <w:szCs w:val="18"/>
                  <w:color w:val="auto"/>
                </w:rPr>
                <w:t>91</w:t>
              </w:r>
            </w:hyperlink>
          </w:p>
        </w:tc>
      </w:tr>
      <w:tr>
        <w:trPr>
          <w:trHeight w:val="243"/>
        </w:trPr>
        <w:tc>
          <w:tcPr>
            <w:tcW w:w="720" w:type="dxa"/>
            <w:vAlign w:val="bottom"/>
          </w:tcPr>
          <w:p>
            <w:pPr>
              <w:jc w:val="center"/>
              <w:ind w:left="10"/>
              <w:spacing w:after="0"/>
              <w:rPr>
                <w:rFonts w:ascii="Arial" w:cs="Arial" w:eastAsia="Arial" w:hAnsi="Arial"/>
                <w:sz w:val="18"/>
                <w:szCs w:val="18"/>
                <w:color w:val="auto"/>
                <w:w w:val="87"/>
              </w:rPr>
            </w:pPr>
            <w:hyperlink w:anchor="page91">
              <w:r>
                <w:rPr>
                  <w:rFonts w:ascii="Arial" w:cs="Arial" w:eastAsia="Arial" w:hAnsi="Arial"/>
                  <w:sz w:val="18"/>
                  <w:szCs w:val="18"/>
                  <w:color w:val="auto"/>
                  <w:w w:val="87"/>
                </w:rPr>
                <w:t>11.</w:t>
              </w:r>
            </w:hyperlink>
          </w:p>
        </w:tc>
        <w:tc>
          <w:tcPr>
            <w:tcW w:w="9160" w:type="dxa"/>
            <w:vAlign w:val="bottom"/>
          </w:tcPr>
          <w:p>
            <w:pPr>
              <w:ind w:left="120"/>
              <w:spacing w:after="0"/>
              <w:rPr>
                <w:rFonts w:ascii="Arial" w:cs="Arial" w:eastAsia="Arial" w:hAnsi="Arial"/>
                <w:sz w:val="18"/>
                <w:szCs w:val="18"/>
                <w:color w:val="auto"/>
              </w:rPr>
            </w:pPr>
            <w:hyperlink w:anchor="page91">
              <w:r>
                <w:rPr>
                  <w:rFonts w:ascii="Arial" w:cs="Arial" w:eastAsia="Arial" w:hAnsi="Arial"/>
                  <w:sz w:val="18"/>
                  <w:szCs w:val="18"/>
                  <w:color w:val="auto"/>
                </w:rPr>
                <w:t>Executive Compensation</w:t>
              </w:r>
            </w:hyperlink>
          </w:p>
        </w:tc>
        <w:tc>
          <w:tcPr>
            <w:tcW w:w="1540" w:type="dxa"/>
            <w:vAlign w:val="bottom"/>
          </w:tcPr>
          <w:p>
            <w:pPr>
              <w:jc w:val="right"/>
              <w:spacing w:after="0"/>
              <w:rPr>
                <w:rFonts w:ascii="Arial" w:cs="Arial" w:eastAsia="Arial" w:hAnsi="Arial"/>
                <w:sz w:val="18"/>
                <w:szCs w:val="18"/>
                <w:color w:val="auto"/>
              </w:rPr>
            </w:pPr>
            <w:hyperlink w:anchor="page91">
              <w:r>
                <w:rPr>
                  <w:rFonts w:ascii="Arial" w:cs="Arial" w:eastAsia="Arial" w:hAnsi="Arial"/>
                  <w:sz w:val="18"/>
                  <w:szCs w:val="18"/>
                  <w:color w:val="auto"/>
                </w:rPr>
                <w:t>91</w:t>
              </w:r>
            </w:hyperlink>
          </w:p>
        </w:tc>
      </w:tr>
      <w:tr>
        <w:trPr>
          <w:trHeight w:val="27"/>
        </w:trPr>
        <w:tc>
          <w:tcPr>
            <w:tcW w:w="720" w:type="dxa"/>
            <w:vAlign w:val="bottom"/>
          </w:tcPr>
          <w:p>
            <w:pPr>
              <w:spacing w:after="0"/>
              <w:rPr>
                <w:sz w:val="2"/>
                <w:szCs w:val="2"/>
                <w:color w:val="auto"/>
              </w:rPr>
            </w:pPr>
          </w:p>
        </w:tc>
        <w:tc>
          <w:tcPr>
            <w:tcW w:w="9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20" w:type="dxa"/>
            <w:vAlign w:val="bottom"/>
            <w:tcBorders>
              <w:bottom w:val="single" w:sz="8" w:color="CCEEFF"/>
            </w:tcBorders>
            <w:shd w:val="clear" w:color="auto" w:fill="CCEEFF"/>
          </w:tcPr>
          <w:p>
            <w:pPr>
              <w:jc w:val="center"/>
              <w:ind w:left="10"/>
              <w:spacing w:after="0"/>
              <w:rPr>
                <w:rFonts w:ascii="Arial" w:cs="Arial" w:eastAsia="Arial" w:hAnsi="Arial"/>
                <w:sz w:val="18"/>
                <w:szCs w:val="18"/>
                <w:color w:val="auto"/>
                <w:w w:val="87"/>
              </w:rPr>
            </w:pPr>
            <w:hyperlink w:anchor="page91">
              <w:r>
                <w:rPr>
                  <w:rFonts w:ascii="Arial" w:cs="Arial" w:eastAsia="Arial" w:hAnsi="Arial"/>
                  <w:sz w:val="18"/>
                  <w:szCs w:val="18"/>
                  <w:color w:val="auto"/>
                  <w:w w:val="87"/>
                </w:rPr>
                <w:t>12.</w:t>
              </w:r>
            </w:hyperlink>
          </w:p>
        </w:tc>
        <w:tc>
          <w:tcPr>
            <w:tcW w:w="9160" w:type="dxa"/>
            <w:vAlign w:val="bottom"/>
            <w:tcBorders>
              <w:bottom w:val="single" w:sz="8" w:color="CCEEFF"/>
            </w:tcBorders>
            <w:shd w:val="clear" w:color="auto" w:fill="CCEEFF"/>
          </w:tcPr>
          <w:p>
            <w:pPr>
              <w:ind w:left="120"/>
              <w:spacing w:after="0"/>
              <w:rPr>
                <w:rFonts w:ascii="Arial" w:cs="Arial" w:eastAsia="Arial" w:hAnsi="Arial"/>
                <w:sz w:val="18"/>
                <w:szCs w:val="18"/>
                <w:color w:val="auto"/>
              </w:rPr>
            </w:pPr>
            <w:hyperlink w:anchor="page91">
              <w:r>
                <w:rPr>
                  <w:rFonts w:ascii="Arial" w:cs="Arial" w:eastAsia="Arial" w:hAnsi="Arial"/>
                  <w:sz w:val="18"/>
                  <w:szCs w:val="18"/>
                  <w:color w:val="auto"/>
                </w:rPr>
                <w:t>Security Ownership of Certain Beneficial Owners and Management and Related Stockholder Matters</w:t>
              </w:r>
            </w:hyperlink>
          </w:p>
        </w:tc>
        <w:tc>
          <w:tcPr>
            <w:tcW w:w="15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91">
              <w:r>
                <w:rPr>
                  <w:rFonts w:ascii="Arial" w:cs="Arial" w:eastAsia="Arial" w:hAnsi="Arial"/>
                  <w:sz w:val="18"/>
                  <w:szCs w:val="18"/>
                  <w:color w:val="auto"/>
                </w:rPr>
                <w:t>91</w:t>
              </w:r>
            </w:hyperlink>
          </w:p>
        </w:tc>
      </w:tr>
      <w:tr>
        <w:trPr>
          <w:trHeight w:val="243"/>
        </w:trPr>
        <w:tc>
          <w:tcPr>
            <w:tcW w:w="720" w:type="dxa"/>
            <w:vAlign w:val="bottom"/>
          </w:tcPr>
          <w:p>
            <w:pPr>
              <w:jc w:val="center"/>
              <w:ind w:left="10"/>
              <w:spacing w:after="0"/>
              <w:rPr>
                <w:rFonts w:ascii="Arial" w:cs="Arial" w:eastAsia="Arial" w:hAnsi="Arial"/>
                <w:sz w:val="18"/>
                <w:szCs w:val="18"/>
                <w:color w:val="auto"/>
                <w:w w:val="87"/>
              </w:rPr>
            </w:pPr>
            <w:hyperlink w:anchor="page91">
              <w:r>
                <w:rPr>
                  <w:rFonts w:ascii="Arial" w:cs="Arial" w:eastAsia="Arial" w:hAnsi="Arial"/>
                  <w:sz w:val="18"/>
                  <w:szCs w:val="18"/>
                  <w:color w:val="auto"/>
                  <w:w w:val="87"/>
                </w:rPr>
                <w:t>13.</w:t>
              </w:r>
            </w:hyperlink>
          </w:p>
        </w:tc>
        <w:tc>
          <w:tcPr>
            <w:tcW w:w="9160" w:type="dxa"/>
            <w:vAlign w:val="bottom"/>
          </w:tcPr>
          <w:p>
            <w:pPr>
              <w:ind w:left="120"/>
              <w:spacing w:after="0"/>
              <w:rPr>
                <w:rFonts w:ascii="Arial" w:cs="Arial" w:eastAsia="Arial" w:hAnsi="Arial"/>
                <w:sz w:val="18"/>
                <w:szCs w:val="18"/>
                <w:color w:val="auto"/>
              </w:rPr>
            </w:pPr>
            <w:hyperlink w:anchor="page91">
              <w:r>
                <w:rPr>
                  <w:rFonts w:ascii="Arial" w:cs="Arial" w:eastAsia="Arial" w:hAnsi="Arial"/>
                  <w:sz w:val="18"/>
                  <w:szCs w:val="18"/>
                  <w:color w:val="auto"/>
                </w:rPr>
                <w:t>Certain Relationships and Related Transactions and Director Independence</w:t>
              </w:r>
            </w:hyperlink>
          </w:p>
        </w:tc>
        <w:tc>
          <w:tcPr>
            <w:tcW w:w="1540" w:type="dxa"/>
            <w:vAlign w:val="bottom"/>
          </w:tcPr>
          <w:p>
            <w:pPr>
              <w:jc w:val="right"/>
              <w:spacing w:after="0"/>
              <w:rPr>
                <w:rFonts w:ascii="Arial" w:cs="Arial" w:eastAsia="Arial" w:hAnsi="Arial"/>
                <w:sz w:val="18"/>
                <w:szCs w:val="18"/>
                <w:color w:val="auto"/>
              </w:rPr>
            </w:pPr>
            <w:hyperlink w:anchor="page91">
              <w:r>
                <w:rPr>
                  <w:rFonts w:ascii="Arial" w:cs="Arial" w:eastAsia="Arial" w:hAnsi="Arial"/>
                  <w:sz w:val="18"/>
                  <w:szCs w:val="18"/>
                  <w:color w:val="auto"/>
                </w:rPr>
                <w:t>91</w:t>
              </w:r>
            </w:hyperlink>
          </w:p>
        </w:tc>
      </w:tr>
      <w:tr>
        <w:trPr>
          <w:trHeight w:val="27"/>
        </w:trPr>
        <w:tc>
          <w:tcPr>
            <w:tcW w:w="720" w:type="dxa"/>
            <w:vAlign w:val="bottom"/>
          </w:tcPr>
          <w:p>
            <w:pPr>
              <w:spacing w:after="0"/>
              <w:rPr>
                <w:sz w:val="2"/>
                <w:szCs w:val="2"/>
                <w:color w:val="auto"/>
              </w:rPr>
            </w:pPr>
          </w:p>
        </w:tc>
        <w:tc>
          <w:tcPr>
            <w:tcW w:w="9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20" w:type="dxa"/>
            <w:vAlign w:val="bottom"/>
            <w:tcBorders>
              <w:bottom w:val="single" w:sz="8" w:color="CCEEFF"/>
            </w:tcBorders>
            <w:shd w:val="clear" w:color="auto" w:fill="CCEEFF"/>
          </w:tcPr>
          <w:p>
            <w:pPr>
              <w:jc w:val="center"/>
              <w:ind w:left="10"/>
              <w:spacing w:after="0"/>
              <w:rPr>
                <w:rFonts w:ascii="Arial" w:cs="Arial" w:eastAsia="Arial" w:hAnsi="Arial"/>
                <w:sz w:val="18"/>
                <w:szCs w:val="18"/>
                <w:color w:val="auto"/>
                <w:w w:val="87"/>
              </w:rPr>
            </w:pPr>
            <w:hyperlink w:anchor="page91">
              <w:r>
                <w:rPr>
                  <w:rFonts w:ascii="Arial" w:cs="Arial" w:eastAsia="Arial" w:hAnsi="Arial"/>
                  <w:sz w:val="18"/>
                  <w:szCs w:val="18"/>
                  <w:color w:val="auto"/>
                  <w:w w:val="87"/>
                </w:rPr>
                <w:t>14.</w:t>
              </w:r>
            </w:hyperlink>
          </w:p>
        </w:tc>
        <w:tc>
          <w:tcPr>
            <w:tcW w:w="9160" w:type="dxa"/>
            <w:vAlign w:val="bottom"/>
            <w:tcBorders>
              <w:bottom w:val="single" w:sz="8" w:color="CCEEFF"/>
            </w:tcBorders>
            <w:shd w:val="clear" w:color="auto" w:fill="CCEEFF"/>
          </w:tcPr>
          <w:p>
            <w:pPr>
              <w:ind w:left="120"/>
              <w:spacing w:after="0"/>
              <w:rPr>
                <w:rFonts w:ascii="Arial" w:cs="Arial" w:eastAsia="Arial" w:hAnsi="Arial"/>
                <w:sz w:val="18"/>
                <w:szCs w:val="18"/>
                <w:color w:val="auto"/>
              </w:rPr>
            </w:pPr>
            <w:hyperlink w:anchor="page91">
              <w:r>
                <w:rPr>
                  <w:rFonts w:ascii="Arial" w:cs="Arial" w:eastAsia="Arial" w:hAnsi="Arial"/>
                  <w:sz w:val="18"/>
                  <w:szCs w:val="18"/>
                  <w:color w:val="auto"/>
                </w:rPr>
                <w:t>Principal Accounting Fees and Services</w:t>
              </w:r>
            </w:hyperlink>
          </w:p>
        </w:tc>
        <w:tc>
          <w:tcPr>
            <w:tcW w:w="15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91">
              <w:r>
                <w:rPr>
                  <w:rFonts w:ascii="Arial" w:cs="Arial" w:eastAsia="Arial" w:hAnsi="Arial"/>
                  <w:sz w:val="18"/>
                  <w:szCs w:val="18"/>
                  <w:color w:val="auto"/>
                </w:rPr>
                <w:t>91</w:t>
              </w:r>
            </w:hyperlink>
          </w:p>
        </w:tc>
      </w:tr>
      <w:tr>
        <w:trPr>
          <w:trHeight w:val="243"/>
        </w:trPr>
        <w:tc>
          <w:tcPr>
            <w:tcW w:w="720" w:type="dxa"/>
            <w:vAlign w:val="bottom"/>
          </w:tcPr>
          <w:p>
            <w:pPr>
              <w:spacing w:after="0"/>
              <w:rPr>
                <w:sz w:val="21"/>
                <w:szCs w:val="21"/>
                <w:color w:val="auto"/>
              </w:rPr>
            </w:pPr>
          </w:p>
        </w:tc>
        <w:tc>
          <w:tcPr>
            <w:tcW w:w="9160" w:type="dxa"/>
            <w:vAlign w:val="bottom"/>
          </w:tcPr>
          <w:p>
            <w:pPr>
              <w:jc w:val="center"/>
              <w:ind w:left="750"/>
              <w:spacing w:after="0"/>
              <w:rPr>
                <w:sz w:val="20"/>
                <w:szCs w:val="20"/>
                <w:color w:val="auto"/>
              </w:rPr>
            </w:pPr>
            <w:r>
              <w:rPr>
                <w:rFonts w:ascii="Arial" w:cs="Arial" w:eastAsia="Arial" w:hAnsi="Arial"/>
                <w:sz w:val="18"/>
                <w:szCs w:val="18"/>
                <w:b w:val="1"/>
                <w:bCs w:val="1"/>
                <w:color w:val="auto"/>
              </w:rPr>
              <w:t>PART IV</w:t>
            </w:r>
          </w:p>
        </w:tc>
        <w:tc>
          <w:tcPr>
            <w:tcW w:w="1540" w:type="dxa"/>
            <w:vAlign w:val="bottom"/>
          </w:tcPr>
          <w:p>
            <w:pPr>
              <w:spacing w:after="0"/>
              <w:rPr>
                <w:sz w:val="21"/>
                <w:szCs w:val="21"/>
                <w:color w:val="auto"/>
              </w:rPr>
            </w:pPr>
          </w:p>
        </w:tc>
      </w:tr>
      <w:tr>
        <w:trPr>
          <w:trHeight w:val="27"/>
        </w:trPr>
        <w:tc>
          <w:tcPr>
            <w:tcW w:w="720" w:type="dxa"/>
            <w:vAlign w:val="bottom"/>
          </w:tcPr>
          <w:p>
            <w:pPr>
              <w:spacing w:after="0"/>
              <w:rPr>
                <w:sz w:val="2"/>
                <w:szCs w:val="2"/>
                <w:color w:val="auto"/>
              </w:rPr>
            </w:pPr>
          </w:p>
        </w:tc>
        <w:tc>
          <w:tcPr>
            <w:tcW w:w="9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20" w:type="dxa"/>
            <w:vAlign w:val="bottom"/>
            <w:tcBorders>
              <w:bottom w:val="single" w:sz="8" w:color="CCEEFF"/>
            </w:tcBorders>
            <w:shd w:val="clear" w:color="auto" w:fill="CCEEFF"/>
          </w:tcPr>
          <w:p>
            <w:pPr>
              <w:jc w:val="center"/>
              <w:ind w:left="10"/>
              <w:spacing w:after="0"/>
              <w:rPr>
                <w:rFonts w:ascii="Arial" w:cs="Arial" w:eastAsia="Arial" w:hAnsi="Arial"/>
                <w:sz w:val="18"/>
                <w:szCs w:val="18"/>
                <w:color w:val="auto"/>
                <w:w w:val="87"/>
              </w:rPr>
            </w:pPr>
            <w:hyperlink w:anchor="page92">
              <w:r>
                <w:rPr>
                  <w:rFonts w:ascii="Arial" w:cs="Arial" w:eastAsia="Arial" w:hAnsi="Arial"/>
                  <w:sz w:val="18"/>
                  <w:szCs w:val="18"/>
                  <w:color w:val="auto"/>
                  <w:w w:val="87"/>
                </w:rPr>
                <w:t>15.</w:t>
              </w:r>
            </w:hyperlink>
          </w:p>
        </w:tc>
        <w:tc>
          <w:tcPr>
            <w:tcW w:w="9160" w:type="dxa"/>
            <w:vAlign w:val="bottom"/>
            <w:tcBorders>
              <w:bottom w:val="single" w:sz="8" w:color="CCEEFF"/>
            </w:tcBorders>
            <w:shd w:val="clear" w:color="auto" w:fill="CCEEFF"/>
          </w:tcPr>
          <w:p>
            <w:pPr>
              <w:ind w:left="120"/>
              <w:spacing w:after="0"/>
              <w:rPr>
                <w:rFonts w:ascii="Arial" w:cs="Arial" w:eastAsia="Arial" w:hAnsi="Arial"/>
                <w:sz w:val="18"/>
                <w:szCs w:val="18"/>
                <w:color w:val="auto"/>
              </w:rPr>
            </w:pPr>
            <w:hyperlink w:anchor="page92">
              <w:r>
                <w:rPr>
                  <w:rFonts w:ascii="Arial" w:cs="Arial" w:eastAsia="Arial" w:hAnsi="Arial"/>
                  <w:sz w:val="18"/>
                  <w:szCs w:val="18"/>
                  <w:color w:val="auto"/>
                </w:rPr>
                <w:t>Exhibits, Financial Statement Schedules</w:t>
              </w:r>
            </w:hyperlink>
          </w:p>
        </w:tc>
        <w:tc>
          <w:tcPr>
            <w:tcW w:w="15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92">
              <w:r>
                <w:rPr>
                  <w:rFonts w:ascii="Arial" w:cs="Arial" w:eastAsia="Arial" w:hAnsi="Arial"/>
                  <w:sz w:val="18"/>
                  <w:szCs w:val="18"/>
                  <w:color w:val="auto"/>
                </w:rPr>
                <w:t>92</w:t>
              </w:r>
            </w:hyperlink>
          </w:p>
        </w:tc>
      </w:tr>
      <w:tr>
        <w:trPr>
          <w:trHeight w:val="243"/>
        </w:trPr>
        <w:tc>
          <w:tcPr>
            <w:tcW w:w="720" w:type="dxa"/>
            <w:vAlign w:val="bottom"/>
          </w:tcPr>
          <w:p>
            <w:pPr>
              <w:jc w:val="center"/>
              <w:ind w:left="10"/>
              <w:spacing w:after="0"/>
              <w:rPr>
                <w:sz w:val="20"/>
                <w:szCs w:val="20"/>
                <w:color w:val="auto"/>
              </w:rPr>
            </w:pPr>
            <w:r>
              <w:rPr>
                <w:rFonts w:ascii="Arial" w:cs="Arial" w:eastAsia="Arial" w:hAnsi="Arial"/>
                <w:sz w:val="18"/>
                <w:szCs w:val="18"/>
                <w:color w:val="auto"/>
                <w:w w:val="87"/>
              </w:rPr>
              <w:t>16.</w:t>
            </w:r>
          </w:p>
        </w:tc>
        <w:tc>
          <w:tcPr>
            <w:tcW w:w="9160" w:type="dxa"/>
            <w:vAlign w:val="bottom"/>
          </w:tcPr>
          <w:p>
            <w:pPr>
              <w:ind w:left="120"/>
              <w:spacing w:after="0"/>
              <w:rPr>
                <w:sz w:val="20"/>
                <w:szCs w:val="20"/>
                <w:color w:val="auto"/>
              </w:rPr>
            </w:pPr>
            <w:r>
              <w:rPr>
                <w:rFonts w:ascii="Arial" w:cs="Arial" w:eastAsia="Arial" w:hAnsi="Arial"/>
                <w:sz w:val="18"/>
                <w:szCs w:val="18"/>
                <w:color w:val="auto"/>
              </w:rPr>
              <w:t>Form 10-K Summary</w:t>
            </w:r>
          </w:p>
        </w:tc>
        <w:tc>
          <w:tcPr>
            <w:tcW w:w="1540" w:type="dxa"/>
            <w:vAlign w:val="bottom"/>
          </w:tcPr>
          <w:p>
            <w:pPr>
              <w:jc w:val="right"/>
              <w:spacing w:after="0"/>
              <w:rPr>
                <w:rFonts w:ascii="Arial" w:cs="Arial" w:eastAsia="Arial" w:hAnsi="Arial"/>
                <w:sz w:val="18"/>
                <w:szCs w:val="18"/>
                <w:color w:val="auto"/>
              </w:rPr>
            </w:pPr>
            <w:hyperlink w:anchor="page98">
              <w:r>
                <w:rPr>
                  <w:rFonts w:ascii="Arial" w:cs="Arial" w:eastAsia="Arial" w:hAnsi="Arial"/>
                  <w:sz w:val="18"/>
                  <w:szCs w:val="18"/>
                  <w:color w:val="auto"/>
                </w:rPr>
                <w:t>98</w:t>
              </w:r>
            </w:hyperlink>
          </w:p>
        </w:tc>
      </w:tr>
      <w:tr>
        <w:trPr>
          <w:trHeight w:val="27"/>
        </w:trPr>
        <w:tc>
          <w:tcPr>
            <w:tcW w:w="720" w:type="dxa"/>
            <w:vAlign w:val="bottom"/>
          </w:tcPr>
          <w:p>
            <w:pPr>
              <w:spacing w:after="0"/>
              <w:rPr>
                <w:sz w:val="2"/>
                <w:szCs w:val="2"/>
                <w:color w:val="auto"/>
              </w:rPr>
            </w:pPr>
          </w:p>
        </w:tc>
        <w:tc>
          <w:tcPr>
            <w:tcW w:w="9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720" w:type="dxa"/>
            <w:vAlign w:val="bottom"/>
            <w:shd w:val="clear" w:color="auto" w:fill="CCEEFF"/>
          </w:tcPr>
          <w:p>
            <w:pPr>
              <w:spacing w:after="0"/>
              <w:rPr>
                <w:sz w:val="23"/>
                <w:szCs w:val="23"/>
                <w:color w:val="auto"/>
              </w:rPr>
            </w:pPr>
          </w:p>
        </w:tc>
        <w:tc>
          <w:tcPr>
            <w:tcW w:w="916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r>
      <w:tr>
        <w:trPr>
          <w:trHeight w:val="243"/>
        </w:trPr>
        <w:tc>
          <w:tcPr>
            <w:tcW w:w="720" w:type="dxa"/>
            <w:vAlign w:val="bottom"/>
          </w:tcPr>
          <w:p>
            <w:pPr>
              <w:spacing w:after="0"/>
              <w:rPr>
                <w:sz w:val="21"/>
                <w:szCs w:val="21"/>
                <w:color w:val="auto"/>
              </w:rPr>
            </w:pPr>
          </w:p>
        </w:tc>
        <w:tc>
          <w:tcPr>
            <w:tcW w:w="9160" w:type="dxa"/>
            <w:vAlign w:val="bottom"/>
          </w:tcPr>
          <w:p>
            <w:pPr>
              <w:ind w:left="120"/>
              <w:spacing w:after="0"/>
              <w:rPr>
                <w:rFonts w:ascii="Arial" w:cs="Arial" w:eastAsia="Arial" w:hAnsi="Arial"/>
                <w:sz w:val="18"/>
                <w:szCs w:val="18"/>
                <w:color w:val="auto"/>
              </w:rPr>
            </w:pPr>
            <w:hyperlink w:anchor="page99">
              <w:r>
                <w:rPr>
                  <w:rFonts w:ascii="Arial" w:cs="Arial" w:eastAsia="Arial" w:hAnsi="Arial"/>
                  <w:sz w:val="18"/>
                  <w:szCs w:val="18"/>
                  <w:color w:val="auto"/>
                </w:rPr>
                <w:t>Signatures</w:t>
              </w:r>
            </w:hyperlink>
          </w:p>
        </w:tc>
        <w:tc>
          <w:tcPr>
            <w:tcW w:w="1540" w:type="dxa"/>
            <w:vAlign w:val="bottom"/>
          </w:tcPr>
          <w:p>
            <w:pPr>
              <w:jc w:val="right"/>
              <w:spacing w:after="0"/>
              <w:rPr>
                <w:rFonts w:ascii="Arial" w:cs="Arial" w:eastAsia="Arial" w:hAnsi="Arial"/>
                <w:sz w:val="18"/>
                <w:szCs w:val="18"/>
                <w:color w:val="auto"/>
              </w:rPr>
            </w:pPr>
            <w:hyperlink w:anchor="page99">
              <w:r>
                <w:rPr>
                  <w:rFonts w:ascii="Arial" w:cs="Arial" w:eastAsia="Arial" w:hAnsi="Arial"/>
                  <w:sz w:val="18"/>
                  <w:szCs w:val="18"/>
                  <w:color w:val="auto"/>
                </w:rPr>
                <w:t>99</w:t>
              </w:r>
            </w:hyperlink>
          </w:p>
        </w:tc>
      </w:tr>
      <w:tr>
        <w:trPr>
          <w:trHeight w:val="486"/>
        </w:trPr>
        <w:tc>
          <w:tcPr>
            <w:tcW w:w="720" w:type="dxa"/>
            <w:vAlign w:val="bottom"/>
          </w:tcPr>
          <w:p>
            <w:pPr>
              <w:spacing w:after="0"/>
              <w:rPr>
                <w:sz w:val="24"/>
                <w:szCs w:val="24"/>
                <w:color w:val="auto"/>
              </w:rPr>
            </w:pPr>
          </w:p>
        </w:tc>
        <w:tc>
          <w:tcPr>
            <w:tcW w:w="9160" w:type="dxa"/>
            <w:vAlign w:val="bottom"/>
          </w:tcPr>
          <w:p>
            <w:pPr>
              <w:jc w:val="center"/>
              <w:ind w:left="730"/>
              <w:spacing w:after="0"/>
              <w:rPr>
                <w:sz w:val="20"/>
                <w:szCs w:val="20"/>
                <w:color w:val="auto"/>
              </w:rPr>
            </w:pPr>
            <w:r>
              <w:rPr>
                <w:rFonts w:ascii="Arial" w:cs="Arial" w:eastAsia="Arial" w:hAnsi="Arial"/>
                <w:sz w:val="18"/>
                <w:szCs w:val="18"/>
                <w:color w:val="auto"/>
                <w:w w:val="99"/>
              </w:rPr>
              <w:t>2</w:t>
            </w:r>
          </w:p>
        </w:tc>
        <w:tc>
          <w:tcPr>
            <w:tcW w:w="1540" w:type="dxa"/>
            <w:vAlign w:val="bottom"/>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2" w:name="page3"/>
    <w:bookmarkEnd w:id="2"/>
    <w:p>
      <w:pPr>
        <w:jc w:val="center"/>
        <w:ind w:left="340"/>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Since 1972, Credit Acceptance Corporation (referred to as the “Company”, “Credit Acceptance”, “we”, “our” or “us”) has offered financing programs that enable automobile dealers to sell vehicles to consumers, regardless of their credit history. Our financing programs are offered through a nationwide network of automobile dealers who benefit from sales of vehicles to consumers who otherwise could not obtain financing; from repeat and referral sales generated by these same customers; and from sales to customers responding to advertisements for our financing programs, but who actually end up qualifying for traditional financing.</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Without our financing programs, consumers are often unable to purchase vehicles or they purchase unreliable ones. Further, as we report to the three national credit reporting agencies, an important ancillary benefit of our programs is that we provide consumers with an opportunity to improve their lives by improving their credit score and move on to more traditional sources of financing.</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Credit Acceptance was founded to collect retail installment contracts (referred to as “Consumer Loans”) originated by automobile dealerships owned by Donald Foss, our founder, significant shareholder and former Chairman of the Board. During the 1980s, we began to market this service to non-affiliated dealers and, at the same time, began to offer dealers a non-recourse cash payment (referred to as an “advance”) against anticipated future collections on Consumer Loans serviced for that dealer.</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refer to automobile dealers who participate in our programs and who share our commitment to changing consumers’ lives as “Dealers”. Upon enrollment in our financing programs, the Dealer enters into a Dealer servicing agreement with us that defines the legal relationship between Credit Acceptance and the Dealer. The Dealer servicing agreement assigns the responsibilities for administering, servicing, and collecting the amounts due on Consumer Loans from the Dealers to us. We are an indirect lender from a legal perspective, meaning the Consumer Loan is originated by the Dealer and assigned to us.</w:t>
      </w:r>
    </w:p>
    <w:p>
      <w:pPr>
        <w:spacing w:after="0" w:line="188"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Substantially all of the Consumer Loans assigned to us are made to consumers with impaired or limited credit histories. The following table shows the percentage of Consumer Loans assigned to us with either FICO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scores below 650 or no FICO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scores: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auto"/>
                <w:w w:val="92"/>
              </w:rPr>
              <w:t>For the Years Ended December 31,</w:t>
            </w:r>
          </w:p>
        </w:tc>
        <w:tc>
          <w:tcPr>
            <w:tcW w:w="1440" w:type="dxa"/>
            <w:vAlign w:val="bottom"/>
            <w:tcBorders>
              <w:bottom w:val="single" w:sz="8" w:color="auto"/>
            </w:tcBorders>
          </w:tcPr>
          <w:p>
            <w:pPr>
              <w:spacing w:after="0"/>
              <w:rPr>
                <w:sz w:val="17"/>
                <w:szCs w:val="17"/>
                <w:color w:val="auto"/>
              </w:rPr>
            </w:pPr>
          </w:p>
        </w:tc>
      </w:tr>
      <w:tr>
        <w:trPr>
          <w:trHeight w:val="264"/>
        </w:trPr>
        <w:tc>
          <w:tcPr>
            <w:tcW w:w="5500" w:type="dxa"/>
            <w:vAlign w:val="bottom"/>
            <w:tcBorders>
              <w:bottom w:val="single" w:sz="8" w:color="auto"/>
            </w:tcBorders>
          </w:tcPr>
          <w:p>
            <w:pPr>
              <w:ind w:left="1620"/>
              <w:spacing w:after="0"/>
              <w:rPr>
                <w:sz w:val="20"/>
                <w:szCs w:val="20"/>
                <w:color w:val="auto"/>
              </w:rPr>
            </w:pPr>
            <w:r>
              <w:rPr>
                <w:rFonts w:ascii="Arial" w:cs="Arial" w:eastAsia="Arial" w:hAnsi="Arial"/>
                <w:sz w:val="14"/>
                <w:szCs w:val="14"/>
                <w:b w:val="1"/>
                <w:bCs w:val="1"/>
                <w:color w:val="auto"/>
              </w:rPr>
              <w:t>Consumer Loan Assignment Volume</w:t>
            </w:r>
          </w:p>
        </w:tc>
        <w:tc>
          <w:tcPr>
            <w:tcW w:w="12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tcPr>
          <w:p>
            <w:pPr>
              <w:jc w:val="right"/>
              <w:ind w:right="679"/>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6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2015</w:t>
            </w:r>
          </w:p>
        </w:tc>
      </w:tr>
      <w:tr>
        <w:trPr>
          <w:trHeight w:val="229"/>
        </w:trPr>
        <w:tc>
          <w:tcPr>
            <w:tcW w:w="5620" w:type="dxa"/>
            <w:vAlign w:val="bottom"/>
            <w:gridSpan w:val="2"/>
            <w:shd w:val="clear" w:color="auto" w:fill="CCEEFF"/>
          </w:tcPr>
          <w:p>
            <w:pPr>
              <w:ind w:left="40"/>
              <w:spacing w:after="0" w:line="228" w:lineRule="exact"/>
              <w:rPr>
                <w:sz w:val="20"/>
                <w:szCs w:val="20"/>
                <w:color w:val="auto"/>
              </w:rPr>
            </w:pPr>
            <w:r>
              <w:rPr>
                <w:rFonts w:ascii="Arial" w:cs="Arial" w:eastAsia="Arial" w:hAnsi="Arial"/>
                <w:sz w:val="18"/>
                <w:szCs w:val="18"/>
                <w:color w:val="auto"/>
                <w:w w:val="94"/>
              </w:rPr>
              <w:t>Percentage of total unit volume with either FICO</w:t>
            </w:r>
            <w:r>
              <w:rPr>
                <w:rFonts w:ascii="Arial" w:cs="Arial" w:eastAsia="Arial" w:hAnsi="Arial"/>
                <w:sz w:val="25"/>
                <w:szCs w:val="25"/>
                <w:color w:val="auto"/>
                <w:w w:val="94"/>
                <w:vertAlign w:val="superscript"/>
              </w:rPr>
              <w:t>®</w:t>
            </w:r>
            <w:r>
              <w:rPr>
                <w:rFonts w:ascii="Arial" w:cs="Arial" w:eastAsia="Arial" w:hAnsi="Arial"/>
                <w:sz w:val="18"/>
                <w:szCs w:val="18"/>
                <w:color w:val="auto"/>
                <w:w w:val="94"/>
              </w:rPr>
              <w:t xml:space="preserve"> scores below 650 or no</w:t>
            </w:r>
          </w:p>
        </w:tc>
        <w:tc>
          <w:tcPr>
            <w:tcW w:w="1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57"/>
        </w:trPr>
        <w:tc>
          <w:tcPr>
            <w:tcW w:w="5620" w:type="dxa"/>
            <w:vAlign w:val="bottom"/>
            <w:gridSpan w:val="2"/>
            <w:shd w:val="clear" w:color="auto" w:fill="CCEEFF"/>
          </w:tcPr>
          <w:p>
            <w:pPr>
              <w:ind w:left="40"/>
              <w:spacing w:after="0" w:line="257" w:lineRule="exact"/>
              <w:rPr>
                <w:sz w:val="20"/>
                <w:szCs w:val="20"/>
                <w:color w:val="auto"/>
              </w:rPr>
            </w:pPr>
            <w:r>
              <w:rPr>
                <w:rFonts w:ascii="Arial" w:cs="Arial" w:eastAsia="Arial" w:hAnsi="Arial"/>
                <w:sz w:val="18"/>
                <w:szCs w:val="18"/>
                <w:color w:val="auto"/>
              </w:rPr>
              <w:t>FICO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scores</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2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 Information</w:t>
      </w:r>
    </w:p>
    <w:p>
      <w:pPr>
        <w:spacing w:after="0" w:line="22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currently operate in one reportable segment which represents our core business of offering Dealers financing programs and related products and services that enable them to sell vehicles to consumers, regardless of their credit history. For information regarding our one reportable segment and related entity-wide disclosures, see Note 15 to the consolidated financial statements contained in Item 8 of this Form 10-K, which is incorporated herein by reference.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Principal Business</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offer our Dealers financing programs that enable them to sell vehicles to consumers, regardless of their credit history. We have two programs: the Portfolio Program and the Purchase Program. Under the Portfolio Program, we advance money to Dealers (referred to as a “Dealer Loan”) in exchange for the right to service the underlying Consumer Loans. Under the Purchase Program, we buy the Consumer Loans from the Dealers (referred to as a “Purchased Loan”) and keep all amounts collected from the consumer. Dealer Loans and Purchased Loans are collectively referred to as “Loans”. The following table shows the percentage of Consumer Loans assigned to us under each of the programs for each of the last three years:</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4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60" w:type="dxa"/>
            <w:vAlign w:val="bottom"/>
            <w:tcBorders>
              <w:bottom w:val="single" w:sz="8" w:color="auto"/>
            </w:tcBorders>
            <w:gridSpan w:val="3"/>
          </w:tcPr>
          <w:p>
            <w:pPr>
              <w:jc w:val="right"/>
              <w:ind w:right="1194"/>
              <w:spacing w:after="0"/>
              <w:rPr>
                <w:sz w:val="20"/>
                <w:szCs w:val="20"/>
                <w:color w:val="auto"/>
              </w:rPr>
            </w:pPr>
            <w:r>
              <w:rPr>
                <w:rFonts w:ascii="Arial" w:cs="Arial" w:eastAsia="Arial" w:hAnsi="Arial"/>
                <w:sz w:val="14"/>
                <w:szCs w:val="14"/>
                <w:b w:val="1"/>
                <w:bCs w:val="1"/>
                <w:color w:val="auto"/>
              </w:rPr>
              <w:t>Unit Volume</w:t>
            </w:r>
          </w:p>
        </w:tc>
        <w:tc>
          <w:tcPr>
            <w:tcW w:w="120" w:type="dxa"/>
            <w:vAlign w:val="bottom"/>
          </w:tcPr>
          <w:p>
            <w:pPr>
              <w:spacing w:after="0"/>
              <w:rPr>
                <w:sz w:val="17"/>
                <w:szCs w:val="17"/>
                <w:color w:val="auto"/>
              </w:rPr>
            </w:pPr>
          </w:p>
        </w:tc>
        <w:tc>
          <w:tcPr>
            <w:tcW w:w="3380" w:type="dxa"/>
            <w:vAlign w:val="bottom"/>
            <w:tcBorders>
              <w:bottom w:val="single" w:sz="8" w:color="auto"/>
            </w:tcBorders>
            <w:gridSpan w:val="3"/>
          </w:tcPr>
          <w:p>
            <w:pPr>
              <w:ind w:left="1140"/>
              <w:spacing w:after="0"/>
              <w:rPr>
                <w:sz w:val="20"/>
                <w:szCs w:val="20"/>
                <w:color w:val="auto"/>
              </w:rPr>
            </w:pPr>
            <w:r>
              <w:rPr>
                <w:rFonts w:ascii="Arial" w:cs="Arial" w:eastAsia="Arial" w:hAnsi="Arial"/>
                <w:sz w:val="14"/>
                <w:szCs w:val="14"/>
                <w:b w:val="1"/>
                <w:bCs w:val="1"/>
                <w:color w:val="auto"/>
              </w:rPr>
              <w:t>Dollar Volume (1)</w:t>
            </w:r>
          </w:p>
        </w:tc>
      </w:tr>
      <w:tr>
        <w:trPr>
          <w:trHeight w:val="264"/>
        </w:trPr>
        <w:tc>
          <w:tcPr>
            <w:tcW w:w="4500" w:type="dxa"/>
            <w:vAlign w:val="bottom"/>
            <w:gridSpan w:val="2"/>
          </w:tcPr>
          <w:p>
            <w:pPr>
              <w:ind w:left="1120"/>
              <w:spacing w:after="0"/>
              <w:rPr>
                <w:sz w:val="20"/>
                <w:szCs w:val="20"/>
                <w:color w:val="auto"/>
              </w:rPr>
            </w:pPr>
            <w:r>
              <w:rPr>
                <w:rFonts w:ascii="Arial" w:cs="Arial" w:eastAsia="Arial" w:hAnsi="Arial"/>
                <w:sz w:val="14"/>
                <w:szCs w:val="14"/>
                <w:b w:val="1"/>
                <w:bCs w:val="1"/>
                <w:color w:val="auto"/>
              </w:rPr>
              <w:t>For the Years Ended December 31,</w:t>
            </w:r>
          </w:p>
        </w:tc>
        <w:tc>
          <w:tcPr>
            <w:tcW w:w="1740" w:type="dxa"/>
            <w:vAlign w:val="bottom"/>
            <w:gridSpan w:val="2"/>
          </w:tcPr>
          <w:p>
            <w:pPr>
              <w:ind w:left="240"/>
              <w:spacing w:after="0"/>
              <w:rPr>
                <w:sz w:val="20"/>
                <w:szCs w:val="20"/>
                <w:color w:val="auto"/>
              </w:rPr>
            </w:pPr>
            <w:r>
              <w:rPr>
                <w:rFonts w:ascii="Arial" w:cs="Arial" w:eastAsia="Arial" w:hAnsi="Arial"/>
                <w:sz w:val="14"/>
                <w:szCs w:val="14"/>
                <w:b w:val="1"/>
                <w:bCs w:val="1"/>
                <w:color w:val="auto"/>
              </w:rPr>
              <w:t>Portfolio Program</w:t>
            </w:r>
          </w:p>
        </w:tc>
        <w:tc>
          <w:tcPr>
            <w:tcW w:w="1740" w:type="dxa"/>
            <w:vAlign w:val="bottom"/>
            <w:gridSpan w:val="2"/>
          </w:tcPr>
          <w:p>
            <w:pPr>
              <w:ind w:left="240"/>
              <w:spacing w:after="0"/>
              <w:rPr>
                <w:sz w:val="20"/>
                <w:szCs w:val="20"/>
                <w:color w:val="auto"/>
              </w:rPr>
            </w:pPr>
            <w:r>
              <w:rPr>
                <w:rFonts w:ascii="Arial" w:cs="Arial" w:eastAsia="Arial" w:hAnsi="Arial"/>
                <w:sz w:val="14"/>
                <w:szCs w:val="14"/>
                <w:b w:val="1"/>
                <w:bCs w:val="1"/>
                <w:color w:val="auto"/>
              </w:rPr>
              <w:t>Purchase Program</w:t>
            </w:r>
          </w:p>
        </w:tc>
        <w:tc>
          <w:tcPr>
            <w:tcW w:w="1740" w:type="dxa"/>
            <w:vAlign w:val="bottom"/>
            <w:gridSpan w:val="2"/>
          </w:tcPr>
          <w:p>
            <w:pPr>
              <w:ind w:left="240"/>
              <w:spacing w:after="0"/>
              <w:rPr>
                <w:sz w:val="20"/>
                <w:szCs w:val="20"/>
                <w:color w:val="auto"/>
              </w:rPr>
            </w:pPr>
            <w:r>
              <w:rPr>
                <w:rFonts w:ascii="Arial" w:cs="Arial" w:eastAsia="Arial" w:hAnsi="Arial"/>
                <w:sz w:val="14"/>
                <w:szCs w:val="14"/>
                <w:b w:val="1"/>
                <w:bCs w:val="1"/>
                <w:color w:val="auto"/>
              </w:rPr>
              <w:t>Portfolio Program</w:t>
            </w:r>
          </w:p>
        </w:tc>
        <w:tc>
          <w:tcPr>
            <w:tcW w:w="1640" w:type="dxa"/>
            <w:vAlign w:val="bottom"/>
          </w:tcPr>
          <w:p>
            <w:pPr>
              <w:jc w:val="right"/>
              <w:ind w:right="154"/>
              <w:spacing w:after="0"/>
              <w:rPr>
                <w:sz w:val="20"/>
                <w:szCs w:val="20"/>
                <w:color w:val="auto"/>
              </w:rPr>
            </w:pPr>
            <w:r>
              <w:rPr>
                <w:rFonts w:ascii="Arial" w:cs="Arial" w:eastAsia="Arial" w:hAnsi="Arial"/>
                <w:sz w:val="14"/>
                <w:szCs w:val="14"/>
                <w:b w:val="1"/>
                <w:bCs w:val="1"/>
                <w:color w:val="auto"/>
              </w:rPr>
              <w:t>Purchase Program</w:t>
            </w:r>
          </w:p>
        </w:tc>
      </w:tr>
      <w:tr>
        <w:trPr>
          <w:trHeight w:val="250"/>
        </w:trPr>
        <w:tc>
          <w:tcPr>
            <w:tcW w:w="4380" w:type="dxa"/>
            <w:vAlign w:val="bottom"/>
            <w:tcBorders>
              <w:top w:val="single" w:sz="8" w:color="auto"/>
              <w:bottom w:val="single" w:sz="8" w:color="CCEEFF"/>
            </w:tcBorders>
            <w:shd w:val="clear" w:color="auto" w:fill="CCEEFF"/>
          </w:tcPr>
          <w:p>
            <w:pPr>
              <w:jc w:val="right"/>
              <w:ind w:right="3914"/>
              <w:spacing w:after="0"/>
              <w:rPr>
                <w:sz w:val="20"/>
                <w:szCs w:val="20"/>
                <w:color w:val="auto"/>
              </w:rPr>
            </w:pPr>
            <w:r>
              <w:rPr>
                <w:rFonts w:ascii="Arial" w:cs="Arial" w:eastAsia="Arial" w:hAnsi="Arial"/>
                <w:sz w:val="18"/>
                <w:szCs w:val="18"/>
                <w:color w:val="auto"/>
                <w:w w:val="89"/>
              </w:rPr>
              <w:t>2015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w w:val="97"/>
              </w:rPr>
              <w:t>82.8%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43"/>
        </w:trPr>
        <w:tc>
          <w:tcPr>
            <w:tcW w:w="4380" w:type="dxa"/>
            <w:vAlign w:val="bottom"/>
          </w:tcPr>
          <w:p>
            <w:pPr>
              <w:jc w:val="right"/>
              <w:ind w:right="3914"/>
              <w:spacing w:after="0"/>
              <w:rPr>
                <w:sz w:val="20"/>
                <w:szCs w:val="20"/>
                <w:color w:val="auto"/>
              </w:rPr>
            </w:pPr>
            <w:r>
              <w:rPr>
                <w:rFonts w:ascii="Arial" w:cs="Arial" w:eastAsia="Arial" w:hAnsi="Arial"/>
                <w:sz w:val="18"/>
                <w:szCs w:val="18"/>
                <w:color w:val="auto"/>
                <w:w w:val="89"/>
              </w:rPr>
              <w:t>2016</w:t>
            </w: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78.6%</w:t>
            </w: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1"/>
                <w:szCs w:val="21"/>
                <w:color w:val="auto"/>
              </w:rPr>
            </w:pPr>
          </w:p>
        </w:tc>
        <w:tc>
          <w:tcPr>
            <w:tcW w:w="1640" w:type="dxa"/>
            <w:vAlign w:val="bottom"/>
          </w:tcPr>
          <w:p>
            <w:pPr>
              <w:ind w:left="1120"/>
              <w:spacing w:after="0"/>
              <w:rPr>
                <w:sz w:val="20"/>
                <w:szCs w:val="20"/>
                <w:color w:val="auto"/>
              </w:rPr>
            </w:pPr>
            <w:r>
              <w:rPr>
                <w:rFonts w:ascii="Arial" w:cs="Arial" w:eastAsia="Arial" w:hAnsi="Arial"/>
                <w:sz w:val="18"/>
                <w:szCs w:val="18"/>
                <w:color w:val="auto"/>
                <w:w w:val="97"/>
              </w:rPr>
              <w:t>71.4%</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28.6%</w:t>
            </w:r>
          </w:p>
        </w:tc>
      </w:tr>
      <w:tr>
        <w:trPr>
          <w:trHeight w:val="27"/>
        </w:trPr>
        <w:tc>
          <w:tcPr>
            <w:tcW w:w="4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43"/>
        </w:trPr>
        <w:tc>
          <w:tcPr>
            <w:tcW w:w="4380" w:type="dxa"/>
            <w:vAlign w:val="bottom"/>
            <w:shd w:val="clear" w:color="auto" w:fill="CCEEFF"/>
          </w:tcPr>
          <w:p>
            <w:pPr>
              <w:jc w:val="right"/>
              <w:ind w:right="3914"/>
              <w:spacing w:after="0"/>
              <w:rPr>
                <w:sz w:val="20"/>
                <w:szCs w:val="20"/>
                <w:color w:val="auto"/>
              </w:rPr>
            </w:pPr>
            <w:r>
              <w:rPr>
                <w:rFonts w:ascii="Arial" w:cs="Arial" w:eastAsia="Arial" w:hAnsi="Arial"/>
                <w:sz w:val="18"/>
                <w:szCs w:val="18"/>
                <w:color w:val="auto"/>
                <w:w w:val="89"/>
              </w:rPr>
              <w:t>2017</w:t>
            </w:r>
          </w:p>
        </w:tc>
        <w:tc>
          <w:tcPr>
            <w:tcW w:w="12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2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ind w:left="1120"/>
              <w:spacing w:after="0"/>
              <w:rPr>
                <w:sz w:val="20"/>
                <w:szCs w:val="20"/>
                <w:color w:val="auto"/>
              </w:rPr>
            </w:pPr>
            <w:r>
              <w:rPr>
                <w:rFonts w:ascii="Arial" w:cs="Arial" w:eastAsia="Arial" w:hAnsi="Arial"/>
                <w:sz w:val="18"/>
                <w:szCs w:val="18"/>
                <w:color w:val="auto"/>
                <w:w w:val="97"/>
              </w:rPr>
              <w:t>68.5%</w:t>
            </w: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r>
      <w:tr>
        <w:trPr>
          <w:trHeight w:val="27"/>
        </w:trPr>
        <w:tc>
          <w:tcPr>
            <w:tcW w:w="4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197" w:lineRule="exact"/>
        <w:rPr>
          <w:sz w:val="20"/>
          <w:szCs w:val="20"/>
          <w:color w:val="auto"/>
        </w:rPr>
      </w:pPr>
    </w:p>
    <w:p>
      <w:pPr>
        <w:ind w:left="500" w:right="20" w:hanging="330"/>
        <w:spacing w:after="0" w:line="273" w:lineRule="auto"/>
        <w:tabs>
          <w:tab w:leader="none" w:pos="500" w:val="left"/>
        </w:tabs>
        <w:numPr>
          <w:ilvl w:val="0"/>
          <w:numId w:val="3"/>
        </w:numPr>
        <w:rPr>
          <w:rFonts w:ascii="Arial" w:cs="Arial" w:eastAsia="Arial" w:hAnsi="Arial"/>
          <w:sz w:val="14"/>
          <w:szCs w:val="14"/>
          <w:color w:val="auto"/>
        </w:rPr>
      </w:pPr>
      <w:r>
        <w:rPr>
          <w:rFonts w:ascii="Arial" w:cs="Arial" w:eastAsia="Arial" w:hAnsi="Arial"/>
          <w:sz w:val="14"/>
          <w:szCs w:val="14"/>
          <w:color w:val="auto"/>
        </w:rPr>
        <w:t>Represents advances paid to Dealers on Consumer Loans assigned under our Portfolio Program and one-time payments made to Dealers to purchase Consumer Loans assigned under our Purchase Program. Payments of Dealer Holdback (as defined below) and accelerated Dealer Holdback are not included.</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Portfolio Program</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payment for the vehicle, the Dealer generally receives the following:</w:t>
      </w:r>
    </w:p>
    <w:p>
      <w:pPr>
        <w:spacing w:after="0" w:line="225" w:lineRule="exact"/>
        <w:rPr>
          <w:sz w:val="20"/>
          <w:szCs w:val="20"/>
          <w:color w:val="auto"/>
        </w:rPr>
      </w:pPr>
    </w:p>
    <w:p>
      <w:pPr>
        <w:ind w:left="840" w:hanging="332"/>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down payment from the consumer;</w:t>
      </w:r>
    </w:p>
    <w:p>
      <w:pPr>
        <w:spacing w:after="0" w:line="23" w:lineRule="exact"/>
        <w:rPr>
          <w:rFonts w:ascii="Arial" w:cs="Arial" w:eastAsia="Arial" w:hAnsi="Arial"/>
          <w:sz w:val="18"/>
          <w:szCs w:val="18"/>
          <w:color w:val="auto"/>
        </w:rPr>
      </w:pPr>
    </w:p>
    <w:p>
      <w:pPr>
        <w:ind w:left="840" w:hanging="332"/>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cash advance from us; and</w:t>
      </w:r>
    </w:p>
    <w:p>
      <w:pPr>
        <w:spacing w:after="0" w:line="9" w:lineRule="exact"/>
        <w:rPr>
          <w:rFonts w:ascii="Arial" w:cs="Arial" w:eastAsia="Arial" w:hAnsi="Arial"/>
          <w:sz w:val="18"/>
          <w:szCs w:val="18"/>
          <w:color w:val="auto"/>
        </w:rPr>
      </w:pPr>
    </w:p>
    <w:p>
      <w:pPr>
        <w:ind w:left="840" w:hanging="332"/>
        <w:spacing w:after="0" w:line="261" w:lineRule="auto"/>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after the advance has been recovered by us, the cash from payments made on the Consumer Loan, net of certain collection costs and our servicing fee (“Dealer Holdback”).</w:t>
      </w:r>
    </w:p>
    <w:p>
      <w:pPr>
        <w:spacing w:after="0" w:line="18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record the amount advanced to the Dealer as a Dealer Loan, which is classified within Loans receivable in our consolidated balance sheets. Cash advanced to the Dealer is automatically assigned to the Dealer’s open pool of advances. We generally require Dealers to group advances into pools of at least 100 Consumer Loans. At the Dealer’s option, a pool containing at least 100 Consumer Loans can be closed and subsequent advances assigned to a new pool. All advances within a Dealer’s pool are secured by the future collections on the related Consumer Loans assigned to the pool. For Dealers with more than one pool, the pools are cross-collateralized so the performance of other pools is considered in determining eligibility for Dealer Holdback. We perfect our security interest in the Dealer Loans by taking possession of the Consumer Loans, which list us as lien holder on the vehicle title.</w:t>
      </w:r>
    </w:p>
    <w:p>
      <w:pPr>
        <w:spacing w:after="0" w:line="16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Dealer servicing agreement provides that collections received by us during a calendar month on Consumer Loans assigned by a Dealer are applied on a pool-by-pool basis as follows:</w:t>
      </w:r>
    </w:p>
    <w:p>
      <w:pPr>
        <w:spacing w:after="0" w:line="170" w:lineRule="exact"/>
        <w:rPr>
          <w:sz w:val="20"/>
          <w:szCs w:val="20"/>
          <w:color w:val="auto"/>
        </w:rPr>
      </w:pPr>
    </w:p>
    <w:p>
      <w:pPr>
        <w:ind w:left="840" w:hanging="332"/>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First, to reimburse us for certain collection costs;</w:t>
      </w:r>
    </w:p>
    <w:p>
      <w:pPr>
        <w:spacing w:after="0" w:line="23" w:lineRule="exact"/>
        <w:rPr>
          <w:rFonts w:ascii="Arial" w:cs="Arial" w:eastAsia="Arial" w:hAnsi="Arial"/>
          <w:sz w:val="18"/>
          <w:szCs w:val="18"/>
          <w:color w:val="auto"/>
        </w:rPr>
      </w:pPr>
    </w:p>
    <w:p>
      <w:pPr>
        <w:ind w:left="840" w:hanging="332"/>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Second, to pay us our servicing fee, which generally equals 20% of collections;</w:t>
      </w:r>
    </w:p>
    <w:p>
      <w:pPr>
        <w:spacing w:after="0" w:line="9" w:lineRule="exact"/>
        <w:rPr>
          <w:rFonts w:ascii="Arial" w:cs="Arial" w:eastAsia="Arial" w:hAnsi="Arial"/>
          <w:sz w:val="18"/>
          <w:szCs w:val="18"/>
          <w:color w:val="auto"/>
        </w:rPr>
      </w:pPr>
    </w:p>
    <w:p>
      <w:pPr>
        <w:ind w:left="840" w:hanging="332"/>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Third, to reduce the aggregate advance balance and to pay any other amounts due from the Dealer to us; and</w:t>
      </w:r>
    </w:p>
    <w:p>
      <w:pPr>
        <w:spacing w:after="0" w:line="9" w:lineRule="exact"/>
        <w:rPr>
          <w:rFonts w:ascii="Arial" w:cs="Arial" w:eastAsia="Arial" w:hAnsi="Arial"/>
          <w:sz w:val="18"/>
          <w:szCs w:val="18"/>
          <w:color w:val="auto"/>
        </w:rPr>
      </w:pPr>
    </w:p>
    <w:p>
      <w:pPr>
        <w:ind w:left="840" w:hanging="332"/>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Fourth, to the Dealer as payment of Dealer Holdback.</w:t>
      </w:r>
    </w:p>
    <w:p>
      <w:pPr>
        <w:spacing w:after="0" w:line="21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If the collections on Consumer Loans from a Dealer’s pool are not sufficient to repay the advance balance and any other amounts due to us, the Dealer will not receive Dealer Holdback. Certain events may also result in Dealers forfeiting their rights to Dealer Holdback, including becoming inactive before assigning at least 100 Consumer Loans.</w:t>
      </w:r>
    </w:p>
    <w:p>
      <w:pPr>
        <w:spacing w:after="0" w:line="18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Dealers have an opportunity to receive an accelerated Dealer Holdback payment each time 100 Consumer Loans have been assigned to us. The amount paid to the Dealer is calculated using a formula that considers the forecasted collections and the advance balance on the related Consumer Loans.</w:t>
      </w:r>
    </w:p>
    <w:p>
      <w:pPr>
        <w:spacing w:after="0" w:line="124"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Since typically the combination of the advance and the consumer’s down payment provides the Dealer with a cash profit at the time of sale, the Dealer’s risk in the Consumer Loan is limited. We cannot demand repayment of the advance from the Dealer except in the event the Dealer is in default of the Dealer servicing agreement. Advances are made only after the consumer and Dealer have signed a Consumer Loan contract, we have received the executed Consumer Loan contract and supporting documentation in either physical or electronic form, and we have approved all of the related stipulations for funding.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4" w:right="239" w:bottom="1440" w:gutter="0" w:footer="0" w:header="0"/>
        </w:sectPr>
      </w:pPr>
    </w:p>
    <w:bookmarkStart w:id="4" w:name="page5"/>
    <w:bookmarkEnd w:id="4"/>
    <w:p>
      <w:pPr>
        <w:jc w:val="both"/>
        <w:ind w:firstLine="324"/>
        <w:spacing w:after="0" w:line="264" w:lineRule="auto"/>
        <w:rPr>
          <w:sz w:val="20"/>
          <w:szCs w:val="20"/>
          <w:color w:val="auto"/>
        </w:rPr>
      </w:pPr>
      <w:r>
        <w:rPr>
          <w:rFonts w:ascii="Arial" w:cs="Arial" w:eastAsia="Arial" w:hAnsi="Arial"/>
          <w:sz w:val="18"/>
          <w:szCs w:val="18"/>
          <w:color w:val="auto"/>
        </w:rPr>
        <w:t>For accounting purposes, the transactions described under the Portfolio Program are not considered to be loans to consumers. Instead, our accounting reflects that of a lender to the Dealer. The classification as a Dealer Loan for accounting purposes is primarily a result of (1) the Dealer’s financial interest in the Consumer Loan and (2) certain elements of our legal relationship with the Dealer.</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Purchase Program</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Purchase Program differs from our Portfolio Program in that the Dealer receives a one-time payment from us at the time of assignment to purchase the Consumer Loan instead of a cash advance at the time of assignment and future Dealer Holdback payments. For accounting purposes, the transactions described under the Purchase Program are considered to be originated by the Dealer and then purchased by us.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Program Enrollment</w:t>
      </w:r>
    </w:p>
    <w:p>
      <w:pPr>
        <w:spacing w:after="0" w:line="225" w:lineRule="exact"/>
        <w:rPr>
          <w:sz w:val="20"/>
          <w:szCs w:val="20"/>
          <w:color w:val="auto"/>
        </w:rPr>
      </w:pPr>
    </w:p>
    <w:p>
      <w:pPr>
        <w:jc w:val="both"/>
        <w:ind w:right="20" w:firstLine="243"/>
        <w:spacing w:after="0" w:line="308" w:lineRule="auto"/>
        <w:rPr>
          <w:sz w:val="20"/>
          <w:szCs w:val="20"/>
          <w:color w:val="auto"/>
        </w:rPr>
      </w:pPr>
      <w:r>
        <w:rPr>
          <w:rFonts w:ascii="Arial" w:cs="Arial" w:eastAsia="Arial" w:hAnsi="Arial"/>
          <w:sz w:val="17"/>
          <w:szCs w:val="17"/>
          <w:color w:val="auto"/>
        </w:rPr>
        <w:t>Dealers may enroll in our Portfolio Program by (1) paying an up-front, one-time fee of $9,850, or (2) agreeing to allow us to retain 50% of their first accelerated Dealer Holdback payment. Access to the Purchase Program is typically only granted to Dealers that meet one of the following:</w:t>
      </w:r>
    </w:p>
    <w:p>
      <w:pPr>
        <w:spacing w:after="0" w:line="147" w:lineRule="exact"/>
        <w:rPr>
          <w:sz w:val="20"/>
          <w:szCs w:val="20"/>
          <w:color w:val="auto"/>
        </w:rPr>
      </w:pPr>
    </w:p>
    <w:p>
      <w:pPr>
        <w:ind w:left="840" w:hanging="332"/>
        <w:spacing w:after="0"/>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received first accelerated Dealer Holdback payment under the Portfolio Program;</w:t>
      </w:r>
    </w:p>
    <w:p>
      <w:pPr>
        <w:spacing w:after="0" w:line="23" w:lineRule="exact"/>
        <w:rPr>
          <w:rFonts w:ascii="Arial" w:cs="Arial" w:eastAsia="Arial" w:hAnsi="Arial"/>
          <w:sz w:val="18"/>
          <w:szCs w:val="18"/>
          <w:color w:val="auto"/>
        </w:rPr>
      </w:pPr>
    </w:p>
    <w:p>
      <w:pPr>
        <w:ind w:left="840" w:hanging="332"/>
        <w:spacing w:after="0"/>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franchise dealership; or</w:t>
      </w:r>
    </w:p>
    <w:p>
      <w:pPr>
        <w:spacing w:after="0" w:line="9" w:lineRule="exact"/>
        <w:rPr>
          <w:rFonts w:ascii="Arial" w:cs="Arial" w:eastAsia="Arial" w:hAnsi="Arial"/>
          <w:sz w:val="18"/>
          <w:szCs w:val="18"/>
          <w:color w:val="auto"/>
        </w:rPr>
      </w:pPr>
    </w:p>
    <w:p>
      <w:pPr>
        <w:ind w:left="840" w:hanging="332"/>
        <w:spacing w:after="0"/>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independent dealership that meets certain criteria upon enrollment.</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Revenue Sources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Credit Acceptance derives its revenues from the following principal sources:</w:t>
      </w:r>
    </w:p>
    <w:p>
      <w:pPr>
        <w:spacing w:after="0" w:line="225" w:lineRule="exact"/>
        <w:rPr>
          <w:sz w:val="20"/>
          <w:szCs w:val="20"/>
          <w:color w:val="auto"/>
        </w:rPr>
      </w:pPr>
    </w:p>
    <w:p>
      <w:pPr>
        <w:jc w:val="both"/>
        <w:ind w:left="840" w:hanging="332"/>
        <w:spacing w:after="0" w:line="271" w:lineRule="auto"/>
        <w:tabs>
          <w:tab w:leader="none" w:pos="840" w:val="left"/>
        </w:tabs>
        <w:numPr>
          <w:ilvl w:val="0"/>
          <w:numId w:val="7"/>
        </w:numPr>
        <w:rPr>
          <w:rFonts w:ascii="Arial" w:cs="Arial" w:eastAsia="Arial" w:hAnsi="Arial"/>
          <w:sz w:val="17"/>
          <w:szCs w:val="17"/>
          <w:color w:val="auto"/>
        </w:rPr>
      </w:pPr>
      <w:r>
        <w:rPr>
          <w:rFonts w:ascii="Arial" w:cs="Arial" w:eastAsia="Arial" w:hAnsi="Arial"/>
          <w:sz w:val="17"/>
          <w:szCs w:val="17"/>
          <w:color w:val="auto"/>
        </w:rPr>
        <w:t>Finance charges, which are comprised of: (1) servicing fees earned as a result of servicing Consumer Loans assigned to us by Dealers under the Portfolio Program; (2) finance charge income from Purchased Loans; (3) fees earned from our third party ancillary product offerings; (4) monthly program fees of $599, charged to Dealers under the Portfolio Program; and (5) fees associated with certain Loans;</w:t>
      </w:r>
    </w:p>
    <w:p>
      <w:pPr>
        <w:ind w:left="840" w:hanging="332"/>
        <w:spacing w:after="0"/>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Premiums earned on the reinsurance of vehicle service contracts; and</w:t>
      </w:r>
    </w:p>
    <w:p>
      <w:pPr>
        <w:spacing w:after="0" w:line="9" w:lineRule="exact"/>
        <w:rPr>
          <w:rFonts w:ascii="Arial" w:cs="Arial" w:eastAsia="Arial" w:hAnsi="Arial"/>
          <w:sz w:val="18"/>
          <w:szCs w:val="18"/>
          <w:color w:val="auto"/>
        </w:rPr>
      </w:pPr>
    </w:p>
    <w:p>
      <w:pPr>
        <w:jc w:val="both"/>
        <w:ind w:left="840" w:hanging="332"/>
        <w:spacing w:after="0" w:line="255" w:lineRule="auto"/>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income, which primarily consists of: ancillary product profit sharing, GPS-SID fees, remarketing fees, Dealer support products and services, and Dealer enrollment fees. For additional information, see Note 2 to the consolidated financial statements contained in Item 8 to this Form 10-K, which is incorporated herein by reference.</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percent relationship to total revenue of each of these sources: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For the Years Ended December 31,</w:t>
            </w:r>
          </w:p>
        </w:tc>
        <w:tc>
          <w:tcPr>
            <w:tcW w:w="1460" w:type="dxa"/>
            <w:vAlign w:val="bottom"/>
            <w:tcBorders>
              <w:bottom w:val="single" w:sz="8" w:color="auto"/>
            </w:tcBorders>
          </w:tcPr>
          <w:p>
            <w:pPr>
              <w:spacing w:after="0"/>
              <w:rPr>
                <w:sz w:val="17"/>
                <w:szCs w:val="17"/>
                <w:color w:val="auto"/>
              </w:rPr>
            </w:pPr>
          </w:p>
        </w:tc>
      </w:tr>
      <w:tr>
        <w:trPr>
          <w:trHeight w:val="264"/>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Percent of Total Revenue</w:t>
            </w:r>
          </w:p>
        </w:tc>
        <w:tc>
          <w:tcPr>
            <w:tcW w:w="100" w:type="dxa"/>
            <w:vAlign w:val="bottom"/>
            <w:tcBorders>
              <w:bottom w:val="single" w:sz="8" w:color="CCEEFF"/>
            </w:tcBorders>
          </w:tcPr>
          <w:p>
            <w:pPr>
              <w:spacing w:after="0"/>
              <w:rPr>
                <w:sz w:val="22"/>
                <w:szCs w:val="22"/>
                <w:color w:val="auto"/>
              </w:rPr>
            </w:pPr>
          </w:p>
        </w:tc>
        <w:tc>
          <w:tcPr>
            <w:tcW w:w="184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60" w:type="dxa"/>
            <w:vAlign w:val="bottom"/>
            <w:tcBorders>
              <w:bottom w:val="single" w:sz="8" w:color="auto"/>
            </w:tcBorders>
          </w:tcPr>
          <w:p>
            <w:pPr>
              <w:jc w:val="right"/>
              <w:ind w:right="71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b w:val="1"/>
                <w:bCs w:val="1"/>
                <w:color w:val="auto"/>
              </w:rPr>
              <w:t>2015</w:t>
            </w:r>
          </w:p>
        </w:tc>
      </w:tr>
      <w:tr>
        <w:trPr>
          <w:trHeight w:val="250"/>
        </w:trPr>
        <w:tc>
          <w:tcPr>
            <w:tcW w:w="5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Finance charges</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20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88.5%</w:t>
            </w:r>
          </w:p>
        </w:tc>
      </w:tr>
      <w:tr>
        <w:trPr>
          <w:trHeight w:val="243"/>
        </w:trPr>
        <w:tc>
          <w:tcPr>
            <w:tcW w:w="5600" w:type="dxa"/>
            <w:vAlign w:val="bottom"/>
            <w:gridSpan w:val="2"/>
          </w:tcPr>
          <w:p>
            <w:pPr>
              <w:ind w:left="40"/>
              <w:spacing w:after="0"/>
              <w:rPr>
                <w:sz w:val="20"/>
                <w:szCs w:val="20"/>
                <w:color w:val="auto"/>
              </w:rPr>
            </w:pPr>
            <w:r>
              <w:rPr>
                <w:rFonts w:ascii="Arial" w:cs="Arial" w:eastAsia="Arial" w:hAnsi="Arial"/>
                <w:sz w:val="18"/>
                <w:szCs w:val="18"/>
                <w:color w:val="auto"/>
              </w:rPr>
              <w:t>Premiums earned</w:t>
            </w:r>
          </w:p>
        </w:tc>
        <w:tc>
          <w:tcPr>
            <w:tcW w:w="1840" w:type="dxa"/>
            <w:vAlign w:val="bottom"/>
          </w:tcPr>
          <w:p>
            <w:pPr>
              <w:jc w:val="right"/>
              <w:spacing w:after="0"/>
              <w:rPr>
                <w:sz w:val="20"/>
                <w:szCs w:val="20"/>
                <w:color w:val="auto"/>
              </w:rPr>
            </w:pPr>
            <w:r>
              <w:rPr>
                <w:rFonts w:ascii="Arial" w:cs="Arial" w:eastAsia="Arial" w:hAnsi="Arial"/>
                <w:sz w:val="18"/>
                <w:szCs w:val="18"/>
                <w:color w:val="auto"/>
              </w:rPr>
              <w:t>3.7%</w:t>
            </w:r>
          </w:p>
        </w:tc>
        <w:tc>
          <w:tcPr>
            <w:tcW w:w="2000" w:type="dxa"/>
            <w:vAlign w:val="bottom"/>
            <w:gridSpan w:val="3"/>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
        </w:trPr>
        <w:tc>
          <w:tcPr>
            <w:tcW w:w="5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7"/>
        </w:trPr>
        <w:tc>
          <w:tcPr>
            <w:tcW w:w="5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64"/>
        </w:trPr>
        <w:tc>
          <w:tcPr>
            <w:tcW w:w="5600" w:type="dxa"/>
            <w:vAlign w:val="bottom"/>
            <w:gridSpan w:val="2"/>
          </w:tcPr>
          <w:p>
            <w:pPr>
              <w:ind w:left="380"/>
              <w:spacing w:after="0"/>
              <w:rPr>
                <w:sz w:val="20"/>
                <w:szCs w:val="20"/>
                <w:color w:val="auto"/>
              </w:rPr>
            </w:pPr>
            <w:r>
              <w:rPr>
                <w:rFonts w:ascii="Arial" w:cs="Arial" w:eastAsia="Arial" w:hAnsi="Arial"/>
                <w:sz w:val="18"/>
                <w:szCs w:val="18"/>
                <w:color w:val="auto"/>
              </w:rPr>
              <w:t>Total revenue</w:t>
            </w:r>
          </w:p>
        </w:tc>
        <w:tc>
          <w:tcPr>
            <w:tcW w:w="1840" w:type="dxa"/>
            <w:vAlign w:val="bottom"/>
          </w:tcPr>
          <w:p>
            <w:pPr>
              <w:jc w:val="right"/>
              <w:spacing w:after="0"/>
              <w:rPr>
                <w:sz w:val="20"/>
                <w:szCs w:val="20"/>
                <w:color w:val="auto"/>
              </w:rPr>
            </w:pPr>
            <w:r>
              <w:rPr>
                <w:rFonts w:ascii="Arial" w:cs="Arial" w:eastAsia="Arial" w:hAnsi="Arial"/>
                <w:sz w:val="18"/>
                <w:szCs w:val="18"/>
                <w:color w:val="auto"/>
              </w:rPr>
              <w:t>100.0%</w:t>
            </w:r>
          </w:p>
        </w:tc>
        <w:tc>
          <w:tcPr>
            <w:tcW w:w="2000" w:type="dxa"/>
            <w:vAlign w:val="bottom"/>
            <w:gridSpan w:val="3"/>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5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business is seasonal with peak Consumer Loan acceptances and collections occurring during the first quarter of the year. However, this seasonality does not have a material impact on our interim results.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8" w:right="239" w:bottom="1440" w:gutter="0" w:footer="0" w:header="0"/>
        </w:sectPr>
      </w:pPr>
    </w:p>
    <w:bookmarkStart w:id="5" w:name="page6"/>
    <w:bookmarkEnd w:id="5"/>
    <w:p>
      <w:pPr>
        <w:ind w:left="340"/>
        <w:spacing w:after="0"/>
        <w:rPr>
          <w:sz w:val="20"/>
          <w:szCs w:val="20"/>
          <w:color w:val="auto"/>
        </w:rPr>
      </w:pPr>
      <w:r>
        <w:rPr>
          <w:rFonts w:ascii="Arial" w:cs="Arial" w:eastAsia="Arial" w:hAnsi="Arial"/>
          <w:sz w:val="18"/>
          <w:szCs w:val="18"/>
          <w:u w:val="single" w:color="auto"/>
          <w:color w:val="auto"/>
        </w:rPr>
        <w:t>Operations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Sales and Marketing</w:t>
      </w:r>
      <w:r>
        <w:rPr>
          <w:rFonts w:ascii="Arial" w:cs="Arial" w:eastAsia="Arial" w:hAnsi="Arial"/>
          <w:sz w:val="18"/>
          <w:szCs w:val="18"/>
          <w:color w:val="auto"/>
        </w:rPr>
        <w:t>. Our target market is approximately 60,000 independent and franchised automobile dealers in the United States. We have market</w:t>
      </w:r>
      <w:r>
        <w:rPr>
          <w:rFonts w:ascii="Arial" w:cs="Arial" w:eastAsia="Arial" w:hAnsi="Arial"/>
          <w:sz w:val="18"/>
          <w:szCs w:val="18"/>
          <w:i w:val="1"/>
          <w:iCs w:val="1"/>
          <w:color w:val="auto"/>
        </w:rPr>
        <w:t xml:space="preserve"> </w:t>
      </w:r>
      <w:r>
        <w:rPr>
          <w:rFonts w:ascii="Arial" w:cs="Arial" w:eastAsia="Arial" w:hAnsi="Arial"/>
          <w:sz w:val="18"/>
          <w:szCs w:val="18"/>
          <w:color w:val="auto"/>
        </w:rPr>
        <w:t>area managers located throughout the United States that market our programs to prospective Dealers, enroll new Dealers, and support active Dealers. The number of Dealer enrollments and active Dealers for each of the last three years are presented in the table below: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For the Years Ended December 31,</w:t>
            </w:r>
          </w:p>
        </w:tc>
        <w:tc>
          <w:tcPr>
            <w:tcW w:w="2880" w:type="dxa"/>
            <w:vAlign w:val="bottom"/>
          </w:tcPr>
          <w:p>
            <w:pPr>
              <w:ind w:left="1300"/>
              <w:spacing w:after="0"/>
              <w:rPr>
                <w:sz w:val="20"/>
                <w:szCs w:val="20"/>
                <w:color w:val="auto"/>
              </w:rPr>
            </w:pPr>
            <w:r>
              <w:rPr>
                <w:rFonts w:ascii="Arial" w:cs="Arial" w:eastAsia="Arial" w:hAnsi="Arial"/>
                <w:sz w:val="14"/>
                <w:szCs w:val="14"/>
                <w:b w:val="1"/>
                <w:bCs w:val="1"/>
                <w:color w:val="auto"/>
              </w:rPr>
              <w:t>Dealer Enrollments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60" w:type="dxa"/>
            <w:vAlign w:val="bottom"/>
          </w:tcPr>
          <w:p>
            <w:pPr>
              <w:jc w:val="right"/>
              <w:ind w:right="1234"/>
              <w:spacing w:after="0"/>
              <w:rPr>
                <w:sz w:val="20"/>
                <w:szCs w:val="20"/>
                <w:color w:val="auto"/>
              </w:rPr>
            </w:pPr>
            <w:r>
              <w:rPr>
                <w:rFonts w:ascii="Arial" w:cs="Arial" w:eastAsia="Arial" w:hAnsi="Arial"/>
                <w:sz w:val="14"/>
                <w:szCs w:val="14"/>
                <w:b w:val="1"/>
                <w:bCs w:val="1"/>
                <w:color w:val="auto"/>
              </w:rPr>
              <w:t>Active Dealers (1)</w:t>
            </w:r>
          </w:p>
        </w:tc>
      </w:tr>
      <w:tr>
        <w:trPr>
          <w:trHeight w:val="250"/>
        </w:trPr>
        <w:tc>
          <w:tcPr>
            <w:tcW w:w="36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8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7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9,064</w:t>
            </w:r>
          </w:p>
        </w:tc>
      </w:tr>
      <w:tr>
        <w:trPr>
          <w:trHeight w:val="243"/>
        </w:trPr>
        <w:tc>
          <w:tcPr>
            <w:tcW w:w="366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1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4,100</w:t>
            </w:r>
          </w:p>
        </w:tc>
        <w:tc>
          <w:tcPr>
            <w:tcW w:w="100" w:type="dxa"/>
            <w:vAlign w:val="bottom"/>
          </w:tcPr>
          <w:p>
            <w:pPr>
              <w:spacing w:after="0"/>
              <w:rPr>
                <w:sz w:val="21"/>
                <w:szCs w:val="21"/>
                <w:color w:val="auto"/>
              </w:rPr>
            </w:pPr>
          </w:p>
        </w:tc>
        <w:tc>
          <w:tcPr>
            <w:tcW w:w="3760" w:type="dxa"/>
            <w:vAlign w:val="bottom"/>
          </w:tcPr>
          <w:p>
            <w:pPr>
              <w:jc w:val="right"/>
              <w:ind w:right="14"/>
              <w:spacing w:after="0"/>
              <w:rPr>
                <w:sz w:val="20"/>
                <w:szCs w:val="20"/>
                <w:color w:val="auto"/>
              </w:rPr>
            </w:pPr>
            <w:r>
              <w:rPr>
                <w:rFonts w:ascii="Arial" w:cs="Arial" w:eastAsia="Arial" w:hAnsi="Arial"/>
                <w:sz w:val="18"/>
                <w:szCs w:val="18"/>
                <w:color w:val="auto"/>
              </w:rPr>
              <w:t>10,536</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43"/>
        </w:trPr>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shd w:val="clear" w:color="auto" w:fill="CCEEFF"/>
          </w:tcPr>
          <w:p>
            <w:pPr>
              <w:spacing w:after="0"/>
              <w:rPr>
                <w:sz w:val="21"/>
                <w:szCs w:val="21"/>
                <w:color w:val="auto"/>
              </w:rPr>
            </w:pPr>
          </w:p>
        </w:tc>
        <w:tc>
          <w:tcPr>
            <w:tcW w:w="288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4,491</w:t>
            </w:r>
          </w:p>
        </w:tc>
        <w:tc>
          <w:tcPr>
            <w:tcW w:w="100" w:type="dxa"/>
            <w:vAlign w:val="bottom"/>
            <w:shd w:val="clear" w:color="auto" w:fill="CCEEFF"/>
          </w:tcPr>
          <w:p>
            <w:pPr>
              <w:spacing w:after="0"/>
              <w:rPr>
                <w:sz w:val="21"/>
                <w:szCs w:val="21"/>
                <w:color w:val="auto"/>
              </w:rPr>
            </w:pPr>
          </w:p>
        </w:tc>
        <w:tc>
          <w:tcPr>
            <w:tcW w:w="37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11,551</w:t>
            </w:r>
          </w:p>
        </w:tc>
      </w:tr>
      <w:tr>
        <w:trPr>
          <w:trHeight w:val="27"/>
        </w:trPr>
        <w:tc>
          <w:tcPr>
            <w:tcW w:w="3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760" w:type="dxa"/>
            <w:vAlign w:val="bottom"/>
            <w:shd w:val="clear" w:color="auto" w:fill="CCEEFF"/>
          </w:tcPr>
          <w:p>
            <w:pPr>
              <w:spacing w:after="0"/>
              <w:rPr>
                <w:sz w:val="2"/>
                <w:szCs w:val="2"/>
                <w:color w:val="auto"/>
              </w:rPr>
            </w:pPr>
          </w:p>
        </w:tc>
      </w:tr>
    </w:tbl>
    <w:p>
      <w:pPr>
        <w:spacing w:after="0" w:line="197" w:lineRule="exact"/>
        <w:rPr>
          <w:sz w:val="20"/>
          <w:szCs w:val="20"/>
          <w:color w:val="auto"/>
        </w:rPr>
      </w:pPr>
    </w:p>
    <w:p>
      <w:pPr>
        <w:ind w:left="1000" w:hanging="330"/>
        <w:spacing w:after="0"/>
        <w:tabs>
          <w:tab w:leader="none" w:pos="1000" w:val="left"/>
        </w:tabs>
        <w:numPr>
          <w:ilvl w:val="0"/>
          <w:numId w:val="8"/>
        </w:numPr>
        <w:rPr>
          <w:rFonts w:ascii="Arial" w:cs="Arial" w:eastAsia="Arial" w:hAnsi="Arial"/>
          <w:sz w:val="14"/>
          <w:szCs w:val="14"/>
          <w:color w:val="auto"/>
        </w:rPr>
      </w:pPr>
      <w:r>
        <w:rPr>
          <w:rFonts w:ascii="Arial" w:cs="Arial" w:eastAsia="Arial" w:hAnsi="Arial"/>
          <w:sz w:val="14"/>
          <w:szCs w:val="14"/>
          <w:color w:val="auto"/>
        </w:rPr>
        <w:t>Active Dealers are Dealers who have received funding for at least one Loan during the period.</w:t>
      </w:r>
    </w:p>
    <w:p>
      <w:pPr>
        <w:spacing w:after="0" w:line="22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Once Dealers have enrolled in our programs, the market area managers work closely with the newly enrolled Dealers to help them successfully launch our programs within their dealerships. Market area managers also provide active Dealers with ongoing support and consulting focused on improving the Dealers’ success on our programs, including assistance with increasing the volume and performance of Consumer Loan assignments.</w:t>
      </w:r>
    </w:p>
    <w:p>
      <w:pPr>
        <w:spacing w:after="0" w:line="166"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 xml:space="preserve">Dealer Servicing Agreement. </w:t>
      </w:r>
      <w:r>
        <w:rPr>
          <w:rFonts w:ascii="Arial" w:cs="Arial" w:eastAsia="Arial" w:hAnsi="Arial"/>
          <w:sz w:val="17"/>
          <w:szCs w:val="17"/>
          <w:color w:val="auto"/>
        </w:rPr>
        <w:t>As a part of the enrollment process, a new Dealer is required to enter into a Dealer servicing agreement with Credit</w:t>
      </w:r>
      <w:r>
        <w:rPr>
          <w:rFonts w:ascii="Arial" w:cs="Arial" w:eastAsia="Arial" w:hAnsi="Arial"/>
          <w:sz w:val="17"/>
          <w:szCs w:val="17"/>
          <w:i w:val="1"/>
          <w:iCs w:val="1"/>
          <w:color w:val="auto"/>
        </w:rPr>
        <w:t xml:space="preserve"> </w:t>
      </w:r>
      <w:r>
        <w:rPr>
          <w:rFonts w:ascii="Arial" w:cs="Arial" w:eastAsia="Arial" w:hAnsi="Arial"/>
          <w:sz w:val="17"/>
          <w:szCs w:val="17"/>
          <w:color w:val="auto"/>
        </w:rPr>
        <w:t>Acceptance that defines the legal relationship between Credit Acceptance and the Dealer. The Dealer servicing agreement assigns the responsibilities for administering, servicing, and collecting the amounts due on Consumer Loans from the Dealers to us. Under the typical Dealer servicing agreement, a Dealer represents that it will only assign Consumer Loans to us that satisfy criteria established by us, meet certain conditions with respect to their binding nature and the status of the security interest in the purchased vehicle, and comply with applicable state and federal laws and regulations.</w:t>
      </w:r>
    </w:p>
    <w:p>
      <w:pPr>
        <w:spacing w:after="0" w:line="1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typical Dealer servicing agreement may be terminated by us or by the Dealer upon written notice. We may terminate the Dealer servicing agreement immediately in the case of an event of default by the Dealer. Events of default include, among other things:</w:t>
      </w:r>
    </w:p>
    <w:p>
      <w:pPr>
        <w:spacing w:after="0" w:line="170" w:lineRule="exact"/>
        <w:rPr>
          <w:sz w:val="20"/>
          <w:szCs w:val="20"/>
          <w:color w:val="auto"/>
        </w:rPr>
      </w:pPr>
    </w:p>
    <w:p>
      <w:pPr>
        <w:ind w:left="840" w:hanging="332"/>
        <w:spacing w:after="0"/>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Dealer's refusal to allow us to audit its records relating to the Consumer Loans assigned to us;</w:t>
      </w:r>
    </w:p>
    <w:p>
      <w:pPr>
        <w:spacing w:after="0" w:line="23" w:lineRule="exact"/>
        <w:rPr>
          <w:rFonts w:ascii="Arial" w:cs="Arial" w:eastAsia="Arial" w:hAnsi="Arial"/>
          <w:sz w:val="18"/>
          <w:szCs w:val="18"/>
          <w:color w:val="auto"/>
        </w:rPr>
      </w:pPr>
    </w:p>
    <w:p>
      <w:pPr>
        <w:ind w:left="840" w:hanging="332"/>
        <w:spacing w:after="0" w:line="250" w:lineRule="auto"/>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Dealer, without our consent, is dissolved; merges or consolidates with an entity not affiliated with the Dealer; or sells a material part of its assets outside the course of its business to an entity not affiliated with the Dealer; or</w:t>
      </w:r>
    </w:p>
    <w:p>
      <w:pPr>
        <w:ind w:left="840" w:hanging="332"/>
        <w:spacing w:after="0"/>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appointment of a receiver for, or the bankruptcy or insolvency of, the Dealer.</w:t>
      </w:r>
    </w:p>
    <w:p>
      <w:pPr>
        <w:spacing w:after="0" w:line="21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While a Dealer can cease assigning Consumer Loans to us at any time without terminating the Dealer servicing agreement, if the Dealer elects to terminate the Dealer servicing agreement or in the event of a default, we have the right to require that the Dealer immediately pay us:</w:t>
      </w:r>
    </w:p>
    <w:p>
      <w:pPr>
        <w:spacing w:after="0" w:line="170" w:lineRule="exact"/>
        <w:rPr>
          <w:sz w:val="20"/>
          <w:szCs w:val="20"/>
          <w:color w:val="auto"/>
        </w:rPr>
      </w:pPr>
    </w:p>
    <w:p>
      <w:pPr>
        <w:ind w:left="840" w:hanging="332"/>
        <w:spacing w:after="0"/>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unreimbursed collection costs on Dealer Loans;</w:t>
      </w:r>
    </w:p>
    <w:p>
      <w:pPr>
        <w:spacing w:after="0" w:line="23" w:lineRule="exact"/>
        <w:rPr>
          <w:rFonts w:ascii="Arial" w:cs="Arial" w:eastAsia="Arial" w:hAnsi="Arial"/>
          <w:sz w:val="18"/>
          <w:szCs w:val="18"/>
          <w:color w:val="auto"/>
        </w:rPr>
      </w:pPr>
    </w:p>
    <w:p>
      <w:pPr>
        <w:ind w:left="840" w:hanging="332"/>
        <w:spacing w:after="0"/>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unpaid advances and all amounts owed by the Dealer to us; and</w:t>
      </w:r>
    </w:p>
    <w:p>
      <w:pPr>
        <w:spacing w:after="0" w:line="9" w:lineRule="exact"/>
        <w:rPr>
          <w:rFonts w:ascii="Arial" w:cs="Arial" w:eastAsia="Arial" w:hAnsi="Arial"/>
          <w:sz w:val="18"/>
          <w:szCs w:val="18"/>
          <w:color w:val="auto"/>
        </w:rPr>
      </w:pPr>
    </w:p>
    <w:p>
      <w:pPr>
        <w:ind w:left="840" w:hanging="332"/>
        <w:spacing w:after="0"/>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termination fee equal to 15% of the then outstanding amount of the Consumer Loans assigned to us.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Upon receipt of such amounts in full, we reassign the Consumer Loans and our security interest in the financed vehicles to the Dealer.</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the event of a termination of the Dealer servicing agreement by us, we may continue to service Consumer Loans assigned by Dealers accepted prior to termination in the normal course of business without charging a termination fee.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Consumer Loan Assignment. </w:t>
      </w:r>
      <w:r>
        <w:rPr>
          <w:rFonts w:ascii="Arial" w:cs="Arial" w:eastAsia="Arial" w:hAnsi="Arial"/>
          <w:sz w:val="16"/>
          <w:szCs w:val="16"/>
          <w:color w:val="auto"/>
        </w:rPr>
        <w:t>Once a Dealer has enrolled in our programs, the Dealer may begin assigning Consumer Loans to us. For legal purposes,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Consumer Loan is considered to have been assigned to us after the following has occurred:</w:t>
      </w:r>
    </w:p>
    <w:p>
      <w:pPr>
        <w:spacing w:after="0" w:line="211" w:lineRule="exact"/>
        <w:rPr>
          <w:sz w:val="20"/>
          <w:szCs w:val="20"/>
          <w:color w:val="auto"/>
        </w:rPr>
      </w:pPr>
    </w:p>
    <w:p>
      <w:pPr>
        <w:ind w:left="840" w:hanging="332"/>
        <w:spacing w:after="0"/>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consumer and Dealer have signed a Consumer Loan contract; and</w:t>
      </w:r>
    </w:p>
    <w:p>
      <w:pPr>
        <w:spacing w:after="0" w:line="23" w:lineRule="exact"/>
        <w:rPr>
          <w:rFonts w:ascii="Arial" w:cs="Arial" w:eastAsia="Arial" w:hAnsi="Arial"/>
          <w:sz w:val="18"/>
          <w:szCs w:val="18"/>
          <w:color w:val="auto"/>
        </w:rPr>
      </w:pPr>
    </w:p>
    <w:p>
      <w:pPr>
        <w:ind w:left="840" w:hanging="332"/>
        <w:spacing w:after="0"/>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received the executed Consumer Loan contract and supporting documentation in either physical or electronic form.</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8" w:right="239" w:bottom="1440" w:gutter="0" w:footer="0" w:header="0"/>
        </w:sectPr>
      </w:pPr>
    </w:p>
    <w:bookmarkStart w:id="6" w:name="page7"/>
    <w:bookmarkEnd w:id="6"/>
    <w:p>
      <w:pPr>
        <w:ind w:left="340"/>
        <w:spacing w:after="0"/>
        <w:rPr>
          <w:sz w:val="20"/>
          <w:szCs w:val="20"/>
          <w:color w:val="auto"/>
        </w:rPr>
      </w:pPr>
      <w:r>
        <w:rPr>
          <w:rFonts w:ascii="Arial" w:cs="Arial" w:eastAsia="Arial" w:hAnsi="Arial"/>
          <w:sz w:val="17"/>
          <w:szCs w:val="17"/>
          <w:color w:val="auto"/>
        </w:rPr>
        <w:t>For accounting and financial reporting purposes, a Consumer Loan is considered to have been assigned to us after the following has occurred:</w:t>
      </w:r>
    </w:p>
    <w:p>
      <w:pPr>
        <w:spacing w:after="0" w:line="237" w:lineRule="exact"/>
        <w:rPr>
          <w:sz w:val="20"/>
          <w:szCs w:val="20"/>
          <w:color w:val="auto"/>
        </w:rPr>
      </w:pPr>
    </w:p>
    <w:p>
      <w:pPr>
        <w:ind w:left="840" w:hanging="332"/>
        <w:spacing w:after="0"/>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Consumer Loan has been legally assigned to us; and</w:t>
      </w:r>
    </w:p>
    <w:p>
      <w:pPr>
        <w:spacing w:after="0" w:line="23" w:lineRule="exact"/>
        <w:rPr>
          <w:rFonts w:ascii="Arial" w:cs="Arial" w:eastAsia="Arial" w:hAnsi="Arial"/>
          <w:sz w:val="18"/>
          <w:szCs w:val="18"/>
          <w:color w:val="auto"/>
        </w:rPr>
      </w:pPr>
    </w:p>
    <w:p>
      <w:pPr>
        <w:ind w:left="840" w:hanging="332"/>
        <w:spacing w:after="0" w:line="261" w:lineRule="auto"/>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made a funding decision and generally have provided funding to the Dealer in the form of either an advance under the Portfolio Program or one-time purchase payment under the Purchase Program.</w:t>
      </w:r>
    </w:p>
    <w:p>
      <w:pPr>
        <w:spacing w:after="0" w:line="18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 Consumer Loan is originated by the Dealer when a consumer enters into a contract with a Dealer that sets forth the terms of the agreement between the consumer and the Dealer for the payment of the purchase price of the vehicle. The amount of the Consumer Loan consists of the total principal and interest that the consumer is required to pay over the term of the Consumer Loan. Consumer Loans are written on a contract form provided by us. Although the Dealer is named in the Consumer Loan contract, the Dealer generally does not have legal ownership of the Consumer Loan for more than a moment and we, not the Dealer, are listed as lien holder on the vehicle title. Consumers are obligated to make payments on the Consumer Loan directly to us, and any failure to make such payments will result in our pursuing payment through collection efforts.</w:t>
      </w:r>
    </w:p>
    <w:p>
      <w:pPr>
        <w:spacing w:after="0" w:line="17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All Consumer Loans submitted to us for assignment are processed through our Credit Approval Processing System (“CAPS”). CAPS allows Dealers to input a consumer’s credit application and view the response from us via the Internet. CAPS allows Dealers to: (1) receive a quick approval from us; (2) interact with our proprietary credit scoring system to optimize the structure of each transaction prior to delivery; and (3) create, electronically execute and print Consumer Loan documents. All responses include the amount of funding (advance for a Dealer Loan or purchase price for a Purchased Loan), as well as any stipulations required for funding. The amount of funding is determined using a formula which considers a number of factors including the timing and amount of cash flows expected on the related Consumer Loan and our target return on capital at the time the Consumer Loan is submitted to us for assignment. The estimated future cash flows are determined based upon our proprietary credit scoring system, which considers numerous variables, including attributes contained in the consumer’s credit bureau report, data contained in the consumer’s credit application, the structure of the proposed transaction, vehicle information and other factors, to calculate a composite credit score that corresponds to an expected collection rate. Our proprietary credit scoring system forecasts the collection rate based upon the historical performance of Consumer Loans in our portfolio that share similar characteristics. The performance of our proprietary credit scoring system is evaluated monthly by comparing projected to actual Consumer Loan performance. Adjustments are made to our proprietary credit scoring system as necessary. For additional information on adjustments to forecasted collection rates, please see the Critical Accounting Estimates section in Item 7 of this Form 10-K, which is incorporated herein by reference.</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While a Dealer can submit any legally compliant Consumer Loan to us for assignment, the decision whether to provide funding to the Dealer and the amount of any funding is made solely by us. Through our Dealer Service Center, we perform all significant functions relating to the processing of the Consumer Loan applications and bear certain costs of Consumer Loan assignment, including the cost of assessing the adequacy of Consumer Loan documentation, compliance with underwriting and legal guidelines and the cost of verifying employment, residence and other information provided by the Dealer.</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audit Consumer Loan files for legal and underwriting guidelines on a daily basis in order to assess whether our Dealers are operating in accordance with the terms and conditions of our Dealer servicing agreement. We occasionally identify breaches of the Dealer servicing agreement and depending upon the circumstances, and at our discretion, we may:</w:t>
      </w:r>
    </w:p>
    <w:p>
      <w:pPr>
        <w:spacing w:after="0" w:line="181" w:lineRule="exact"/>
        <w:rPr>
          <w:sz w:val="20"/>
          <w:szCs w:val="20"/>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 pricing or charge the Dealer fees for future Consumer Loan assignments;</w:t>
      </w:r>
    </w:p>
    <w:p>
      <w:pPr>
        <w:spacing w:after="0" w:line="23"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reassign the Consumer Loans back to the Dealer and require repayment of the related advances and/or purchase payments; or</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terminate our relationship with the Dealer.</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Consumer Loans that have been assigned to us can be reassigned back to the Dealer, at the Dealer’s discretion, as follows:</w:t>
      </w:r>
    </w:p>
    <w:p>
      <w:pPr>
        <w:spacing w:after="0" w:line="225" w:lineRule="exact"/>
        <w:rPr>
          <w:sz w:val="20"/>
          <w:szCs w:val="20"/>
          <w:color w:val="auto"/>
        </w:rPr>
      </w:pPr>
    </w:p>
    <w:p>
      <w:pPr>
        <w:ind w:left="840" w:hanging="332"/>
        <w:spacing w:after="0" w:line="258" w:lineRule="auto"/>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individual Consumer Loan may be reassigned within 180 days of assignment. We require repayment of the related advance or purchase payment and, if requested more than 90 days after assignment, payment of a fee; and</w:t>
      </w:r>
    </w:p>
    <w:p>
      <w:pPr>
        <w:spacing w:after="0" w:line="1" w:lineRule="exact"/>
        <w:rPr>
          <w:rFonts w:ascii="Arial" w:cs="Arial" w:eastAsia="Arial" w:hAnsi="Arial"/>
          <w:sz w:val="18"/>
          <w:szCs w:val="18"/>
          <w:color w:val="auto"/>
        </w:rPr>
      </w:pPr>
    </w:p>
    <w:p>
      <w:pPr>
        <w:ind w:left="840" w:hanging="332"/>
        <w:spacing w:after="0" w:line="261" w:lineRule="auto"/>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Consumer Loans assigned under the Portfolio Program may be reassigned through termination of the Dealer servicing agreement, as described under "Dealer Servicing Agreement," above.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68" w:right="239" w:bottom="1440" w:gutter="0" w:footer="0" w:header="0"/>
        </w:sectPr>
      </w:pPr>
    </w:p>
    <w:bookmarkStart w:id="7" w:name="page8"/>
    <w:bookmarkEnd w:id="7"/>
    <w:p>
      <w:pPr>
        <w:jc w:val="both"/>
        <w:ind w:firstLine="324"/>
        <w:spacing w:after="0" w:line="257" w:lineRule="auto"/>
        <w:rPr>
          <w:sz w:val="20"/>
          <w:szCs w:val="20"/>
          <w:color w:val="auto"/>
        </w:rPr>
      </w:pPr>
      <w:r>
        <w:rPr>
          <w:rFonts w:ascii="Arial" w:cs="Arial" w:eastAsia="Arial" w:hAnsi="Arial"/>
          <w:sz w:val="18"/>
          <w:szCs w:val="18"/>
          <w:color w:val="auto"/>
        </w:rPr>
        <w:t>Our business model allows us to share the risk and reward of collecting on the Consumer Loans with the Dealers. Such sharing is intended to motivate the Dealer to assign better quality Consumer Loans, follow our underwriting guidelines, comply with various legal regulations, meet our credit compliance requirements and provide appropriate service and support to the consumer after the sale. In addition, our Dealer Service Center works closely with Dealers to assist them in resolving any documentation deficiencies or funding stipulations. We believe this arrangement causes the interests of the Dealer, the consumer and us to all be aligned.</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measure various criteria for each Dealer against other Dealers in their geographic area as well as the top performing Dealers. Dealers are assigned a Dealer rating based upon the performance of their Consumer Loans in both the Portfolio and Purchase Programs as well as other criteria. The Dealer rating is one of the factors used to determine the amount paid to Dealers as an advance or to acquire a Purchased Loan. We provide each Dealer a monthly statement summarizing all activity that occurred on their Consumer Loan assignments.</w:t>
      </w:r>
    </w:p>
    <w:p>
      <w:pPr>
        <w:spacing w:after="0" w:line="18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Servicing. </w:t>
      </w:r>
      <w:r>
        <w:rPr>
          <w:rFonts w:ascii="Arial" w:cs="Arial" w:eastAsia="Arial" w:hAnsi="Arial"/>
          <w:sz w:val="17"/>
          <w:szCs w:val="17"/>
          <w:color w:val="auto"/>
        </w:rPr>
        <w:t>Our largest group of collectors services Consumer Loans that are in the early stages of delinquency. Collection efforts typically consist of</w:t>
      </w:r>
      <w:r>
        <w:rPr>
          <w:rFonts w:ascii="Arial" w:cs="Arial" w:eastAsia="Arial" w:hAnsi="Arial"/>
          <w:sz w:val="17"/>
          <w:szCs w:val="17"/>
          <w:i w:val="1"/>
          <w:iCs w:val="1"/>
          <w:color w:val="auto"/>
        </w:rPr>
        <w:t xml:space="preserve"> </w:t>
      </w:r>
      <w:r>
        <w:rPr>
          <w:rFonts w:ascii="Arial" w:cs="Arial" w:eastAsia="Arial" w:hAnsi="Arial"/>
          <w:sz w:val="17"/>
          <w:szCs w:val="17"/>
          <w:color w:val="auto"/>
        </w:rPr>
        <w:t>placing a call to the consumer within one day of the missed payment due date, although efforts may begin later for some segments of accounts. Consumer Loans are segmented into dialing pools by various phone contact profiles in an effort to efficiently contact the consumer. Our collectors work with consumers to attempt to reach a solution that will help them avoid becoming further past due and get them current where possible.</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decision to repossess a vehicle is based on policy-based criteria. When a Consumer Loan is approved for repossession, the account is transferred to our repossession team. Repossession personnel continue to service the Consumer Loan as it is being assigned to a third party repossession contractor, who works on a contingency fee basis. Once a vehicle has been repossessed, the consumer can negotiate to redeem the vehicle, whereupon the vehicle is returned to the consumer in exchange for paying off the Consumer Loan balance; or, where appropriate or if required by law, the vehicle is returned to the consumer and the Consumer Loan is reinstated in exchange for a payment that reduces or eliminates the past due balance. If this process is unsuccessful, the vehicle is sold at a wholesale automobile auction. Prior to sale, the vehicle is typically inspected by a representative at the auction who provides repair and reconditioning recommendations. Alternatively, our remarketing representatives may inspect the vehicle directly. Our remarketing representatives then authorize any repair and reconditioning work in order to maximize the net sale proceeds at auction.</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the vehicle sale proceeds are not sufficient to satisfy the balance owing on the Consumer Loan, the Consumer Loan is serviced by either: (1) our internal collection team, in the event the consumer is willing to make payments on the deficiency balance; or (2) where permitted by law, our external collection team, if it is believed that legal action is required to reduce the deficiency balance owing on the Consumer Loan. Our external collection team generally assigns Consumer Loans to third party collection attorneys who work on a contingency fee basis.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Collectors service Consumer Loans through our servicing platform, which consists of the following two systems:</w:t>
      </w:r>
    </w:p>
    <w:p>
      <w:pPr>
        <w:spacing w:after="0" w:line="225" w:lineRule="exact"/>
        <w:rPr>
          <w:sz w:val="20"/>
          <w:szCs w:val="20"/>
          <w:color w:val="auto"/>
        </w:rPr>
      </w:pPr>
    </w:p>
    <w:p>
      <w:pPr>
        <w:ind w:left="820" w:hanging="326"/>
        <w:spacing w:after="0"/>
        <w:tabs>
          <w:tab w:leader="none" w:pos="8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collection system, which assigns Consumer Loans to collectors through a predictive dialer and records all collection activity, including:</w:t>
      </w:r>
    </w:p>
    <w:p>
      <w:pPr>
        <w:spacing w:after="0" w:line="34" w:lineRule="exact"/>
        <w:rPr>
          <w:rFonts w:ascii="Arial" w:cs="Arial" w:eastAsia="Arial" w:hAnsi="Arial"/>
          <w:sz w:val="17"/>
          <w:szCs w:val="17"/>
          <w:color w:val="auto"/>
        </w:rPr>
      </w:pPr>
    </w:p>
    <w:p>
      <w:pPr>
        <w:ind w:left="1140" w:hanging="322"/>
        <w:spacing w:after="0"/>
        <w:tabs>
          <w:tab w:leader="none" w:pos="11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details of past phone conversations with the consumer;</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collection letters sent;</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promises to pay;</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broken promises;</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repossession orders; and</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collection attorney activity.</w:t>
      </w:r>
    </w:p>
    <w:p>
      <w:pPr>
        <w:spacing w:after="0" w:line="210" w:lineRule="exact"/>
        <w:rPr>
          <w:rFonts w:ascii="Arial" w:cs="Arial" w:eastAsia="Arial" w:hAnsi="Arial"/>
          <w:sz w:val="18"/>
          <w:szCs w:val="18"/>
          <w:color w:val="auto"/>
        </w:rPr>
      </w:pPr>
    </w:p>
    <w:p>
      <w:pPr>
        <w:ind w:left="820" w:hanging="326"/>
        <w:spacing w:after="0" w:line="258"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servicing system, which maintains a record of all transactions relating to Consumer Loan assignments and is a primary source of data utilized to:</w:t>
      </w:r>
    </w:p>
    <w:p>
      <w:pPr>
        <w:spacing w:after="0" w:line="1" w:lineRule="exact"/>
        <w:rPr>
          <w:rFonts w:ascii="Arial" w:cs="Arial" w:eastAsia="Arial" w:hAnsi="Arial"/>
          <w:sz w:val="18"/>
          <w:szCs w:val="18"/>
          <w:color w:val="auto"/>
        </w:rPr>
      </w:pPr>
    </w:p>
    <w:p>
      <w:pPr>
        <w:ind w:left="1140" w:hanging="322"/>
        <w:spacing w:after="0"/>
        <w:tabs>
          <w:tab w:leader="none" w:pos="11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determine the outstanding balance of the Consumer Loans;</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forecast future collections;</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establish the amount of revenue recognized by us;</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calculate Dealer Holdback payments;</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analyze the profitability of our program; and</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 our proprietary credit scoring system.</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68"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Ancillary Products</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provide Dealers the ability to offer vehicle service contracts to consumers through our relationships with Third Party Providers (“TPPs”). A vehicle service contract provides the consumer protection by paying for the repair or replacement of certain components of the vehicle in the event of a mechanical failure. The wholesale cost of the vehicle service contract is charged to the Dealer’s advance balance, and paid to the TPP, net of an administrative fee retained by us. We recognize our fee as part of finance charges on a level-yield basis based upon forecasted cash flows. The difference between the wholesale cost and the retail price to the consumer is paid to the Dealer as a commission. The commission is charged to the Dealer’s advance balance. TPPs process claims on vehicle service contracts that are underwritten by third party insurers. We bear the risk of loss for claims on certain vehicle service contracts that are reinsured by us. We market the vehicle service contracts directly to our Dealers. Our agreement with one of our TPPs allows us to receive profit sharing payments depending on the performance of the vehicle service contracts.</w:t>
      </w:r>
    </w:p>
    <w:p>
      <w:pPr>
        <w:spacing w:after="0" w:line="17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VSC Re Company (“VSC Re”), our wholly-owned subsidiary, is engaged in the business of reinsuring coverage under vehicle service contracts sold to consumers by Dealers on vehicles financed by us. VSC Re currently reinsures vehicle service contracts that are offered through one of our TPPs. Vehicle service contract premiums, which represent the selling price of the vehicle service contract to the consumer, less fees and certain administrative costs, are contributed to trust accounts controlled by VSC Re. These premiums are used to fund claims covered under the vehicle service contracts. VSC Re is a bankruptcy remote entity. As such, our exposure to fund claims is limited to the trust assets controlled by VSC Re and our net investment in VSC Re.</w:t>
      </w:r>
    </w:p>
    <w:p>
      <w:pPr>
        <w:spacing w:after="0" w:line="15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provide Dealers the ability to offer Guaranteed Asset Protection (“GAP”) to consumers through our relationships with TPPs. GAP provides the consumer protection by paying the difference between the loan balance and the amount covered by the consumer's insurance policy in the event of a total loss of the vehicle due to severe damage or theft. The wholesale cost of GAP is charged to the Dealer’s advance balance, and paid to the TPP, net of an administrative fee retained by us. We recognize our fee as part of finance charges on a level-yield basis based upon forecasted cash flows. The difference between the wholesale cost and the retail price to the consumer is paid to the Dealer as a commission. The commission is charged to the Dealer’s advance balance. TPPs process claims on GAP contracts that are underwritten by third party insurers. Our agreements with certain TPPs allow us to receive profit sharing payments depending on the performance of the GAP contracts.</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provide Dealers in certain states the ability to purchase GPS Starter Interrupt Devices (“GPS-SID”) through our relationship with a TPP. Through this program, Dealers can install GPS-SID on vehicles financed by us that can be activated if the consumer fails to make payments on their account, and can result in the prompt repossession of the vehicle. Dealers purchase GPS-SID directly from the TPP. The TPP pays us a fee for each device sold, at which time the fee revenue is recognized in other income within our consolidated statements of income.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market for consumers who do not qualify for conventional automobile financing is large and highly competitive. The market is currently served by “buy here, pay here” dealerships, banks, captive finance affiliates of automobile manufacturers, credit unions and independent finance companies both publicly and privately owned. Many of these companies are much larger and have greater resources than us. We compete by offering a profitable and efficient method for Dealers to finance consumers who would be more difficult or less profitable to finance through other methods. In addition, we compete on the basis of the level of service provided by our Dealer Service Center and sales personnel.</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6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Customer and Geographic Concentrations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No single Dealer accounted for more than 10% of total revenues during any of the last three years. Additionally, no single Dealer’s Loans receivable balance accounted for more than 10% of total Loans receivable balance as of December 31, 2017 or 2016. The following tables provide information regarding the five states that were responsible for the largest dollar volume of Consumer Loan assignments and the related number of active Dealers during 2017, 2016 and 2015:</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4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For the Year Ended December 31, 2017</w:t>
            </w:r>
          </w:p>
        </w:tc>
        <w:tc>
          <w:tcPr>
            <w:tcW w:w="1660" w:type="dxa"/>
            <w:vAlign w:val="bottom"/>
            <w:tcBorders>
              <w:bottom w:val="single" w:sz="8" w:color="auto"/>
            </w:tcBorders>
          </w:tcPr>
          <w:p>
            <w:pPr>
              <w:spacing w:after="0"/>
              <w:rPr>
                <w:sz w:val="17"/>
                <w:szCs w:val="17"/>
                <w:color w:val="auto"/>
              </w:rPr>
            </w:pPr>
          </w:p>
        </w:tc>
      </w:tr>
      <w:tr>
        <w:trPr>
          <w:trHeight w:val="210"/>
        </w:trPr>
        <w:tc>
          <w:tcPr>
            <w:tcW w:w="4620" w:type="dxa"/>
            <w:vAlign w:val="bottom"/>
          </w:tcPr>
          <w:p>
            <w:pPr>
              <w:ind w:left="40"/>
              <w:spacing w:after="0"/>
              <w:rPr>
                <w:sz w:val="20"/>
                <w:szCs w:val="20"/>
                <w:color w:val="auto"/>
              </w:rPr>
            </w:pPr>
            <w:r>
              <w:rPr>
                <w:rFonts w:ascii="Arial" w:cs="Arial" w:eastAsia="Arial" w:hAnsi="Arial"/>
                <w:sz w:val="14"/>
                <w:szCs w:val="14"/>
                <w:color w:val="auto"/>
              </w:rPr>
              <w:t>(Dollars in millions)</w:t>
            </w:r>
          </w:p>
        </w:tc>
        <w:tc>
          <w:tcPr>
            <w:tcW w:w="18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3"/>
          </w:tcPr>
          <w:p>
            <w:pPr>
              <w:jc w:val="right"/>
              <w:ind w:right="674"/>
              <w:spacing w:after="0"/>
              <w:rPr>
                <w:sz w:val="20"/>
                <w:szCs w:val="20"/>
                <w:color w:val="auto"/>
              </w:rPr>
            </w:pPr>
            <w:r>
              <w:rPr>
                <w:rFonts w:ascii="Arial" w:cs="Arial" w:eastAsia="Arial" w:hAnsi="Arial"/>
                <w:sz w:val="14"/>
                <w:szCs w:val="14"/>
                <w:b w:val="1"/>
                <w:bCs w:val="1"/>
                <w:color w:val="auto"/>
              </w:rPr>
              <w:t>Consumer Loan Assignments</w:t>
            </w:r>
          </w:p>
        </w:tc>
        <w:tc>
          <w:tcPr>
            <w:tcW w:w="120" w:type="dxa"/>
            <w:vAlign w:val="bottom"/>
          </w:tcPr>
          <w:p>
            <w:pPr>
              <w:spacing w:after="0"/>
              <w:rPr>
                <w:sz w:val="18"/>
                <w:szCs w:val="18"/>
                <w:color w:val="auto"/>
              </w:rPr>
            </w:pPr>
          </w:p>
        </w:tc>
        <w:tc>
          <w:tcPr>
            <w:tcW w:w="3340" w:type="dxa"/>
            <w:vAlign w:val="bottom"/>
            <w:tcBorders>
              <w:bottom w:val="single" w:sz="8" w:color="auto"/>
            </w:tcBorders>
            <w:gridSpan w:val="3"/>
          </w:tcPr>
          <w:p>
            <w:pPr>
              <w:jc w:val="right"/>
              <w:ind w:right="1032"/>
              <w:spacing w:after="0"/>
              <w:rPr>
                <w:sz w:val="20"/>
                <w:szCs w:val="20"/>
                <w:color w:val="auto"/>
              </w:rPr>
            </w:pPr>
            <w:r>
              <w:rPr>
                <w:rFonts w:ascii="Arial" w:cs="Arial" w:eastAsia="Arial" w:hAnsi="Arial"/>
                <w:sz w:val="14"/>
                <w:szCs w:val="14"/>
                <w:b w:val="1"/>
                <w:bCs w:val="1"/>
                <w:color w:val="auto"/>
              </w:rPr>
              <w:t>Active Dealers (2)</w:t>
            </w:r>
          </w:p>
        </w:tc>
      </w:tr>
      <w:tr>
        <w:trPr>
          <w:trHeight w:val="210"/>
        </w:trPr>
        <w:tc>
          <w:tcPr>
            <w:tcW w:w="4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Dollar Volume (1)</w:t>
            </w:r>
          </w:p>
        </w:tc>
        <w:tc>
          <w:tcPr>
            <w:tcW w:w="1760" w:type="dxa"/>
            <w:vAlign w:val="bottom"/>
            <w:gridSpan w:val="2"/>
          </w:tcPr>
          <w:p>
            <w:pPr>
              <w:ind w:left="500"/>
              <w:spacing w:after="0"/>
              <w:rPr>
                <w:sz w:val="20"/>
                <w:szCs w:val="20"/>
                <w:color w:val="auto"/>
              </w:rPr>
            </w:pPr>
            <w:r>
              <w:rPr>
                <w:rFonts w:ascii="Arial" w:cs="Arial" w:eastAsia="Arial" w:hAnsi="Arial"/>
                <w:sz w:val="14"/>
                <w:szCs w:val="14"/>
                <w:b w:val="1"/>
                <w:bCs w:val="1"/>
                <w:color w:val="auto"/>
              </w:rPr>
              <w:t>% of Total</w:t>
            </w:r>
          </w:p>
        </w:tc>
        <w:tc>
          <w:tcPr>
            <w:tcW w:w="1680" w:type="dxa"/>
            <w:vAlign w:val="bottom"/>
            <w:gridSpan w:val="2"/>
          </w:tcPr>
          <w:p>
            <w:pPr>
              <w:ind w:left="520"/>
              <w:spacing w:after="0"/>
              <w:rPr>
                <w:sz w:val="20"/>
                <w:szCs w:val="20"/>
                <w:color w:val="auto"/>
              </w:rPr>
            </w:pPr>
            <w:r>
              <w:rPr>
                <w:rFonts w:ascii="Arial" w:cs="Arial" w:eastAsia="Arial" w:hAnsi="Arial"/>
                <w:sz w:val="14"/>
                <w:szCs w:val="14"/>
                <w:b w:val="1"/>
                <w:bCs w:val="1"/>
                <w:color w:val="auto"/>
              </w:rPr>
              <w:t>Number</w:t>
            </w:r>
          </w:p>
        </w:tc>
        <w:tc>
          <w:tcPr>
            <w:tcW w:w="1660" w:type="dxa"/>
            <w:vAlign w:val="bottom"/>
          </w:tcPr>
          <w:p>
            <w:pPr>
              <w:jc w:val="right"/>
              <w:ind w:right="412"/>
              <w:spacing w:after="0"/>
              <w:rPr>
                <w:sz w:val="20"/>
                <w:szCs w:val="20"/>
                <w:color w:val="auto"/>
              </w:rPr>
            </w:pPr>
            <w:r>
              <w:rPr>
                <w:rFonts w:ascii="Arial" w:cs="Arial" w:eastAsia="Arial" w:hAnsi="Arial"/>
                <w:sz w:val="14"/>
                <w:szCs w:val="14"/>
                <w:b w:val="1"/>
                <w:bCs w:val="1"/>
                <w:color w:val="auto"/>
              </w:rPr>
              <w:t>% of Total</w:t>
            </w:r>
          </w:p>
        </w:tc>
      </w:tr>
      <w:tr>
        <w:trPr>
          <w:trHeight w:val="250"/>
        </w:trPr>
        <w:tc>
          <w:tcPr>
            <w:tcW w:w="4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Michigan</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Ohio</w:t>
            </w:r>
          </w:p>
        </w:tc>
        <w:tc>
          <w:tcPr>
            <w:tcW w:w="18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209.8</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1580" w:type="dxa"/>
            <w:vAlign w:val="bottom"/>
          </w:tcPr>
          <w:p>
            <w:pPr>
              <w:jc w:val="right"/>
              <w:ind w:right="34"/>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
        </w:trPr>
        <w:tc>
          <w:tcPr>
            <w:tcW w:w="4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Texas</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189.7</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847</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New York</w:t>
            </w:r>
          </w:p>
        </w:tc>
        <w:tc>
          <w:tcPr>
            <w:tcW w:w="18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176.4</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1580" w:type="dxa"/>
            <w:vAlign w:val="bottom"/>
          </w:tcPr>
          <w:p>
            <w:pPr>
              <w:jc w:val="right"/>
              <w:ind w:right="34"/>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
        </w:trPr>
        <w:tc>
          <w:tcPr>
            <w:tcW w:w="4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Maryland</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132.0</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84"/>
        </w:trPr>
        <w:tc>
          <w:tcPr>
            <w:tcW w:w="4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All other states</w:t>
            </w: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1,879.5</w:t>
            </w:r>
          </w:p>
        </w:tc>
        <w:tc>
          <w:tcPr>
            <w:tcW w:w="120" w:type="dxa"/>
            <w:vAlign w:val="bottom"/>
            <w:tcBorders>
              <w:bottom w:val="single" w:sz="8" w:color="CCEEFF"/>
            </w:tcBorders>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120" w:type="dxa"/>
            <w:vAlign w:val="bottom"/>
            <w:tcBorders>
              <w:bottom w:val="single" w:sz="8" w:color="CCEEFF"/>
            </w:tcBorders>
          </w:tcPr>
          <w:p>
            <w:pPr>
              <w:spacing w:after="0"/>
              <w:rPr>
                <w:sz w:val="24"/>
                <w:szCs w:val="24"/>
                <w:color w:val="auto"/>
              </w:rPr>
            </w:pPr>
          </w:p>
        </w:tc>
        <w:tc>
          <w:tcPr>
            <w:tcW w:w="15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8,154</w:t>
            </w:r>
          </w:p>
        </w:tc>
        <w:tc>
          <w:tcPr>
            <w:tcW w:w="100" w:type="dxa"/>
            <w:vAlign w:val="bottom"/>
            <w:tcBorders>
              <w:bottom w:val="single" w:sz="8" w:color="CCEEFF"/>
            </w:tcBorders>
          </w:tcPr>
          <w:p>
            <w:pPr>
              <w:spacing w:after="0"/>
              <w:rPr>
                <w:sz w:val="24"/>
                <w:szCs w:val="24"/>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w:t>
            </w:r>
          </w:p>
        </w:tc>
      </w:tr>
      <w:tr>
        <w:trPr>
          <w:trHeight w:val="257"/>
        </w:trPr>
        <w:tc>
          <w:tcPr>
            <w:tcW w:w="4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2,873.1</w:t>
            </w:r>
          </w:p>
        </w:tc>
        <w:tc>
          <w:tcPr>
            <w:tcW w:w="12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11,551</w:t>
            </w:r>
          </w:p>
        </w:tc>
        <w:tc>
          <w:tcPr>
            <w:tcW w:w="100" w:type="dxa"/>
            <w:vAlign w:val="bottom"/>
            <w:tcBorders>
              <w:bottom w:val="single" w:sz="8" w:color="auto"/>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4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40" w:type="dxa"/>
            <w:vAlign w:val="bottom"/>
            <w:tcBorders>
              <w:bottom w:val="single" w:sz="8" w:color="auto"/>
            </w:tcBorders>
            <w:gridSpan w:val="4"/>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197"/>
        </w:trPr>
        <w:tc>
          <w:tcPr>
            <w:tcW w:w="4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4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For the Year Ended December 31, 2016</w:t>
            </w:r>
          </w:p>
        </w:tc>
        <w:tc>
          <w:tcPr>
            <w:tcW w:w="1660" w:type="dxa"/>
            <w:vAlign w:val="bottom"/>
            <w:tcBorders>
              <w:bottom w:val="single" w:sz="8" w:color="auto"/>
            </w:tcBorders>
          </w:tcPr>
          <w:p>
            <w:pPr>
              <w:spacing w:after="0"/>
              <w:rPr>
                <w:sz w:val="17"/>
                <w:szCs w:val="17"/>
                <w:color w:val="auto"/>
              </w:rPr>
            </w:pPr>
          </w:p>
        </w:tc>
      </w:tr>
      <w:tr>
        <w:trPr>
          <w:trHeight w:val="264"/>
        </w:trPr>
        <w:tc>
          <w:tcPr>
            <w:tcW w:w="4620" w:type="dxa"/>
            <w:vAlign w:val="bottom"/>
          </w:tcPr>
          <w:p>
            <w:pPr>
              <w:ind w:left="40"/>
              <w:spacing w:after="0"/>
              <w:rPr>
                <w:sz w:val="20"/>
                <w:szCs w:val="20"/>
                <w:color w:val="auto"/>
              </w:rPr>
            </w:pPr>
            <w:r>
              <w:rPr>
                <w:rFonts w:ascii="Arial" w:cs="Arial" w:eastAsia="Arial" w:hAnsi="Arial"/>
                <w:sz w:val="14"/>
                <w:szCs w:val="14"/>
                <w:color w:val="auto"/>
              </w:rPr>
              <w:t>(Dollars in millions)</w:t>
            </w:r>
          </w:p>
        </w:tc>
        <w:tc>
          <w:tcPr>
            <w:tcW w:w="180" w:type="dxa"/>
            <w:vAlign w:val="bottom"/>
            <w:tcBorders>
              <w:bottom w:val="single" w:sz="8" w:color="auto"/>
            </w:tcBorders>
          </w:tcPr>
          <w:p>
            <w:pPr>
              <w:spacing w:after="0"/>
              <w:rPr>
                <w:sz w:val="22"/>
                <w:szCs w:val="22"/>
                <w:color w:val="auto"/>
              </w:rPr>
            </w:pPr>
          </w:p>
        </w:tc>
        <w:tc>
          <w:tcPr>
            <w:tcW w:w="3160" w:type="dxa"/>
            <w:vAlign w:val="bottom"/>
            <w:tcBorders>
              <w:bottom w:val="single" w:sz="8" w:color="auto"/>
            </w:tcBorders>
            <w:gridSpan w:val="3"/>
          </w:tcPr>
          <w:p>
            <w:pPr>
              <w:jc w:val="right"/>
              <w:ind w:right="674"/>
              <w:spacing w:after="0"/>
              <w:rPr>
                <w:sz w:val="20"/>
                <w:szCs w:val="20"/>
                <w:color w:val="auto"/>
              </w:rPr>
            </w:pPr>
            <w:r>
              <w:rPr>
                <w:rFonts w:ascii="Arial" w:cs="Arial" w:eastAsia="Arial" w:hAnsi="Arial"/>
                <w:sz w:val="14"/>
                <w:szCs w:val="14"/>
                <w:b w:val="1"/>
                <w:bCs w:val="1"/>
                <w:color w:val="auto"/>
              </w:rPr>
              <w:t>Consumer Loan Assignments</w:t>
            </w:r>
          </w:p>
        </w:tc>
        <w:tc>
          <w:tcPr>
            <w:tcW w:w="120" w:type="dxa"/>
            <w:vAlign w:val="bottom"/>
          </w:tcPr>
          <w:p>
            <w:pPr>
              <w:spacing w:after="0"/>
              <w:rPr>
                <w:sz w:val="22"/>
                <w:szCs w:val="22"/>
                <w:color w:val="auto"/>
              </w:rPr>
            </w:pPr>
          </w:p>
        </w:tc>
        <w:tc>
          <w:tcPr>
            <w:tcW w:w="3340" w:type="dxa"/>
            <w:vAlign w:val="bottom"/>
            <w:tcBorders>
              <w:bottom w:val="single" w:sz="8" w:color="auto"/>
            </w:tcBorders>
            <w:gridSpan w:val="3"/>
          </w:tcPr>
          <w:p>
            <w:pPr>
              <w:jc w:val="right"/>
              <w:ind w:right="1032"/>
              <w:spacing w:after="0"/>
              <w:rPr>
                <w:sz w:val="20"/>
                <w:szCs w:val="20"/>
                <w:color w:val="auto"/>
              </w:rPr>
            </w:pPr>
            <w:r>
              <w:rPr>
                <w:rFonts w:ascii="Arial" w:cs="Arial" w:eastAsia="Arial" w:hAnsi="Arial"/>
                <w:sz w:val="14"/>
                <w:szCs w:val="14"/>
                <w:b w:val="1"/>
                <w:bCs w:val="1"/>
                <w:color w:val="auto"/>
              </w:rPr>
              <w:t>Active Dealers (2)</w:t>
            </w:r>
          </w:p>
        </w:tc>
      </w:tr>
      <w:tr>
        <w:trPr>
          <w:trHeight w:val="264"/>
        </w:trPr>
        <w:tc>
          <w:tcPr>
            <w:tcW w:w="4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Dollar Volume (1)</w:t>
            </w:r>
          </w:p>
        </w:tc>
        <w:tc>
          <w:tcPr>
            <w:tcW w:w="1760" w:type="dxa"/>
            <w:vAlign w:val="bottom"/>
            <w:gridSpan w:val="2"/>
          </w:tcPr>
          <w:p>
            <w:pPr>
              <w:ind w:left="500"/>
              <w:spacing w:after="0"/>
              <w:rPr>
                <w:sz w:val="20"/>
                <w:szCs w:val="20"/>
                <w:color w:val="auto"/>
              </w:rPr>
            </w:pPr>
            <w:r>
              <w:rPr>
                <w:rFonts w:ascii="Arial" w:cs="Arial" w:eastAsia="Arial" w:hAnsi="Arial"/>
                <w:sz w:val="14"/>
                <w:szCs w:val="14"/>
                <w:b w:val="1"/>
                <w:bCs w:val="1"/>
                <w:color w:val="auto"/>
              </w:rPr>
              <w:t>% of Total</w:t>
            </w:r>
          </w:p>
        </w:tc>
        <w:tc>
          <w:tcPr>
            <w:tcW w:w="1680" w:type="dxa"/>
            <w:vAlign w:val="bottom"/>
            <w:gridSpan w:val="2"/>
          </w:tcPr>
          <w:p>
            <w:pPr>
              <w:ind w:left="520"/>
              <w:spacing w:after="0"/>
              <w:rPr>
                <w:sz w:val="20"/>
                <w:szCs w:val="20"/>
                <w:color w:val="auto"/>
              </w:rPr>
            </w:pPr>
            <w:r>
              <w:rPr>
                <w:rFonts w:ascii="Arial" w:cs="Arial" w:eastAsia="Arial" w:hAnsi="Arial"/>
                <w:sz w:val="14"/>
                <w:szCs w:val="14"/>
                <w:b w:val="1"/>
                <w:bCs w:val="1"/>
                <w:color w:val="auto"/>
              </w:rPr>
              <w:t>Number</w:t>
            </w:r>
          </w:p>
        </w:tc>
        <w:tc>
          <w:tcPr>
            <w:tcW w:w="1660" w:type="dxa"/>
            <w:vAlign w:val="bottom"/>
          </w:tcPr>
          <w:p>
            <w:pPr>
              <w:jc w:val="right"/>
              <w:ind w:right="412"/>
              <w:spacing w:after="0"/>
              <w:rPr>
                <w:sz w:val="20"/>
                <w:szCs w:val="20"/>
                <w:color w:val="auto"/>
              </w:rPr>
            </w:pPr>
            <w:r>
              <w:rPr>
                <w:rFonts w:ascii="Arial" w:cs="Arial" w:eastAsia="Arial" w:hAnsi="Arial"/>
                <w:sz w:val="14"/>
                <w:szCs w:val="14"/>
                <w:b w:val="1"/>
                <w:bCs w:val="1"/>
                <w:color w:val="auto"/>
              </w:rPr>
              <w:t>% of Total</w:t>
            </w:r>
          </w:p>
        </w:tc>
      </w:tr>
      <w:tr>
        <w:trPr>
          <w:trHeight w:val="250"/>
        </w:trPr>
        <w:tc>
          <w:tcPr>
            <w:tcW w:w="4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Michigan</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Ohio</w:t>
            </w:r>
          </w:p>
        </w:tc>
        <w:tc>
          <w:tcPr>
            <w:tcW w:w="18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179.0</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1580" w:type="dxa"/>
            <w:vAlign w:val="bottom"/>
          </w:tcPr>
          <w:p>
            <w:pPr>
              <w:jc w:val="right"/>
              <w:ind w:right="34"/>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
        </w:trPr>
        <w:tc>
          <w:tcPr>
            <w:tcW w:w="4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Texas</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173.3</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755</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New York</w:t>
            </w:r>
          </w:p>
        </w:tc>
        <w:tc>
          <w:tcPr>
            <w:tcW w:w="18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166.4</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1580" w:type="dxa"/>
            <w:vAlign w:val="bottom"/>
          </w:tcPr>
          <w:p>
            <w:pPr>
              <w:jc w:val="right"/>
              <w:ind w:right="34"/>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7"/>
        </w:trPr>
        <w:tc>
          <w:tcPr>
            <w:tcW w:w="4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Maryland</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130.3</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84"/>
        </w:trPr>
        <w:tc>
          <w:tcPr>
            <w:tcW w:w="4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All other states</w:t>
            </w: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1,731.4</w:t>
            </w:r>
          </w:p>
        </w:tc>
        <w:tc>
          <w:tcPr>
            <w:tcW w:w="120" w:type="dxa"/>
            <w:vAlign w:val="bottom"/>
            <w:tcBorders>
              <w:bottom w:val="single" w:sz="8" w:color="CCEEFF"/>
            </w:tcBorders>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w:t>
            </w:r>
          </w:p>
        </w:tc>
        <w:tc>
          <w:tcPr>
            <w:tcW w:w="120" w:type="dxa"/>
            <w:vAlign w:val="bottom"/>
            <w:tcBorders>
              <w:bottom w:val="single" w:sz="8" w:color="CCEEFF"/>
            </w:tcBorders>
          </w:tcPr>
          <w:p>
            <w:pPr>
              <w:spacing w:after="0"/>
              <w:rPr>
                <w:sz w:val="24"/>
                <w:szCs w:val="24"/>
                <w:color w:val="auto"/>
              </w:rPr>
            </w:pPr>
          </w:p>
        </w:tc>
        <w:tc>
          <w:tcPr>
            <w:tcW w:w="15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7,452</w:t>
            </w:r>
          </w:p>
        </w:tc>
        <w:tc>
          <w:tcPr>
            <w:tcW w:w="100" w:type="dxa"/>
            <w:vAlign w:val="bottom"/>
            <w:tcBorders>
              <w:bottom w:val="single" w:sz="8" w:color="CCEEFF"/>
            </w:tcBorders>
          </w:tcPr>
          <w:p>
            <w:pPr>
              <w:spacing w:after="0"/>
              <w:rPr>
                <w:sz w:val="24"/>
                <w:szCs w:val="24"/>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w:t>
            </w:r>
          </w:p>
        </w:tc>
      </w:tr>
      <w:tr>
        <w:trPr>
          <w:trHeight w:val="257"/>
        </w:trPr>
        <w:tc>
          <w:tcPr>
            <w:tcW w:w="4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2,635.5</w:t>
            </w:r>
          </w:p>
        </w:tc>
        <w:tc>
          <w:tcPr>
            <w:tcW w:w="12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10,536</w:t>
            </w:r>
          </w:p>
        </w:tc>
        <w:tc>
          <w:tcPr>
            <w:tcW w:w="100" w:type="dxa"/>
            <w:vAlign w:val="bottom"/>
            <w:tcBorders>
              <w:bottom w:val="single" w:sz="8" w:color="auto"/>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4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40" w:type="dxa"/>
            <w:vAlign w:val="bottom"/>
            <w:tcBorders>
              <w:bottom w:val="single" w:sz="8" w:color="auto"/>
            </w:tcBorders>
            <w:gridSpan w:val="4"/>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197"/>
        </w:trPr>
        <w:tc>
          <w:tcPr>
            <w:tcW w:w="4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4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For the Year Ended December 31, 2015</w:t>
            </w:r>
          </w:p>
        </w:tc>
        <w:tc>
          <w:tcPr>
            <w:tcW w:w="1660" w:type="dxa"/>
            <w:vAlign w:val="bottom"/>
            <w:tcBorders>
              <w:bottom w:val="single" w:sz="8" w:color="auto"/>
            </w:tcBorders>
          </w:tcPr>
          <w:p>
            <w:pPr>
              <w:spacing w:after="0"/>
              <w:rPr>
                <w:sz w:val="17"/>
                <w:szCs w:val="17"/>
                <w:color w:val="auto"/>
              </w:rPr>
            </w:pPr>
          </w:p>
        </w:tc>
      </w:tr>
      <w:tr>
        <w:trPr>
          <w:trHeight w:val="264"/>
        </w:trPr>
        <w:tc>
          <w:tcPr>
            <w:tcW w:w="4620" w:type="dxa"/>
            <w:vAlign w:val="bottom"/>
          </w:tcPr>
          <w:p>
            <w:pPr>
              <w:ind w:left="40"/>
              <w:spacing w:after="0"/>
              <w:rPr>
                <w:sz w:val="20"/>
                <w:szCs w:val="20"/>
                <w:color w:val="auto"/>
              </w:rPr>
            </w:pPr>
            <w:r>
              <w:rPr>
                <w:rFonts w:ascii="Arial" w:cs="Arial" w:eastAsia="Arial" w:hAnsi="Arial"/>
                <w:sz w:val="14"/>
                <w:szCs w:val="14"/>
                <w:color w:val="auto"/>
              </w:rPr>
              <w:t>(Dollars in millions)</w:t>
            </w:r>
          </w:p>
        </w:tc>
        <w:tc>
          <w:tcPr>
            <w:tcW w:w="180" w:type="dxa"/>
            <w:vAlign w:val="bottom"/>
            <w:tcBorders>
              <w:bottom w:val="single" w:sz="8" w:color="auto"/>
            </w:tcBorders>
          </w:tcPr>
          <w:p>
            <w:pPr>
              <w:spacing w:after="0"/>
              <w:rPr>
                <w:sz w:val="22"/>
                <w:szCs w:val="22"/>
                <w:color w:val="auto"/>
              </w:rPr>
            </w:pPr>
          </w:p>
        </w:tc>
        <w:tc>
          <w:tcPr>
            <w:tcW w:w="3160" w:type="dxa"/>
            <w:vAlign w:val="bottom"/>
            <w:tcBorders>
              <w:bottom w:val="single" w:sz="8" w:color="auto"/>
            </w:tcBorders>
            <w:gridSpan w:val="3"/>
          </w:tcPr>
          <w:p>
            <w:pPr>
              <w:jc w:val="right"/>
              <w:ind w:right="674"/>
              <w:spacing w:after="0"/>
              <w:rPr>
                <w:sz w:val="20"/>
                <w:szCs w:val="20"/>
                <w:color w:val="auto"/>
              </w:rPr>
            </w:pPr>
            <w:r>
              <w:rPr>
                <w:rFonts w:ascii="Arial" w:cs="Arial" w:eastAsia="Arial" w:hAnsi="Arial"/>
                <w:sz w:val="14"/>
                <w:szCs w:val="14"/>
                <w:b w:val="1"/>
                <w:bCs w:val="1"/>
                <w:color w:val="auto"/>
              </w:rPr>
              <w:t>Consumer Loan Assignments</w:t>
            </w:r>
          </w:p>
        </w:tc>
        <w:tc>
          <w:tcPr>
            <w:tcW w:w="120" w:type="dxa"/>
            <w:vAlign w:val="bottom"/>
          </w:tcPr>
          <w:p>
            <w:pPr>
              <w:spacing w:after="0"/>
              <w:rPr>
                <w:sz w:val="22"/>
                <w:szCs w:val="22"/>
                <w:color w:val="auto"/>
              </w:rPr>
            </w:pPr>
          </w:p>
        </w:tc>
        <w:tc>
          <w:tcPr>
            <w:tcW w:w="3340" w:type="dxa"/>
            <w:vAlign w:val="bottom"/>
            <w:tcBorders>
              <w:bottom w:val="single" w:sz="8" w:color="auto"/>
            </w:tcBorders>
            <w:gridSpan w:val="3"/>
          </w:tcPr>
          <w:p>
            <w:pPr>
              <w:jc w:val="right"/>
              <w:ind w:right="1032"/>
              <w:spacing w:after="0"/>
              <w:rPr>
                <w:sz w:val="20"/>
                <w:szCs w:val="20"/>
                <w:color w:val="auto"/>
              </w:rPr>
            </w:pPr>
            <w:r>
              <w:rPr>
                <w:rFonts w:ascii="Arial" w:cs="Arial" w:eastAsia="Arial" w:hAnsi="Arial"/>
                <w:sz w:val="14"/>
                <w:szCs w:val="14"/>
                <w:b w:val="1"/>
                <w:bCs w:val="1"/>
                <w:color w:val="auto"/>
              </w:rPr>
              <w:t>Active Dealers (2)</w:t>
            </w:r>
          </w:p>
        </w:tc>
      </w:tr>
      <w:tr>
        <w:trPr>
          <w:trHeight w:val="264"/>
        </w:trPr>
        <w:tc>
          <w:tcPr>
            <w:tcW w:w="4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Dollar Volume (1)</w:t>
            </w:r>
          </w:p>
        </w:tc>
        <w:tc>
          <w:tcPr>
            <w:tcW w:w="1760" w:type="dxa"/>
            <w:vAlign w:val="bottom"/>
            <w:gridSpan w:val="2"/>
          </w:tcPr>
          <w:p>
            <w:pPr>
              <w:ind w:left="500"/>
              <w:spacing w:after="0"/>
              <w:rPr>
                <w:sz w:val="20"/>
                <w:szCs w:val="20"/>
                <w:color w:val="auto"/>
              </w:rPr>
            </w:pPr>
            <w:r>
              <w:rPr>
                <w:rFonts w:ascii="Arial" w:cs="Arial" w:eastAsia="Arial" w:hAnsi="Arial"/>
                <w:sz w:val="14"/>
                <w:szCs w:val="14"/>
                <w:b w:val="1"/>
                <w:bCs w:val="1"/>
                <w:color w:val="auto"/>
              </w:rPr>
              <w:t>% of Total</w:t>
            </w:r>
          </w:p>
        </w:tc>
        <w:tc>
          <w:tcPr>
            <w:tcW w:w="1680" w:type="dxa"/>
            <w:vAlign w:val="bottom"/>
            <w:gridSpan w:val="2"/>
          </w:tcPr>
          <w:p>
            <w:pPr>
              <w:ind w:left="520"/>
              <w:spacing w:after="0"/>
              <w:rPr>
                <w:sz w:val="20"/>
                <w:szCs w:val="20"/>
                <w:color w:val="auto"/>
              </w:rPr>
            </w:pPr>
            <w:r>
              <w:rPr>
                <w:rFonts w:ascii="Arial" w:cs="Arial" w:eastAsia="Arial" w:hAnsi="Arial"/>
                <w:sz w:val="14"/>
                <w:szCs w:val="14"/>
                <w:b w:val="1"/>
                <w:bCs w:val="1"/>
                <w:color w:val="auto"/>
              </w:rPr>
              <w:t>Number</w:t>
            </w:r>
          </w:p>
        </w:tc>
        <w:tc>
          <w:tcPr>
            <w:tcW w:w="1660" w:type="dxa"/>
            <w:vAlign w:val="bottom"/>
          </w:tcPr>
          <w:p>
            <w:pPr>
              <w:jc w:val="right"/>
              <w:ind w:right="412"/>
              <w:spacing w:after="0"/>
              <w:rPr>
                <w:sz w:val="20"/>
                <w:szCs w:val="20"/>
                <w:color w:val="auto"/>
              </w:rPr>
            </w:pPr>
            <w:r>
              <w:rPr>
                <w:rFonts w:ascii="Arial" w:cs="Arial" w:eastAsia="Arial" w:hAnsi="Arial"/>
                <w:sz w:val="14"/>
                <w:szCs w:val="14"/>
                <w:b w:val="1"/>
                <w:bCs w:val="1"/>
                <w:color w:val="auto"/>
              </w:rPr>
              <w:t>% of Total</w:t>
            </w:r>
          </w:p>
        </w:tc>
      </w:tr>
      <w:tr>
        <w:trPr>
          <w:trHeight w:val="250"/>
        </w:trPr>
        <w:tc>
          <w:tcPr>
            <w:tcW w:w="4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Michigan</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New York</w:t>
            </w:r>
          </w:p>
        </w:tc>
        <w:tc>
          <w:tcPr>
            <w:tcW w:w="18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173.2</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1580" w:type="dxa"/>
            <w:vAlign w:val="bottom"/>
          </w:tcPr>
          <w:p>
            <w:pPr>
              <w:jc w:val="right"/>
              <w:ind w:right="34"/>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7"/>
        </w:trPr>
        <w:tc>
          <w:tcPr>
            <w:tcW w:w="4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Ohio</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144.3</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572</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Texas</w:t>
            </w:r>
          </w:p>
        </w:tc>
        <w:tc>
          <w:tcPr>
            <w:tcW w:w="18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128.8</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1580" w:type="dxa"/>
            <w:vAlign w:val="bottom"/>
          </w:tcPr>
          <w:p>
            <w:pPr>
              <w:jc w:val="right"/>
              <w:ind w:right="34"/>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
        </w:trPr>
        <w:tc>
          <w:tcPr>
            <w:tcW w:w="4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Maryland</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97.2</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84"/>
        </w:trPr>
        <w:tc>
          <w:tcPr>
            <w:tcW w:w="4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All other states</w:t>
            </w: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1,391.2</w:t>
            </w:r>
          </w:p>
        </w:tc>
        <w:tc>
          <w:tcPr>
            <w:tcW w:w="120" w:type="dxa"/>
            <w:vAlign w:val="bottom"/>
            <w:tcBorders>
              <w:bottom w:val="single" w:sz="8" w:color="CCEEFF"/>
            </w:tcBorders>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w:t>
            </w:r>
          </w:p>
        </w:tc>
        <w:tc>
          <w:tcPr>
            <w:tcW w:w="120" w:type="dxa"/>
            <w:vAlign w:val="bottom"/>
            <w:tcBorders>
              <w:bottom w:val="single" w:sz="8" w:color="CCEEFF"/>
            </w:tcBorders>
          </w:tcPr>
          <w:p>
            <w:pPr>
              <w:spacing w:after="0"/>
              <w:rPr>
                <w:sz w:val="24"/>
                <w:szCs w:val="24"/>
                <w:color w:val="auto"/>
              </w:rPr>
            </w:pPr>
          </w:p>
        </w:tc>
        <w:tc>
          <w:tcPr>
            <w:tcW w:w="15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6,384</w:t>
            </w:r>
          </w:p>
        </w:tc>
        <w:tc>
          <w:tcPr>
            <w:tcW w:w="100" w:type="dxa"/>
            <w:vAlign w:val="bottom"/>
            <w:tcBorders>
              <w:bottom w:val="single" w:sz="8" w:color="CCEEFF"/>
            </w:tcBorders>
          </w:tcPr>
          <w:p>
            <w:pPr>
              <w:spacing w:after="0"/>
              <w:rPr>
                <w:sz w:val="24"/>
                <w:szCs w:val="24"/>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w:t>
            </w:r>
          </w:p>
        </w:tc>
      </w:tr>
      <w:tr>
        <w:trPr>
          <w:trHeight w:val="257"/>
        </w:trPr>
        <w:tc>
          <w:tcPr>
            <w:tcW w:w="4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2,167.0</w:t>
            </w:r>
          </w:p>
        </w:tc>
        <w:tc>
          <w:tcPr>
            <w:tcW w:w="12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9,064</w:t>
            </w:r>
          </w:p>
        </w:tc>
        <w:tc>
          <w:tcPr>
            <w:tcW w:w="1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4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840" w:right="20" w:hanging="332"/>
        <w:spacing w:after="0" w:line="250" w:lineRule="auto"/>
        <w:tabs>
          <w:tab w:leader="none" w:pos="8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Represents advances paid to Dealers on Consumer Loans assigned under our Portfolio Program and one-time payments made to Dealers to purchase Consumer Loans assigned under our Purchase Program. Payments of Dealer Holdback and accelerated Dealer Holdback are not included.</w:t>
      </w:r>
    </w:p>
    <w:p>
      <w:pPr>
        <w:ind w:left="840" w:hanging="332"/>
        <w:spacing w:after="0"/>
        <w:tabs>
          <w:tab w:leader="none" w:pos="8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Active Dealers are Dealers who have received funding for at least one Loan during the year.</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Financial Information</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For the three years ended December 31, 2017, 2016 and 2015, all of our revenues were derived from the United States. As of December 31, 2017 and 2016, all of our long-lived assets were located in the United States.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6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Our business is subject to laws and regulations, including the Truth in Lending Act, the Equal Credit Opportunity Act, the Fair Credit Reporting Act and various other state and federal laws and regulations. These laws and regulations, among other things, require licensing and qualification; limit interest rates, fees and other charges associated with the Consumer Loans assigned to us; require specified disclosures by Dealers to consumers; govern the sale and terms of ancillary products; and define the rights to repossess and sell collateral. Failure to comply with these laws or regulations could have a material adverse effect on us by, among other things, limiting the jurisdictions in which we may operate, restricting our ability to realize the value of the collateral securing the Consumer Loans, making it more costly or burdensome to do business or resulting in potential liability. The volume of new or modified laws and regulations has increased in recent years and has increased significantly in response to issues arising with respect to consumer lending. From time to time, legislation and regulations are enacted which increase the cost of doing business, limit or expand permissible activities or affect the competitive balance among financial services providers. Proposals to change the laws and regulations governing the operations and taxation of financial institutions and financial services providers are frequently made in the U.S. Congress, in the state legislatures and by various regulatory agencies. This legislation may change our operating environment in substantial and unpredictable ways and may have a material adverse effect on our business.</w:t>
      </w:r>
    </w:p>
    <w:p>
      <w:pPr>
        <w:spacing w:after="0" w:line="17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In July 2010 the Dodd-Frank Wall Street Reform and Consumer Protection Act (the “Dodd-Frank Act”) was enacted and a number of its provisions became effective in July 2011. The Dodd-Frank Act restructured and enhanced the regulation and supervision of the financial services industry and created the Consumer Financial Protection Bureau (the “CFPB”). The CFPB has rulemaking and enforcement authority over certain non-depository institutions, including us. The CFPB is specifically authorized, among other things, to take actions to prevent companies providing consumer financial products or services and their service providers from engaging in unfair, deceptive or abusive acts or practices in connection with consumer financial products and services, and to issue rules requiring enhanced disclosures for consumer financial products or services. Under the Dodd-Frank Act, the CFPB also may restrict the use of pre-dispute mandatory arbitration clauses in contracts between covered persons and consumers for a consumer financial product or service. The CFPB also has authority to interpret, enforce and issue regulations implementing enumerated consumer laws, including certain laws that apply to our business. Further, the CFPB has issued rules allowing it to supervise non-depository “larger participants” in certain markets for consumer financial services and products. On June 10, 2015, the CFPB released its larger participant rule defining which nonbank automotive finance companies will be subject to supervision. The rule provides that nonbank auto finance companies that make, acquire or refinance 10,000 or more loans or leases in a year will come under CFPB supervision. The rule was officially published in the Federal Register on June 30, 2015, and became effective on August 31, 2015. As expected, we are subject to supervision by the CFPB.</w:t>
      </w:r>
    </w:p>
    <w:p>
      <w:pPr>
        <w:spacing w:after="0" w:line="18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Dodd-Frank Act and regulations promulgated thereunder, including by the CFPB, are likely to affect our cost of doing business, may limit or expand our permissible activities, may affect the competitive balance within our industry and market areas and could have a material adverse effect on us. For example, on March 21, 2013, the CFPB issued Bulletin 2013-02 addressing Indirect Auto Lending and Compliance with the Equal Credit Opportunity Act, in which the CFPB stated that policies of indirect auto lenders that allow auto dealers to mark up lender-established buy rates and that compensate dealers for those markups in the form of dealer reserve could present a risk that they will result in impermissible pricing disparities on the basis of race, national origin and potentially other prohibited bases. Our management continues to assess the Dodd-Frank Act’s probable impact on our business, financial condition and results of operations, and to monitor developments involving the entities charged with promulgating regulations thereunder. However, the ultimate effect of the Dodd-Frank Act on the financial services industry in general, and on us in particular, is uncertain at this time.</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to the CFPB, other state and federal agencies have the ability to regulate aspects of our business. For example, the Dodd-Frank Act provides a mechanism for state Attorneys General to investigate us. In addition, the Federal Trade Commission has jurisdiction to investigate aspects of our business. We expect that regulatory investigation by both state and federal agencies will continue and that the results of these investigations could have a material adverse impact on us.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64" w:right="239" w:bottom="1440" w:gutter="0" w:footer="0" w:header="0"/>
        </w:sectPr>
      </w:pPr>
    </w:p>
    <w:bookmarkStart w:id="11" w:name="page12"/>
    <w:bookmarkEnd w:id="11"/>
    <w:p>
      <w:pPr>
        <w:jc w:val="both"/>
        <w:ind w:firstLine="324"/>
        <w:spacing w:after="0" w:line="285" w:lineRule="auto"/>
        <w:rPr>
          <w:sz w:val="20"/>
          <w:szCs w:val="20"/>
          <w:color w:val="auto"/>
        </w:rPr>
      </w:pPr>
      <w:r>
        <w:rPr>
          <w:rFonts w:ascii="Arial" w:cs="Arial" w:eastAsia="Arial" w:hAnsi="Arial"/>
          <w:sz w:val="16"/>
          <w:szCs w:val="16"/>
          <w:color w:val="auto"/>
        </w:rPr>
        <w:t>On December 4, 2014, we received a civil investigative demand from the Office of the Attorney General of the Commonwealth of Massachusetts relating to the origination and collection of non-prime auto loans in Massachusetts. On November 20, 2017, we received a second civil investigation demand from the Office of the Attorney General of the Commonwealth of Massachusetts seeking updated information on its original civil investigation demand, additional information related to the Company's origination and collection of Consumer Loans, and information regarding securitization activities. On December 9, 2014, we received a civil investigative subpoena from the U.S. Department of Justice pursuant to the Financial Institutions Reform, Recovery, and Enforcement Act of 1989 directing us to produce certain information relating to subprime automotive finance and related securitization activities. On September 18, 2015, we received a subpoena from the Attorney General of the State of New York, Civil Rights Bureau relating to the Company’s origination and collection of Consumer Loans in the state of New York. On March 18, 2016, we received a subpoena from the Attorney General of the State of Maryland, relating to the Company’s repossession and sale policies and procedures in the state of Maryland. On November 7, 2016, we received a civil investigative demand from the Federal Trade Commission seeking information on the Company’s policies, practices and procedures in allowing car dealers to use GPS Starter Interrupters on consumer vehicles. On June 14, 2017, we were informed that the Consumer Financial Protection Bureau’s Office of Fair Lending and Equal Opportunity is investigating whether the Company may have violated the Equal Credit Opportunity Act and Regulation B. On August 14, 2017, we received a subpoena from the Attorney General of the State of Mississippi, relating to the origination and collection of non-prime auto loans in the state of Mississippi. We are cooperating with these inquiries and cannot predict the eventual scopes, durations or outcomes at this time. As a result, we are unable to estimate the reasonably possible loss or range of reasonably possible loss arising from these investigations. We may from time to time become subject to other investigations or regulatory reviews undertaken by governmental authorities.</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governmental regulations which would deplete the supply of used vehicles, such as environmental protection regulations governing emissions or fuel consumption, could have a material adverse effect on us.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Dealers must also comply with credit and trade practice statutes and regulations. Failure of our Dealers to comply with these statutes and regulations could result in consumers having rights of rescission and other remedies that could have a material adverse effect on us.</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sale of vehicle service contracts and GAP by Dealers in connection with Consumer Loans assigned to us from Dealers is also subject to state laws and regulations. As we are the holder of the Consumer Loans that may, in part, finance these products, some of these state laws and regulations may apply to our servicing and collection of the Consumer Loans. Although these laws and regulations do not significantly affect our business, there can be no assurance that insurance or other regulatory authorities in the jurisdictions in which these products are offered by Dealers will not seek to regulate or restrict the operation of our business in these jurisdictions. Any regulation or restriction of our business in these jurisdictions could materially adversely affect the income received from these products.</w:t>
      </w:r>
    </w:p>
    <w:p>
      <w:pPr>
        <w:spacing w:after="0" w:line="1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believe that we maintain all material licenses and permits required for our current operations and are in substantial compliance with all applicable laws and regulations. Our agreements with Dealers provide that the Dealer shall indemnify us with respect to any loss or expense we incur as a result of the Dealer’s failure to comply with applicable laws and regulations.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Team Members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team members are organized into three operating functions: Originations, Servicing and Support.</w:t>
      </w:r>
    </w:p>
    <w:p>
      <w:pPr>
        <w:spacing w:after="0" w:line="225"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i w:val="1"/>
          <w:iCs w:val="1"/>
          <w:color w:val="auto"/>
        </w:rPr>
        <w:t xml:space="preserve">Originations. </w:t>
      </w:r>
      <w:r>
        <w:rPr>
          <w:rFonts w:ascii="Arial" w:cs="Arial" w:eastAsia="Arial" w:hAnsi="Arial"/>
          <w:sz w:val="17"/>
          <w:szCs w:val="17"/>
          <w:color w:val="auto"/>
        </w:rPr>
        <w:t>The originations function includes team members that are responsible for marketing our programs to prospective Dealers, enrolling new</w:t>
      </w:r>
      <w:r>
        <w:rPr>
          <w:rFonts w:ascii="Arial" w:cs="Arial" w:eastAsia="Arial" w:hAnsi="Arial"/>
          <w:sz w:val="17"/>
          <w:szCs w:val="17"/>
          <w:i w:val="1"/>
          <w:iCs w:val="1"/>
          <w:color w:val="auto"/>
        </w:rPr>
        <w:t xml:space="preserve"> </w:t>
      </w:r>
      <w:r>
        <w:rPr>
          <w:rFonts w:ascii="Arial" w:cs="Arial" w:eastAsia="Arial" w:hAnsi="Arial"/>
          <w:sz w:val="17"/>
          <w:szCs w:val="17"/>
          <w:color w:val="auto"/>
        </w:rPr>
        <w:t>Dealers and supporting active Dealers. Originations also includes team members responsible for processing new Consumer Loan assignments.</w:t>
      </w:r>
    </w:p>
    <w:p>
      <w:pPr>
        <w:spacing w:after="0" w:line="14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Servicing</w:t>
      </w:r>
      <w:r>
        <w:rPr>
          <w:rFonts w:ascii="Arial" w:cs="Arial" w:eastAsia="Arial" w:hAnsi="Arial"/>
          <w:sz w:val="18"/>
          <w:szCs w:val="18"/>
          <w:color w:val="auto"/>
        </w:rPr>
        <w:t>. The servicing function includes team members that are responsible for servicing the Consumer Loans. The majority of these team members</w:t>
      </w:r>
      <w:r>
        <w:rPr>
          <w:rFonts w:ascii="Arial" w:cs="Arial" w:eastAsia="Arial" w:hAnsi="Arial"/>
          <w:sz w:val="18"/>
          <w:szCs w:val="18"/>
          <w:i w:val="1"/>
          <w:iCs w:val="1"/>
          <w:color w:val="auto"/>
        </w:rPr>
        <w:t xml:space="preserve"> </w:t>
      </w:r>
      <w:r>
        <w:rPr>
          <w:rFonts w:ascii="Arial" w:cs="Arial" w:eastAsia="Arial" w:hAnsi="Arial"/>
          <w:sz w:val="18"/>
          <w:szCs w:val="18"/>
          <w:color w:val="auto"/>
        </w:rPr>
        <w:t>are responsible for collection activities on delinquent Consumer Loans.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Support</w:t>
      </w:r>
      <w:r>
        <w:rPr>
          <w:rFonts w:ascii="Arial" w:cs="Arial" w:eastAsia="Arial" w:hAnsi="Arial"/>
          <w:sz w:val="18"/>
          <w:szCs w:val="18"/>
          <w:color w:val="auto"/>
        </w:rPr>
        <w:t>. The support function includes team members that are responsible for information technology, finance, compliance, analytics, human resources,</w:t>
      </w:r>
      <w:r>
        <w:rPr>
          <w:rFonts w:ascii="Arial" w:cs="Arial" w:eastAsia="Arial" w:hAnsi="Arial"/>
          <w:sz w:val="18"/>
          <w:szCs w:val="18"/>
          <w:i w:val="1"/>
          <w:iCs w:val="1"/>
          <w:color w:val="auto"/>
        </w:rPr>
        <w:t xml:space="preserve"> </w:t>
      </w:r>
      <w:r>
        <w:rPr>
          <w:rFonts w:ascii="Arial" w:cs="Arial" w:eastAsia="Arial" w:hAnsi="Arial"/>
          <w:sz w:val="18"/>
          <w:szCs w:val="18"/>
          <w:color w:val="auto"/>
        </w:rPr>
        <w:t>quality assurance and corporate legal activities.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68" w:right="239" w:bottom="1440" w:gutter="0" w:footer="0" w:header="0"/>
        </w:sectPr>
      </w:pPr>
    </w:p>
    <w:bookmarkStart w:id="12" w:name="page13"/>
    <w:bookmarkEnd w:id="12"/>
    <w:p>
      <w:pPr>
        <w:jc w:val="both"/>
        <w:ind w:firstLine="324"/>
        <w:spacing w:after="0" w:line="277" w:lineRule="auto"/>
        <w:rPr>
          <w:sz w:val="20"/>
          <w:szCs w:val="20"/>
          <w:color w:val="auto"/>
        </w:rPr>
      </w:pPr>
      <w:r>
        <w:rPr>
          <w:rFonts w:ascii="Arial" w:cs="Arial" w:eastAsia="Arial" w:hAnsi="Arial"/>
          <w:sz w:val="18"/>
          <w:szCs w:val="18"/>
          <w:color w:val="auto"/>
        </w:rPr>
        <w:t>As of December 31, 2017, we had 1,817 full and part-time team members. Our team members have no union affiliations and we believe our relationship with our team members is in good standing. The table below presents team members by operating function:</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Number of Team Members</w:t>
            </w:r>
          </w:p>
        </w:tc>
        <w:tc>
          <w:tcPr>
            <w:tcW w:w="1800" w:type="dxa"/>
            <w:vAlign w:val="bottom"/>
          </w:tcPr>
          <w:p>
            <w:pPr>
              <w:spacing w:after="0"/>
              <w:rPr>
                <w:sz w:val="14"/>
                <w:szCs w:val="14"/>
                <w:color w:val="auto"/>
              </w:rPr>
            </w:pPr>
          </w:p>
        </w:tc>
      </w:tr>
      <w:tr>
        <w:trPr>
          <w:trHeight w:val="205"/>
        </w:trPr>
        <w:tc>
          <w:tcPr>
            <w:tcW w:w="5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0"/>
              </w:rPr>
              <w:t>As of December 31,</w:t>
            </w:r>
          </w:p>
        </w:tc>
        <w:tc>
          <w:tcPr>
            <w:tcW w:w="1800" w:type="dxa"/>
            <w:vAlign w:val="bottom"/>
            <w:tcBorders>
              <w:bottom w:val="single" w:sz="8" w:color="auto"/>
            </w:tcBorders>
          </w:tcPr>
          <w:p>
            <w:pPr>
              <w:spacing w:after="0"/>
              <w:rPr>
                <w:sz w:val="17"/>
                <w:szCs w:val="17"/>
                <w:color w:val="auto"/>
              </w:rPr>
            </w:pP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Operating Function</w:t>
            </w:r>
          </w:p>
        </w:tc>
        <w:tc>
          <w:tcPr>
            <w:tcW w:w="120" w:type="dxa"/>
            <w:vAlign w:val="bottom"/>
            <w:tcBorders>
              <w:bottom w:val="single" w:sz="8" w:color="CCEEFF"/>
            </w:tcBorders>
          </w:tcPr>
          <w:p>
            <w:pPr>
              <w:spacing w:after="0"/>
              <w:rPr>
                <w:sz w:val="22"/>
                <w:szCs w:val="22"/>
                <w:color w:val="auto"/>
              </w:rPr>
            </w:pPr>
          </w:p>
        </w:tc>
        <w:tc>
          <w:tcPr>
            <w:tcW w:w="184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CCEEFF"/>
            </w:tcBorders>
          </w:tcPr>
          <w:p>
            <w:pPr>
              <w:spacing w:after="0"/>
              <w:rPr>
                <w:sz w:val="22"/>
                <w:szCs w:val="22"/>
                <w:color w:val="auto"/>
              </w:rPr>
            </w:pPr>
          </w:p>
        </w:tc>
        <w:tc>
          <w:tcPr>
            <w:tcW w:w="180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2015</w:t>
            </w:r>
          </w:p>
        </w:tc>
      </w:tr>
      <w:tr>
        <w:trPr>
          <w:trHeight w:val="250"/>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Originations</w:t>
            </w:r>
          </w:p>
        </w:tc>
        <w:tc>
          <w:tcPr>
            <w:tcW w:w="18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517</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453</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409</w:t>
            </w:r>
          </w:p>
        </w:tc>
      </w:tr>
      <w:tr>
        <w:trPr>
          <w:trHeight w:val="243"/>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Servicing</w:t>
            </w:r>
          </w:p>
        </w:tc>
        <w:tc>
          <w:tcPr>
            <w:tcW w:w="1840" w:type="dxa"/>
            <w:vAlign w:val="bottom"/>
          </w:tcPr>
          <w:p>
            <w:pPr>
              <w:jc w:val="right"/>
              <w:ind w:right="54"/>
              <w:spacing w:after="0"/>
              <w:rPr>
                <w:sz w:val="20"/>
                <w:szCs w:val="20"/>
                <w:color w:val="auto"/>
              </w:rPr>
            </w:pPr>
            <w:r>
              <w:rPr>
                <w:rFonts w:ascii="Arial" w:cs="Arial" w:eastAsia="Arial" w:hAnsi="Arial"/>
                <w:sz w:val="18"/>
                <w:szCs w:val="18"/>
                <w:color w:val="auto"/>
              </w:rPr>
              <w:t>810</w:t>
            </w:r>
          </w:p>
        </w:tc>
        <w:tc>
          <w:tcPr>
            <w:tcW w:w="120" w:type="dxa"/>
            <w:vAlign w:val="bottom"/>
          </w:tcPr>
          <w:p>
            <w:pPr>
              <w:spacing w:after="0"/>
              <w:rPr>
                <w:sz w:val="21"/>
                <w:szCs w:val="21"/>
                <w:color w:val="auto"/>
              </w:rPr>
            </w:pPr>
          </w:p>
        </w:tc>
        <w:tc>
          <w:tcPr>
            <w:tcW w:w="1800" w:type="dxa"/>
            <w:vAlign w:val="bottom"/>
          </w:tcPr>
          <w:p>
            <w:pPr>
              <w:jc w:val="right"/>
              <w:ind w:right="18"/>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21"/>
                <w:szCs w:val="21"/>
                <w:color w:val="auto"/>
              </w:rPr>
            </w:pPr>
          </w:p>
        </w:tc>
        <w:tc>
          <w:tcPr>
            <w:tcW w:w="1800" w:type="dxa"/>
            <w:vAlign w:val="bottom"/>
          </w:tcPr>
          <w:p>
            <w:pPr>
              <w:jc w:val="right"/>
              <w:ind w:right="14"/>
              <w:spacing w:after="0"/>
              <w:rPr>
                <w:sz w:val="20"/>
                <w:szCs w:val="20"/>
                <w:color w:val="auto"/>
              </w:rPr>
            </w:pPr>
            <w:r>
              <w:rPr>
                <w:rFonts w:ascii="Arial" w:cs="Arial" w:eastAsia="Arial" w:hAnsi="Arial"/>
                <w:sz w:val="18"/>
                <w:szCs w:val="18"/>
                <w:color w:val="auto"/>
              </w:rPr>
              <w:t>640</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7"/>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Support</w:t>
            </w:r>
          </w:p>
        </w:tc>
        <w:tc>
          <w:tcPr>
            <w:tcW w:w="18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490</w:t>
            </w:r>
          </w:p>
        </w:tc>
        <w:tc>
          <w:tcPr>
            <w:tcW w:w="120" w:type="dxa"/>
            <w:vAlign w:val="bottom"/>
            <w:tcBorders>
              <w:bottom w:val="single" w:sz="8" w:color="CCEEFF"/>
            </w:tcBorders>
            <w:shd w:val="clear" w:color="auto" w:fill="CCEEFF"/>
          </w:tcPr>
          <w:p>
            <w:pPr>
              <w:spacing w:after="0"/>
              <w:rPr>
                <w:sz w:val="24"/>
                <w:szCs w:val="24"/>
                <w:color w:val="auto"/>
              </w:rPr>
            </w:pPr>
          </w:p>
        </w:tc>
        <w:tc>
          <w:tcPr>
            <w:tcW w:w="18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428</w:t>
            </w:r>
          </w:p>
        </w:tc>
        <w:tc>
          <w:tcPr>
            <w:tcW w:w="120" w:type="dxa"/>
            <w:vAlign w:val="bottom"/>
            <w:tcBorders>
              <w:bottom w:val="single" w:sz="8" w:color="CCEEFF"/>
            </w:tcBorders>
            <w:shd w:val="clear" w:color="auto" w:fill="CCEEFF"/>
          </w:tcPr>
          <w:p>
            <w:pPr>
              <w:spacing w:after="0"/>
              <w:rPr>
                <w:sz w:val="24"/>
                <w:szCs w:val="24"/>
                <w:color w:val="auto"/>
              </w:rPr>
            </w:pPr>
          </w:p>
        </w:tc>
        <w:tc>
          <w:tcPr>
            <w:tcW w:w="1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376</w:t>
            </w:r>
          </w:p>
        </w:tc>
      </w:tr>
      <w:tr>
        <w:trPr>
          <w:trHeight w:val="264"/>
        </w:trPr>
        <w:tc>
          <w:tcPr>
            <w:tcW w:w="574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18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1,817</w:t>
            </w:r>
          </w:p>
        </w:tc>
        <w:tc>
          <w:tcPr>
            <w:tcW w:w="120" w:type="dxa"/>
            <w:vAlign w:val="bottom"/>
          </w:tcPr>
          <w:p>
            <w:pPr>
              <w:spacing w:after="0"/>
              <w:rPr>
                <w:sz w:val="22"/>
                <w:szCs w:val="22"/>
                <w:color w:val="auto"/>
              </w:rPr>
            </w:pPr>
          </w:p>
        </w:tc>
        <w:tc>
          <w:tcPr>
            <w:tcW w:w="180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1,609</w:t>
            </w:r>
          </w:p>
        </w:tc>
        <w:tc>
          <w:tcPr>
            <w:tcW w:w="120" w:type="dxa"/>
            <w:vAlign w:val="bottom"/>
          </w:tcPr>
          <w:p>
            <w:pPr>
              <w:spacing w:after="0"/>
              <w:rPr>
                <w:sz w:val="22"/>
                <w:szCs w:val="22"/>
                <w:color w:val="auto"/>
              </w:rPr>
            </w:pPr>
          </w:p>
        </w:tc>
        <w:tc>
          <w:tcPr>
            <w:tcW w:w="1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1,425</w:t>
            </w:r>
          </w:p>
        </w:tc>
      </w:tr>
      <w:tr>
        <w:trPr>
          <w:trHeight w:val="20"/>
        </w:trPr>
        <w:tc>
          <w:tcPr>
            <w:tcW w:w="5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Our Internet address is </w:t>
      </w:r>
      <w:r>
        <w:rPr>
          <w:rFonts w:ascii="Arial" w:cs="Arial" w:eastAsia="Arial" w:hAnsi="Arial"/>
          <w:sz w:val="18"/>
          <w:szCs w:val="18"/>
          <w:i w:val="1"/>
          <w:iCs w:val="1"/>
          <w:color w:val="auto"/>
        </w:rPr>
        <w:t>creditacceptance.com</w:t>
      </w:r>
      <w:r>
        <w:rPr>
          <w:rFonts w:ascii="Arial" w:cs="Arial" w:eastAsia="Arial" w:hAnsi="Arial"/>
          <w:sz w:val="18"/>
          <w:szCs w:val="18"/>
          <w:color w:val="auto"/>
        </w:rPr>
        <w:t>. We make available, free of charge on the web site, copies of reports we file with or furnish to the Securities and Exchange Commission (“SEC”) as soon as reasonably practicable after we electronically file or furnish such reports.</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inability to accurately forecast and estimate the amount and timing of future collections could have a material adverse effect on results of operations.</w:t>
      </w:r>
    </w:p>
    <w:p>
      <w:pPr>
        <w:spacing w:after="0" w:line="16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Substantially all of the Consumer Loans assigned to us are made to individuals with impaired or limited credit histories or higher debt-to-income ratios than are permitted by traditional lenders. Consumer Loans made to these individuals generally entail a higher risk of delinquency, default and repossession and higher losses than loans made to consumers with better credit. Since most of our revenue and cash flows from operations are generated from these Consumer Loans, our ability to accurately forecast Consumer Loan performance is critical to our business and financial results. At the time of assignment, we forecast future expected cash flows from the Consumer Loan. Based on these forecasts, which include estimates for wholesale vehicle prices in the event of vehicle repossession and sale, we make an advance or one-time purchase payment to the related Dealer at a level designed to maximize economic profit, a non-GAAP financial measure. We continue to forecast the expected collection rate of each Consumer Loan subsequent to assignment. These forecasts also serve as a critical assumption in our accounting for recognizing finance charge income and determining our allowance for credit losses. Please see the Critical Accounting Estimates – Finance Charge Revenue &amp; Allowance for Credit Losses section in Item 7 of this Form 10-K, which is incorporated herein by reference. Actual cash flows from any individual Consumer Loan are often different than cash flows estimated at the time of assignment. There can be no assurance that our forecasts will be accurate or that Consumer Loan performance will be as expected. In periods with changing economic conditions, accurately forecasting the performance of Consumer Loans is more difficult. In the event that our forecasts are not accurate, our financial position, liquidity and results of operations could be materially adversely affected.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execute our business strategy due to current economic conditions.</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financial position, liquidity and results of operations depend on management’s ability to execute our business strategy. Key factors involved in the execution of our business strategy include achieving our desired Consumer Loan assignment volume, continued and successful use of CAPS and pricing strategy, the use of effective credit risk management techniques and servicing strategies, continued investment in technology to support operating efficiency and continued access to funding and liquidity sources. Although our pricing strategy is intended to maximize the amount of economic profit we generate, within the confines of capital and infrastructure constraints, there can be no assurance that this strategy will have its intended effect. Please see the Consumer Loan Volume section in Item 7 of this Form 10-K, which is incorporated herein by reference. Our failure or inability to execute any element of our business strategy could materially adversely affect our financial position, liquidity and results of operations.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68"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We may be unable to continue to access or renew funding sources and obtain capital needed to maintain and grow our business.</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use debt financing to fund new Loans and pay Dealer Holdback. We currently utilize the following primary forms of debt financing: (1) a revolving secured line of credit; (2) revolving secured warehouse (“Warehouse”) facilities; (3) asset-backed secured financings (“Term ABS”); and (4) senior notes. We cannot guarantee that the revolving secured line of credit or the Warehouse facilities will continue to be available beyond their current maturity dates, on acceptable terms, or at all, or that we will be able to obtain additional financing on acceptable terms or at all. The availability of additional financing will depend on a variety of factors such as market conditions, the general availability of credit, our financial position, our results of operations, and the capacity for additional borrowing under our existing financing arrangements. If our various financing alternatives were to become limited or unavailable, we may be unable to maintain or grow Consumer Loan volume at the level that we anticipate and our operations could be materially adversely affected.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terms of our debt limit how we conduct our business.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agreements that govern our debt contain covenants that restrict our ability to, among other things:</w:t>
      </w:r>
    </w:p>
    <w:p>
      <w:pPr>
        <w:spacing w:after="0" w:line="23" w:lineRule="exact"/>
        <w:rPr>
          <w:sz w:val="20"/>
          <w:szCs w:val="20"/>
          <w:color w:val="auto"/>
        </w:rPr>
      </w:pPr>
    </w:p>
    <w:p>
      <w:pPr>
        <w:ind w:left="840" w:hanging="332"/>
        <w:spacing w:after="0"/>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incur and guarantee debt;</w:t>
      </w:r>
    </w:p>
    <w:p>
      <w:pPr>
        <w:spacing w:after="0" w:line="9" w:lineRule="exact"/>
        <w:rPr>
          <w:rFonts w:ascii="Arial" w:cs="Arial" w:eastAsia="Arial" w:hAnsi="Arial"/>
          <w:sz w:val="18"/>
          <w:szCs w:val="18"/>
          <w:color w:val="auto"/>
        </w:rPr>
      </w:pPr>
    </w:p>
    <w:p>
      <w:pPr>
        <w:ind w:left="840" w:hanging="332"/>
        <w:spacing w:after="0"/>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pay dividends or make other distributions on or redeem or repurchase our stock;</w:t>
      </w:r>
    </w:p>
    <w:p>
      <w:pPr>
        <w:spacing w:after="0" w:line="9" w:lineRule="exact"/>
        <w:rPr>
          <w:rFonts w:ascii="Arial" w:cs="Arial" w:eastAsia="Arial" w:hAnsi="Arial"/>
          <w:sz w:val="18"/>
          <w:szCs w:val="18"/>
          <w:color w:val="auto"/>
        </w:rPr>
      </w:pPr>
    </w:p>
    <w:p>
      <w:pPr>
        <w:ind w:left="840" w:hanging="332"/>
        <w:spacing w:after="0"/>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make investments or acquisitions;</w:t>
      </w:r>
    </w:p>
    <w:p>
      <w:pPr>
        <w:spacing w:after="0" w:line="9" w:lineRule="exact"/>
        <w:rPr>
          <w:rFonts w:ascii="Arial" w:cs="Arial" w:eastAsia="Arial" w:hAnsi="Arial"/>
          <w:sz w:val="18"/>
          <w:szCs w:val="18"/>
          <w:color w:val="auto"/>
        </w:rPr>
      </w:pPr>
    </w:p>
    <w:p>
      <w:pPr>
        <w:ind w:left="840" w:hanging="332"/>
        <w:spacing w:after="0"/>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create liens on our assets;</w:t>
      </w:r>
    </w:p>
    <w:p>
      <w:pPr>
        <w:spacing w:after="0" w:line="9" w:lineRule="exact"/>
        <w:rPr>
          <w:rFonts w:ascii="Arial" w:cs="Arial" w:eastAsia="Arial" w:hAnsi="Arial"/>
          <w:sz w:val="18"/>
          <w:szCs w:val="18"/>
          <w:color w:val="auto"/>
        </w:rPr>
      </w:pPr>
    </w:p>
    <w:p>
      <w:pPr>
        <w:ind w:left="840" w:hanging="332"/>
        <w:spacing w:after="0"/>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sell assets;</w:t>
      </w:r>
    </w:p>
    <w:p>
      <w:pPr>
        <w:spacing w:after="0" w:line="9" w:lineRule="exact"/>
        <w:rPr>
          <w:rFonts w:ascii="Arial" w:cs="Arial" w:eastAsia="Arial" w:hAnsi="Arial"/>
          <w:sz w:val="18"/>
          <w:szCs w:val="18"/>
          <w:color w:val="auto"/>
        </w:rPr>
      </w:pPr>
    </w:p>
    <w:p>
      <w:pPr>
        <w:ind w:left="840" w:hanging="332"/>
        <w:spacing w:after="0"/>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merge with or into other companies; and</w:t>
      </w:r>
    </w:p>
    <w:p>
      <w:pPr>
        <w:spacing w:after="0" w:line="9" w:lineRule="exact"/>
        <w:rPr>
          <w:rFonts w:ascii="Arial" w:cs="Arial" w:eastAsia="Arial" w:hAnsi="Arial"/>
          <w:sz w:val="18"/>
          <w:szCs w:val="18"/>
          <w:color w:val="auto"/>
        </w:rPr>
      </w:pPr>
    </w:p>
    <w:p>
      <w:pPr>
        <w:ind w:left="840" w:hanging="332"/>
        <w:spacing w:after="0"/>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enter into transactions with stockholders and other affiliates.</w:t>
      </w:r>
    </w:p>
    <w:p>
      <w:pPr>
        <w:spacing w:after="0" w:line="21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Some of our debt agreements also impose requirements that we maintain specified financial measures not in excess of, or not below, specified levels. In particular, our revolving credit facility requires, among other things, that we maintain (i) as of the end of each fiscal quarter, a ratio of consolidated funded debt less unrestricted cash and cash equivalents to consolidated tangible net worth at or below a specified maximum; (ii) as of the end of each fiscal quarter calculated for the two fiscal quarters then ending, consolidated net income of not less than a specified minimum; and (iii) as of the end of each fiscal quarter, a ratio of consolidated income available for fixed charges for the period of four consecutive fiscal quarters most recently ended to consolidated fixed charges for that period of not less than a specified minimum. These covenants limit the manner in which we can conduct our business and could prevent us from engaging in favorable business activities or financing future operations and capital needs and impair our ability to successfully execute our strategy and operate our business.</w:t>
      </w:r>
    </w:p>
    <w:p>
      <w:pPr>
        <w:spacing w:after="0" w:line="1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 breach of any of the covenants in our debt instruments would result in an event of default thereunder if not promptly cured or waived. Any continuing default would permit the creditors to accelerate the related debt, which could also result in the acceleration of other debt containing a cross-acceleration or cross-default provision. In addition, an event of default under our revolving credit facility would permit the lenders thereunder to terminate all commitments to extend further credit under our revolving credit facility. Furthermore, if we were unable to repay the amounts due and payable under our revolving credit facility or other secured debt, the lenders thereunder could cause the collateral agent to proceed against the collateral securing that debt. In the event our creditors accelerate the repayment of our debt, there can be no assurance that we would have sufficient assets to repay that debt, and our financial condition, liquidity and results of operations would suffer.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violation of the terms of our Term ABS facilities or Warehouse facilities could have a material adverse impact on our operations.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Under our Term ABS facilities and our Warehouse facilities, (1) we have various obligations and covenants as servicer and custodian of the Consumer Loans contributed thereto and in our individual capacity and (2) the special purpose subsidiaries to which we contribute Consumer Loans have various obligations and covenants. A violation of any of these obligations or covenants by us or the special purpose subsidiaries, respectively, may result in our being unable to obtain additional funding under our Warehouse facilities, the termination of our servicing rights and the loss of servicing fees, and may result in amounts outstanding under our Term ABS financings and our Warehouse facilities becoming immediately due and payable. In addition, the violation of any financial covenant under our revolving secured line of credit facility is an event of default or termination event under the Term ABS facilities and our Warehouse facilities. The lack of availability from any or all of these Term ABS facilities and Warehouse facilities may have a material adverse effect on our financial position, liquidity, and results of operations.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64" w:right="239" w:bottom="1440" w:gutter="0" w:footer="0" w:header="0"/>
        </w:sectPr>
      </w:pPr>
    </w:p>
    <w:bookmarkStart w:id="14" w:name="page15"/>
    <w:bookmarkEnd w:id="14"/>
    <w:p>
      <w:pPr>
        <w:jc w:val="both"/>
        <w:spacing w:after="0" w:line="347" w:lineRule="auto"/>
        <w:rPr>
          <w:sz w:val="20"/>
          <w:szCs w:val="20"/>
          <w:color w:val="auto"/>
        </w:rPr>
      </w:pPr>
      <w:r>
        <w:rPr>
          <w:rFonts w:ascii="Arial" w:cs="Arial" w:eastAsia="Arial" w:hAnsi="Arial"/>
          <w:sz w:val="16"/>
          <w:szCs w:val="16"/>
          <w:b w:val="1"/>
          <w:bCs w:val="1"/>
          <w:color w:val="auto"/>
        </w:rPr>
        <w:t>The conditions of the U.S. and international capital markets may adversely affect lenders with which we have relationships, causing us to incur additional costs and reducing our sources of liquidity, which may adversely affect our financial position, liquidity and results of operations.</w:t>
      </w:r>
    </w:p>
    <w:p>
      <w:pPr>
        <w:spacing w:after="0" w:line="12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Periodically, there has been uncertainty in the global capital markets and the overall economy. Such uncertainty can result in disruptions in the financial sector and affect lenders with which we have relationships. Disruptions in the financial sector may increase our exposure to credit risk and adversely affect the ability of lenders to perform under the terms of their lending arrangements with us. Failure by our lenders to perform under the terms of our lending arrangements could cause us to incur additional costs that may adversely affect our liquidity, financial condition and results of operations. There can be no assurance that future disruptions in the financial sector will not occur that could have similar adverse effects on our business.</w:t>
      </w:r>
    </w:p>
    <w:p>
      <w:pPr>
        <w:spacing w:after="0" w:line="15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substantial debt could negatively impact our business, prevent us from satisfying our debt obligations and adversely affect our financial condition.</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a substantial amount of debt, which could have negative consequences, including the following:</w:t>
      </w:r>
    </w:p>
    <w:p>
      <w:pPr>
        <w:spacing w:after="0" w:line="23" w:lineRule="exact"/>
        <w:rPr>
          <w:sz w:val="20"/>
          <w:szCs w:val="20"/>
          <w:color w:val="auto"/>
        </w:rPr>
      </w:pPr>
    </w:p>
    <w:p>
      <w:pPr>
        <w:ind w:left="840" w:hanging="332"/>
        <w:spacing w:after="0"/>
        <w:tabs>
          <w:tab w:leader="none" w:pos="8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ability to obtain additional financing for Consumer Loan assignments, working capital, debt refinancing or other purposes could be impaired;</w:t>
      </w:r>
    </w:p>
    <w:p>
      <w:pPr>
        <w:spacing w:after="0" w:line="32" w:lineRule="exact"/>
        <w:rPr>
          <w:rFonts w:ascii="Arial" w:cs="Arial" w:eastAsia="Arial" w:hAnsi="Arial"/>
          <w:sz w:val="16"/>
          <w:szCs w:val="16"/>
          <w:color w:val="auto"/>
        </w:rPr>
      </w:pPr>
    </w:p>
    <w:p>
      <w:pPr>
        <w:ind w:left="840" w:hanging="332"/>
        <w:spacing w:after="0" w:line="250" w:lineRule="auto"/>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substantial portion of our cash flows from operations will be dedicated to paying principal and interest on our debt, reducing funds available for other purposes;</w:t>
      </w:r>
    </w:p>
    <w:p>
      <w:pPr>
        <w:ind w:left="840" w:hanging="332"/>
        <w:spacing w:after="0" w:line="250" w:lineRule="auto"/>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vulnerable to interest rate increases, as some of our borrowings, including those under our revolving credit facility, bear interest at variable rates;</w:t>
      </w:r>
    </w:p>
    <w:p>
      <w:pPr>
        <w:ind w:left="840" w:hanging="332"/>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could be more vulnerable to adverse developments in our industry or in general economic conditions;</w:t>
      </w:r>
    </w:p>
    <w:p>
      <w:pPr>
        <w:spacing w:after="0" w:line="9" w:lineRule="exact"/>
        <w:rPr>
          <w:rFonts w:ascii="Arial" w:cs="Arial" w:eastAsia="Arial" w:hAnsi="Arial"/>
          <w:sz w:val="18"/>
          <w:szCs w:val="18"/>
          <w:color w:val="auto"/>
        </w:rPr>
      </w:pPr>
    </w:p>
    <w:p>
      <w:pPr>
        <w:ind w:left="840" w:hanging="332"/>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restricted from taking advantage of business opportunities or making strategic acquisitions; and</w:t>
      </w:r>
    </w:p>
    <w:p>
      <w:pPr>
        <w:spacing w:after="0" w:line="9" w:lineRule="exact"/>
        <w:rPr>
          <w:rFonts w:ascii="Arial" w:cs="Arial" w:eastAsia="Arial" w:hAnsi="Arial"/>
          <w:sz w:val="18"/>
          <w:szCs w:val="18"/>
          <w:color w:val="auto"/>
        </w:rPr>
      </w:pPr>
    </w:p>
    <w:p>
      <w:pPr>
        <w:ind w:left="840" w:hanging="332"/>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limited in our flexibility in planning for, or reacting to, changes in our business and the industries in which we operate.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Due to competition from traditional financing sources and non-traditional lenders, we may not be able to compete successfully.</w:t>
      </w:r>
    </w:p>
    <w:p>
      <w:pPr>
        <w:spacing w:after="0" w:line="22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automobile finance market for consumers who do not qualify for conventional automobile financing is large and highly competitive. The market is served by a variety of companies including "buy here, pay here" dealerships. The market is also currently served by banks, captive finance affiliates of automobile manufacturers, credit unions and independent finance companies both publicly and privately owned. Many of these companies are much larger and have greater financial resources than are available to us, and many have long standing relationships with automobile dealerships. Providers of automobile financing have traditionally competed based on the interest rate charged, the quality of credit accepted, the flexibility of loan terms offered and the quality of service provided to dealers and consumers. We may be unable to compete successfully in the automobile finance market or, due to the intense competition in this market, our results of operations, cash flows and financial condition may be adversely affected as we adjust our business in response to competitive pressures. Increasing advance rates on Loans has the impact of reducing the return on capital we expect to earn on Loans. Additionally, if we are unsuccessful in maintaining and expanding our relationships with Dealers, we may be unable to accept Consumer Loans in the volume and on the terms that we anticipate.</w:t>
      </w:r>
    </w:p>
    <w:p>
      <w:pPr>
        <w:spacing w:after="0" w:line="19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may not be able to generate sufficient cash flows to service our outstanding debt and fund operations and may be forced to take other actions to satisfy our obligations under such debt.</w:t>
      </w:r>
    </w:p>
    <w:p>
      <w:pPr>
        <w:spacing w:after="0" w:line="166"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Our ability to make payments of principal and interest on indebtedness will depend in part on our cash flows from operations, which are subject to economic, financial, competitive and other factors beyond our control. We cannot assure you that we will maintain a level of cash flows from operations sufficient to permit us to meet our debt service obligations. If we are unable to generate sufficient cash flows from operations to service our debt, we may be required to sell assets, refinance all or a portion of our existing debt or obtain additional financing. There can be no assurance that any refinancing will be possible or that any asset sales or additional financing can be completed on acceptable terms or at all.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fluctuations may adversely affect our borrowing costs, profitability and liquidity.</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profitability may be directly affected by the level of and fluctuations in interest rates, whether caused by changes in economic conditions or other factors, which affect our borrowing costs. Our profitability and liquidity could be materially adversely affected during any period of higher interest rates. We monitor the interest rate environment and employ strategies designed to mitigate the impact of increases in interest rates. We can provide no assurance, however, that our strategies will mitigate the impact of increases in interest rates.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64" w:right="239" w:bottom="1440" w:gutter="0" w:footer="0" w:header="0"/>
        </w:sectPr>
      </w:pPr>
    </w:p>
    <w:bookmarkStart w:id="15" w:name="page16"/>
    <w:bookmarkEnd w:id="15"/>
    <w:p>
      <w:pPr>
        <w:jc w:val="both"/>
        <w:spacing w:after="0" w:line="282" w:lineRule="auto"/>
        <w:rPr>
          <w:sz w:val="20"/>
          <w:szCs w:val="20"/>
          <w:color w:val="auto"/>
        </w:rPr>
      </w:pPr>
      <w:r>
        <w:rPr>
          <w:rFonts w:ascii="Arial" w:cs="Arial" w:eastAsia="Arial" w:hAnsi="Arial"/>
          <w:sz w:val="18"/>
          <w:szCs w:val="18"/>
          <w:b w:val="1"/>
          <w:bCs w:val="1"/>
          <w:color w:val="auto"/>
        </w:rPr>
        <w:t>Reduction in our credit rating could increase the cost of our funding from, and restrict our access to, the capital markets and adversely affect our liquidity, financial condition and results of operations.</w:t>
      </w:r>
    </w:p>
    <w:p>
      <w:pPr>
        <w:spacing w:after="0" w:line="16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Credit rating agencies evaluate us, and their ratings of our debt and creditworthiness are based on a number of factors. These factors include our financial strength and other factors not entirely within our control, including conditions affecting the financial services industry generally. As the financial services industry and the financial markets periodically face difficulties, there can be no assurance that we will maintain our current ratings. Failure to maintain those ratings could, among other things, adversely limit our access to the capital markets and affect the cost and other terms upon which we are able to obtain financing.</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incur substantially more debt and other liabilities. This could exacerbate further the risks associated with our current debt levels.</w:t>
      </w:r>
    </w:p>
    <w:p>
      <w:pPr>
        <w:spacing w:after="0" w:line="24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may be able to incur substantial additional debt in the future. Although the terms of our debt instruments contain restrictions on our ability to incur additional debt, these restrictions are subject to exemptions that could permit us to incur a substantial amount of additional debt. In addition, our debt instruments do not prevent us from incurring liabilities that do not constitute indebtedness as defined for purposes of those debt instruments. If new debt or other liabilities are added to our current debt levels, the risks associated with our having substantial debt could intensify.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regulation to which we are or may become subject could result in a material adverse effect on our business.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Reference should be made to Item 1. Business “Regulation” for a discussion of regulatory risk factors.</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Adverse changes in economic conditions, the automobile or finance industries, or the non-prime consumer market could adversely affect our financial position, liquidity and results of operations, the ability of key vendors that we depend on to supply us with services, and our ability to enter into future financing transactions.</w:t>
      </w:r>
    </w:p>
    <w:p>
      <w:pPr>
        <w:spacing w:after="0" w:line="18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are subject to general economic conditions which are beyond our control. During periods of economic slowdown or recession, delinquencies, defaults, repossessions and losses may increase on our Consumer Loans and Consumer Loan prepayments may decline. These periods are also typically accompanied by decreased consumer demand for automobiles and declining values of automobiles securing outstanding Consumer Loans, which weakens collateral coverage and increases the amount of a loss in the event of default. Significant increases in the inventory of used automobiles during periods of economic recession may also depress the prices at which repossessed automobiles may be sold or delay the timing of these sales. Additionally, higher gasoline prices, declining stock market values, unstable real estate values, resets of adjustable rate mortgages to higher interest rates, increasing unemployment levels, general availability of consumer credit or other factors that impact consumer confidence or disposable income could increase loss frequency and decrease consumer demand for automobiles as well as weaken collateral values of automobiles. Because our business is focused on consumers who do not qualify for conventional automobile financing, the actual rates of delinquencies, defaults, repossessions and losses on these Consumer Loans could be higher than that of those experienced in the general automobile finance industry, and could be more dramatically affected by a general economic downturn.</w:t>
      </w:r>
    </w:p>
    <w:p>
      <w:pPr>
        <w:spacing w:after="0" w:line="18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rely on Dealers to originate Consumer Loans for assignment under our programs. High levels of Dealer attrition, due to a general economic downturn or otherwise, could materially adversely affect our operations. In addition, we rely on vendors to provide us with services we need to operate our business. Any disruption in our operations due to the untimely or discontinued supply of these services could substantially adversely affect our operations. Finally, during an economic slowdown or recession, our servicing costs may increase without a corresponding increase in finance charge revenue. Any sustained period of increased delinquencies, defaults, repossessions or losses or increased servicing costs could also materially adversely affect our financial position, liquidity and results of operations and our ability to enter into future financing transactions.</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Technological advancements or changes to trends in the automobile industry such as new autonomous driving technologies or car- and ride-sharing programs could decrease consumer demand for automobiles. Decreased consumer demand for automobiles could negatively impact demand for our financing programs as well as weaken collateral values of automobiles, which could materially adversely affect our financial position, liquidity and results of operations.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6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Litigation we are involved in from time to time may adversely affect our financial condition, results of operations and cash flows.</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As a result of the consumer-oriented nature of the industry in which we operate and uncertainties with respect to the application of various laws and regulations in some circumstances, we are subject to various consumer claims and litigation seeking damages and statutory penalties, based upon, among other things, usury, disclosure inaccuracies, wrongful repossession, violations of bankruptcy stay provisions, certificate of title disputes, fraud and breach of contract. As the assignee of Consumer Loans originated by Dealers, we may also be named as a co-defendant in lawsuits filed by consumers principally against Dealers. We may also have disputes and litigation with Dealers. The claims may allege, among other theories of liability, that we breached our Dealer servicing agreement. The damages, fines and penalties that may be claimed by consumers, regulatory agencies or Dealers in these types of matters can be substantial. The relief requested by plaintiffs varies but may include requests for compensatory, statutory and punitive damages and injunctive relief, and plaintiffs may seek treatment as purported class actions. A significant judgment against us in connection with any litigation or arbitration could have a material adverse effect on our financial position, liquidity and results of operations.</w:t>
      </w:r>
    </w:p>
    <w:p>
      <w:pPr>
        <w:spacing w:after="0" w:line="18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a description of significant litigation to which we are a party, see Note 16 to the consolidated financial statements contained in Item 8 of this Form 10-K, which is incorporated herein by reference.</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Changes in tax laws and the resolution of uncertain income tax matters could have a material adverse effect on our results of operations and cash flows from operations.</w:t>
      </w:r>
    </w:p>
    <w:p>
      <w:pPr>
        <w:spacing w:after="0" w:line="16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subject to income tax in many of the various jurisdictions in which we operate. Increases in statutory income tax rates and other adverse changes in applicable law in these jurisdictions could have an adverse effect on our results of operations. In the ordinary course of business, there are transactions and calculations where the ultimate tax determination is uncertain. At any one time, multiple tax years are subject to audit by various taxing jurisdictions. We provide reserves for potential payments of tax to various tax authorities related to uncertain tax positions. Please see the Critical Accounting Estimates – Uncertain Tax Positions section in Item 7 of this Form 10-K, which is incorporated herein by reference. We adjust these liabilities as a result of changing facts and circumstances; however, due to the complexity of some of these uncertainties, the ultimate resolution may result in a payment that is materially different from our current estimate of the tax liabilities. Such payments could have a material adverse effect on our results of operations and cash flows from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dependence on technology could have a material adverse effect on our business.</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All Consumer Loans submitted to us for assignment are processed through our internet-based CAPS application, which enables our Dealers to interact with our proprietary credit scoring system. Our Consumer Loan servicing platform is also technology based. We rely on these systems to record and process significant amounts of data quickly and accurately and believe that these systems provide us with a competitive advantage. All of these systems are dependent upon computer and telecommunications equipment, software systems and Internet access. The temporary or permanent loss of any components of these systems through hardware failures, software errors, operating malfunctions, the vulnerability of the Internet or otherwise could interrupt our business operations, harm our business and adversely affect our competitive advantage. In addition, our competitors could create or acquire systems similar to ours, which would adversely affect our competitive advantage.</w:t>
      </w:r>
    </w:p>
    <w:p>
      <w:pPr>
        <w:spacing w:after="0" w:line="17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systems, and the equipment, software and Internet access on which they depend, may be subject to cyber attacks, security breaches and other cybersecurity incidents. Although the cybersecurity incidents we have experienced to date have not had a material effect on our business, financial condition or results of operations, there can be no assurance that cybersecurity incidents will not have a material adverse effect on us in the future.</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rely on a variety of measures to protect our technology and proprietary information, including copyrights and a comprehensive information security program. However, these measures may not prevent misappropriation or infringement of our intellectual property or proprietary information, which would adversely affect us. In addition, our competitors or other third parties may allege that our systems, processes or technologies infringe their intellectual property rights.</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ability to integrate computer and telecommunications technologies into our business is essential to our success. Computer and telecommunications technologies are evolving rapidly and are characterized by short product life cycles. We may not be successful in anticipating, managing or adopting technological changes on a timely basis. While we believe that our existing information systems are sufficient to meet our current demands and continued expansion, our future growth may require additional investment in these systems. We cannot assure that adequate capital resources will be available to us at the appropriate time.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6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Our use of electronic contracts could impact our ability to perfect our ownership or security interest in Consumer Loans.</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have modified our systems to permit origination and assignment of Consumer Loans in electronic form. We have engaged a TPP to facilitate the process of creating, establishing control of and storing electronic contracts in a manner that enables us to perfect our ownership or security interest in the electronic contracts by satisfying the requirements for “control” of electronic chattel paper under the Uniform Commercial Code.</w:t>
      </w:r>
    </w:p>
    <w:p>
      <w:pPr>
        <w:spacing w:after="0" w:line="166"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Although the law governing the perfection of ownership and security interests in electronic contracts was enacted in 2001, the statutory requirements for the relevant control arrangements have not been meaningfully tested in court. In addition, market practices regarding control of electronic contracts are still developing. As a result, there is a risk that the systems employed by us or any TPP to maintain control of the electronic contracts may not be sufficient as a matter of law to give us a perfected ownership or security interest in the Consumer Loans evidenced by electronic contracts. In addition, technological failure, including failure in the security or access restrictions with respect to the systems, and operational failure, such as the failure to implement and maintain adequate internal controls and procedures, could also affect our ability to obtain or maintain a perfected ownership or security interest in the Consumer Loans evidenced by electronic contracts (or the priority of such interests). Our failure or inability to perfect our ownership or security interest in the Consumer Loans could materially adversely affect our financial position, liquidity and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Reliance on third parties to administer our ancillary product offerings could adversely affect our business and financial results.</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have relationships with TPPs to administer vehicle service contracts and GAP underwritten by third party insurers and financed by us. We depend on these TPPs to evaluate and pay claims in an accurate and timely manner. We also have a relationship with a TPP to sell and administer GPS-SID. If our relationships with these TPPs were modified, disrupted, or terminated, we would need to obtain these services from an alternative administrator or provide them using our internal resources. We may be unable to replace these TPPs with a suitable alternative in a timely and efficient manner on terms we consider acceptable, or at all. In the event we were unable to effectively administer our ancillary products offerings, we may need to eliminate or suspend our ancillary product offerings from our future business, we may experience a decline in the performance of our Consumer Loans, our reputation in the marketplace could be undermined, and our financial position, liquidity and results of operations could be adversely affected.</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dependent on our senior management and the loss of any of these individuals or an inability to hire additional team members could adversely affect our ability to operate profitably.</w:t>
      </w:r>
    </w:p>
    <w:p>
      <w:pPr>
        <w:spacing w:after="0" w:line="166"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Our senior management average over 15 years of experience with us. Our success is dependent upon the management and the leadership skills of this team. In addition, competition from other companies to hire our team members possessing the necessary skills and experience required could contribute to an increase in team member turnover. The loss of any of these individuals or an inability to attract and retain additional qualified team members could adversely affect us. There can be no assurance that we will be able to retain our existing senior management or attract additional qualified team members.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reputation is a key asset to our business, and our business may be affected by how we are perceived in the marketplace.</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reputation is a key asset to our business. Our ability to attract consumers through our Dealers is highly dependent upon external perceptions of our level of service, trustworthiness, business practices and financial condition. Negative publicity regarding these matters could damage our reputation among existing and potential consumers and Dealers, which could make it difficult for us to attract new consumers and Dealers and maintain existing Dealers. Adverse developments with respect to our industry may also, by association, negatively impact our reputation or result in greater regulatory or legislative scrutiny or litigation against 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concentration of our Dealers in several states could adversely affect us.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Dealers are located throughout the United States. During the year ended December 31, 2017, our five largest states (measured by advances paid to Dealers on Consumer Loans assigned under our Portfolio Program and one-time payments made to Dealers to purchase Consumer Loans assigned under our Purchase Program) contained 29.4% of our Dealers. While we believe we have a diverse geographic presence, for the near term, we expect that significant amounts of Consumer Loan assignments will continue to be generated by Dealers in these five states due to the number of Dealers in these states and currently prevailing economic, demographic, regulatory, competitive and other conditions in these states. Changes to conditions in these states could lead to an increase in Dealer attrition or a reduction in demand for our service that could materially adversely affect our financial position, liquidity and results of operations.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64" w:right="239" w:bottom="1440" w:gutter="0" w:footer="0" w:header="0"/>
        </w:sectPr>
      </w:pPr>
    </w:p>
    <w:bookmarkStart w:id="18" w:name="page19"/>
    <w:bookmarkEnd w:id="18"/>
    <w:p>
      <w:pPr>
        <w:jc w:val="both"/>
        <w:spacing w:after="0" w:line="282" w:lineRule="auto"/>
        <w:rPr>
          <w:sz w:val="20"/>
          <w:szCs w:val="20"/>
          <w:color w:val="auto"/>
        </w:rPr>
      </w:pPr>
      <w:r>
        <w:rPr>
          <w:rFonts w:ascii="Arial" w:cs="Arial" w:eastAsia="Arial" w:hAnsi="Arial"/>
          <w:sz w:val="18"/>
          <w:szCs w:val="18"/>
          <w:b w:val="1"/>
          <w:bCs w:val="1"/>
          <w:color w:val="auto"/>
        </w:rPr>
        <w:t>Failure to properly safeguard confidential consumer and team member information could subject us to liability, decrease our profitability and damage our reputation.</w:t>
      </w:r>
    </w:p>
    <w:p>
      <w:pPr>
        <w:spacing w:after="0" w:line="16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ordinary course of our business, we collect and store sensitive data, including our proprietary business information and personally identifiable information of our consumers and team members, on our computer networks. The secure processing, maintenance and transmission of this information is critical to our operations and business strategy.</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third parties or our team members are able to breach our network security, the network security of a third party that we share information with or otherwise misappropriate our consumers’ and team members' personal information, or if we give third parties or our team members improper access to our consumers’ and team members' personal information, we could be subject to liability. This liability could include identity theft or other similar fraud-related claims. This liability could also include claims for other misuses or losses of personal information, including for unauthorized marketing purposes. Other liabilities could include claims alleging misrepresentation of our privacy and data security practices.</w:t>
      </w:r>
    </w:p>
    <w:p>
      <w:pPr>
        <w:spacing w:after="0" w:line="18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rely on encryption and authentication technology licensed from third parties to provide the security and authentication necessary to secure online transmission of confidential consumer and team member information. Advances in computer capabilities, new discoveries in the field of cryptography or other events or developments may result in a compromise or breach of the algorithms that we use to protect sensitive consumer transaction data. A party who is able to circumvent our security measures could misappropriate proprietary information or cause interruptions in our operations. We may be required to expend capital and other resources to protect against, or alleviate problems caused by, security breaches or other cybersecurity incidents. Although we have experienced cybersecurity incidents from time to time that have not had a material effect on our business, financial condition or results of operations, there can be no assurance that a cyber attack, security breach or other cybersecurity incident will not have a material adverse effect on us in the future. Our security measures are designed to protect against security breaches, but our failure to prevent security breaches could subject us to liability, decrease our profitability and damage our reputation.</w:t>
      </w:r>
    </w:p>
    <w:p>
      <w:pPr>
        <w:spacing w:after="0" w:line="19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A small number of our shareholders have the ability to significantly influence matters requiring shareholder approval and such shareholders have interests which may conflict with the interests of our other security holders.</w:t>
      </w:r>
    </w:p>
    <w:p>
      <w:pPr>
        <w:spacing w:after="0" w:line="16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As of December 31, 2017, based on filings made with the SEC and other information made available to us, Prescott General Partners, LLC and its affiliates beneficially owned 16.0% of our common stock, Donald Foss, our founder and former Chairman of the Board, beneficially owned 14.3% of our common stock, and Jill Foss Watson, Mr. Foss's daughter, beneficially owned 13.0% of our common stock. As a result, these few shareholders are able to significantly influence matters presented to shareholders, including the election and removal of directors, the approval of significant corporate transactions, such as any reclassification, reorganization, merger, consolidation or sale of all or substantially all of our assets, and the control of our management and affairs, including executive compensation arrangements. Their interests may conflict with the interests of our other security holders.</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January 3, 2017, Mr. Foss retired as an officer, director and employee of the Company and entered into a shareholder agreement with the Company. Under the shareholder agreement, Mr. Foss agreed, until the final adjournment of the tenth annual meeting of shareholders held by the Company after the date of the shareholder agreement, to cause all shares beneficially owned by him or any of his affiliates or associates to be voted in accordance with the recommendation of the Company’s Board of Directors with respect to election and removal of directors, certain routine matters and any other proposal to be submitted to the Company’s shareholders with respect to any extraordinary transaction providing for the acquisition of all of the Company’s outstanding common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Reliance on our outsourced business functions could adversely affect our business.</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outsource certain business functions to third party service providers, which increases our operational complexity and decreases our control. We rely on these service providers to provide a high level of service and support, which subjects us to risks associated with inadequate or untimely service. In addition, if these outsourcing arrangements were not renewed or were terminated or the services provided to us were otherwise disrupted, we would have to obtain these services from an alternative provider or provide them using our internal resources. We may be unable to replace, or be delayed in replacing these sources and there is a risk that we would be unable to enter into a similar agreement with an alternate provider on terms that we consider favorable or in a timely manner. In the future, we may outsource additional business functions. If any of these or other risks related to outsourcing were realized, our financial position, liquidity and results of operations could be adversely affected.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6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Our ability to hire and retain foreign information technology personnel could be hindered by immigration restrictions.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 significant portion of our information technology team is composed of foreign nationals whose ability to work for us depends on obtaining the necessary H-1B visas. The H-1B visa category allows U.S. employers to hire qualified foreign nationals to perform services in specialty occupations that require the attainment of at least a bachelor’s degree or its equivalent. Our ability to hire and retain these foreign nationals and their ability to remain and work in the United States are affected by various laws and regulations, including limitations on the number of available H-1B visas, which the U.S. government allocates by lottery. Changes in the laws or regulations affecting the availability, allocation and/or cost of H-1B visas, eligibility for the H-1B visa category, or otherwise affecting the admission or retention of skilled foreign nationals by U.S. employers, or any increase in demand for H-1B visas relative to the limited supply of those visas, may adversely affect our ability to hire or retain foreign information technology personnel and may, as a result, increase our operating costs and impair our business operations.</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Natural disasters, acts of war, terrorist attacks and threats or the escalation of military activity in response to these attacks or otherwise may negatively affect our business, financial condition and results of operations.</w:t>
      </w:r>
    </w:p>
    <w:p>
      <w:pPr>
        <w:spacing w:after="0" w:line="16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Natural disasters, acts of war, terrorist attacks and the escalation of military activity in response to these attacks or otherwise may have negative and significant effects, such as imposition of increased security measures, changes in applicable laws, market disruptions and job losses. These events may have an adverse effect on the economy in general. Moreover, the potential for future terrorist attacks and the national and international responses to these threats could affect the business in ways that cannot be predicted. The effect of any of these events or threats could have a material adverse effect on our business, financial condition and results of operations.</w:t>
      </w:r>
    </w:p>
    <w:p>
      <w:pPr>
        <w:spacing w:after="0" w:line="18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headquarters is located at 25505 West Twelve Mile Road, Southfield, Michigan 48034, in an office building we purchased in 1993, which includes approximately 136,000 square feet of space on five floors.</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lease approximately 85,000 square feet of office space in Southfield, Michigan and approximately 31,000 square feet of office space in Henderson, Nevada. The multiple leases for the Southfield, Michigan space expire in September 2018, April 2019 and July 2021. The lease for the Henderson, Nevada space expires in December 2022. We have renewal options on all of our office space leases. Additionally, there currently is a significant amount of unoccupied office space available for lease in the markets where we operate.</w:t>
      </w:r>
    </w:p>
    <w:p>
      <w:pPr>
        <w:spacing w:after="0" w:line="18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LEGAL PROCEEDINGS</w:t>
      </w:r>
    </w:p>
    <w:p>
      <w:pPr>
        <w:spacing w:after="0" w:line="229"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In the normal course of business and as a result of the consumer-oriented nature of the industry in which we operate, we and other industry participants are frequently subject to various consumer claims, litigation and regulatory investigations seeking damages, fees and statutory penalties. The claims allege, among other theories of liability, violations of state, federal and foreign truth-in-lending, credit availability, credit reporting, consumer protection, warranty, debt collection, insurance and other consumer-oriented laws and regulations, including claims seeking damages for physical and mental damages relating to the repossession and sale of consumers' vehicles and other debt collection activities. As the assignee of Consumer Loans originated by Dealers, we may also be named as a co-defendant in lawsuits filed by consumers principally against Dealers. We may also have disputes and litigation with Dealers. The claims may allege, among other theories of liability, that we breached our Dealer servicing agreement. The damages, fines and penalties that may be claimed by consumers, regulatory agencies or Dealers in these types of matters can be substantial. The relief requested by plaintiffs varies but may include requests for compensatory, statutory and punitive damages and injunctive relief, and plaintiffs may seek treatment as purported class actions. A significant judgment against us in connection with any litigation or arbitration could have a material adverse effect on our financial position, liquidity and results of operations.</w:t>
      </w:r>
    </w:p>
    <w:p>
      <w:pPr>
        <w:spacing w:after="0" w:line="16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a description of significant litigation to which we are a party, see Note 16 to the consolidated financial statements contained in Item 8 of this Form 10-K, which is incorporated herein by reference.</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64"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300" w:right="24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Price</w:t>
      </w:r>
    </w:p>
    <w:p>
      <w:pPr>
        <w:spacing w:after="0" w:line="229" w:lineRule="exact"/>
        <w:rPr>
          <w:sz w:val="20"/>
          <w:szCs w:val="20"/>
          <w:color w:val="auto"/>
        </w:rPr>
      </w:pPr>
    </w:p>
    <w:p>
      <w:pPr>
        <w:jc w:val="both"/>
        <w:ind w:firstLine="324"/>
        <w:spacing w:after="0" w:line="226" w:lineRule="auto"/>
        <w:rPr>
          <w:sz w:val="20"/>
          <w:szCs w:val="20"/>
          <w:color w:val="auto"/>
        </w:rPr>
      </w:pPr>
      <w:r>
        <w:rPr>
          <w:rFonts w:ascii="Arial" w:cs="Arial" w:eastAsia="Arial" w:hAnsi="Arial"/>
          <w:sz w:val="18"/>
          <w:szCs w:val="18"/>
          <w:color w:val="auto"/>
        </w:rPr>
        <w:t>During the year ended December 31, 2017, our common stock was traded on The Nasdaq Global Select Market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(“NASDAQ”) under the symbol “CACC”. The following table sets forth the high and low sale prices as reported by the NASDAQ for the common stock for the relevant periods during 2017, 2016 and 2015.</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w w:val="89"/>
              </w:rPr>
              <w:t>2017</w:t>
            </w:r>
          </w:p>
        </w:tc>
        <w:tc>
          <w:tcPr>
            <w:tcW w:w="9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w w:val="89"/>
              </w:rPr>
              <w:t>2016</w:t>
            </w:r>
          </w:p>
        </w:tc>
        <w:tc>
          <w:tcPr>
            <w:tcW w:w="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w w:val="89"/>
              </w:rPr>
              <w:t>2015</w:t>
            </w:r>
          </w:p>
        </w:tc>
        <w:tc>
          <w:tcPr>
            <w:tcW w:w="960" w:type="dxa"/>
            <w:vAlign w:val="bottom"/>
            <w:tcBorders>
              <w:bottom w:val="single" w:sz="8" w:color="auto"/>
            </w:tcBorders>
          </w:tcPr>
          <w:p>
            <w:pPr>
              <w:spacing w:after="0"/>
              <w:rPr>
                <w:sz w:val="17"/>
                <w:szCs w:val="17"/>
                <w:color w:val="auto"/>
              </w:rPr>
            </w:pPr>
          </w:p>
        </w:tc>
      </w:tr>
      <w:tr>
        <w:trPr>
          <w:trHeight w:val="264"/>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Quarters Ended</w:t>
            </w:r>
          </w:p>
        </w:tc>
        <w:tc>
          <w:tcPr>
            <w:tcW w:w="1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High</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Low</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High</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Low</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High</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Low</w:t>
            </w: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31</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221.00</w:t>
            </w:r>
          </w:p>
        </w:tc>
        <w:tc>
          <w:tcPr>
            <w:tcW w:w="5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183.01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223.57</w:t>
            </w: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161.00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209.99</w:t>
            </w: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129.82</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June 30</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264.43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182.50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209.99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166.90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246.45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191.25</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30</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284.75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239.00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209.99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172.38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277.98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178.79</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December 31</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338.12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274.02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221.10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160.63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258.58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159.43</w:t>
            </w:r>
          </w:p>
        </w:tc>
      </w:tr>
    </w:tbl>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of February 2, 2018, we had 193 shareholders of record and approximately 10,200 beneficial holders of our common stock based upon securities position listings furnished to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We have not paid any cash dividends during the periods presented. Our debt agreements contain covenants that limit our ability to pay dividends on our common stock. Our debt agreements also contain financial covenants which may indirectly limit the payment of dividends on our common stock.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graph compares the percentage change in the cumulative total shareholder return on our common stock during the period beginning January 1, 2013 and ending on December 31, 2017 with the cumulative total return on the NASDAQ Market Index and a peer group index based upon approximately 100 companies included in the Dow Jones – US General Financial Index. The comparison assumes that $100 was invested on January 1, 2013 in our common stock and in the foregoing indices and assumes the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5848985" cy="29330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48985" cy="2933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64" w:right="239" w:bottom="1440" w:gutter="0" w:footer="0" w:header="0"/>
        </w:sectPr>
      </w:pPr>
    </w:p>
    <w:bookmarkStart w:id="21" w:name="page22"/>
    <w:bookmarkEnd w:id="21"/>
    <w:p>
      <w:pPr>
        <w:spacing w:after="0"/>
        <w:tabs>
          <w:tab w:leader="none" w:pos="820" w:val="left"/>
        </w:tabs>
        <w:rPr>
          <w:sz w:val="20"/>
          <w:szCs w:val="20"/>
          <w:color w:val="auto"/>
        </w:rPr>
      </w:pPr>
      <w:r>
        <w:rPr>
          <w:rFonts w:ascii="Arial" w:cs="Arial" w:eastAsia="Arial" w:hAnsi="Arial"/>
          <w:sz w:val="18"/>
          <w:szCs w:val="18"/>
          <w:b w:val="1"/>
          <w:bCs w:val="1"/>
          <w:color w:val="auto"/>
        </w:rPr>
        <w:t>ITEM 6.</w:t>
        <w:tab/>
        <w:t>SELECTED FINANCIAL DATA</w:t>
      </w:r>
    </w:p>
    <w:p>
      <w:pPr>
        <w:spacing w:after="0" w:line="22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selected financial data presented below are derived from our audited consolidated financial statements and should be read in conjunction with our consolidated financial statements as of and for the years ended December 31, 2017, 2016 and 2015, and notes thereto and Item 7, Management's Discussion and Analysis of Financial Condition and Results of Operations, included elsewhere in this Form 10-K, which is incorporated herein by reference.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700" w:type="dxa"/>
            <w:vAlign w:val="bottom"/>
            <w:gridSpan w:val="2"/>
          </w:tcPr>
          <w:p>
            <w:pPr>
              <w:ind w:left="40"/>
              <w:spacing w:after="0"/>
              <w:rPr>
                <w:sz w:val="20"/>
                <w:szCs w:val="20"/>
                <w:color w:val="auto"/>
              </w:rPr>
            </w:pPr>
            <w:r>
              <w:rPr>
                <w:rFonts w:ascii="Arial" w:cs="Arial" w:eastAsia="Arial" w:hAnsi="Arial"/>
                <w:sz w:val="14"/>
                <w:szCs w:val="14"/>
                <w:color w:val="auto"/>
              </w:rPr>
              <w:t>(Dollars in millions, except per share data)</w:t>
            </w: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w w:val="91"/>
              </w:rPr>
              <w:t>Years Ended December 31,</w:t>
            </w: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Income Statement Data:</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9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0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0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380"/>
              <w:spacing w:after="0"/>
              <w:rPr>
                <w:sz w:val="20"/>
                <w:szCs w:val="20"/>
                <w:color w:val="auto"/>
              </w:rPr>
            </w:pPr>
            <w:r>
              <w:rPr>
                <w:rFonts w:ascii="Arial" w:cs="Arial" w:eastAsia="Arial" w:hAnsi="Arial"/>
                <w:sz w:val="18"/>
                <w:szCs w:val="18"/>
                <w:color w:val="auto"/>
              </w:rPr>
              <w:t>Finance charges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1,011.5</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874.3</w:t>
            </w:r>
          </w:p>
        </w:tc>
        <w:tc>
          <w:tcPr>
            <w:tcW w:w="4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730.5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630.4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590.4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Premiums earned</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84"/>
        </w:trPr>
        <w:tc>
          <w:tcPr>
            <w:tcW w:w="470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Other income</w:t>
            </w: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57.4</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46.6</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40.8</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77"/>
        </w:trPr>
        <w:tc>
          <w:tcPr>
            <w:tcW w:w="47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1,110.0</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969.2</w:t>
            </w:r>
          </w:p>
        </w:tc>
        <w:tc>
          <w:tcPr>
            <w:tcW w:w="8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825.3</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723.5</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682.1</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Costs and expenses:</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Salaries and wages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43"/>
        </w:trPr>
        <w:tc>
          <w:tcPr>
            <w:tcW w:w="4700" w:type="dxa"/>
            <w:vAlign w:val="bottom"/>
            <w:gridSpan w:val="2"/>
          </w:tcPr>
          <w:p>
            <w:pPr>
              <w:ind w:left="38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55.5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Sales and marketing</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380"/>
              <w:spacing w:after="0"/>
              <w:rPr>
                <w:sz w:val="20"/>
                <w:szCs w:val="20"/>
                <w:color w:val="auto"/>
              </w:rPr>
            </w:pPr>
            <w:r>
              <w:rPr>
                <w:rFonts w:ascii="Arial" w:cs="Arial" w:eastAsia="Arial" w:hAnsi="Arial"/>
                <w:sz w:val="18"/>
                <w:szCs w:val="18"/>
                <w:color w:val="auto"/>
              </w:rPr>
              <w:t>Provision for credit losses</w:t>
            </w: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129.3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Interest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43"/>
        </w:trPr>
        <w:tc>
          <w:tcPr>
            <w:tcW w:w="4700" w:type="dxa"/>
            <w:vAlign w:val="bottom"/>
            <w:gridSpan w:val="2"/>
          </w:tcPr>
          <w:p>
            <w:pPr>
              <w:ind w:left="380"/>
              <w:spacing w:after="0"/>
              <w:rPr>
                <w:sz w:val="20"/>
                <w:szCs w:val="20"/>
                <w:color w:val="auto"/>
              </w:rPr>
            </w:pPr>
            <w:r>
              <w:rPr>
                <w:rFonts w:ascii="Arial" w:cs="Arial" w:eastAsia="Arial" w:hAnsi="Arial"/>
                <w:sz w:val="18"/>
                <w:szCs w:val="18"/>
                <w:color w:val="auto"/>
              </w:rPr>
              <w:t>Provision for claims</w:t>
            </w: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Loss on extinguishment of debt</w:t>
            </w:r>
          </w:p>
        </w:tc>
        <w:tc>
          <w:tcPr>
            <w:tcW w:w="24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4700" w:type="dxa"/>
            <w:vAlign w:val="bottom"/>
            <w:tcBorders>
              <w:top w:val="single" w:sz="8" w:color="CCEEFF"/>
              <w:bottom w:val="single" w:sz="8" w:color="CCEEFF"/>
            </w:tcBorders>
            <w:gridSpan w:val="2"/>
          </w:tcPr>
          <w:p>
            <w:pPr>
              <w:ind w:left="600"/>
              <w:spacing w:after="0"/>
              <w:rPr>
                <w:sz w:val="20"/>
                <w:szCs w:val="20"/>
                <w:color w:val="auto"/>
              </w:rPr>
            </w:pPr>
            <w:r>
              <w:rPr>
                <w:rFonts w:ascii="Arial" w:cs="Arial" w:eastAsia="Arial" w:hAnsi="Arial"/>
                <w:sz w:val="18"/>
                <w:szCs w:val="18"/>
                <w:color w:val="auto"/>
              </w:rPr>
              <w:t>Total costs and expenses</w:t>
            </w:r>
          </w:p>
        </w:tc>
        <w:tc>
          <w:tcPr>
            <w:tcW w:w="24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526.2</w:t>
            </w:r>
          </w:p>
        </w:tc>
        <w:tc>
          <w:tcPr>
            <w:tcW w:w="120" w:type="dxa"/>
            <w:vAlign w:val="bottom"/>
            <w:tcBorders>
              <w:top w:val="single" w:sz="8" w:color="CCEEFF"/>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438.0</w:t>
            </w: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350.8</w:t>
            </w:r>
          </w:p>
        </w:tc>
        <w:tc>
          <w:tcPr>
            <w:tcW w:w="100" w:type="dxa"/>
            <w:vAlign w:val="bottom"/>
            <w:tcBorders>
              <w:top w:val="single" w:sz="8" w:color="CCEEFF"/>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302.6</w:t>
            </w:r>
          </w:p>
        </w:tc>
        <w:tc>
          <w:tcPr>
            <w:tcW w:w="100" w:type="dxa"/>
            <w:vAlign w:val="bottom"/>
            <w:tcBorders>
              <w:top w:val="single" w:sz="8" w:color="CCEEFF"/>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283.9</w:t>
            </w: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398.2</w:t>
            </w:r>
          </w:p>
        </w:tc>
        <w:tc>
          <w:tcPr>
            <w:tcW w:w="0" w:type="dxa"/>
            <w:vAlign w:val="bottom"/>
          </w:tcPr>
          <w:p>
            <w:pPr>
              <w:spacing w:after="0"/>
              <w:rPr>
                <w:sz w:val="1"/>
                <w:szCs w:val="1"/>
                <w:color w:val="auto"/>
              </w:rPr>
            </w:pPr>
          </w:p>
        </w:tc>
      </w:tr>
      <w:tr>
        <w:trPr>
          <w:trHeight w:val="284"/>
        </w:trPr>
        <w:tc>
          <w:tcPr>
            <w:tcW w:w="470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113.6</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174.8</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154.7</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145.1</w:t>
            </w:r>
          </w:p>
        </w:tc>
        <w:tc>
          <w:tcPr>
            <w:tcW w:w="0" w:type="dxa"/>
            <w:vAlign w:val="bottom"/>
          </w:tcPr>
          <w:p>
            <w:pPr>
              <w:spacing w:after="0"/>
              <w:rPr>
                <w:sz w:val="1"/>
                <w:szCs w:val="1"/>
                <w:color w:val="auto"/>
              </w:rPr>
            </w:pPr>
          </w:p>
        </w:tc>
      </w:tr>
      <w:tr>
        <w:trPr>
          <w:trHeight w:val="257"/>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470.2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332.8</w:t>
            </w:r>
          </w:p>
        </w:tc>
        <w:tc>
          <w:tcPr>
            <w:tcW w:w="4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299.7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266.2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253.1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Net income per share: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24.12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14.35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11.96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20"/>
        </w:trPr>
        <w:tc>
          <w:tcPr>
            <w:tcW w:w="470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700" w:type="dxa"/>
            <w:vAlign w:val="bottom"/>
            <w:gridSpan w:val="2"/>
          </w:tcPr>
          <w:p>
            <w:pPr>
              <w:ind w:left="38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24.04</w:t>
            </w:r>
          </w:p>
        </w:tc>
        <w:tc>
          <w:tcPr>
            <w:tcW w:w="12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16.31</w:t>
            </w:r>
          </w:p>
        </w:tc>
        <w:tc>
          <w:tcPr>
            <w:tcW w:w="4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14.28</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11.92</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37"/>
        </w:trPr>
        <w:tc>
          <w:tcPr>
            <w:tcW w:w="47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38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w w:val="99"/>
              </w:rPr>
              <w:t>19,497,719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20,331,769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w w:val="99"/>
              </w:rPr>
              <w:t>20,891,695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w w:val="99"/>
              </w:rPr>
              <w:t>22,257,104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w w:val="99"/>
              </w:rPr>
              <w:t>23,850,789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19,558,936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20,410,116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20,980,753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22,331,401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24,009,593</w:t>
            </w:r>
          </w:p>
        </w:tc>
        <w:tc>
          <w:tcPr>
            <w:tcW w:w="0" w:type="dxa"/>
            <w:vAlign w:val="bottom"/>
          </w:tcPr>
          <w:p>
            <w:pPr>
              <w:spacing w:after="0"/>
              <w:rPr>
                <w:sz w:val="1"/>
                <w:szCs w:val="1"/>
                <w:color w:val="auto"/>
              </w:rPr>
            </w:pPr>
          </w:p>
        </w:tc>
      </w:tr>
      <w:tr>
        <w:trPr>
          <w:trHeight w:val="264"/>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Balance Sheet Data:</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0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0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Loans receivable, net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4,619.6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3,886.6</w:t>
            </w:r>
          </w:p>
        </w:tc>
        <w:tc>
          <w:tcPr>
            <w:tcW w:w="4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3,101.5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2,512.9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2,212.8</w:t>
            </w:r>
          </w:p>
        </w:tc>
        <w:tc>
          <w:tcPr>
            <w:tcW w:w="0" w:type="dxa"/>
            <w:vAlign w:val="bottom"/>
          </w:tcPr>
          <w:p>
            <w:pPr>
              <w:spacing w:after="0"/>
              <w:rPr>
                <w:sz w:val="1"/>
                <w:szCs w:val="1"/>
                <w:color w:val="auto"/>
              </w:rPr>
            </w:pPr>
          </w:p>
        </w:tc>
      </w:tr>
      <w:tr>
        <w:trPr>
          <w:trHeight w:val="284"/>
        </w:trPr>
        <w:tc>
          <w:tcPr>
            <w:tcW w:w="47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All other assets</w:t>
            </w: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366.0</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331.4</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271.1</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258.3</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207.2</w:t>
            </w: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4,985.6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4,218.0</w:t>
            </w:r>
          </w:p>
        </w:tc>
        <w:tc>
          <w:tcPr>
            <w:tcW w:w="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3,372.6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2,771.2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2,420.0</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Total debt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3,070.8</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2,603.7</w:t>
            </w:r>
          </w:p>
        </w:tc>
        <w:tc>
          <w:tcPr>
            <w:tcW w:w="4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2,067.8</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1,738.3</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1,379.0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379.0</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440.6</w:t>
            </w:r>
          </w:p>
        </w:tc>
        <w:tc>
          <w:tcPr>
            <w:tcW w:w="8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376.7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330.7</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290.9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380"/>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3,449.8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3,044.3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2,444.5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2,069.0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1,669.9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Shareholders' equity (1)</w:t>
            </w: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1,535.8</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1,173.7</w:t>
            </w:r>
          </w:p>
        </w:tc>
        <w:tc>
          <w:tcPr>
            <w:tcW w:w="8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928.1</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702.2</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750.1</w:t>
            </w:r>
          </w:p>
        </w:tc>
        <w:tc>
          <w:tcPr>
            <w:tcW w:w="0" w:type="dxa"/>
            <w:vAlign w:val="bottom"/>
          </w:tcPr>
          <w:p>
            <w:pPr>
              <w:spacing w:after="0"/>
              <w:rPr>
                <w:sz w:val="1"/>
                <w:szCs w:val="1"/>
                <w:color w:val="auto"/>
              </w:rPr>
            </w:pPr>
          </w:p>
        </w:tc>
      </w:tr>
      <w:tr>
        <w:trPr>
          <w:trHeight w:val="264"/>
        </w:trPr>
        <w:tc>
          <w:tcPr>
            <w:tcW w:w="4700" w:type="dxa"/>
            <w:vAlign w:val="bottom"/>
            <w:gridSpan w:val="2"/>
          </w:tcPr>
          <w:p>
            <w:pPr>
              <w:ind w:left="380"/>
              <w:spacing w:after="0"/>
              <w:rPr>
                <w:sz w:val="20"/>
                <w:szCs w:val="20"/>
                <w:color w:val="auto"/>
              </w:rPr>
            </w:pPr>
            <w:r>
              <w:rPr>
                <w:rFonts w:ascii="Arial" w:cs="Arial" w:eastAsia="Arial" w:hAnsi="Arial"/>
                <w:sz w:val="18"/>
                <w:szCs w:val="18"/>
                <w:color w:val="auto"/>
              </w:rPr>
              <w:t>Total liabilities and shareholders' equity</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4,985.6</w:t>
            </w:r>
          </w:p>
        </w:tc>
        <w:tc>
          <w:tcPr>
            <w:tcW w:w="12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4,218.0</w:t>
            </w:r>
          </w:p>
        </w:tc>
        <w:tc>
          <w:tcPr>
            <w:tcW w:w="4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3,372.6</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2,771.2</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2,420.0</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left="500" w:hanging="330"/>
        <w:spacing w:after="0"/>
        <w:tabs>
          <w:tab w:leader="none" w:pos="5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No dividends were paid during the periods presented.</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64" w:right="239" w:bottom="1440" w:gutter="0" w:footer="0" w:header="0"/>
        </w:sectPr>
      </w:pPr>
    </w:p>
    <w:bookmarkStart w:id="22" w:name="page23"/>
    <w:bookmarkEnd w:id="22"/>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discussion and analysis should be read in conjunction with the consolidated financial statements and related notes contained in Item 8 of this Form 10-K, which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offer financing programs that enable automobile dealers to sell vehicles to consumers regardless of their credit history. Our financing programs are offered through a nationwide network of automobile dealers who benefit from sales of vehicles to consumers who otherwise could not obtain financing; from repeat and referral sales generated by these same customers; and from sales to customers responding to advertisements for our financing programs, but who actually end up qualifying for traditional financing.</w:t>
      </w:r>
    </w:p>
    <w:p>
      <w:pPr>
        <w:spacing w:after="0" w:line="18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For the year ended December 31, 2017, consolidated net income was $470.2 million, or $24.04 per diluted share, compared to $332.8 million, or $16.31 per diluted share, for the same period in 2016 and $299.7 million, or $14.28 per diluted share, for the same period in 2015. The growth in 2017 consolidated net income was primarily due to the enactment of the Tax Cuts and Jobs Act in December 2017, which increased consolidated net income by $99.8 million, and an increase in the average balance of our Loan portfolio, partially offset by a revision to our Loan net cash flow timing forecast during the fourth quarter of 2017, which decreased consolidated net income by $30.8 million. The growth in 2016 consolidated net income was primarily due to an increase in the average balance of our Loan portfolio, partially offset by a decline in Consumer Loan performance.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Success Factors</w:t>
      </w:r>
    </w:p>
    <w:p>
      <w:pPr>
        <w:spacing w:after="0" w:line="22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Critical success factors include our ability to accurately forecast Consumer Loan performance, access capital on acceptable terms, and maintain or grow Consumer Loan volume at the level and on the terms that we anticipate, with an objective to maximize economic profit. Economic profit is a non-GAAP financial measure we use to evaluate our financial results and determine incentive compensation. Economic profit measures how efficiently we utilize our total capital, both debt and equity, and is a function of the return on capital in excess of the cost of capital and the amount of capital invested in the business.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6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Consumer Loan Metrics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At the time a Consumer Loan is submitted to us for assignment, we forecast future expected cash flows from the Consumer Loan. Based on the amount and timing of these forecasts and expected expense levels, an advance or one-time purchase payment is made to the related Dealer at a price designed to maximize economic profit.</w:t>
      </w:r>
    </w:p>
    <w:p>
      <w:pPr>
        <w:spacing w:after="0" w:line="18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use a statistical model to estimate the expected collection rate for each Consumer Loan at the time of assignment. We continue to evaluate the expected collection rate of each Consumer Loan subsequent to assignment. Our evaluation becomes more accurate as the Consumer Loans age, as we use actual performance data in our forecast. By comparing our current expected collection rate for each Consumer Loan with the rate we projected at the time of assignment, we are able to assess the accuracy of our initial forecast. The following table compares our forecast of Consumer Loan collection rates as of December 31, 2017, with the forecasts as of December 31, 2016, as of December 31, 2015, and at the time of assignment, segmented by year of assignment: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5"/>
              </w:rPr>
              <w:t>Forecasted Collection Percentage as of (1)</w:t>
            </w:r>
          </w:p>
        </w:tc>
        <w:tc>
          <w:tcPr>
            <w:tcW w:w="12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160" w:type="dxa"/>
            <w:vAlign w:val="bottom"/>
            <w:tcBorders>
              <w:bottom w:val="single" w:sz="8" w:color="auto"/>
            </w:tcBorders>
            <w:gridSpan w:val="5"/>
          </w:tcPr>
          <w:p>
            <w:pPr>
              <w:jc w:val="center"/>
              <w:ind w:left="913"/>
              <w:spacing w:after="0"/>
              <w:rPr>
                <w:sz w:val="20"/>
                <w:szCs w:val="20"/>
                <w:color w:val="auto"/>
              </w:rPr>
            </w:pPr>
            <w:r>
              <w:rPr>
                <w:rFonts w:ascii="Arial" w:cs="Arial" w:eastAsia="Arial" w:hAnsi="Arial"/>
                <w:sz w:val="14"/>
                <w:szCs w:val="14"/>
                <w:b w:val="1"/>
                <w:bCs w:val="1"/>
                <w:color w:val="auto"/>
                <w:w w:val="95"/>
              </w:rPr>
              <w:t>Current Forecast Variance from</w:t>
            </w: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Consumer Loan</w:t>
            </w:r>
          </w:p>
        </w:tc>
        <w:tc>
          <w:tcPr>
            <w:tcW w:w="13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December 31, 2017</w:t>
            </w:r>
          </w:p>
        </w:tc>
        <w:tc>
          <w:tcPr>
            <w:tcW w:w="14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December 31, 2016</w:t>
            </w:r>
          </w:p>
        </w:tc>
        <w:tc>
          <w:tcPr>
            <w:tcW w:w="13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December 31, 2015</w:t>
            </w:r>
          </w:p>
        </w:tc>
        <w:tc>
          <w:tcPr>
            <w:tcW w:w="13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Initial</w:t>
            </w:r>
          </w:p>
        </w:tc>
        <w:tc>
          <w:tcPr>
            <w:tcW w:w="14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December 31, 2016</w:t>
            </w:r>
          </w:p>
        </w:tc>
        <w:tc>
          <w:tcPr>
            <w:tcW w:w="1740" w:type="dxa"/>
            <w:vAlign w:val="bottom"/>
            <w:gridSpan w:val="3"/>
            <w:vMerge w:val="restart"/>
          </w:tcPr>
          <w:p>
            <w:pPr>
              <w:jc w:val="center"/>
              <w:ind w:right="420"/>
              <w:spacing w:after="0"/>
              <w:rPr>
                <w:sz w:val="20"/>
                <w:szCs w:val="20"/>
                <w:color w:val="auto"/>
              </w:rPr>
            </w:pPr>
            <w:r>
              <w:rPr>
                <w:rFonts w:ascii="Arial" w:cs="Arial" w:eastAsia="Arial" w:hAnsi="Arial"/>
                <w:sz w:val="14"/>
                <w:szCs w:val="14"/>
                <w:b w:val="1"/>
                <w:bCs w:val="1"/>
                <w:color w:val="auto"/>
                <w:w w:val="91"/>
              </w:rPr>
              <w:t>December 31, 2015</w:t>
            </w:r>
          </w:p>
        </w:tc>
        <w:tc>
          <w:tcPr>
            <w:tcW w:w="980" w:type="dxa"/>
            <w:vAlign w:val="bottom"/>
          </w:tcPr>
          <w:p>
            <w:pPr>
              <w:jc w:val="right"/>
              <w:ind w:right="373"/>
              <w:spacing w:after="0" w:line="153" w:lineRule="exact"/>
              <w:rPr>
                <w:sz w:val="20"/>
                <w:szCs w:val="20"/>
                <w:color w:val="auto"/>
              </w:rPr>
            </w:pPr>
            <w:r>
              <w:rPr>
                <w:rFonts w:ascii="Arial" w:cs="Arial" w:eastAsia="Arial" w:hAnsi="Arial"/>
                <w:sz w:val="14"/>
                <w:szCs w:val="14"/>
                <w:b w:val="1"/>
                <w:bCs w:val="1"/>
                <w:color w:val="auto"/>
              </w:rPr>
              <w:t>Initial</w:t>
            </w:r>
          </w:p>
        </w:tc>
        <w:tc>
          <w:tcPr>
            <w:tcW w:w="0" w:type="dxa"/>
            <w:vAlign w:val="bottom"/>
          </w:tcPr>
          <w:p>
            <w:pPr>
              <w:spacing w:after="0"/>
              <w:rPr>
                <w:sz w:val="1"/>
                <w:szCs w:val="1"/>
                <w:color w:val="auto"/>
              </w:rPr>
            </w:pPr>
          </w:p>
        </w:tc>
      </w:tr>
      <w:tr>
        <w:trPr>
          <w:trHeight w:val="205"/>
        </w:trPr>
        <w:tc>
          <w:tcPr>
            <w:tcW w:w="1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Assignment Year</w:t>
            </w:r>
          </w:p>
        </w:tc>
        <w:tc>
          <w:tcPr>
            <w:tcW w:w="1380" w:type="dxa"/>
            <w:vAlign w:val="bottom"/>
            <w:gridSpan w:val="2"/>
            <w:vMerge w:val="continue"/>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Forecast</w:t>
            </w:r>
          </w:p>
        </w:tc>
        <w:tc>
          <w:tcPr>
            <w:tcW w:w="1420" w:type="dxa"/>
            <w:vAlign w:val="bottom"/>
            <w:gridSpan w:val="2"/>
            <w:vMerge w:val="continue"/>
          </w:tcPr>
          <w:p>
            <w:pPr>
              <w:spacing w:after="0"/>
              <w:rPr>
                <w:sz w:val="17"/>
                <w:szCs w:val="17"/>
                <w:color w:val="auto"/>
              </w:rPr>
            </w:pPr>
          </w:p>
        </w:tc>
        <w:tc>
          <w:tcPr>
            <w:tcW w:w="1740" w:type="dxa"/>
            <w:vAlign w:val="bottom"/>
            <w:gridSpan w:val="3"/>
            <w:vMerge w:val="continue"/>
          </w:tcPr>
          <w:p>
            <w:pPr>
              <w:spacing w:after="0"/>
              <w:rPr>
                <w:sz w:val="17"/>
                <w:szCs w:val="17"/>
                <w:color w:val="auto"/>
              </w:rPr>
            </w:pPr>
          </w:p>
        </w:tc>
        <w:tc>
          <w:tcPr>
            <w:tcW w:w="980" w:type="dxa"/>
            <w:vAlign w:val="bottom"/>
          </w:tcPr>
          <w:p>
            <w:pPr>
              <w:jc w:val="right"/>
              <w:ind w:right="293"/>
              <w:spacing w:after="0"/>
              <w:rPr>
                <w:sz w:val="20"/>
                <w:szCs w:val="20"/>
                <w:color w:val="auto"/>
              </w:rPr>
            </w:pPr>
            <w:r>
              <w:rPr>
                <w:rFonts w:ascii="Arial" w:cs="Arial" w:eastAsia="Arial" w:hAnsi="Arial"/>
                <w:sz w:val="14"/>
                <w:szCs w:val="14"/>
                <w:b w:val="1"/>
                <w:bCs w:val="1"/>
                <w:color w:val="auto"/>
                <w:w w:val="99"/>
              </w:rPr>
              <w:t>Forecast</w:t>
            </w:r>
          </w:p>
        </w:tc>
        <w:tc>
          <w:tcPr>
            <w:tcW w:w="0" w:type="dxa"/>
            <w:vAlign w:val="bottom"/>
          </w:tcPr>
          <w:p>
            <w:pPr>
              <w:spacing w:after="0"/>
              <w:rPr>
                <w:sz w:val="1"/>
                <w:szCs w:val="1"/>
                <w:color w:val="auto"/>
              </w:rPr>
            </w:pPr>
          </w:p>
        </w:tc>
      </w:tr>
      <w:tr>
        <w:trPr>
          <w:trHeight w:val="250"/>
        </w:trPr>
        <w:tc>
          <w:tcPr>
            <w:tcW w:w="16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243"/>
        </w:trPr>
        <w:tc>
          <w:tcPr>
            <w:tcW w:w="1660" w:type="dxa"/>
            <w:vAlign w:val="bottom"/>
          </w:tcPr>
          <w:p>
            <w:pPr>
              <w:jc w:val="center"/>
              <w:spacing w:after="0"/>
              <w:rPr>
                <w:sz w:val="20"/>
                <w:szCs w:val="20"/>
                <w:color w:val="auto"/>
              </w:rPr>
            </w:pPr>
            <w:r>
              <w:rPr>
                <w:rFonts w:ascii="Arial" w:cs="Arial" w:eastAsia="Arial" w:hAnsi="Arial"/>
                <w:sz w:val="18"/>
                <w:szCs w:val="18"/>
                <w:color w:val="auto"/>
                <w:w w:val="89"/>
              </w:rPr>
              <w:t>2009</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79.4%</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79.4%</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71.9%</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7.6 %</w:t>
            </w:r>
          </w:p>
        </w:tc>
        <w:tc>
          <w:tcPr>
            <w:tcW w:w="0" w:type="dxa"/>
            <w:vAlign w:val="bottom"/>
          </w:tcPr>
          <w:p>
            <w:pPr>
              <w:spacing w:after="0"/>
              <w:rPr>
                <w:sz w:val="1"/>
                <w:szCs w:val="1"/>
                <w:color w:val="auto"/>
              </w:rPr>
            </w:pPr>
          </w:p>
        </w:tc>
      </w:tr>
      <w:tr>
        <w:trPr>
          <w:trHeight w:val="27"/>
        </w:trPr>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2010</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43"/>
        </w:trPr>
        <w:tc>
          <w:tcPr>
            <w:tcW w:w="1660" w:type="dxa"/>
            <w:vAlign w:val="bottom"/>
          </w:tcPr>
          <w:p>
            <w:pPr>
              <w:jc w:val="center"/>
              <w:spacing w:after="0"/>
              <w:rPr>
                <w:sz w:val="20"/>
                <w:szCs w:val="20"/>
                <w:color w:val="auto"/>
              </w:rPr>
            </w:pPr>
            <w:r>
              <w:rPr>
                <w:rFonts w:ascii="Arial" w:cs="Arial" w:eastAsia="Arial" w:hAnsi="Arial"/>
                <w:sz w:val="18"/>
                <w:szCs w:val="18"/>
                <w:color w:val="auto"/>
                <w:w w:val="84"/>
              </w:rPr>
              <w:t>2011</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74.7%</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72.5%</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0.5 %</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7"/>
        </w:trPr>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2012</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43"/>
        </w:trPr>
        <w:tc>
          <w:tcPr>
            <w:tcW w:w="166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73.4%</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73.4%</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72.0%</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7"/>
        </w:trPr>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43"/>
        </w:trPr>
        <w:tc>
          <w:tcPr>
            <w:tcW w:w="166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66.1%</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67.8%</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67.7%</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-0.6 %</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-2.3 %</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7"/>
        </w:trPr>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0" w:type="dxa"/>
            <w:vAlign w:val="bottom"/>
          </w:tcPr>
          <w:p>
            <w:pPr>
              <w:spacing w:after="0"/>
              <w:rPr>
                <w:sz w:val="1"/>
                <w:szCs w:val="1"/>
                <w:color w:val="auto"/>
              </w:rPr>
            </w:pPr>
          </w:p>
        </w:tc>
      </w:tr>
      <w:tr>
        <w:trPr>
          <w:trHeight w:val="243"/>
        </w:trPr>
        <w:tc>
          <w:tcPr>
            <w:tcW w:w="166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1"/>
                <w:szCs w:val="21"/>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64.0%</w:t>
            </w:r>
          </w:p>
        </w:tc>
        <w:tc>
          <w:tcPr>
            <w:tcW w:w="120" w:type="dxa"/>
            <w:vAlign w:val="bottom"/>
          </w:tcPr>
          <w:p>
            <w:pPr>
              <w:spacing w:after="0"/>
              <w:rPr>
                <w:sz w:val="21"/>
                <w:szCs w:val="21"/>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74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ind w:left="500" w:hanging="330"/>
        <w:spacing w:after="0" w:line="257" w:lineRule="auto"/>
        <w:tabs>
          <w:tab w:leader="none" w:pos="5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the total forecasted collections we expect to collect on the Consumer Loans as a percentage of the repayments that we were contractually owed on the Consumer Loans at the time of assignment. Contractual repayments include both principal and interest. Forecasted collection rates are negatively impacted by canceled Consumer Loans as the contractual amount owed is not removed from the denominator for purposes of computing forecasted collection rates in the table.</w:t>
      </w:r>
    </w:p>
    <w:p>
      <w:pPr>
        <w:spacing w:after="0" w:line="18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Consumer Loans assigned in 2009 through 2013 and 2017 have yielded forecasted collection results materially better than our initial estimates, while Consumer Loans assigned in 2015 have yielded forecasted collection results materially worse than our initial estimates. For Consumer Loans assigned in 2008, 2014 and 2016, actual results have been close to our initial estimates.</w:t>
      </w:r>
    </w:p>
    <w:p>
      <w:pPr>
        <w:spacing w:after="0" w:line="18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For the year ended December 31, 2017, forecasted collection rates improved for Consumer Loans assigned in 2017, declined for Consumer Loans assigned in 2015 and 2016 and were generally consistent with expectations at the start of the period for all other assignment years presented.</w:t>
      </w:r>
    </w:p>
    <w:p>
      <w:pPr>
        <w:spacing w:after="0" w:line="147"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For the year ended December 31, 2016, forecasted collection rates improved for Consumer Loans assigned in 2010 through 2012, declined for Consumer Loans assigned in 2014 through 2016 and were generally consistent with expectations at the start of the period for all other assignment years presented.</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changes in forecasted collection rates impacted forecasted net cash flows (forecasted collections less forecasted Dealer Holdback payments) as follows: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28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40" w:type="dxa"/>
            <w:vAlign w:val="bottom"/>
            <w:gridSpan w:val="6"/>
            <w:vMerge w:val="restart"/>
          </w:tcPr>
          <w:p>
            <w:pPr>
              <w:jc w:val="right"/>
              <w:ind w:right="250"/>
              <w:spacing w:after="0"/>
              <w:rPr>
                <w:sz w:val="20"/>
                <w:szCs w:val="20"/>
                <w:color w:val="auto"/>
              </w:rPr>
            </w:pPr>
            <w:r>
              <w:rPr>
                <w:rFonts w:ascii="Arial" w:cs="Arial" w:eastAsia="Arial" w:hAnsi="Arial"/>
                <w:sz w:val="14"/>
                <w:szCs w:val="14"/>
                <w:b w:val="1"/>
                <w:bCs w:val="1"/>
                <w:color w:val="auto"/>
              </w:rPr>
              <w:t>For the years ended December 31,</w:t>
            </w: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28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3640" w:type="dxa"/>
            <w:vAlign w:val="bottom"/>
            <w:tcBorders>
              <w:bottom w:val="single" w:sz="8" w:color="auto"/>
            </w:tcBorders>
            <w:gridSpan w:val="6"/>
            <w:vMerge w:val="continue"/>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42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Increase (decrease) in forecasted net cash flows</w:t>
            </w:r>
          </w:p>
        </w:tc>
        <w:tc>
          <w:tcPr>
            <w:tcW w:w="16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Dealer Loans</w:t>
            </w:r>
          </w:p>
        </w:tc>
        <w:tc>
          <w:tcPr>
            <w:tcW w:w="222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Purchased Loans</w:t>
            </w:r>
          </w:p>
        </w:tc>
        <w:tc>
          <w:tcPr>
            <w:tcW w:w="1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Loans</w:t>
            </w:r>
          </w:p>
        </w:tc>
        <w:tc>
          <w:tcPr>
            <w:tcW w:w="22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36.1</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CCEEFF"/>
            </w:tcBorders>
            <w:vMerge w:val="restart"/>
          </w:tcPr>
          <w:p>
            <w:pPr>
              <w:jc w:val="right"/>
              <w:ind w:right="70"/>
              <w:spacing w:after="0"/>
              <w:rPr>
                <w:sz w:val="20"/>
                <w:szCs w:val="20"/>
                <w:color w:val="auto"/>
              </w:rPr>
            </w:pPr>
            <w:r>
              <w:rPr>
                <w:rFonts w:ascii="Arial" w:cs="Arial" w:eastAsia="Arial" w:hAnsi="Arial"/>
                <w:sz w:val="18"/>
                <w:szCs w:val="18"/>
                <w:color w:val="auto"/>
              </w:rPr>
              <w:t>24</w:t>
            </w: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28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24" w:name="page25"/>
    <w:bookmarkEnd w:id="24"/>
    <w:p>
      <w:pPr>
        <w:jc w:val="both"/>
        <w:ind w:firstLine="324"/>
        <w:spacing w:after="0" w:line="259" w:lineRule="auto"/>
        <w:rPr>
          <w:sz w:val="20"/>
          <w:szCs w:val="20"/>
          <w:color w:val="auto"/>
        </w:rPr>
      </w:pPr>
      <w:r>
        <w:rPr>
          <w:rFonts w:ascii="Arial" w:cs="Arial" w:eastAsia="Arial" w:hAnsi="Arial"/>
          <w:sz w:val="18"/>
          <w:szCs w:val="18"/>
          <w:color w:val="auto"/>
        </w:rPr>
        <w:t>In addition to the statistical model used to forecast collection rates, we use a model to forecast the timing of future net cash flows. During the fourth quarter of 2017, we updated our net cash flow timing model to incorporate more recent data. The revised forecast resulted in an expected cash flow stream with a lower net present value as compared to the prior forecast, as less cash flows are expected in earlier periods and more cash flows are expected in later periods.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reduction in net present value was primarily the result of a change in the expected timing of cash flows from longer-term Consumer Loans. Due to our limited historical experience with longer-term Consumer Loans, our prior model relied on extrapolations from the historical performance of shorter-term Consumer Loans to predict the timing of future net cash flows on longer-term Consumer Loans. We now have additional historical experience on these longer-term loans which we used to refine our estimate.</w:t>
      </w:r>
    </w:p>
    <w:p>
      <w:pPr>
        <w:spacing w:after="0" w:line="18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revision to our net cash flow timing forecast does not impact the amount of undiscounted net cash flows we expect to receive. As a result, the dollar amount of future net portfolio revenue (finance charges less provision for credit losses) is not impacted by the revision. However, the revision does impact the period in which those net revenues will be recorded as a portion of the impact of the revised timing estimate was recorded as a current period expense and a portion was recorded as a yield adjustment. For the fourth quarter of 2017, the revision increased provision for credit losses by $41.6 million, reduced finance charge revenue by $7.3 million and reduced net income by $30.8 million. The revision reduced the yield on our loan portfolio by 90 basis points, which will impact the timing of revenue recognition in future periods.</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fourth quarter of 2016, we enhanced our methodology for forecasting the amount and timing of future collections on Consumer Loans through the utilization of more recent data and new forecast variables. Implementation of the enhanced forecasting methodology as of October 31, 2016 did not have a material impact on provision for credit losses or net income; however, it did reduce forecasted net cash flows by $1.8 million, all of which related to Dealer Loans. The implementation also decreased the forecasted collection rates for Consumer Loans assigned in 2015 and 2016 and increased the forecasted collection rates for Consumer Loans assigned in 2011 through 2013.</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information on the average Consumer Loan assignment for each of the last ten years: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0"/>
              </w:rPr>
              <w:t>Average</w:t>
            </w:r>
          </w:p>
        </w:tc>
        <w:tc>
          <w:tcPr>
            <w:tcW w:w="1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57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Consumer Loan Assignment Year</w:t>
            </w:r>
          </w:p>
        </w:tc>
        <w:tc>
          <w:tcPr>
            <w:tcW w:w="200" w:type="dxa"/>
            <w:vAlign w:val="bottom"/>
          </w:tcPr>
          <w:p>
            <w:pPr>
              <w:spacing w:after="0"/>
              <w:rPr>
                <w:sz w:val="13"/>
                <w:szCs w:val="13"/>
                <w:color w:val="auto"/>
              </w:rPr>
            </w:pPr>
          </w:p>
        </w:tc>
        <w:tc>
          <w:tcPr>
            <w:tcW w:w="17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Consumer Loan (1)</w:t>
            </w:r>
          </w:p>
        </w:tc>
        <w:tc>
          <w:tcPr>
            <w:tcW w:w="340" w:type="dxa"/>
            <w:vAlign w:val="bottom"/>
          </w:tcPr>
          <w:p>
            <w:pPr>
              <w:spacing w:after="0"/>
              <w:rPr>
                <w:sz w:val="13"/>
                <w:szCs w:val="13"/>
                <w:color w:val="auto"/>
              </w:rPr>
            </w:pPr>
          </w:p>
        </w:tc>
        <w:tc>
          <w:tcPr>
            <w:tcW w:w="160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3"/>
              </w:rPr>
              <w:t>Advance (2)</w:t>
            </w:r>
          </w:p>
        </w:tc>
        <w:tc>
          <w:tcPr>
            <w:tcW w:w="1820" w:type="dxa"/>
            <w:vAlign w:val="bottom"/>
          </w:tcPr>
          <w:p>
            <w:pPr>
              <w:jc w:val="right"/>
              <w:ind w:right="93"/>
              <w:spacing w:after="0" w:line="153" w:lineRule="exact"/>
              <w:rPr>
                <w:sz w:val="20"/>
                <w:szCs w:val="20"/>
                <w:color w:val="auto"/>
              </w:rPr>
            </w:pPr>
            <w:r>
              <w:rPr>
                <w:rFonts w:ascii="Arial" w:cs="Arial" w:eastAsia="Arial" w:hAnsi="Arial"/>
                <w:sz w:val="14"/>
                <w:szCs w:val="14"/>
                <w:b w:val="1"/>
                <w:bCs w:val="1"/>
                <w:color w:val="auto"/>
              </w:rPr>
              <w:t>Average Initial Term (in</w:t>
            </w:r>
          </w:p>
        </w:tc>
        <w:tc>
          <w:tcPr>
            <w:tcW w:w="0" w:type="dxa"/>
            <w:vAlign w:val="bottom"/>
          </w:tcPr>
          <w:p>
            <w:pPr>
              <w:spacing w:after="0"/>
              <w:rPr>
                <w:sz w:val="1"/>
                <w:szCs w:val="1"/>
                <w:color w:val="auto"/>
              </w:rPr>
            </w:pPr>
          </w:p>
        </w:tc>
      </w:tr>
      <w:tr>
        <w:trPr>
          <w:trHeight w:val="205"/>
        </w:trPr>
        <w:tc>
          <w:tcPr>
            <w:tcW w:w="57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600" w:type="dxa"/>
            <w:vAlign w:val="bottom"/>
            <w:gridSpan w:val="2"/>
            <w:vMerge w:val="continue"/>
          </w:tcPr>
          <w:p>
            <w:pPr>
              <w:spacing w:after="0"/>
              <w:rPr>
                <w:sz w:val="17"/>
                <w:szCs w:val="17"/>
                <w:color w:val="auto"/>
              </w:rPr>
            </w:pPr>
          </w:p>
        </w:tc>
        <w:tc>
          <w:tcPr>
            <w:tcW w:w="1820" w:type="dxa"/>
            <w:vAlign w:val="bottom"/>
          </w:tcPr>
          <w:p>
            <w:pPr>
              <w:jc w:val="right"/>
              <w:ind w:right="573"/>
              <w:spacing w:after="0"/>
              <w:rPr>
                <w:sz w:val="20"/>
                <w:szCs w:val="20"/>
                <w:color w:val="auto"/>
              </w:rPr>
            </w:pPr>
            <w:r>
              <w:rPr>
                <w:rFonts w:ascii="Arial" w:cs="Arial" w:eastAsia="Arial" w:hAnsi="Arial"/>
                <w:sz w:val="14"/>
                <w:szCs w:val="14"/>
                <w:b w:val="1"/>
                <w:bCs w:val="1"/>
                <w:color w:val="auto"/>
              </w:rPr>
              <w:t>months)</w:t>
            </w:r>
          </w:p>
        </w:tc>
        <w:tc>
          <w:tcPr>
            <w:tcW w:w="0" w:type="dxa"/>
            <w:vAlign w:val="bottom"/>
          </w:tcPr>
          <w:p>
            <w:pPr>
              <w:spacing w:after="0"/>
              <w:rPr>
                <w:sz w:val="1"/>
                <w:szCs w:val="1"/>
                <w:color w:val="auto"/>
              </w:rPr>
            </w:pPr>
          </w:p>
        </w:tc>
      </w:tr>
      <w:tr>
        <w:trPr>
          <w:trHeight w:val="250"/>
        </w:trPr>
        <w:tc>
          <w:tcPr>
            <w:tcW w:w="56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14,518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5620" w:type="dxa"/>
            <w:vAlign w:val="bottom"/>
          </w:tcPr>
          <w:p>
            <w:pPr>
              <w:jc w:val="center"/>
              <w:spacing w:after="0"/>
              <w:rPr>
                <w:sz w:val="20"/>
                <w:szCs w:val="20"/>
                <w:color w:val="auto"/>
              </w:rPr>
            </w:pPr>
            <w:r>
              <w:rPr>
                <w:rFonts w:ascii="Arial" w:cs="Arial" w:eastAsia="Arial" w:hAnsi="Arial"/>
                <w:sz w:val="18"/>
                <w:szCs w:val="18"/>
                <w:color w:val="auto"/>
                <w:w w:val="89"/>
              </w:rPr>
              <w:t>2009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12,689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5,565</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14,480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6,473</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5620" w:type="dxa"/>
            <w:vAlign w:val="bottom"/>
          </w:tcPr>
          <w:p>
            <w:pPr>
              <w:jc w:val="center"/>
              <w:spacing w:after="0"/>
              <w:rPr>
                <w:sz w:val="20"/>
                <w:szCs w:val="20"/>
                <w:color w:val="auto"/>
              </w:rPr>
            </w:pPr>
            <w:r>
              <w:rPr>
                <w:rFonts w:ascii="Arial" w:cs="Arial" w:eastAsia="Arial" w:hAnsi="Arial"/>
                <w:sz w:val="18"/>
                <w:szCs w:val="18"/>
                <w:color w:val="auto"/>
                <w:w w:val="84"/>
              </w:rPr>
              <w:t>2011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15,686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7,137</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15,468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7,165</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562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15,445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7,344</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15,692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7,492</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562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16,354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7,272</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18,218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7,976</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562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20,230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8,746</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500" w:hanging="330"/>
        <w:spacing w:after="0"/>
        <w:tabs>
          <w:tab w:leader="none" w:pos="5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Represents the repayments that we were contractually owed on Consumer Loans at the time of assignment, which include both principal and interest.</w:t>
      </w:r>
    </w:p>
    <w:p>
      <w:pPr>
        <w:spacing w:after="0" w:line="13" w:lineRule="exact"/>
        <w:rPr>
          <w:rFonts w:ascii="Arial" w:cs="Arial" w:eastAsia="Arial" w:hAnsi="Arial"/>
          <w:sz w:val="14"/>
          <w:szCs w:val="14"/>
          <w:color w:val="auto"/>
        </w:rPr>
      </w:pPr>
    </w:p>
    <w:p>
      <w:pPr>
        <w:ind w:left="500" w:right="20" w:hanging="330"/>
        <w:spacing w:after="0" w:line="255" w:lineRule="auto"/>
        <w:tabs>
          <w:tab w:leader="none" w:pos="5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Represents advances paid to Dealers on Consumer Loans assigned under our Portfolio Program and one-time payments made to Dealers to purchase Consumer Loans assigned under our Purchase Program. Payments of Dealer Holdback and accelerated Dealer Holdback are not included.</w:t>
      </w:r>
    </w:p>
    <w:p>
      <w:pPr>
        <w:spacing w:after="0" w:line="19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Forecasting collection rates accurately at Loan inception is difficult. With this in mind, we establish advance rates that are intended to allow us to achieve acceptable levels of profitability, even if collection rates are less than we initially forecast.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68" w:right="239" w:bottom="1440" w:gutter="0" w:footer="0" w:header="0"/>
        </w:sectPr>
      </w:pPr>
    </w:p>
    <w:bookmarkStart w:id="25" w:name="page26"/>
    <w:bookmarkEnd w:id="25"/>
    <w:p>
      <w:pPr>
        <w:jc w:val="both"/>
        <w:ind w:firstLine="324"/>
        <w:spacing w:after="0" w:line="312" w:lineRule="auto"/>
        <w:rPr>
          <w:sz w:val="20"/>
          <w:szCs w:val="20"/>
          <w:color w:val="auto"/>
        </w:rPr>
      </w:pPr>
      <w:r>
        <w:rPr>
          <w:rFonts w:ascii="Arial" w:cs="Arial" w:eastAsia="Arial" w:hAnsi="Arial"/>
          <w:sz w:val="16"/>
          <w:szCs w:val="16"/>
          <w:color w:val="auto"/>
        </w:rPr>
        <w:t>The following table presents forecasted Consumer Loan collection rates, advance rates, the spread (the forecasted collection rate less the advance rate), and the percentage of the forecasted collections that had been realized as of December 31, 2017. All amounts, unless otherwise noted, are presented as a percentage of the initial balance of the Consumer Loan (principal + interest). The table includes both Dealer Loans and Purchased Loans.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940" w:type="dxa"/>
            <w:vAlign w:val="bottom"/>
            <w:tcBorders>
              <w:bottom w:val="single" w:sz="8" w:color="auto"/>
            </w:tcBorders>
            <w:gridSpan w:val="4"/>
          </w:tcPr>
          <w:p>
            <w:pPr>
              <w:ind w:left="1180"/>
              <w:spacing w:after="0"/>
              <w:rPr>
                <w:sz w:val="20"/>
                <w:szCs w:val="20"/>
                <w:color w:val="auto"/>
              </w:rPr>
            </w:pPr>
            <w:r>
              <w:rPr>
                <w:rFonts w:ascii="Arial" w:cs="Arial" w:eastAsia="Arial" w:hAnsi="Arial"/>
                <w:sz w:val="14"/>
                <w:szCs w:val="14"/>
                <w:b w:val="1"/>
                <w:bCs w:val="1"/>
                <w:color w:val="auto"/>
              </w:rPr>
              <w:t>As of December 31, 2017</w:t>
            </w:r>
          </w:p>
        </w:tc>
        <w:tc>
          <w:tcPr>
            <w:tcW w:w="1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6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Consumer Loan Assignment Year</w:t>
            </w:r>
          </w:p>
        </w:tc>
        <w:tc>
          <w:tcPr>
            <w:tcW w:w="1340" w:type="dxa"/>
            <w:vAlign w:val="bottom"/>
          </w:tcPr>
          <w:p>
            <w:pPr>
              <w:jc w:val="center"/>
              <w:ind w:left="448"/>
              <w:spacing w:after="0" w:line="153" w:lineRule="exact"/>
              <w:rPr>
                <w:sz w:val="20"/>
                <w:szCs w:val="20"/>
                <w:color w:val="auto"/>
              </w:rPr>
            </w:pPr>
            <w:r>
              <w:rPr>
                <w:rFonts w:ascii="Arial" w:cs="Arial" w:eastAsia="Arial" w:hAnsi="Arial"/>
                <w:sz w:val="14"/>
                <w:szCs w:val="14"/>
                <w:b w:val="1"/>
                <w:bCs w:val="1"/>
                <w:color w:val="auto"/>
                <w:w w:val="88"/>
              </w:rPr>
              <w:t>Forecasted</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Advance % (1)</w:t>
            </w:r>
          </w:p>
        </w:tc>
        <w:tc>
          <w:tcPr>
            <w:tcW w:w="196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Spread %</w:t>
            </w:r>
          </w:p>
        </w:tc>
        <w:tc>
          <w:tcPr>
            <w:tcW w:w="1860" w:type="dxa"/>
            <w:vAlign w:val="bottom"/>
          </w:tcPr>
          <w:p>
            <w:pPr>
              <w:jc w:val="right"/>
              <w:ind w:right="413"/>
              <w:spacing w:after="0" w:line="153" w:lineRule="exact"/>
              <w:rPr>
                <w:sz w:val="20"/>
                <w:szCs w:val="20"/>
                <w:color w:val="auto"/>
              </w:rPr>
            </w:pPr>
            <w:r>
              <w:rPr>
                <w:rFonts w:ascii="Arial" w:cs="Arial" w:eastAsia="Arial" w:hAnsi="Arial"/>
                <w:sz w:val="14"/>
                <w:szCs w:val="14"/>
                <w:b w:val="1"/>
                <w:bCs w:val="1"/>
                <w:color w:val="auto"/>
              </w:rPr>
              <w:t>% of Forecast</w:t>
            </w:r>
          </w:p>
        </w:tc>
        <w:tc>
          <w:tcPr>
            <w:tcW w:w="0" w:type="dxa"/>
            <w:vAlign w:val="bottom"/>
          </w:tcPr>
          <w:p>
            <w:pPr>
              <w:spacing w:after="0"/>
              <w:rPr>
                <w:sz w:val="1"/>
                <w:szCs w:val="1"/>
                <w:color w:val="auto"/>
              </w:rPr>
            </w:pPr>
          </w:p>
        </w:tc>
      </w:tr>
      <w:tr>
        <w:trPr>
          <w:trHeight w:val="205"/>
        </w:trPr>
        <w:tc>
          <w:tcPr>
            <w:tcW w:w="3660" w:type="dxa"/>
            <w:vAlign w:val="bottom"/>
            <w:gridSpan w:val="2"/>
            <w:vMerge w:val="continue"/>
          </w:tcPr>
          <w:p>
            <w:pPr>
              <w:spacing w:after="0"/>
              <w:rPr>
                <w:sz w:val="17"/>
                <w:szCs w:val="17"/>
                <w:color w:val="auto"/>
              </w:rPr>
            </w:pPr>
          </w:p>
        </w:tc>
        <w:tc>
          <w:tcPr>
            <w:tcW w:w="1340" w:type="dxa"/>
            <w:vAlign w:val="bottom"/>
          </w:tcPr>
          <w:p>
            <w:pPr>
              <w:jc w:val="center"/>
              <w:ind w:left="428"/>
              <w:spacing w:after="0"/>
              <w:rPr>
                <w:sz w:val="20"/>
                <w:szCs w:val="20"/>
                <w:color w:val="auto"/>
              </w:rPr>
            </w:pPr>
            <w:r>
              <w:rPr>
                <w:rFonts w:ascii="Arial" w:cs="Arial" w:eastAsia="Arial" w:hAnsi="Arial"/>
                <w:sz w:val="14"/>
                <w:szCs w:val="14"/>
                <w:b w:val="1"/>
                <w:bCs w:val="1"/>
                <w:color w:val="auto"/>
                <w:w w:val="95"/>
              </w:rPr>
              <w:t>Collection %</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gridSpan w:val="2"/>
            <w:vMerge w:val="continue"/>
          </w:tcPr>
          <w:p>
            <w:pPr>
              <w:spacing w:after="0"/>
              <w:rPr>
                <w:sz w:val="17"/>
                <w:szCs w:val="17"/>
                <w:color w:val="auto"/>
              </w:rPr>
            </w:pPr>
          </w:p>
        </w:tc>
        <w:tc>
          <w:tcPr>
            <w:tcW w:w="1960" w:type="dxa"/>
            <w:vAlign w:val="bottom"/>
            <w:gridSpan w:val="2"/>
            <w:vMerge w:val="continue"/>
          </w:tcPr>
          <w:p>
            <w:pPr>
              <w:spacing w:after="0"/>
              <w:rPr>
                <w:sz w:val="17"/>
                <w:szCs w:val="17"/>
                <w:color w:val="auto"/>
              </w:rPr>
            </w:pPr>
          </w:p>
        </w:tc>
        <w:tc>
          <w:tcPr>
            <w:tcW w:w="1860" w:type="dxa"/>
            <w:vAlign w:val="bottom"/>
          </w:tcPr>
          <w:p>
            <w:pPr>
              <w:jc w:val="right"/>
              <w:ind w:right="473"/>
              <w:spacing w:after="0"/>
              <w:rPr>
                <w:sz w:val="20"/>
                <w:szCs w:val="20"/>
                <w:color w:val="auto"/>
              </w:rPr>
            </w:pPr>
            <w:r>
              <w:rPr>
                <w:rFonts w:ascii="Arial" w:cs="Arial" w:eastAsia="Arial" w:hAnsi="Arial"/>
                <w:sz w:val="14"/>
                <w:szCs w:val="14"/>
                <w:b w:val="1"/>
                <w:bCs w:val="1"/>
                <w:color w:val="auto"/>
              </w:rPr>
              <w:t>Realized (2)</w:t>
            </w:r>
          </w:p>
        </w:tc>
        <w:tc>
          <w:tcPr>
            <w:tcW w:w="0" w:type="dxa"/>
            <w:vAlign w:val="bottom"/>
          </w:tcPr>
          <w:p>
            <w:pPr>
              <w:spacing w:after="0"/>
              <w:rPr>
                <w:sz w:val="1"/>
                <w:szCs w:val="1"/>
                <w:color w:val="auto"/>
              </w:rPr>
            </w:pPr>
          </w:p>
        </w:tc>
      </w:tr>
      <w:tr>
        <w:trPr>
          <w:trHeight w:val="250"/>
        </w:trPr>
        <w:tc>
          <w:tcPr>
            <w:tcW w:w="35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70.5%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43"/>
        </w:trPr>
        <w:tc>
          <w:tcPr>
            <w:tcW w:w="3540" w:type="dxa"/>
            <w:vAlign w:val="bottom"/>
          </w:tcPr>
          <w:p>
            <w:pPr>
              <w:jc w:val="center"/>
              <w:spacing w:after="0"/>
              <w:rPr>
                <w:sz w:val="20"/>
                <w:szCs w:val="20"/>
                <w:color w:val="auto"/>
              </w:rPr>
            </w:pPr>
            <w:r>
              <w:rPr>
                <w:rFonts w:ascii="Arial" w:cs="Arial" w:eastAsia="Arial" w:hAnsi="Arial"/>
                <w:sz w:val="18"/>
                <w:szCs w:val="18"/>
                <w:color w:val="auto"/>
                <w:w w:val="89"/>
              </w:rPr>
              <w:t>2009</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79.5%</w:t>
            </w:r>
          </w:p>
        </w:tc>
        <w:tc>
          <w:tcPr>
            <w:tcW w:w="1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43.9%</w:t>
            </w:r>
          </w:p>
        </w:tc>
        <w:tc>
          <w:tcPr>
            <w:tcW w:w="1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2010</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77.6%</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43"/>
        </w:trPr>
        <w:tc>
          <w:tcPr>
            <w:tcW w:w="3540" w:type="dxa"/>
            <w:vAlign w:val="bottom"/>
          </w:tcPr>
          <w:p>
            <w:pPr>
              <w:jc w:val="center"/>
              <w:spacing w:after="0"/>
              <w:rPr>
                <w:sz w:val="20"/>
                <w:szCs w:val="20"/>
                <w:color w:val="auto"/>
              </w:rPr>
            </w:pPr>
            <w:r>
              <w:rPr>
                <w:rFonts w:ascii="Arial" w:cs="Arial" w:eastAsia="Arial" w:hAnsi="Arial"/>
                <w:sz w:val="18"/>
                <w:szCs w:val="18"/>
                <w:color w:val="auto"/>
                <w:w w:val="89"/>
              </w:rPr>
              <w:t>2011</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74.7%</w:t>
            </w:r>
          </w:p>
        </w:tc>
        <w:tc>
          <w:tcPr>
            <w:tcW w:w="1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45.5%</w:t>
            </w:r>
          </w:p>
        </w:tc>
        <w:tc>
          <w:tcPr>
            <w:tcW w:w="1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2012</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73.8%</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43"/>
        </w:trPr>
        <w:tc>
          <w:tcPr>
            <w:tcW w:w="354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73.5%</w:t>
            </w:r>
          </w:p>
        </w:tc>
        <w:tc>
          <w:tcPr>
            <w:tcW w:w="1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47.6%</w:t>
            </w:r>
          </w:p>
        </w:tc>
        <w:tc>
          <w:tcPr>
            <w:tcW w:w="1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71.7%</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43"/>
        </w:trPr>
        <w:tc>
          <w:tcPr>
            <w:tcW w:w="354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65.5%</w:t>
            </w:r>
          </w:p>
        </w:tc>
        <w:tc>
          <w:tcPr>
            <w:tcW w:w="1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44.5%</w:t>
            </w:r>
          </w:p>
        </w:tc>
        <w:tc>
          <w:tcPr>
            <w:tcW w:w="1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64.8%</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43"/>
        </w:trPr>
        <w:tc>
          <w:tcPr>
            <w:tcW w:w="354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65.6%</w:t>
            </w:r>
          </w:p>
        </w:tc>
        <w:tc>
          <w:tcPr>
            <w:tcW w:w="1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43.2%</w:t>
            </w:r>
          </w:p>
        </w:tc>
        <w:tc>
          <w:tcPr>
            <w:tcW w:w="1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500" w:right="20" w:hanging="330"/>
        <w:spacing w:after="0" w:line="269" w:lineRule="auto"/>
        <w:tabs>
          <w:tab w:leader="none" w:pos="5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Represents advances paid to Dealers on Consumer Loans assigned under our Portfolio Program and one-time payments made to Dealers to purchase Consumer Loans assigned under our Purchase Program as a percentage of the initial balance of the Consumer Loans. Payments of Dealer Holdback and accelerated Dealer Holdback are not included.</w:t>
      </w:r>
    </w:p>
    <w:p>
      <w:pPr>
        <w:spacing w:after="0" w:line="1" w:lineRule="exact"/>
        <w:rPr>
          <w:rFonts w:ascii="Arial" w:cs="Arial" w:eastAsia="Arial" w:hAnsi="Arial"/>
          <w:sz w:val="13"/>
          <w:szCs w:val="13"/>
          <w:color w:val="auto"/>
        </w:rPr>
      </w:pPr>
    </w:p>
    <w:p>
      <w:pPr>
        <w:ind w:left="500" w:hanging="330"/>
        <w:spacing w:after="0"/>
        <w:tabs>
          <w:tab w:leader="none" w:pos="5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Presented as a percentage of total forecasted collections.</w:t>
      </w:r>
    </w:p>
    <w:p>
      <w:pPr>
        <w:spacing w:after="0" w:line="21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risk of a material change in our forecasted collection rate declines as the Consumer Loans age. For 2013 and prior Consumer Loan assignments, the risk of a material forecast variance is modest, as we have currently realized in excess of 90% of the expected collections. Conversely, the forecasted collection rates for more recent Consumer Loan assignments are less certain as a significant portion of our forecast has not been realized.</w:t>
      </w:r>
    </w:p>
    <w:p>
      <w:pPr>
        <w:spacing w:after="0" w:line="14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spread between the forecasted collection rate and the advance rate has ranged from 21.0% to 35.6% over the last 10 years. The spread was at the high end of this range in 2009 and 2010, when the competitive environment was unusually favorable, and much lower during other years (2014 through 2017) when competition was more intense. The decline in the advance rate from 2016 to 2017 reflects the lower initial forecast on Consumer Loan assignments received in 2017, partially offset by an increase in Purchased Loans as a percentage of total unit volume. The increase in the spread from 2016 to 2017 was the result of the performance of 2017 Consumer Loans, which has materially exceeded our initial estimates, partially offset by a change in the mix of Consumer Loan assignments received during 2017, including an increase in Purchased Loans as a percentage of total unit volume.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68" w:right="239" w:bottom="1440" w:gutter="0" w:footer="0" w:header="0"/>
        </w:sectPr>
      </w:pPr>
    </w:p>
    <w:bookmarkStart w:id="26" w:name="page27"/>
    <w:bookmarkEnd w:id="26"/>
    <w:p>
      <w:pPr>
        <w:ind w:firstLine="324"/>
        <w:spacing w:after="0" w:line="277" w:lineRule="auto"/>
        <w:rPr>
          <w:sz w:val="20"/>
          <w:szCs w:val="20"/>
          <w:color w:val="auto"/>
        </w:rPr>
      </w:pPr>
      <w:r>
        <w:rPr>
          <w:rFonts w:ascii="Arial" w:cs="Arial" w:eastAsia="Arial" w:hAnsi="Arial"/>
          <w:sz w:val="18"/>
          <w:szCs w:val="18"/>
          <w:color w:val="auto"/>
        </w:rPr>
        <w:t>The following table compares our forecast of Consumer Loan collection rates as of December 31, 2017 with the forecasts at the time of assignment, for Dealer Loans and Purchased Loans separately.</w:t>
      </w:r>
    </w:p>
    <w:p>
      <w:pPr>
        <w:sectPr>
          <w:pgSz w:w="11900" w:h="16838" w:orient="portrait"/>
          <w:cols w:equalWidth="0" w:num="1">
            <w:col w:w="11420"/>
          </w:cols>
          <w:pgMar w:left="240" w:top="368" w:right="239" w:bottom="1440" w:gutter="0" w:footer="0" w:header="0"/>
        </w:sectPr>
      </w:pPr>
    </w:p>
    <w:p>
      <w:pPr>
        <w:spacing w:after="0" w:line="162" w:lineRule="exact"/>
        <w:rPr>
          <w:sz w:val="20"/>
          <w:szCs w:val="20"/>
          <w:color w:val="auto"/>
        </w:rPr>
      </w:pPr>
    </w:p>
    <w:p>
      <w:pPr>
        <w:ind w:left="4760"/>
        <w:spacing w:after="0"/>
        <w:rPr>
          <w:sz w:val="20"/>
          <w:szCs w:val="20"/>
          <w:color w:val="auto"/>
        </w:rPr>
      </w:pPr>
      <w:r>
        <w:rPr>
          <w:rFonts w:ascii="Arial" w:cs="Arial" w:eastAsia="Arial" w:hAnsi="Arial"/>
          <w:sz w:val="14"/>
          <w:szCs w:val="14"/>
          <w:b w:val="1"/>
          <w:bCs w:val="1"/>
          <w:color w:val="auto"/>
        </w:rPr>
        <w:t>Dealer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23495</wp:posOffset>
            </wp:positionV>
            <wp:extent cx="261556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15565" cy="17145"/>
                    </a:xfrm>
                    <a:prstGeom prst="rect">
                      <a:avLst/>
                    </a:prstGeom>
                    <a:noFill/>
                  </pic:spPr>
                </pic:pic>
              </a:graphicData>
            </a:graphic>
          </wp:anchor>
        </w:drawing>
      </w:r>
    </w:p>
    <w:p>
      <w:pPr>
        <w:spacing w:after="0" w:line="103" w:lineRule="exact"/>
        <w:rPr>
          <w:sz w:val="20"/>
          <w:szCs w:val="20"/>
          <w:color w:val="auto"/>
        </w:rPr>
      </w:pPr>
    </w:p>
    <w:p>
      <w:pPr>
        <w:ind w:left="3180"/>
        <w:spacing w:after="0"/>
        <w:rPr>
          <w:sz w:val="20"/>
          <w:szCs w:val="20"/>
          <w:color w:val="auto"/>
        </w:rPr>
      </w:pPr>
      <w:r>
        <w:rPr>
          <w:rFonts w:ascii="Arial" w:cs="Arial" w:eastAsia="Arial" w:hAnsi="Arial"/>
          <w:sz w:val="12"/>
          <w:szCs w:val="12"/>
          <w:b w:val="1"/>
          <w:bCs w:val="1"/>
          <w:color w:val="auto"/>
        </w:rPr>
        <w:t>Forecasted Collection Percentage as of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38100</wp:posOffset>
            </wp:positionV>
            <wp:extent cx="17068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0688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1460"/>
        <w:spacing w:after="0"/>
        <w:rPr>
          <w:sz w:val="20"/>
          <w:szCs w:val="20"/>
          <w:color w:val="auto"/>
        </w:rPr>
      </w:pPr>
      <w:r>
        <w:rPr>
          <w:rFonts w:ascii="Arial" w:cs="Arial" w:eastAsia="Arial" w:hAnsi="Arial"/>
          <w:sz w:val="13"/>
          <w:szCs w:val="13"/>
          <w:b w:val="1"/>
          <w:bCs w:val="1"/>
          <w:color w:val="auto"/>
        </w:rPr>
        <w:t>Purchased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31115</wp:posOffset>
            </wp:positionV>
            <wp:extent cx="25984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98420" cy="17145"/>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Forecasted Collection Percentage as of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38100</wp:posOffset>
            </wp:positionV>
            <wp:extent cx="17151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15135" cy="17145"/>
                    </a:xfrm>
                    <a:prstGeom prst="rect">
                      <a:avLst/>
                    </a:prstGeom>
                    <a:noFill/>
                  </pic:spPr>
                </pic:pic>
              </a:graphicData>
            </a:graphic>
          </wp:anchor>
        </w:drawing>
      </w:r>
    </w:p>
    <w:p>
      <w:pPr>
        <w:spacing w:after="0" w:line="79" w:lineRule="exact"/>
        <w:rPr>
          <w:sz w:val="20"/>
          <w:szCs w:val="20"/>
          <w:color w:val="auto"/>
        </w:rPr>
      </w:pPr>
    </w:p>
    <w:p>
      <w:pPr>
        <w:sectPr>
          <w:pgSz w:w="11900" w:h="16838" w:orient="portrait"/>
          <w:cols w:equalWidth="0" w:num="2">
            <w:col w:w="6680" w:space="720"/>
            <w:col w:w="4020"/>
          </w:cols>
          <w:pgMar w:left="240" w:top="368" w:right="2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31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2"/>
              </w:rPr>
              <w:t>Consumer Loan Assignment Year</w:t>
            </w:r>
          </w:p>
        </w:tc>
        <w:tc>
          <w:tcPr>
            <w:tcW w:w="14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December 31, 2017</w:t>
            </w:r>
          </w:p>
        </w:tc>
        <w:tc>
          <w:tcPr>
            <w:tcW w:w="14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Initial</w:t>
            </w:r>
          </w:p>
        </w:tc>
        <w:tc>
          <w:tcPr>
            <w:tcW w:w="142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Variance</w:t>
            </w:r>
          </w:p>
        </w:tc>
        <w:tc>
          <w:tcPr>
            <w:tcW w:w="14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December 31, 2017</w:t>
            </w:r>
          </w:p>
        </w:tc>
        <w:tc>
          <w:tcPr>
            <w:tcW w:w="14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Initial</w:t>
            </w:r>
          </w:p>
        </w:tc>
        <w:tc>
          <w:tcPr>
            <w:tcW w:w="128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205"/>
        </w:trPr>
        <w:tc>
          <w:tcPr>
            <w:tcW w:w="3100" w:type="dxa"/>
            <w:vAlign w:val="bottom"/>
            <w:gridSpan w:val="2"/>
            <w:vMerge w:val="continue"/>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Forecast</w:t>
            </w:r>
          </w:p>
        </w:tc>
        <w:tc>
          <w:tcPr>
            <w:tcW w:w="1420" w:type="dxa"/>
            <w:vAlign w:val="bottom"/>
            <w:gridSpan w:val="2"/>
            <w:vMerge w:val="continue"/>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Forecast</w:t>
            </w: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0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3000" w:type="dxa"/>
            <w:vAlign w:val="bottom"/>
          </w:tcPr>
          <w:p>
            <w:pPr>
              <w:jc w:val="center"/>
              <w:spacing w:after="0"/>
              <w:rPr>
                <w:sz w:val="20"/>
                <w:szCs w:val="20"/>
                <w:color w:val="auto"/>
              </w:rPr>
            </w:pPr>
            <w:r>
              <w:rPr>
                <w:rFonts w:ascii="Arial" w:cs="Arial" w:eastAsia="Arial" w:hAnsi="Arial"/>
                <w:sz w:val="18"/>
                <w:szCs w:val="18"/>
                <w:color w:val="auto"/>
                <w:w w:val="89"/>
              </w:rPr>
              <w:t>2009</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72.1%</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7.1 %</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70.5%</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2010</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3"/>
        </w:trPr>
        <w:tc>
          <w:tcPr>
            <w:tcW w:w="3000" w:type="dxa"/>
            <w:vAlign w:val="bottom"/>
          </w:tcPr>
          <w:p>
            <w:pPr>
              <w:jc w:val="center"/>
              <w:spacing w:after="0"/>
              <w:rPr>
                <w:sz w:val="20"/>
                <w:szCs w:val="20"/>
                <w:color w:val="auto"/>
              </w:rPr>
            </w:pPr>
            <w:r>
              <w:rPr>
                <w:rFonts w:ascii="Arial" w:cs="Arial" w:eastAsia="Arial" w:hAnsi="Arial"/>
                <w:sz w:val="18"/>
                <w:szCs w:val="18"/>
                <w:color w:val="auto"/>
                <w:w w:val="89"/>
              </w:rPr>
              <w:t>2011</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72.4%</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76.3%</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72.7%</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2012</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300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73.4%</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72.1%</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71.6%</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300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67.5%</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68.5%</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300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63.8%</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67.1%</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64.6%</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ind w:left="500" w:hanging="330"/>
        <w:spacing w:after="0" w:line="277" w:lineRule="auto"/>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forecasted collection rates presented for Dealer Loans and Purchased Loans reflect the Consumer Loan classification at the time of assignment. Under our Portfolio Program, certain events may result in Dealers forfeiting their rights to Dealer Holdback. We transfer the Dealer’s Consumer Loans from the Dealer Loan portfolio to the Purchased Loan portfolio in the period this forfeiture occurs. During 2017, we changed the presentation of current forecasted collection rates for each Consumer Loan assignment year to exclude the impact of transfers. Prior to 2017, the presentation of current forecasted collection rates for each Consumer Loan assignment year reflected the current Consumer Loan classification.</w:t>
      </w:r>
    </w:p>
    <w:p>
      <w:pPr>
        <w:spacing w:after="0" w:line="179"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The following table presents forecasted Consumer Loan collection rates, advance rates, and the spread (the forecasted collection rate less the advance rate) as of December 31, 2017 for Dealer Loans and Purchased Loans separately. All amounts are presented as a percentage of the initial balance of the Consumer Loan (principal + interest).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3"/>
              </w:rPr>
              <w:t>Dealer Loans</w:t>
            </w:r>
          </w:p>
        </w:tc>
        <w:tc>
          <w:tcPr>
            <w:tcW w:w="12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Purchased Loans</w:t>
            </w:r>
          </w:p>
        </w:tc>
        <w:tc>
          <w:tcPr>
            <w:tcW w:w="12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1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1"/>
              </w:rPr>
              <w:t>Consumer Loan Assignment Year</w:t>
            </w:r>
          </w:p>
        </w:tc>
        <w:tc>
          <w:tcPr>
            <w:tcW w:w="14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Forecasted</w:t>
            </w:r>
          </w:p>
        </w:tc>
        <w:tc>
          <w:tcPr>
            <w:tcW w:w="14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Advance % (1)(2)</w:t>
            </w:r>
          </w:p>
        </w:tc>
        <w:tc>
          <w:tcPr>
            <w:tcW w:w="138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Spread %</w:t>
            </w:r>
          </w:p>
        </w:tc>
        <w:tc>
          <w:tcPr>
            <w:tcW w:w="14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Forecasted</w:t>
            </w:r>
          </w:p>
        </w:tc>
        <w:tc>
          <w:tcPr>
            <w:tcW w:w="14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Advance % (1)(2)</w:t>
            </w:r>
          </w:p>
        </w:tc>
        <w:tc>
          <w:tcPr>
            <w:tcW w:w="128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Spread %</w:t>
            </w:r>
          </w:p>
        </w:tc>
        <w:tc>
          <w:tcPr>
            <w:tcW w:w="0" w:type="dxa"/>
            <w:vAlign w:val="bottom"/>
          </w:tcPr>
          <w:p>
            <w:pPr>
              <w:spacing w:after="0"/>
              <w:rPr>
                <w:sz w:val="1"/>
                <w:szCs w:val="1"/>
                <w:color w:val="auto"/>
              </w:rPr>
            </w:pPr>
          </w:p>
        </w:tc>
      </w:tr>
      <w:tr>
        <w:trPr>
          <w:trHeight w:val="205"/>
        </w:trPr>
        <w:tc>
          <w:tcPr>
            <w:tcW w:w="3120" w:type="dxa"/>
            <w:vAlign w:val="bottom"/>
            <w:gridSpan w:val="2"/>
            <w:vMerge w:val="continue"/>
          </w:tcPr>
          <w:p>
            <w:pPr>
              <w:spacing w:after="0"/>
              <w:rPr>
                <w:sz w:val="17"/>
                <w:szCs w:val="17"/>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Collection % (1)</w:t>
            </w:r>
          </w:p>
        </w:tc>
        <w:tc>
          <w:tcPr>
            <w:tcW w:w="1400" w:type="dxa"/>
            <w:vAlign w:val="bottom"/>
            <w:gridSpan w:val="2"/>
            <w:vMerge w:val="continue"/>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Collection % (1)</w:t>
            </w:r>
          </w:p>
        </w:tc>
        <w:tc>
          <w:tcPr>
            <w:tcW w:w="1400" w:type="dxa"/>
            <w:vAlign w:val="bottom"/>
            <w:gridSpan w:val="2"/>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0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43"/>
        </w:trPr>
        <w:tc>
          <w:tcPr>
            <w:tcW w:w="3020" w:type="dxa"/>
            <w:vAlign w:val="bottom"/>
          </w:tcPr>
          <w:p>
            <w:pPr>
              <w:jc w:val="center"/>
              <w:spacing w:after="0"/>
              <w:rPr>
                <w:sz w:val="20"/>
                <w:szCs w:val="20"/>
                <w:color w:val="auto"/>
              </w:rPr>
            </w:pPr>
            <w:r>
              <w:rPr>
                <w:rFonts w:ascii="Arial" w:cs="Arial" w:eastAsia="Arial" w:hAnsi="Arial"/>
                <w:sz w:val="18"/>
                <w:szCs w:val="18"/>
                <w:color w:val="auto"/>
                <w:w w:val="89"/>
              </w:rPr>
              <w:t>2009</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79.2%</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80.8%</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2010</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43"/>
        </w:trPr>
        <w:tc>
          <w:tcPr>
            <w:tcW w:w="3020" w:type="dxa"/>
            <w:vAlign w:val="bottom"/>
          </w:tcPr>
          <w:p>
            <w:pPr>
              <w:jc w:val="center"/>
              <w:spacing w:after="0"/>
              <w:rPr>
                <w:sz w:val="20"/>
                <w:szCs w:val="20"/>
                <w:color w:val="auto"/>
              </w:rPr>
            </w:pPr>
            <w:r>
              <w:rPr>
                <w:rFonts w:ascii="Arial" w:cs="Arial" w:eastAsia="Arial" w:hAnsi="Arial"/>
                <w:sz w:val="18"/>
                <w:szCs w:val="18"/>
                <w:color w:val="auto"/>
                <w:w w:val="89"/>
              </w:rPr>
              <w:t>2011</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74.6%</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45.1%</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76.3%</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49.3%</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2012</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43"/>
        </w:trPr>
        <w:tc>
          <w:tcPr>
            <w:tcW w:w="302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73.4%</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74.3%</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51.5%</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43"/>
        </w:trPr>
        <w:tc>
          <w:tcPr>
            <w:tcW w:w="302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64.8%</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69.8%</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50.2%</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43"/>
        </w:trPr>
        <w:tc>
          <w:tcPr>
            <w:tcW w:w="302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65.0%</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67.1%</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45.8%</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ind w:left="500" w:hanging="330"/>
        <w:spacing w:after="0" w:line="245" w:lineRule="auto"/>
        <w:tabs>
          <w:tab w:leader="none" w:pos="5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forecasted collection rates and advance rates presented for Dealer Loans and Purchased Loans reflect the Consumer Loan classification at the time of assignment. Under our Portfolio Program, certain events may result in Dealers forfeiting their rights to Dealer Holdback. We transfer the Dealer’s Consumer Loans from the Dealer Loan portfolio to the Purchased Loan portfolio in the period this forfeiture occurs. During 2017, we changed the presentation of forecasted collection rates and advance rates for each Consumer Loan assignment year to exclude the impact of transfers. Prior to 2017, the presentation of forecasted collection rates and advance rates for each Consumer Loan assignment year reflected the current Consumer Loan classification.</w:t>
      </w:r>
    </w:p>
    <w:p>
      <w:pPr>
        <w:ind w:left="500" w:right="20" w:hanging="330"/>
        <w:spacing w:after="0" w:line="293" w:lineRule="auto"/>
        <w:tabs>
          <w:tab w:leader="none" w:pos="5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Represents advances paid to Dealers on Consumer Loans assigned under our Portfolio Program and one-time payments made to Dealers to purchase Consumer Loans assigned under our Purchase Program as a percentage of the initial balance of the Consumer Loans. Payments of Dealer Holdback and accelerated Dealer Holdback are not included.</w:t>
      </w:r>
    </w:p>
    <w:p>
      <w:pPr>
        <w:spacing w:after="0" w:line="114"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During the fourth quarter of 2017, we transferred $89.0 million of Dealer Loans along with the related allowance for credit losses balance of $31.8 million to Purchased Loans. Under our Portfolio Program, certain events may result in Dealers forfeiting their rights to Dealer Holdback. Substantially all of these transfers relate to Dealers where events had occurred in prior periods that met our criteria for forfeiture. However, while we intended to exercise our rights to Dealer Holdback in the period the forfeiture event occurred, we did not exercise our rights for these Dealers until the fourth quarter of 2017.</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68" w:right="239" w:bottom="1440" w:gutter="0" w:footer="0" w:header="0"/>
          <w:type w:val="continuous"/>
        </w:sectPr>
      </w:pPr>
    </w:p>
    <w:bookmarkStart w:id="27" w:name="page28"/>
    <w:bookmarkEnd w:id="27"/>
    <w:p>
      <w:pPr>
        <w:jc w:val="both"/>
        <w:ind w:firstLine="324"/>
        <w:spacing w:after="0" w:line="277" w:lineRule="auto"/>
        <w:rPr>
          <w:sz w:val="20"/>
          <w:szCs w:val="20"/>
          <w:color w:val="auto"/>
        </w:rPr>
      </w:pPr>
      <w:r>
        <w:rPr>
          <w:rFonts w:ascii="Arial" w:cs="Arial" w:eastAsia="Arial" w:hAnsi="Arial"/>
          <w:sz w:val="18"/>
          <w:szCs w:val="18"/>
          <w:color w:val="auto"/>
        </w:rPr>
        <w:t>Although the advance rate on Purchased Loans is higher as compared to the advance rate on Dealer Loans, Purchased Loans do not require us to pay Dealer Holdback.</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spread on Dealer Loans increased from 21.8% in 2016 to 22.9% in 2017 as a result of the performance of 2017 Consumer Loans in our Dealer Loan portfolio, which has exceeded our initial estimates, while those assigned to us in 2016 have declined from our initial estimates, partially offset by a change in the mix of Consumer Loan assignments.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spread on Purchased Loans increased from 18.9% in 2016 to 21.3% in 2017 as a result of the performance of 2017 Consumer Loans in our Purchased Loan portfolio, which exceeded our initial estimates by a greater margin than those assigned to us in 2016, partially offset by a change in the mix of Consumer Loan assignments.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Access to Capital</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strategy for accessing capital on acceptable terms needed to maintain and grow the business is to: (1) maintain consistent financial performance; (2) maintain modest financial leverage; and (3) maintain multiple funding sources. Our funded debt to equity ratio was 2.0 to 1 as of December 31, 2017. We currently utilize the following primary forms of debt financing: (1) a revolving secured line of credit; (2) Warehouse facilities; (3) Term ABS financings; and (4) senior notes.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Consumer Loan Volume</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changes in Consumer Loan assignment volume in each of the last three years as compared to the same period in the previous year:</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80" w:type="dxa"/>
            <w:vAlign w:val="bottom"/>
            <w:tcBorders>
              <w:bottom w:val="single" w:sz="8" w:color="auto"/>
            </w:tcBorders>
            <w:gridSpan w:val="3"/>
          </w:tcPr>
          <w:p>
            <w:pPr>
              <w:jc w:val="right"/>
              <w:ind w:right="1214"/>
              <w:spacing w:after="0"/>
              <w:rPr>
                <w:sz w:val="20"/>
                <w:szCs w:val="20"/>
                <w:color w:val="auto"/>
              </w:rPr>
            </w:pPr>
            <w:r>
              <w:rPr>
                <w:rFonts w:ascii="Arial" w:cs="Arial" w:eastAsia="Arial" w:hAnsi="Arial"/>
                <w:sz w:val="14"/>
                <w:szCs w:val="14"/>
                <w:b w:val="1"/>
                <w:bCs w:val="1"/>
                <w:color w:val="auto"/>
              </w:rPr>
              <w:t>Year over Year Percent Change</w:t>
            </w:r>
          </w:p>
        </w:tc>
      </w:tr>
      <w:tr>
        <w:trPr>
          <w:trHeight w:val="264"/>
        </w:trPr>
        <w:tc>
          <w:tcPr>
            <w:tcW w:w="6840" w:type="dxa"/>
            <w:vAlign w:val="bottom"/>
            <w:gridSpan w:val="2"/>
          </w:tcPr>
          <w:p>
            <w:pPr>
              <w:ind w:left="2320"/>
              <w:spacing w:after="0"/>
              <w:rPr>
                <w:sz w:val="20"/>
                <w:szCs w:val="20"/>
                <w:color w:val="auto"/>
              </w:rPr>
            </w:pPr>
            <w:r>
              <w:rPr>
                <w:rFonts w:ascii="Arial" w:cs="Arial" w:eastAsia="Arial" w:hAnsi="Arial"/>
                <w:sz w:val="14"/>
                <w:szCs w:val="14"/>
                <w:b w:val="1"/>
                <w:bCs w:val="1"/>
                <w:color w:val="auto"/>
              </w:rPr>
              <w:t>For the Year Ended December 31,</w:t>
            </w:r>
          </w:p>
        </w:tc>
        <w:tc>
          <w:tcPr>
            <w:tcW w:w="2360" w:type="dxa"/>
            <w:vAlign w:val="bottom"/>
            <w:gridSpan w:val="2"/>
          </w:tcPr>
          <w:p>
            <w:pPr>
              <w:ind w:left="740"/>
              <w:spacing w:after="0"/>
              <w:rPr>
                <w:sz w:val="20"/>
                <w:szCs w:val="20"/>
                <w:color w:val="auto"/>
              </w:rPr>
            </w:pPr>
            <w:r>
              <w:rPr>
                <w:rFonts w:ascii="Arial" w:cs="Arial" w:eastAsia="Arial" w:hAnsi="Arial"/>
                <w:sz w:val="14"/>
                <w:szCs w:val="14"/>
                <w:b w:val="1"/>
                <w:bCs w:val="1"/>
                <w:color w:val="auto"/>
              </w:rPr>
              <w:t>Unit Volume</w:t>
            </w:r>
          </w:p>
        </w:tc>
        <w:tc>
          <w:tcPr>
            <w:tcW w:w="2220" w:type="dxa"/>
            <w:vAlign w:val="bottom"/>
          </w:tcPr>
          <w:p>
            <w:pPr>
              <w:jc w:val="right"/>
              <w:ind w:right="474"/>
              <w:spacing w:after="0"/>
              <w:rPr>
                <w:sz w:val="20"/>
                <w:szCs w:val="20"/>
                <w:color w:val="auto"/>
              </w:rPr>
            </w:pPr>
            <w:r>
              <w:rPr>
                <w:rFonts w:ascii="Arial" w:cs="Arial" w:eastAsia="Arial" w:hAnsi="Arial"/>
                <w:sz w:val="14"/>
                <w:szCs w:val="14"/>
                <w:b w:val="1"/>
                <w:bCs w:val="1"/>
                <w:color w:val="auto"/>
              </w:rPr>
              <w:t>Dollar Volume (1)</w:t>
            </w:r>
          </w:p>
        </w:tc>
      </w:tr>
      <w:tr>
        <w:trPr>
          <w:trHeight w:val="250"/>
        </w:trPr>
        <w:tc>
          <w:tcPr>
            <w:tcW w:w="6740" w:type="dxa"/>
            <w:vAlign w:val="bottom"/>
            <w:tcBorders>
              <w:top w:val="single" w:sz="8" w:color="auto"/>
              <w:bottom w:val="single" w:sz="8" w:color="CCEEFF"/>
            </w:tcBorders>
            <w:shd w:val="clear" w:color="auto" w:fill="CCEEFF"/>
          </w:tcPr>
          <w:p>
            <w:pPr>
              <w:jc w:val="right"/>
              <w:ind w:right="6254"/>
              <w:spacing w:after="0"/>
              <w:rPr>
                <w:sz w:val="20"/>
                <w:szCs w:val="20"/>
                <w:color w:val="auto"/>
              </w:rPr>
            </w:pPr>
            <w:r>
              <w:rPr>
                <w:rFonts w:ascii="Arial" w:cs="Arial" w:eastAsia="Arial" w:hAnsi="Arial"/>
                <w:sz w:val="18"/>
                <w:szCs w:val="18"/>
                <w:color w:val="auto"/>
                <w:w w:val="94"/>
              </w:rPr>
              <w:t>2015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w:t>
            </w:r>
          </w:p>
        </w:tc>
      </w:tr>
      <w:tr>
        <w:trPr>
          <w:trHeight w:val="243"/>
        </w:trPr>
        <w:tc>
          <w:tcPr>
            <w:tcW w:w="6740" w:type="dxa"/>
            <w:vAlign w:val="bottom"/>
          </w:tcPr>
          <w:p>
            <w:pPr>
              <w:jc w:val="right"/>
              <w:ind w:right="6254"/>
              <w:spacing w:after="0"/>
              <w:rPr>
                <w:sz w:val="20"/>
                <w:szCs w:val="20"/>
                <w:color w:val="auto"/>
              </w:rPr>
            </w:pPr>
            <w:r>
              <w:rPr>
                <w:rFonts w:ascii="Arial" w:cs="Arial" w:eastAsia="Arial" w:hAnsi="Arial"/>
                <w:sz w:val="18"/>
                <w:szCs w:val="18"/>
                <w:color w:val="auto"/>
                <w:w w:val="94"/>
              </w:rPr>
              <w:t>2016</w:t>
            </w:r>
          </w:p>
        </w:tc>
        <w:tc>
          <w:tcPr>
            <w:tcW w:w="100" w:type="dxa"/>
            <w:vAlign w:val="bottom"/>
          </w:tcPr>
          <w:p>
            <w:pPr>
              <w:spacing w:after="0"/>
              <w:rPr>
                <w:sz w:val="21"/>
                <w:szCs w:val="21"/>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10.9 %</w:t>
            </w:r>
          </w:p>
        </w:tc>
        <w:tc>
          <w:tcPr>
            <w:tcW w:w="10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21.6%</w:t>
            </w:r>
          </w:p>
        </w:tc>
      </w:tr>
      <w:tr>
        <w:trPr>
          <w:trHeight w:val="27"/>
        </w:trPr>
        <w:tc>
          <w:tcPr>
            <w:tcW w:w="6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43"/>
        </w:trPr>
        <w:tc>
          <w:tcPr>
            <w:tcW w:w="6740" w:type="dxa"/>
            <w:vAlign w:val="bottom"/>
            <w:shd w:val="clear" w:color="auto" w:fill="CCEEFF"/>
          </w:tcPr>
          <w:p>
            <w:pPr>
              <w:jc w:val="right"/>
              <w:ind w:right="6254"/>
              <w:spacing w:after="0"/>
              <w:rPr>
                <w:sz w:val="20"/>
                <w:szCs w:val="20"/>
                <w:color w:val="auto"/>
              </w:rPr>
            </w:pPr>
            <w:r>
              <w:rPr>
                <w:rFonts w:ascii="Arial" w:cs="Arial" w:eastAsia="Arial" w:hAnsi="Arial"/>
                <w:sz w:val="18"/>
                <w:szCs w:val="18"/>
                <w:color w:val="auto"/>
                <w:w w:val="94"/>
              </w:rPr>
              <w:t>2017</w:t>
            </w:r>
          </w:p>
        </w:tc>
        <w:tc>
          <w:tcPr>
            <w:tcW w:w="100" w:type="dxa"/>
            <w:vAlign w:val="bottom"/>
            <w:shd w:val="clear" w:color="auto" w:fill="CCEEFF"/>
          </w:tcPr>
          <w:p>
            <w:pPr>
              <w:spacing w:after="0"/>
              <w:rPr>
                <w:sz w:val="21"/>
                <w:szCs w:val="21"/>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100" w:type="dxa"/>
            <w:vAlign w:val="bottom"/>
            <w:shd w:val="clear" w:color="auto" w:fill="CCEEFF"/>
          </w:tcPr>
          <w:p>
            <w:pPr>
              <w:spacing w:after="0"/>
              <w:rPr>
                <w:sz w:val="21"/>
                <w:szCs w:val="21"/>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7"/>
        </w:trPr>
        <w:tc>
          <w:tcPr>
            <w:tcW w:w="6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r>
    </w:tbl>
    <w:p>
      <w:pPr>
        <w:spacing w:after="0" w:line="197" w:lineRule="exact"/>
        <w:rPr>
          <w:sz w:val="20"/>
          <w:szCs w:val="20"/>
          <w:color w:val="auto"/>
        </w:rPr>
      </w:pPr>
    </w:p>
    <w:p>
      <w:pPr>
        <w:ind w:left="500" w:right="20" w:hanging="330"/>
        <w:spacing w:after="0" w:line="273" w:lineRule="auto"/>
        <w:tabs>
          <w:tab w:leader="none" w:pos="5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advances paid to Dealers on Consumer Loans assigned under our Portfolio Program and one-time payments made to Dealers to purchase Consumer Loans assigned under our Purchase Program. Payments of Dealer Holdback and accelerated Dealer Holdback are not included.</w:t>
      </w:r>
    </w:p>
    <w:p>
      <w:pPr>
        <w:spacing w:after="0" w:line="17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Consumer Loan assignment volumes depend on a number of factors including (1) the overall demand for our financing programs, (2) the amount of capital available to fund new Loans, and (3) our assessment of the volume that our infrastructure can support. Our pricing strategy is intended to maximize the amount of economic profit we generate, within the confines of capital and infrastructure constraints.</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Unit volume declined 0.7% while dollar volume grew 9.0% during 2017 as the number of active Dealers grew 9.6% while average volume per active Dealer declined 9.6%. Dollar volume grew while unit volume declined during 2017 due to an increase in the average advance paid per unit. This increase was the result of an increase in the average size of the Consumer Loans assigned primarily due to increases in the average initial loan term and average vehicle selling price and an increase in Purchased Loans as a percentage of total unit volume, partially offset by a decrease in the average advance rate due to a decrease in the average initial forecast of the Consumer Loans assigned.</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Unit and dollar volumes grew 10.9% and 21.6%, respectively, during 2016 as the number of active Dealers grew 16.2% while average volume per active Dealer declined 4.6%. Dollar volume grew faster than unit volume during 2016 due to an increase in the average advance paid per unit. This increase was the result of an increase in the average size of the Consumer Loans assigned primarily due to an increase in the average initial loan term and an increase in Purchased Loans as a percentage of total unit volume, partially offset by a decrease in the average advance rate due to a decrease in the average initial forecast of the Consumer Loans assigned.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68" w:right="239" w:bottom="1440" w:gutter="0" w:footer="0" w:header="0"/>
        </w:sectPr>
      </w:pPr>
    </w:p>
    <w:bookmarkStart w:id="28" w:name="page29"/>
    <w:bookmarkEnd w:id="28"/>
    <w:p>
      <w:pPr>
        <w:ind w:left="340"/>
        <w:spacing w:after="0"/>
        <w:rPr>
          <w:sz w:val="20"/>
          <w:szCs w:val="20"/>
          <w:color w:val="auto"/>
        </w:rPr>
      </w:pPr>
      <w:r>
        <w:rPr>
          <w:rFonts w:ascii="Arial" w:cs="Arial" w:eastAsia="Arial" w:hAnsi="Arial"/>
          <w:sz w:val="18"/>
          <w:szCs w:val="18"/>
          <w:color w:val="auto"/>
        </w:rPr>
        <w:t>The following table summarizes the changes in Consumer Loan unit volume and active Dealers: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20" w:type="dxa"/>
            <w:vAlign w:val="bottom"/>
            <w:tcBorders>
              <w:bottom w:val="single" w:sz="8" w:color="auto"/>
            </w:tcBorders>
            <w:gridSpan w:val="5"/>
          </w:tcPr>
          <w:p>
            <w:pPr>
              <w:jc w:val="right"/>
              <w:ind w:right="839"/>
              <w:spacing w:after="0"/>
              <w:rPr>
                <w:sz w:val="20"/>
                <w:szCs w:val="20"/>
                <w:color w:val="auto"/>
              </w:rPr>
            </w:pPr>
            <w:r>
              <w:rPr>
                <w:rFonts w:ascii="Arial" w:cs="Arial" w:eastAsia="Arial" w:hAnsi="Arial"/>
                <w:sz w:val="14"/>
                <w:szCs w:val="14"/>
                <w:b w:val="1"/>
                <w:bCs w:val="1"/>
                <w:color w:val="auto"/>
              </w:rPr>
              <w:t>For the Years Ended December 31,</w:t>
            </w:r>
          </w:p>
        </w:tc>
        <w:tc>
          <w:tcPr>
            <w:tcW w:w="100" w:type="dxa"/>
            <w:vAlign w:val="bottom"/>
          </w:tcPr>
          <w:p>
            <w:pPr>
              <w:spacing w:after="0"/>
              <w:rPr>
                <w:sz w:val="17"/>
                <w:szCs w:val="17"/>
                <w:color w:val="auto"/>
              </w:rPr>
            </w:pPr>
          </w:p>
        </w:tc>
        <w:tc>
          <w:tcPr>
            <w:tcW w:w="4060" w:type="dxa"/>
            <w:vAlign w:val="bottom"/>
            <w:tcBorders>
              <w:bottom w:val="single" w:sz="8" w:color="auto"/>
            </w:tcBorders>
            <w:gridSpan w:val="5"/>
          </w:tcPr>
          <w:p>
            <w:pPr>
              <w:jc w:val="right"/>
              <w:ind w:right="859"/>
              <w:spacing w:after="0"/>
              <w:rPr>
                <w:sz w:val="20"/>
                <w:szCs w:val="20"/>
                <w:color w:val="auto"/>
              </w:rPr>
            </w:pPr>
            <w:r>
              <w:rPr>
                <w:rFonts w:ascii="Arial" w:cs="Arial" w:eastAsia="Arial" w:hAnsi="Arial"/>
                <w:sz w:val="14"/>
                <w:szCs w:val="14"/>
                <w:b w:val="1"/>
                <w:bCs w:val="1"/>
                <w:color w:val="auto"/>
              </w:rPr>
              <w:t>For the Years Ended December 31,</w:t>
            </w:r>
          </w:p>
        </w:tc>
      </w:tr>
      <w:tr>
        <w:trPr>
          <w:trHeight w:val="264"/>
        </w:trPr>
        <w:tc>
          <w:tcPr>
            <w:tcW w:w="36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324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color w:val="auto"/>
              </w:rPr>
              <w:t>Consumer Loan unit volume</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328,507</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330,710</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330,710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298,288</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10.9 %</w:t>
            </w:r>
          </w:p>
        </w:tc>
      </w:tr>
      <w:tr>
        <w:trPr>
          <w:trHeight w:val="284"/>
        </w:trPr>
        <w:tc>
          <w:tcPr>
            <w:tcW w:w="3240" w:type="dxa"/>
            <w:vAlign w:val="bottom"/>
            <w:tcBorders>
              <w:bottom w:val="single" w:sz="8" w:color="CCEEFF"/>
            </w:tcBorders>
            <w:gridSpan w:val="7"/>
          </w:tcPr>
          <w:p>
            <w:pPr>
              <w:ind w:left="40"/>
              <w:spacing w:after="0"/>
              <w:rPr>
                <w:sz w:val="20"/>
                <w:szCs w:val="20"/>
                <w:color w:val="auto"/>
              </w:rPr>
            </w:pPr>
            <w:r>
              <w:rPr>
                <w:rFonts w:ascii="Arial" w:cs="Arial" w:eastAsia="Arial" w:hAnsi="Arial"/>
                <w:sz w:val="18"/>
                <w:szCs w:val="18"/>
                <w:color w:val="auto"/>
              </w:rPr>
              <w:t>Active Dealers (1)</w:t>
            </w:r>
          </w:p>
        </w:tc>
        <w:tc>
          <w:tcPr>
            <w:tcW w:w="1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11,551</w:t>
            </w:r>
          </w:p>
        </w:tc>
        <w:tc>
          <w:tcPr>
            <w:tcW w:w="120" w:type="dxa"/>
            <w:vAlign w:val="bottom"/>
            <w:tcBorders>
              <w:bottom w:val="single" w:sz="8" w:color="CCEEFF"/>
            </w:tcBorders>
          </w:tcPr>
          <w:p>
            <w:pPr>
              <w:spacing w:after="0"/>
              <w:rPr>
                <w:sz w:val="24"/>
                <w:szCs w:val="24"/>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10,536</w:t>
            </w:r>
          </w:p>
        </w:tc>
        <w:tc>
          <w:tcPr>
            <w:tcW w:w="14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9.6 %</w:t>
            </w:r>
          </w:p>
        </w:tc>
        <w:tc>
          <w:tcPr>
            <w:tcW w:w="10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10,536</w:t>
            </w:r>
          </w:p>
        </w:tc>
        <w:tc>
          <w:tcPr>
            <w:tcW w:w="10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9,064</w:t>
            </w:r>
          </w:p>
        </w:tc>
        <w:tc>
          <w:tcPr>
            <w:tcW w:w="14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16.2 %</w:t>
            </w:r>
          </w:p>
        </w:tc>
      </w:tr>
      <w:tr>
        <w:trPr>
          <w:trHeight w:val="244"/>
        </w:trPr>
        <w:tc>
          <w:tcPr>
            <w:tcW w:w="324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color w:val="auto"/>
              </w:rPr>
              <w:t>Average volume per active Dealer</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28.4</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31.4</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-9.6 %</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32.9</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-4.6 %</w:t>
            </w:r>
          </w:p>
        </w:tc>
      </w:tr>
      <w:tr>
        <w:trPr>
          <w:trHeight w:val="297"/>
        </w:trPr>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9"/>
        </w:trPr>
        <w:tc>
          <w:tcPr>
            <w:tcW w:w="3240" w:type="dxa"/>
            <w:vAlign w:val="bottom"/>
            <w:gridSpan w:val="7"/>
            <w:shd w:val="clear" w:color="auto" w:fill="CCEEFF"/>
          </w:tcPr>
          <w:p>
            <w:pPr>
              <w:ind w:left="40"/>
              <w:spacing w:after="0"/>
              <w:rPr>
                <w:sz w:val="20"/>
                <w:szCs w:val="20"/>
                <w:color w:val="auto"/>
              </w:rPr>
            </w:pPr>
            <w:r>
              <w:rPr>
                <w:rFonts w:ascii="Arial" w:cs="Arial" w:eastAsia="Arial" w:hAnsi="Arial"/>
                <w:sz w:val="18"/>
                <w:szCs w:val="18"/>
                <w:color w:val="auto"/>
                <w:w w:val="95"/>
              </w:rPr>
              <w:t>Consumer Loan unit volume from Dealers</w:t>
            </w: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7"/>
        </w:trPr>
        <w:tc>
          <w:tcPr>
            <w:tcW w:w="3240" w:type="dxa"/>
            <w:vAlign w:val="bottom"/>
            <w:tcBorders>
              <w:bottom w:val="single" w:sz="8" w:color="CCEEFF"/>
            </w:tcBorders>
            <w:gridSpan w:val="7"/>
            <w:shd w:val="clear" w:color="auto" w:fill="CCEEFF"/>
          </w:tcPr>
          <w:p>
            <w:pPr>
              <w:ind w:left="200"/>
              <w:spacing w:after="0"/>
              <w:rPr>
                <w:sz w:val="20"/>
                <w:szCs w:val="20"/>
                <w:color w:val="auto"/>
              </w:rPr>
            </w:pPr>
            <w:r>
              <w:rPr>
                <w:rFonts w:ascii="Arial" w:cs="Arial" w:eastAsia="Arial" w:hAnsi="Arial"/>
                <w:sz w:val="18"/>
                <w:szCs w:val="18"/>
                <w:color w:val="auto"/>
              </w:rPr>
              <w:t>active both periods</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278,497</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295,444</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282,129</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273,839</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3.0 %</w:t>
            </w:r>
          </w:p>
        </w:tc>
      </w:tr>
      <w:tr>
        <w:trPr>
          <w:trHeight w:val="284"/>
        </w:trPr>
        <w:tc>
          <w:tcPr>
            <w:tcW w:w="3240" w:type="dxa"/>
            <w:vAlign w:val="bottom"/>
            <w:tcBorders>
              <w:bottom w:val="single" w:sz="8" w:color="CCEEFF"/>
            </w:tcBorders>
            <w:gridSpan w:val="7"/>
          </w:tcPr>
          <w:p>
            <w:pPr>
              <w:ind w:left="40"/>
              <w:spacing w:after="0"/>
              <w:rPr>
                <w:sz w:val="20"/>
                <w:szCs w:val="20"/>
                <w:color w:val="auto"/>
              </w:rPr>
            </w:pPr>
            <w:r>
              <w:rPr>
                <w:rFonts w:ascii="Arial" w:cs="Arial" w:eastAsia="Arial" w:hAnsi="Arial"/>
                <w:sz w:val="18"/>
                <w:szCs w:val="18"/>
                <w:color w:val="auto"/>
              </w:rPr>
              <w:t>Dealers active both periods</w:t>
            </w:r>
          </w:p>
        </w:tc>
        <w:tc>
          <w:tcPr>
            <w:tcW w:w="1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7,524</w:t>
            </w:r>
          </w:p>
        </w:tc>
        <w:tc>
          <w:tcPr>
            <w:tcW w:w="120" w:type="dxa"/>
            <w:vAlign w:val="bottom"/>
            <w:tcBorders>
              <w:bottom w:val="single" w:sz="8" w:color="CCEEFF"/>
            </w:tcBorders>
          </w:tcPr>
          <w:p>
            <w:pPr>
              <w:spacing w:after="0"/>
              <w:rPr>
                <w:sz w:val="24"/>
                <w:szCs w:val="24"/>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7,524</w:t>
            </w:r>
          </w:p>
        </w:tc>
        <w:tc>
          <w:tcPr>
            <w:tcW w:w="100" w:type="dxa"/>
            <w:vAlign w:val="bottom"/>
            <w:tcBorders>
              <w:bottom w:val="single" w:sz="8" w:color="CCEEFF"/>
            </w:tcBorders>
          </w:tcPr>
          <w:p>
            <w:pPr>
              <w:spacing w:after="0"/>
              <w:rPr>
                <w:sz w:val="24"/>
                <w:szCs w:val="24"/>
                <w:color w:val="auto"/>
              </w:rPr>
            </w:pPr>
          </w:p>
        </w:tc>
        <w:tc>
          <w:tcPr>
            <w:tcW w:w="1460" w:type="dxa"/>
            <w:vAlign w:val="bottom"/>
            <w:tcBorders>
              <w:bottom w:val="single" w:sz="8" w:color="CCEEFF"/>
            </w:tcBorders>
            <w:gridSpan w:val="2"/>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6,925</w:t>
            </w:r>
          </w:p>
        </w:tc>
        <w:tc>
          <w:tcPr>
            <w:tcW w:w="10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6,925</w:t>
            </w:r>
          </w:p>
        </w:tc>
        <w:tc>
          <w:tcPr>
            <w:tcW w:w="10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jc w:val="right"/>
              <w:ind w:right="139"/>
              <w:spacing w:after="0"/>
              <w:rPr>
                <w:sz w:val="20"/>
                <w:szCs w:val="20"/>
                <w:color w:val="auto"/>
              </w:rPr>
            </w:pPr>
            <w:r>
              <w:rPr>
                <w:rFonts w:ascii="Arial" w:cs="Arial" w:eastAsia="Arial" w:hAnsi="Arial"/>
                <w:sz w:val="18"/>
                <w:szCs w:val="18"/>
                <w:color w:val="auto"/>
              </w:rPr>
              <w:t>—</w:t>
            </w:r>
          </w:p>
        </w:tc>
      </w:tr>
      <w:tr>
        <w:trPr>
          <w:trHeight w:val="209"/>
        </w:trPr>
        <w:tc>
          <w:tcPr>
            <w:tcW w:w="3240" w:type="dxa"/>
            <w:vAlign w:val="bottom"/>
            <w:gridSpan w:val="7"/>
            <w:shd w:val="clear" w:color="auto" w:fill="CCEEFF"/>
          </w:tcPr>
          <w:p>
            <w:pPr>
              <w:ind w:left="40"/>
              <w:spacing w:after="0"/>
              <w:rPr>
                <w:sz w:val="20"/>
                <w:szCs w:val="20"/>
                <w:color w:val="auto"/>
              </w:rPr>
            </w:pPr>
            <w:r>
              <w:rPr>
                <w:rFonts w:ascii="Arial" w:cs="Arial" w:eastAsia="Arial" w:hAnsi="Arial"/>
                <w:sz w:val="18"/>
                <w:szCs w:val="18"/>
                <w:color w:val="auto"/>
              </w:rPr>
              <w:t>Average volume per Dealer active both</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7"/>
        </w:trPr>
        <w:tc>
          <w:tcPr>
            <w:tcW w:w="3240" w:type="dxa"/>
            <w:vAlign w:val="bottom"/>
            <w:tcBorders>
              <w:bottom w:val="single" w:sz="8" w:color="CCEEFF"/>
            </w:tcBorders>
            <w:gridSpan w:val="7"/>
            <w:shd w:val="clear" w:color="auto" w:fill="CCEEFF"/>
          </w:tcPr>
          <w:p>
            <w:pPr>
              <w:ind w:left="200"/>
              <w:spacing w:after="0"/>
              <w:rPr>
                <w:sz w:val="20"/>
                <w:szCs w:val="20"/>
                <w:color w:val="auto"/>
              </w:rPr>
            </w:pPr>
            <w:r>
              <w:rPr>
                <w:rFonts w:ascii="Arial" w:cs="Arial" w:eastAsia="Arial" w:hAnsi="Arial"/>
                <w:sz w:val="18"/>
                <w:szCs w:val="18"/>
                <w:color w:val="auto"/>
              </w:rPr>
              <w:t>periods</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37.0</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39.3</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39.5</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3.0 %</w:t>
            </w:r>
          </w:p>
        </w:tc>
      </w:tr>
      <w:tr>
        <w:trPr>
          <w:trHeight w:val="297"/>
        </w:trPr>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9"/>
        </w:trPr>
        <w:tc>
          <w:tcPr>
            <w:tcW w:w="3240" w:type="dxa"/>
            <w:vAlign w:val="bottom"/>
            <w:gridSpan w:val="7"/>
            <w:shd w:val="clear" w:color="auto" w:fill="CCEEFF"/>
          </w:tcPr>
          <w:p>
            <w:pPr>
              <w:ind w:left="40"/>
              <w:spacing w:after="0"/>
              <w:rPr>
                <w:sz w:val="20"/>
                <w:szCs w:val="20"/>
                <w:color w:val="auto"/>
              </w:rPr>
            </w:pPr>
            <w:r>
              <w:rPr>
                <w:rFonts w:ascii="Arial" w:cs="Arial" w:eastAsia="Arial" w:hAnsi="Arial"/>
                <w:sz w:val="18"/>
                <w:szCs w:val="18"/>
                <w:color w:val="auto"/>
                <w:w w:val="95"/>
              </w:rPr>
              <w:t>Consumer Loan unit volume from Dealers</w:t>
            </w: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190"/>
        </w:trPr>
        <w:tc>
          <w:tcPr>
            <w:tcW w:w="360" w:type="dxa"/>
            <w:vAlign w:val="bottom"/>
            <w:shd w:val="clear" w:color="auto" w:fill="CCEEFF"/>
          </w:tcPr>
          <w:p>
            <w:pPr>
              <w:spacing w:after="0"/>
              <w:rPr>
                <w:sz w:val="16"/>
                <w:szCs w:val="16"/>
                <w:color w:val="auto"/>
              </w:rPr>
            </w:pPr>
          </w:p>
        </w:tc>
        <w:tc>
          <w:tcPr>
            <w:tcW w:w="2880" w:type="dxa"/>
            <w:vAlign w:val="bottom"/>
            <w:gridSpan w:val="6"/>
            <w:shd w:val="clear" w:color="auto" w:fill="CCEEFF"/>
          </w:tcPr>
          <w:p>
            <w:pPr>
              <w:spacing w:after="0" w:line="190" w:lineRule="exact"/>
              <w:rPr>
                <w:sz w:val="20"/>
                <w:szCs w:val="20"/>
                <w:color w:val="auto"/>
              </w:rPr>
            </w:pPr>
            <w:r>
              <w:rPr>
                <w:rFonts w:ascii="Arial" w:cs="Arial" w:eastAsia="Arial" w:hAnsi="Arial"/>
                <w:sz w:val="18"/>
                <w:szCs w:val="18"/>
                <w:color w:val="auto"/>
              </w:rPr>
              <w:t>not active both periods</w:t>
            </w:r>
          </w:p>
        </w:tc>
        <w:tc>
          <w:tcPr>
            <w:tcW w:w="1220" w:type="dxa"/>
            <w:vAlign w:val="bottom"/>
            <w:shd w:val="clear" w:color="auto" w:fill="CCEEFF"/>
          </w:tcPr>
          <w:p>
            <w:pPr>
              <w:jc w:val="right"/>
              <w:ind w:right="13"/>
              <w:spacing w:after="0" w:line="190" w:lineRule="exact"/>
              <w:rPr>
                <w:sz w:val="20"/>
                <w:szCs w:val="20"/>
                <w:color w:val="auto"/>
              </w:rPr>
            </w:pPr>
            <w:r>
              <w:rPr>
                <w:rFonts w:ascii="Arial" w:cs="Arial" w:eastAsia="Arial" w:hAnsi="Arial"/>
                <w:sz w:val="18"/>
                <w:szCs w:val="18"/>
                <w:color w:val="auto"/>
              </w:rPr>
              <w:t>50,010</w:t>
            </w: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12"/>
              <w:spacing w:after="0" w:line="190" w:lineRule="exact"/>
              <w:rPr>
                <w:sz w:val="20"/>
                <w:szCs w:val="20"/>
                <w:color w:val="auto"/>
              </w:rPr>
            </w:pPr>
            <w:r>
              <w:rPr>
                <w:rFonts w:ascii="Arial" w:cs="Arial" w:eastAsia="Arial" w:hAnsi="Arial"/>
                <w:sz w:val="18"/>
                <w:szCs w:val="18"/>
                <w:color w:val="auto"/>
              </w:rPr>
              <w:t>35,266</w:t>
            </w:r>
          </w:p>
        </w:tc>
        <w:tc>
          <w:tcPr>
            <w:tcW w:w="1460" w:type="dxa"/>
            <w:vAlign w:val="bottom"/>
            <w:gridSpan w:val="2"/>
            <w:shd w:val="clear" w:color="auto" w:fill="CCEEFF"/>
          </w:tcPr>
          <w:p>
            <w:pPr>
              <w:jc w:val="right"/>
              <w:spacing w:after="0" w:line="190" w:lineRule="exact"/>
              <w:rPr>
                <w:sz w:val="20"/>
                <w:szCs w:val="20"/>
                <w:color w:val="auto"/>
              </w:rPr>
            </w:pPr>
            <w:r>
              <w:rPr>
                <w:rFonts w:ascii="Arial" w:cs="Arial" w:eastAsia="Arial" w:hAnsi="Arial"/>
                <w:sz w:val="18"/>
                <w:szCs w:val="18"/>
                <w:color w:val="auto"/>
              </w:rPr>
              <w:t>41.8 %</w:t>
            </w: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33"/>
              <w:spacing w:after="0" w:line="190" w:lineRule="exact"/>
              <w:rPr>
                <w:sz w:val="20"/>
                <w:szCs w:val="20"/>
                <w:color w:val="auto"/>
              </w:rPr>
            </w:pPr>
            <w:r>
              <w:rPr>
                <w:rFonts w:ascii="Arial" w:cs="Arial" w:eastAsia="Arial" w:hAnsi="Arial"/>
                <w:sz w:val="18"/>
                <w:szCs w:val="18"/>
                <w:color w:val="auto"/>
              </w:rPr>
              <w:t>48,581</w:t>
            </w: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2"/>
              <w:spacing w:after="0" w:line="190" w:lineRule="exact"/>
              <w:rPr>
                <w:sz w:val="20"/>
                <w:szCs w:val="20"/>
                <w:color w:val="auto"/>
              </w:rPr>
            </w:pPr>
            <w:r>
              <w:rPr>
                <w:rFonts w:ascii="Arial" w:cs="Arial" w:eastAsia="Arial" w:hAnsi="Arial"/>
                <w:sz w:val="18"/>
                <w:szCs w:val="18"/>
                <w:color w:val="auto"/>
              </w:rPr>
              <w:t>24,449</w:t>
            </w:r>
          </w:p>
        </w:tc>
        <w:tc>
          <w:tcPr>
            <w:tcW w:w="1460" w:type="dxa"/>
            <w:vAlign w:val="bottom"/>
            <w:gridSpan w:val="2"/>
            <w:shd w:val="clear" w:color="auto" w:fill="CCEEFF"/>
          </w:tcPr>
          <w:p>
            <w:pPr>
              <w:jc w:val="right"/>
              <w:spacing w:after="0" w:line="190" w:lineRule="exact"/>
              <w:rPr>
                <w:sz w:val="20"/>
                <w:szCs w:val="20"/>
                <w:color w:val="auto"/>
              </w:rPr>
            </w:pPr>
            <w:r>
              <w:rPr>
                <w:rFonts w:ascii="Arial" w:cs="Arial" w:eastAsia="Arial" w:hAnsi="Arial"/>
                <w:sz w:val="18"/>
                <w:szCs w:val="18"/>
                <w:color w:val="auto"/>
              </w:rPr>
              <w:t>98.7 %</w:t>
            </w:r>
          </w:p>
        </w:tc>
      </w:tr>
      <w:tr>
        <w:trPr>
          <w:trHeight w:val="48"/>
        </w:trPr>
        <w:tc>
          <w:tcPr>
            <w:tcW w:w="3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r>
      <w:tr>
        <w:trPr>
          <w:trHeight w:val="216"/>
        </w:trPr>
        <w:tc>
          <w:tcPr>
            <w:tcW w:w="3240" w:type="dxa"/>
            <w:vAlign w:val="bottom"/>
            <w:gridSpan w:val="7"/>
          </w:tcPr>
          <w:p>
            <w:pPr>
              <w:ind w:left="40"/>
              <w:spacing w:after="0"/>
              <w:rPr>
                <w:sz w:val="20"/>
                <w:szCs w:val="20"/>
                <w:color w:val="auto"/>
              </w:rPr>
            </w:pPr>
            <w:r>
              <w:rPr>
                <w:rFonts w:ascii="Arial" w:cs="Arial" w:eastAsia="Arial" w:hAnsi="Arial"/>
                <w:sz w:val="18"/>
                <w:szCs w:val="18"/>
                <w:color w:val="auto"/>
              </w:rPr>
              <w:t>Dealers not active both periods</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4,027</w:t>
            </w:r>
          </w:p>
        </w:tc>
        <w:tc>
          <w:tcPr>
            <w:tcW w:w="120" w:type="dxa"/>
            <w:vAlign w:val="bottom"/>
          </w:tcPr>
          <w:p>
            <w:pPr>
              <w:spacing w:after="0"/>
              <w:rPr>
                <w:sz w:val="18"/>
                <w:szCs w:val="18"/>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3,012</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33.7 %</w:t>
            </w:r>
          </w:p>
        </w:tc>
        <w:tc>
          <w:tcPr>
            <w:tcW w:w="100" w:type="dxa"/>
            <w:vAlign w:val="bottom"/>
          </w:tcPr>
          <w:p>
            <w:pPr>
              <w:spacing w:after="0"/>
              <w:rPr>
                <w:sz w:val="18"/>
                <w:szCs w:val="18"/>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3,611</w:t>
            </w:r>
          </w:p>
        </w:tc>
        <w:tc>
          <w:tcPr>
            <w:tcW w:w="100" w:type="dxa"/>
            <w:vAlign w:val="bottom"/>
          </w:tcPr>
          <w:p>
            <w:pPr>
              <w:spacing w:after="0"/>
              <w:rPr>
                <w:sz w:val="18"/>
                <w:szCs w:val="18"/>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2,139</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68.8 %</w:t>
            </w:r>
          </w:p>
        </w:tc>
      </w:tr>
      <w:tr>
        <w:trPr>
          <w:trHeight w:val="41"/>
        </w:trPr>
        <w:tc>
          <w:tcPr>
            <w:tcW w:w="36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40" w:type="dxa"/>
            <w:vAlign w:val="bottom"/>
            <w:tcBorders>
              <w:top w:val="single" w:sz="8" w:color="auto"/>
              <w:bottom w:val="single" w:sz="8" w:color="CCEEFF"/>
            </w:tcBorders>
          </w:tcPr>
          <w:p>
            <w:pPr>
              <w:spacing w:after="0"/>
              <w:rPr>
                <w:sz w:val="3"/>
                <w:szCs w:val="3"/>
                <w:color w:val="auto"/>
              </w:rPr>
            </w:pPr>
          </w:p>
        </w:tc>
        <w:tc>
          <w:tcPr>
            <w:tcW w:w="120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94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60" w:type="dxa"/>
            <w:vAlign w:val="bottom"/>
            <w:tcBorders>
              <w:bottom w:val="single" w:sz="8" w:color="CCEEFF"/>
            </w:tcBorders>
          </w:tcPr>
          <w:p>
            <w:pPr>
              <w:spacing w:after="0"/>
              <w:rPr>
                <w:sz w:val="3"/>
                <w:szCs w:val="3"/>
                <w:color w:val="auto"/>
              </w:rPr>
            </w:pPr>
          </w:p>
        </w:tc>
      </w:tr>
      <w:tr>
        <w:trPr>
          <w:trHeight w:val="189"/>
        </w:trPr>
        <w:tc>
          <w:tcPr>
            <w:tcW w:w="3240" w:type="dxa"/>
            <w:vAlign w:val="bottom"/>
            <w:gridSpan w:val="7"/>
            <w:shd w:val="clear" w:color="auto" w:fill="CCEEFF"/>
          </w:tcPr>
          <w:p>
            <w:pPr>
              <w:ind w:left="40"/>
              <w:spacing w:after="0" w:line="189" w:lineRule="exact"/>
              <w:rPr>
                <w:sz w:val="20"/>
                <w:szCs w:val="20"/>
                <w:color w:val="auto"/>
              </w:rPr>
            </w:pPr>
            <w:r>
              <w:rPr>
                <w:rFonts w:ascii="Arial" w:cs="Arial" w:eastAsia="Arial" w:hAnsi="Arial"/>
                <w:sz w:val="18"/>
                <w:szCs w:val="18"/>
                <w:color w:val="auto"/>
                <w:w w:val="93"/>
              </w:rPr>
              <w:t>Average volume per Dealer not active both</w:t>
            </w: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r>
      <w:tr>
        <w:trPr>
          <w:trHeight w:val="237"/>
        </w:trPr>
        <w:tc>
          <w:tcPr>
            <w:tcW w:w="360" w:type="dxa"/>
            <w:vAlign w:val="bottom"/>
            <w:tcBorders>
              <w:top w:val="single" w:sz="8" w:color="CCEEFF"/>
            </w:tcBorders>
            <w:shd w:val="clear" w:color="auto" w:fill="CCEEFF"/>
          </w:tcPr>
          <w:p>
            <w:pPr>
              <w:spacing w:after="0"/>
              <w:rPr>
                <w:sz w:val="20"/>
                <w:szCs w:val="20"/>
                <w:color w:val="auto"/>
              </w:rPr>
            </w:pPr>
          </w:p>
        </w:tc>
        <w:tc>
          <w:tcPr>
            <w:tcW w:w="170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periods</w:t>
            </w:r>
          </w:p>
        </w:tc>
        <w:tc>
          <w:tcPr>
            <w:tcW w:w="24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CCEEFF"/>
            </w:tcBorders>
            <w:shd w:val="clear" w:color="auto" w:fill="CCEEFF"/>
          </w:tcPr>
          <w:p>
            <w:pPr>
              <w:spacing w:after="0"/>
              <w:rPr>
                <w:sz w:val="20"/>
                <w:szCs w:val="20"/>
                <w:color w:val="auto"/>
              </w:rPr>
            </w:pPr>
          </w:p>
        </w:tc>
        <w:tc>
          <w:tcPr>
            <w:tcW w:w="1220" w:type="dxa"/>
            <w:vAlign w:val="bottom"/>
            <w:tcBorders>
              <w:top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12.4</w:t>
            </w:r>
          </w:p>
        </w:tc>
        <w:tc>
          <w:tcPr>
            <w:tcW w:w="120" w:type="dxa"/>
            <w:vAlign w:val="bottom"/>
            <w:tcBorders>
              <w:top w:val="single" w:sz="8" w:color="CCEEFF"/>
            </w:tcBorders>
            <w:shd w:val="clear" w:color="auto" w:fill="CCEEFF"/>
          </w:tcPr>
          <w:p>
            <w:pPr>
              <w:spacing w:after="0"/>
              <w:rPr>
                <w:sz w:val="20"/>
                <w:szCs w:val="20"/>
                <w:color w:val="auto"/>
              </w:rPr>
            </w:pPr>
          </w:p>
        </w:tc>
        <w:tc>
          <w:tcPr>
            <w:tcW w:w="1220" w:type="dxa"/>
            <w:vAlign w:val="bottom"/>
            <w:tcBorders>
              <w:top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w:t>
            </w:r>
          </w:p>
        </w:tc>
        <w:tc>
          <w:tcPr>
            <w:tcW w:w="14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100" w:type="dxa"/>
            <w:vAlign w:val="bottom"/>
            <w:tcBorders>
              <w:top w:val="single" w:sz="8" w:color="CCEEFF"/>
            </w:tcBorders>
            <w:shd w:val="clear" w:color="auto" w:fill="CCEEFF"/>
          </w:tcPr>
          <w:p>
            <w:pPr>
              <w:spacing w:after="0"/>
              <w:rPr>
                <w:sz w:val="20"/>
                <w:szCs w:val="20"/>
                <w:color w:val="auto"/>
              </w:rPr>
            </w:pPr>
          </w:p>
        </w:tc>
        <w:tc>
          <w:tcPr>
            <w:tcW w:w="1260" w:type="dxa"/>
            <w:vAlign w:val="bottom"/>
            <w:tcBorders>
              <w:top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13.5</w:t>
            </w:r>
          </w:p>
        </w:tc>
        <w:tc>
          <w:tcPr>
            <w:tcW w:w="100" w:type="dxa"/>
            <w:vAlign w:val="bottom"/>
            <w:tcBorders>
              <w:top w:val="single" w:sz="8" w:color="CCEEFF"/>
            </w:tcBorders>
            <w:shd w:val="clear" w:color="auto" w:fill="CCEEFF"/>
          </w:tcPr>
          <w:p>
            <w:pPr>
              <w:spacing w:after="0"/>
              <w:rPr>
                <w:sz w:val="20"/>
                <w:szCs w:val="20"/>
                <w:color w:val="auto"/>
              </w:rPr>
            </w:pPr>
          </w:p>
        </w:tc>
        <w:tc>
          <w:tcPr>
            <w:tcW w:w="1240" w:type="dxa"/>
            <w:vAlign w:val="bottom"/>
            <w:tcBorders>
              <w:top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w:t>
            </w:r>
          </w:p>
        </w:tc>
        <w:tc>
          <w:tcPr>
            <w:tcW w:w="14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18.4 %</w:t>
            </w:r>
          </w:p>
        </w:tc>
      </w:tr>
      <w:tr>
        <w:trPr>
          <w:trHeight w:val="27"/>
        </w:trPr>
        <w:tc>
          <w:tcPr>
            <w:tcW w:w="3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197" w:lineRule="exact"/>
        <w:rPr>
          <w:sz w:val="20"/>
          <w:szCs w:val="20"/>
          <w:color w:val="auto"/>
        </w:rPr>
      </w:pPr>
    </w:p>
    <w:p>
      <w:pPr>
        <w:ind w:left="500" w:hanging="316"/>
        <w:spacing w:after="0"/>
        <w:tabs>
          <w:tab w:leader="none" w:pos="5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Active Dealers are Dealers who have received funding for at least one Consumer Loan during the period.</w:t>
      </w:r>
    </w:p>
    <w:p>
      <w:pPr>
        <w:spacing w:after="0" w:line="2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additional information on the changes in Consumer Loan unit volume and active Dealers: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060" w:type="dxa"/>
            <w:vAlign w:val="bottom"/>
          </w:tcPr>
          <w:p>
            <w:pPr>
              <w:spacing w:after="0"/>
              <w:rPr>
                <w:sz w:val="17"/>
                <w:szCs w:val="17"/>
                <w:color w:val="auto"/>
              </w:rPr>
            </w:pPr>
          </w:p>
        </w:tc>
        <w:tc>
          <w:tcPr>
            <w:tcW w:w="3140" w:type="dxa"/>
            <w:vAlign w:val="bottom"/>
            <w:tcBorders>
              <w:bottom w:val="single" w:sz="8" w:color="auto"/>
            </w:tcBorders>
            <w:gridSpan w:val="5"/>
          </w:tcPr>
          <w:p>
            <w:pPr>
              <w:ind w:left="1000"/>
              <w:spacing w:after="0"/>
              <w:rPr>
                <w:sz w:val="20"/>
                <w:szCs w:val="20"/>
                <w:color w:val="auto"/>
              </w:rPr>
            </w:pPr>
            <w:r>
              <w:rPr>
                <w:rFonts w:ascii="Arial" w:cs="Arial" w:eastAsia="Arial" w:hAnsi="Arial"/>
                <w:sz w:val="14"/>
                <w:szCs w:val="14"/>
                <w:b w:val="1"/>
                <w:bCs w:val="1"/>
                <w:color w:val="auto"/>
                <w:w w:val="91"/>
              </w:rPr>
              <w:t>For the Years Ended December 31,</w:t>
            </w: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160" w:type="dxa"/>
            <w:vAlign w:val="bottom"/>
            <w:tcBorders>
              <w:bottom w:val="single" w:sz="8" w:color="auto"/>
            </w:tcBorders>
            <w:gridSpan w:val="5"/>
          </w:tcPr>
          <w:p>
            <w:pPr>
              <w:ind w:left="1020"/>
              <w:spacing w:after="0"/>
              <w:rPr>
                <w:sz w:val="20"/>
                <w:szCs w:val="20"/>
                <w:color w:val="auto"/>
              </w:rPr>
            </w:pPr>
            <w:r>
              <w:rPr>
                <w:rFonts w:ascii="Arial" w:cs="Arial" w:eastAsia="Arial" w:hAnsi="Arial"/>
                <w:sz w:val="14"/>
                <w:szCs w:val="14"/>
                <w:b w:val="1"/>
                <w:bCs w:val="1"/>
                <w:color w:val="auto"/>
                <w:w w:val="91"/>
              </w:rPr>
              <w:t>For the Years Ended December 31,</w:t>
            </w:r>
          </w:p>
        </w:tc>
        <w:tc>
          <w:tcPr>
            <w:tcW w:w="980" w:type="dxa"/>
            <w:vAlign w:val="bottom"/>
            <w:tcBorders>
              <w:bottom w:val="single" w:sz="8" w:color="auto"/>
            </w:tcBorders>
          </w:tcPr>
          <w:p>
            <w:pPr>
              <w:spacing w:after="0"/>
              <w:rPr>
                <w:sz w:val="17"/>
                <w:szCs w:val="17"/>
                <w:color w:val="auto"/>
              </w:rPr>
            </w:pPr>
          </w:p>
        </w:tc>
      </w:tr>
      <w:tr>
        <w:trPr>
          <w:trHeight w:val="264"/>
        </w:trPr>
        <w:tc>
          <w:tcPr>
            <w:tcW w:w="3060" w:type="dxa"/>
            <w:vAlign w:val="bottom"/>
          </w:tcPr>
          <w:p>
            <w:pPr>
              <w:spacing w:after="0"/>
              <w:rPr>
                <w:sz w:val="22"/>
                <w:szCs w:val="22"/>
                <w:color w:val="auto"/>
              </w:rPr>
            </w:pPr>
          </w:p>
        </w:tc>
        <w:tc>
          <w:tcPr>
            <w:tcW w:w="1320" w:type="dxa"/>
            <w:vAlign w:val="bottom"/>
          </w:tcPr>
          <w:p>
            <w:pPr>
              <w:jc w:val="right"/>
              <w:ind w:right="436"/>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300" w:type="dxa"/>
            <w:vAlign w:val="bottom"/>
          </w:tcPr>
          <w:p>
            <w:pPr>
              <w:jc w:val="right"/>
              <w:ind w:right="41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 Change</w:t>
            </w:r>
          </w:p>
        </w:tc>
        <w:tc>
          <w:tcPr>
            <w:tcW w:w="1320" w:type="dxa"/>
            <w:vAlign w:val="bottom"/>
          </w:tcPr>
          <w:p>
            <w:pPr>
              <w:jc w:val="right"/>
              <w:ind w:right="436"/>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320" w:type="dxa"/>
            <w:vAlign w:val="bottom"/>
          </w:tcPr>
          <w:p>
            <w:pPr>
              <w:jc w:val="right"/>
              <w:ind w:right="43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ind w:right="234"/>
              <w:spacing w:after="0"/>
              <w:rPr>
                <w:sz w:val="20"/>
                <w:szCs w:val="20"/>
                <w:color w:val="auto"/>
              </w:rPr>
            </w:pPr>
            <w:r>
              <w:rPr>
                <w:rFonts w:ascii="Arial" w:cs="Arial" w:eastAsia="Arial" w:hAnsi="Arial"/>
                <w:sz w:val="14"/>
                <w:szCs w:val="14"/>
                <w:b w:val="1"/>
                <w:bCs w:val="1"/>
                <w:color w:val="auto"/>
                <w:w w:val="94"/>
              </w:rPr>
              <w:t>% Change</w:t>
            </w:r>
          </w:p>
        </w:tc>
      </w:tr>
      <w:tr>
        <w:trPr>
          <w:trHeight w:val="215"/>
        </w:trPr>
        <w:tc>
          <w:tcPr>
            <w:tcW w:w="30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Consumer Loan unit volume from new</w:t>
            </w: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r>
      <w:tr>
        <w:trPr>
          <w:trHeight w:val="237"/>
        </w:trPr>
        <w:tc>
          <w:tcPr>
            <w:tcW w:w="3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Dealers</w:t>
            </w:r>
          </w:p>
        </w:tc>
        <w:tc>
          <w:tcPr>
            <w:tcW w:w="132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46,985</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46,232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46,232</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52,577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-12.1 %</w:t>
            </w:r>
          </w:p>
        </w:tc>
      </w:tr>
      <w:tr>
        <w:trPr>
          <w:trHeight w:val="284"/>
        </w:trPr>
        <w:tc>
          <w:tcPr>
            <w:tcW w:w="3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New active Dealers (1)</w:t>
            </w:r>
          </w:p>
        </w:tc>
        <w:tc>
          <w:tcPr>
            <w:tcW w:w="132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rPr>
              <w:t>3,740</w:t>
            </w:r>
          </w:p>
        </w:tc>
        <w:tc>
          <w:tcPr>
            <w:tcW w:w="100" w:type="dxa"/>
            <w:vAlign w:val="bottom"/>
            <w:tcBorders>
              <w:bottom w:val="single" w:sz="8" w:color="CCEEFF"/>
            </w:tcBorders>
          </w:tcPr>
          <w:p>
            <w:pPr>
              <w:spacing w:after="0"/>
              <w:rPr>
                <w:sz w:val="24"/>
                <w:szCs w:val="24"/>
                <w:color w:val="auto"/>
              </w:rPr>
            </w:pPr>
          </w:p>
        </w:tc>
        <w:tc>
          <w:tcPr>
            <w:tcW w:w="13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3,406</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9.8 %</w:t>
            </w:r>
          </w:p>
        </w:tc>
        <w:tc>
          <w:tcPr>
            <w:tcW w:w="100" w:type="dxa"/>
            <w:vAlign w:val="bottom"/>
            <w:tcBorders>
              <w:bottom w:val="single" w:sz="8" w:color="CCEEFF"/>
            </w:tcBorders>
          </w:tcPr>
          <w:p>
            <w:pPr>
              <w:spacing w:after="0"/>
              <w:rPr>
                <w:sz w:val="24"/>
                <w:szCs w:val="24"/>
                <w:color w:val="auto"/>
              </w:rPr>
            </w:pPr>
          </w:p>
        </w:tc>
        <w:tc>
          <w:tcPr>
            <w:tcW w:w="132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rPr>
              <w:t>3,406</w:t>
            </w:r>
          </w:p>
        </w:tc>
        <w:tc>
          <w:tcPr>
            <w:tcW w:w="100" w:type="dxa"/>
            <w:vAlign w:val="bottom"/>
            <w:tcBorders>
              <w:bottom w:val="single" w:sz="8" w:color="CCEEFF"/>
            </w:tcBorders>
          </w:tcPr>
          <w:p>
            <w:pPr>
              <w:spacing w:after="0"/>
              <w:rPr>
                <w:sz w:val="24"/>
                <w:szCs w:val="24"/>
                <w:color w:val="auto"/>
              </w:rPr>
            </w:pPr>
          </w:p>
        </w:tc>
        <w:tc>
          <w:tcPr>
            <w:tcW w:w="132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3,404</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0.1 %</w:t>
            </w:r>
          </w:p>
        </w:tc>
      </w:tr>
      <w:tr>
        <w:trPr>
          <w:trHeight w:val="244"/>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Average volume per new active Dealer</w:t>
            </w:r>
          </w:p>
        </w:tc>
        <w:tc>
          <w:tcPr>
            <w:tcW w:w="132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-11.7 %</w:t>
            </w:r>
          </w:p>
        </w:tc>
      </w:tr>
      <w:tr>
        <w:trPr>
          <w:trHeight w:val="297"/>
        </w:trPr>
        <w:tc>
          <w:tcPr>
            <w:tcW w:w="30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43"/>
        </w:trPr>
        <w:tc>
          <w:tcPr>
            <w:tcW w:w="3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Attrition (2)</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-10.7 %</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-6.9 %</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7"/>
        </w:trPr>
        <w:tc>
          <w:tcPr>
            <w:tcW w:w="30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197" w:lineRule="exact"/>
        <w:rPr>
          <w:sz w:val="20"/>
          <w:szCs w:val="20"/>
          <w:color w:val="auto"/>
        </w:rPr>
      </w:pPr>
    </w:p>
    <w:p>
      <w:pPr>
        <w:ind w:left="500" w:hanging="316"/>
        <w:spacing w:after="0"/>
        <w:tabs>
          <w:tab w:leader="none" w:pos="5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New active Dealers are Dealers who enrolled in our program and have received funding for their first Loan from us during the period.</w:t>
      </w:r>
    </w:p>
    <w:p>
      <w:pPr>
        <w:spacing w:after="0" w:line="13" w:lineRule="exact"/>
        <w:rPr>
          <w:rFonts w:ascii="Arial" w:cs="Arial" w:eastAsia="Arial" w:hAnsi="Arial"/>
          <w:sz w:val="14"/>
          <w:szCs w:val="14"/>
          <w:color w:val="auto"/>
        </w:rPr>
      </w:pPr>
    </w:p>
    <w:p>
      <w:pPr>
        <w:ind w:left="500" w:hanging="316"/>
        <w:spacing w:after="0" w:line="255" w:lineRule="auto"/>
        <w:tabs>
          <w:tab w:leader="none" w:pos="5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Attrition is measured according to the following formula: decrease in Consumer Loan unit volume from Dealers who have received funding for at least one Loan during the comparable period of the prior year but did not receive funding for any Loans during the current period divided by prior year comparable period Consumer Loan unit volume.</w:t>
      </w:r>
    </w:p>
    <w:p>
      <w:pPr>
        <w:spacing w:after="0" w:line="190"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Consumer Loans are assigned to us as either Dealer Loans through our Portfolio Program or Purchased Loans through our Purchase Program. The following table shows the percentage of Consumer Loans assigned to us under each of the programs for each of the last three years: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80" w:type="dxa"/>
            <w:vAlign w:val="bottom"/>
            <w:tcBorders>
              <w:bottom w:val="single" w:sz="8" w:color="auto"/>
            </w:tcBorders>
            <w:gridSpan w:val="3"/>
          </w:tcPr>
          <w:p>
            <w:pPr>
              <w:jc w:val="right"/>
              <w:ind w:right="1214"/>
              <w:spacing w:after="0"/>
              <w:rPr>
                <w:sz w:val="20"/>
                <w:szCs w:val="20"/>
                <w:color w:val="auto"/>
              </w:rPr>
            </w:pPr>
            <w:r>
              <w:rPr>
                <w:rFonts w:ascii="Arial" w:cs="Arial" w:eastAsia="Arial" w:hAnsi="Arial"/>
                <w:sz w:val="14"/>
                <w:szCs w:val="14"/>
                <w:b w:val="1"/>
                <w:bCs w:val="1"/>
                <w:color w:val="auto"/>
              </w:rPr>
              <w:t>Unit Volume</w:t>
            </w:r>
          </w:p>
        </w:tc>
        <w:tc>
          <w:tcPr>
            <w:tcW w:w="100" w:type="dxa"/>
            <w:vAlign w:val="bottom"/>
          </w:tcPr>
          <w:p>
            <w:pPr>
              <w:spacing w:after="0"/>
              <w:rPr>
                <w:sz w:val="17"/>
                <w:szCs w:val="17"/>
                <w:color w:val="auto"/>
              </w:rPr>
            </w:pPr>
          </w:p>
        </w:tc>
        <w:tc>
          <w:tcPr>
            <w:tcW w:w="3380" w:type="dxa"/>
            <w:vAlign w:val="bottom"/>
            <w:tcBorders>
              <w:bottom w:val="single" w:sz="8" w:color="auto"/>
            </w:tcBorders>
            <w:gridSpan w:val="3"/>
          </w:tcPr>
          <w:p>
            <w:pPr>
              <w:ind w:left="1160"/>
              <w:spacing w:after="0"/>
              <w:rPr>
                <w:sz w:val="20"/>
                <w:szCs w:val="20"/>
                <w:color w:val="auto"/>
              </w:rPr>
            </w:pPr>
            <w:r>
              <w:rPr>
                <w:rFonts w:ascii="Arial" w:cs="Arial" w:eastAsia="Arial" w:hAnsi="Arial"/>
                <w:sz w:val="14"/>
                <w:szCs w:val="14"/>
                <w:b w:val="1"/>
                <w:bCs w:val="1"/>
                <w:color w:val="auto"/>
              </w:rPr>
              <w:t>Dollar Volume (1)</w:t>
            </w:r>
          </w:p>
        </w:tc>
      </w:tr>
      <w:tr>
        <w:trPr>
          <w:trHeight w:val="264"/>
        </w:trPr>
        <w:tc>
          <w:tcPr>
            <w:tcW w:w="4560" w:type="dxa"/>
            <w:vAlign w:val="bottom"/>
            <w:gridSpan w:val="2"/>
          </w:tcPr>
          <w:p>
            <w:pPr>
              <w:ind w:left="1160"/>
              <w:spacing w:after="0"/>
              <w:rPr>
                <w:sz w:val="20"/>
                <w:szCs w:val="20"/>
                <w:color w:val="auto"/>
              </w:rPr>
            </w:pPr>
            <w:r>
              <w:rPr>
                <w:rFonts w:ascii="Arial" w:cs="Arial" w:eastAsia="Arial" w:hAnsi="Arial"/>
                <w:sz w:val="14"/>
                <w:szCs w:val="14"/>
                <w:b w:val="1"/>
                <w:bCs w:val="1"/>
                <w:color w:val="auto"/>
              </w:rPr>
              <w:t>For the Years Ended December 31,</w:t>
            </w:r>
          </w:p>
        </w:tc>
        <w:tc>
          <w:tcPr>
            <w:tcW w:w="1740" w:type="dxa"/>
            <w:vAlign w:val="bottom"/>
            <w:gridSpan w:val="2"/>
          </w:tcPr>
          <w:p>
            <w:pPr>
              <w:ind w:left="260"/>
              <w:spacing w:after="0"/>
              <w:rPr>
                <w:sz w:val="20"/>
                <w:szCs w:val="20"/>
                <w:color w:val="auto"/>
              </w:rPr>
            </w:pPr>
            <w:r>
              <w:rPr>
                <w:rFonts w:ascii="Arial" w:cs="Arial" w:eastAsia="Arial" w:hAnsi="Arial"/>
                <w:sz w:val="14"/>
                <w:szCs w:val="14"/>
                <w:b w:val="1"/>
                <w:bCs w:val="1"/>
                <w:color w:val="auto"/>
              </w:rPr>
              <w:t>Portfolio Program</w:t>
            </w:r>
          </w:p>
        </w:tc>
        <w:tc>
          <w:tcPr>
            <w:tcW w:w="1740" w:type="dxa"/>
            <w:vAlign w:val="bottom"/>
            <w:gridSpan w:val="2"/>
          </w:tcPr>
          <w:p>
            <w:pPr>
              <w:ind w:left="240"/>
              <w:spacing w:after="0"/>
              <w:rPr>
                <w:sz w:val="20"/>
                <w:szCs w:val="20"/>
                <w:color w:val="auto"/>
              </w:rPr>
            </w:pPr>
            <w:r>
              <w:rPr>
                <w:rFonts w:ascii="Arial" w:cs="Arial" w:eastAsia="Arial" w:hAnsi="Arial"/>
                <w:sz w:val="14"/>
                <w:szCs w:val="14"/>
                <w:b w:val="1"/>
                <w:bCs w:val="1"/>
                <w:color w:val="auto"/>
              </w:rPr>
              <w:t>Purchase Program</w:t>
            </w:r>
          </w:p>
        </w:tc>
        <w:tc>
          <w:tcPr>
            <w:tcW w:w="1740" w:type="dxa"/>
            <w:vAlign w:val="bottom"/>
            <w:gridSpan w:val="2"/>
          </w:tcPr>
          <w:p>
            <w:pPr>
              <w:ind w:left="260"/>
              <w:spacing w:after="0"/>
              <w:rPr>
                <w:sz w:val="20"/>
                <w:szCs w:val="20"/>
                <w:color w:val="auto"/>
              </w:rPr>
            </w:pPr>
            <w:r>
              <w:rPr>
                <w:rFonts w:ascii="Arial" w:cs="Arial" w:eastAsia="Arial" w:hAnsi="Arial"/>
                <w:sz w:val="14"/>
                <w:szCs w:val="14"/>
                <w:b w:val="1"/>
                <w:bCs w:val="1"/>
                <w:color w:val="auto"/>
              </w:rPr>
              <w:t>Portfolio Program</w:t>
            </w:r>
          </w:p>
        </w:tc>
        <w:tc>
          <w:tcPr>
            <w:tcW w:w="1640" w:type="dxa"/>
            <w:vAlign w:val="bottom"/>
          </w:tcPr>
          <w:p>
            <w:pPr>
              <w:jc w:val="right"/>
              <w:ind w:right="154"/>
              <w:spacing w:after="0"/>
              <w:rPr>
                <w:sz w:val="20"/>
                <w:szCs w:val="20"/>
                <w:color w:val="auto"/>
              </w:rPr>
            </w:pPr>
            <w:r>
              <w:rPr>
                <w:rFonts w:ascii="Arial" w:cs="Arial" w:eastAsia="Arial" w:hAnsi="Arial"/>
                <w:sz w:val="14"/>
                <w:szCs w:val="14"/>
                <w:b w:val="1"/>
                <w:bCs w:val="1"/>
                <w:color w:val="auto"/>
              </w:rPr>
              <w:t>Purchase Program</w:t>
            </w:r>
          </w:p>
        </w:tc>
      </w:tr>
      <w:tr>
        <w:trPr>
          <w:trHeight w:val="250"/>
        </w:trPr>
        <w:tc>
          <w:tcPr>
            <w:tcW w:w="4460" w:type="dxa"/>
            <w:vAlign w:val="bottom"/>
            <w:tcBorders>
              <w:top w:val="single" w:sz="8" w:color="auto"/>
              <w:bottom w:val="single" w:sz="8" w:color="CCEEFF"/>
            </w:tcBorders>
            <w:shd w:val="clear" w:color="auto" w:fill="CCEEFF"/>
          </w:tcPr>
          <w:p>
            <w:pPr>
              <w:jc w:val="right"/>
              <w:ind w:right="3974"/>
              <w:spacing w:after="0"/>
              <w:rPr>
                <w:sz w:val="20"/>
                <w:szCs w:val="20"/>
                <w:color w:val="auto"/>
              </w:rPr>
            </w:pPr>
            <w:r>
              <w:rPr>
                <w:rFonts w:ascii="Arial" w:cs="Arial" w:eastAsia="Arial" w:hAnsi="Arial"/>
                <w:sz w:val="18"/>
                <w:szCs w:val="18"/>
                <w:color w:val="auto"/>
                <w:w w:val="94"/>
              </w:rPr>
              <w:t>2015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w w:val="93"/>
              </w:rPr>
              <w:t>82.8%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43"/>
        </w:trPr>
        <w:tc>
          <w:tcPr>
            <w:tcW w:w="4460" w:type="dxa"/>
            <w:vAlign w:val="bottom"/>
          </w:tcPr>
          <w:p>
            <w:pPr>
              <w:jc w:val="right"/>
              <w:ind w:right="3974"/>
              <w:spacing w:after="0"/>
              <w:rPr>
                <w:sz w:val="20"/>
                <w:szCs w:val="20"/>
                <w:color w:val="auto"/>
              </w:rPr>
            </w:pPr>
            <w:r>
              <w:rPr>
                <w:rFonts w:ascii="Arial" w:cs="Arial" w:eastAsia="Arial" w:hAnsi="Arial"/>
                <w:sz w:val="18"/>
                <w:szCs w:val="18"/>
                <w:color w:val="auto"/>
                <w:w w:val="94"/>
              </w:rPr>
              <w:t>2016</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1640" w:type="dxa"/>
            <w:vAlign w:val="bottom"/>
          </w:tcPr>
          <w:p>
            <w:pPr>
              <w:ind w:left="1140"/>
              <w:spacing w:after="0"/>
              <w:rPr>
                <w:sz w:val="20"/>
                <w:szCs w:val="20"/>
                <w:color w:val="auto"/>
              </w:rPr>
            </w:pPr>
            <w:r>
              <w:rPr>
                <w:rFonts w:ascii="Arial" w:cs="Arial" w:eastAsia="Arial" w:hAnsi="Arial"/>
                <w:sz w:val="18"/>
                <w:szCs w:val="18"/>
                <w:color w:val="auto"/>
                <w:w w:val="93"/>
              </w:rPr>
              <w:t>71.4%</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28.6%</w:t>
            </w: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43"/>
        </w:trPr>
        <w:tc>
          <w:tcPr>
            <w:tcW w:w="4460" w:type="dxa"/>
            <w:vAlign w:val="bottom"/>
            <w:shd w:val="clear" w:color="auto" w:fill="CCEEFF"/>
          </w:tcPr>
          <w:p>
            <w:pPr>
              <w:jc w:val="right"/>
              <w:ind w:right="3974"/>
              <w:spacing w:after="0"/>
              <w:rPr>
                <w:sz w:val="20"/>
                <w:szCs w:val="20"/>
                <w:color w:val="auto"/>
              </w:rPr>
            </w:pPr>
            <w:r>
              <w:rPr>
                <w:rFonts w:ascii="Arial" w:cs="Arial" w:eastAsia="Arial" w:hAnsi="Arial"/>
                <w:sz w:val="18"/>
                <w:szCs w:val="18"/>
                <w:color w:val="auto"/>
                <w:w w:val="94"/>
              </w:rPr>
              <w:t>2017</w:t>
            </w: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ind w:left="1140"/>
              <w:spacing w:after="0"/>
              <w:rPr>
                <w:sz w:val="20"/>
                <w:szCs w:val="20"/>
                <w:color w:val="auto"/>
              </w:rPr>
            </w:pPr>
            <w:r>
              <w:rPr>
                <w:rFonts w:ascii="Arial" w:cs="Arial" w:eastAsia="Arial" w:hAnsi="Arial"/>
                <w:sz w:val="18"/>
                <w:szCs w:val="18"/>
                <w:color w:val="auto"/>
                <w:w w:val="93"/>
              </w:rPr>
              <w:t>68.5%</w:t>
            </w: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r>
      <w:tr>
        <w:trPr>
          <w:trHeight w:val="27"/>
        </w:trPr>
        <w:tc>
          <w:tcPr>
            <w:tcW w:w="4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197" w:lineRule="exact"/>
        <w:rPr>
          <w:sz w:val="20"/>
          <w:szCs w:val="20"/>
          <w:color w:val="auto"/>
        </w:rPr>
      </w:pPr>
    </w:p>
    <w:p>
      <w:pPr>
        <w:ind w:left="500" w:right="20" w:hanging="330"/>
        <w:spacing w:after="0" w:line="273" w:lineRule="auto"/>
        <w:tabs>
          <w:tab w:leader="none" w:pos="5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advances paid to Dealers on Consumer Loans assigned under our Portfolio Program and one-time payments made to Dealers to purchase Consumer Loans assigned under our Purchase Program. Payments of Dealer Holdback and accelerated Dealer Holdback are not included.</w:t>
      </w:r>
    </w:p>
    <w:p>
      <w:pPr>
        <w:spacing w:after="0" w:line="17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As of December 31, 2017 and 2016, the net Dealer Loans receivable balance was 68.2% and 74.6%, respectively, of the total net Loans receivable balance.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68"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discussion of our results of operations and income statement data on a consolidated basis.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Year Ended December 31, 2017 Compared to Year Ended December 31, 2016</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540" w:type="dxa"/>
            <w:vAlign w:val="bottom"/>
          </w:tcPr>
          <w:p>
            <w:pPr>
              <w:ind w:left="40"/>
              <w:spacing w:after="0"/>
              <w:rPr>
                <w:sz w:val="20"/>
                <w:szCs w:val="20"/>
                <w:color w:val="auto"/>
              </w:rPr>
            </w:pPr>
            <w:r>
              <w:rPr>
                <w:rFonts w:ascii="Arial" w:cs="Arial" w:eastAsia="Arial" w:hAnsi="Arial"/>
                <w:sz w:val="14"/>
                <w:szCs w:val="14"/>
                <w:color w:val="auto"/>
              </w:rPr>
              <w:t>(Dollars in millions, except per share data)</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For the Years Ended December 31,</w:t>
            </w:r>
          </w:p>
        </w:tc>
        <w:tc>
          <w:tcPr>
            <w:tcW w:w="14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 Change</w:t>
            </w:r>
          </w:p>
        </w:tc>
        <w:tc>
          <w:tcPr>
            <w:tcW w:w="1480" w:type="dxa"/>
            <w:vAlign w:val="bottom"/>
          </w:tcPr>
          <w:p>
            <w:pPr>
              <w:jc w:val="right"/>
              <w:ind w:right="33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2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Finance charges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15.7 %</w:t>
            </w:r>
          </w:p>
        </w:tc>
        <w:tc>
          <w:tcPr>
            <w:tcW w:w="0" w:type="dxa"/>
            <w:vAlign w:val="bottom"/>
          </w:tcPr>
          <w:p>
            <w:pPr>
              <w:spacing w:after="0"/>
              <w:rPr>
                <w:sz w:val="1"/>
                <w:szCs w:val="1"/>
                <w:color w:val="auto"/>
              </w:rPr>
            </w:pPr>
          </w:p>
        </w:tc>
      </w:tr>
      <w:tr>
        <w:trPr>
          <w:trHeight w:val="243"/>
        </w:trPr>
        <w:tc>
          <w:tcPr>
            <w:tcW w:w="5540" w:type="dxa"/>
            <w:vAlign w:val="bottom"/>
          </w:tcPr>
          <w:p>
            <w:pPr>
              <w:ind w:left="380"/>
              <w:spacing w:after="0"/>
              <w:rPr>
                <w:sz w:val="20"/>
                <w:szCs w:val="20"/>
                <w:color w:val="auto"/>
              </w:rPr>
            </w:pPr>
            <w:r>
              <w:rPr>
                <w:rFonts w:ascii="Arial" w:cs="Arial" w:eastAsia="Arial" w:hAnsi="Arial"/>
                <w:sz w:val="18"/>
                <w:szCs w:val="18"/>
                <w:color w:val="auto"/>
              </w:rPr>
              <w:t>Premiums earned</w:t>
            </w:r>
          </w:p>
        </w:tc>
        <w:tc>
          <w:tcPr>
            <w:tcW w:w="2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43.0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w:t>
            </w:r>
          </w:p>
        </w:tc>
        <w:tc>
          <w:tcPr>
            <w:tcW w:w="2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57.4</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51.9</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10.6 %</w:t>
            </w:r>
          </w:p>
        </w:tc>
        <w:tc>
          <w:tcPr>
            <w:tcW w:w="0" w:type="dxa"/>
            <w:vAlign w:val="bottom"/>
          </w:tcPr>
          <w:p>
            <w:pPr>
              <w:spacing w:after="0"/>
              <w:rPr>
                <w:sz w:val="1"/>
                <w:szCs w:val="1"/>
                <w:color w:val="auto"/>
              </w:rPr>
            </w:pPr>
          </w:p>
        </w:tc>
      </w:tr>
      <w:tr>
        <w:trPr>
          <w:trHeight w:val="284"/>
        </w:trPr>
        <w:tc>
          <w:tcPr>
            <w:tcW w:w="55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1,110.0</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969.2</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140.8</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14.5 %</w:t>
            </w:r>
          </w:p>
        </w:tc>
        <w:tc>
          <w:tcPr>
            <w:tcW w:w="0" w:type="dxa"/>
            <w:vAlign w:val="bottom"/>
          </w:tcPr>
          <w:p>
            <w:pPr>
              <w:spacing w:after="0"/>
              <w:rPr>
                <w:sz w:val="1"/>
                <w:szCs w:val="1"/>
                <w:color w:val="auto"/>
              </w:rPr>
            </w:pPr>
          </w:p>
        </w:tc>
      </w:tr>
      <w:tr>
        <w:trPr>
          <w:trHeight w:val="244"/>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40" w:type="dxa"/>
            <w:vAlign w:val="bottom"/>
          </w:tcPr>
          <w:p>
            <w:pPr>
              <w:ind w:left="380"/>
              <w:spacing w:after="0"/>
              <w:rPr>
                <w:sz w:val="20"/>
                <w:szCs w:val="20"/>
                <w:color w:val="auto"/>
              </w:rPr>
            </w:pPr>
            <w:r>
              <w:rPr>
                <w:rFonts w:ascii="Arial" w:cs="Arial" w:eastAsia="Arial" w:hAnsi="Arial"/>
                <w:sz w:val="18"/>
                <w:szCs w:val="18"/>
                <w:color w:val="auto"/>
              </w:rPr>
              <w:t>Salaries and wages (1)</w:t>
            </w:r>
          </w:p>
        </w:tc>
        <w:tc>
          <w:tcPr>
            <w:tcW w:w="2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140.1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126.5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10.8 %</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 (1)</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15.1 %</w:t>
            </w:r>
          </w:p>
        </w:tc>
        <w:tc>
          <w:tcPr>
            <w:tcW w:w="0" w:type="dxa"/>
            <w:vAlign w:val="bottom"/>
          </w:tcPr>
          <w:p>
            <w:pPr>
              <w:spacing w:after="0"/>
              <w:rPr>
                <w:sz w:val="1"/>
                <w:szCs w:val="1"/>
                <w:color w:val="auto"/>
              </w:rPr>
            </w:pPr>
          </w:p>
        </w:tc>
      </w:tr>
      <w:tr>
        <w:trPr>
          <w:trHeight w:val="243"/>
        </w:trPr>
        <w:tc>
          <w:tcPr>
            <w:tcW w:w="5540" w:type="dxa"/>
            <w:vAlign w:val="bottom"/>
          </w:tcPr>
          <w:p>
            <w:pPr>
              <w:ind w:left="380"/>
              <w:spacing w:after="0"/>
              <w:rPr>
                <w:sz w:val="20"/>
                <w:szCs w:val="20"/>
                <w:color w:val="auto"/>
              </w:rPr>
            </w:pPr>
            <w:r>
              <w:rPr>
                <w:rFonts w:ascii="Arial" w:cs="Arial" w:eastAsia="Arial" w:hAnsi="Arial"/>
                <w:sz w:val="18"/>
                <w:szCs w:val="18"/>
                <w:color w:val="auto"/>
              </w:rPr>
              <w:t>Sales and marketing (1)</w:t>
            </w:r>
          </w:p>
        </w:tc>
        <w:tc>
          <w:tcPr>
            <w:tcW w:w="2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49.4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18.2 %</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credit losses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43.3 %</w:t>
            </w:r>
          </w:p>
        </w:tc>
        <w:tc>
          <w:tcPr>
            <w:tcW w:w="0" w:type="dxa"/>
            <w:vAlign w:val="bottom"/>
          </w:tcPr>
          <w:p>
            <w:pPr>
              <w:spacing w:after="0"/>
              <w:rPr>
                <w:sz w:val="1"/>
                <w:szCs w:val="1"/>
                <w:color w:val="auto"/>
              </w:rPr>
            </w:pPr>
          </w:p>
        </w:tc>
      </w:tr>
      <w:tr>
        <w:trPr>
          <w:trHeight w:val="243"/>
        </w:trPr>
        <w:tc>
          <w:tcPr>
            <w:tcW w:w="5540" w:type="dxa"/>
            <w:vAlign w:val="bottom"/>
          </w:tcPr>
          <w:p>
            <w:pPr>
              <w:ind w:left="380"/>
              <w:spacing w:after="0"/>
              <w:rPr>
                <w:sz w:val="20"/>
                <w:szCs w:val="20"/>
                <w:color w:val="auto"/>
              </w:rPr>
            </w:pPr>
            <w:r>
              <w:rPr>
                <w:rFonts w:ascii="Arial" w:cs="Arial" w:eastAsia="Arial" w:hAnsi="Arial"/>
                <w:sz w:val="18"/>
                <w:szCs w:val="18"/>
                <w:color w:val="auto"/>
              </w:rPr>
              <w:t>Interest</w:t>
            </w:r>
          </w:p>
        </w:tc>
        <w:tc>
          <w:tcPr>
            <w:tcW w:w="2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120.2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97.7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23.0 %</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claims</w:t>
            </w:r>
          </w:p>
        </w:tc>
        <w:tc>
          <w:tcPr>
            <w:tcW w:w="2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26.0</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-12.7 %</w:t>
            </w:r>
          </w:p>
        </w:tc>
        <w:tc>
          <w:tcPr>
            <w:tcW w:w="0" w:type="dxa"/>
            <w:vAlign w:val="bottom"/>
          </w:tcPr>
          <w:p>
            <w:pPr>
              <w:spacing w:after="0"/>
              <w:rPr>
                <w:sz w:val="1"/>
                <w:szCs w:val="1"/>
                <w:color w:val="auto"/>
              </w:rPr>
            </w:pPr>
          </w:p>
        </w:tc>
      </w:tr>
      <w:tr>
        <w:trPr>
          <w:trHeight w:val="284"/>
        </w:trPr>
        <w:tc>
          <w:tcPr>
            <w:tcW w:w="55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costs and expenses</w:t>
            </w: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526.2</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438.0</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88.2</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20.1 %</w:t>
            </w:r>
          </w:p>
        </w:tc>
        <w:tc>
          <w:tcPr>
            <w:tcW w:w="0" w:type="dxa"/>
            <w:vAlign w:val="bottom"/>
          </w:tcPr>
          <w:p>
            <w:pPr>
              <w:spacing w:after="0"/>
              <w:rPr>
                <w:sz w:val="1"/>
                <w:szCs w:val="1"/>
                <w:color w:val="auto"/>
              </w:rPr>
            </w:pPr>
          </w:p>
        </w:tc>
      </w:tr>
      <w:tr>
        <w:trPr>
          <w:trHeight w:val="244"/>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9.9 %</w:t>
            </w:r>
          </w:p>
        </w:tc>
        <w:tc>
          <w:tcPr>
            <w:tcW w:w="0" w:type="dxa"/>
            <w:vAlign w:val="bottom"/>
          </w:tcPr>
          <w:p>
            <w:pPr>
              <w:spacing w:after="0"/>
              <w:rPr>
                <w:sz w:val="1"/>
                <w:szCs w:val="1"/>
                <w:color w:val="auto"/>
              </w:rPr>
            </w:pPr>
          </w:p>
        </w:tc>
      </w:tr>
      <w:tr>
        <w:trPr>
          <w:trHeight w:val="284"/>
        </w:trPr>
        <w:tc>
          <w:tcPr>
            <w:tcW w:w="55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113.6</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198.4</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-42.7 %</w:t>
            </w:r>
          </w:p>
        </w:tc>
        <w:tc>
          <w:tcPr>
            <w:tcW w:w="0" w:type="dxa"/>
            <w:vAlign w:val="bottom"/>
          </w:tcPr>
          <w:p>
            <w:pPr>
              <w:spacing w:after="0"/>
              <w:rPr>
                <w:sz w:val="1"/>
                <w:szCs w:val="1"/>
                <w:color w:val="auto"/>
              </w:rPr>
            </w:pPr>
          </w:p>
        </w:tc>
      </w:tr>
      <w:tr>
        <w:trPr>
          <w:trHeight w:val="257"/>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470.2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332.8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137.4</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41.3 %</w:t>
            </w:r>
          </w:p>
        </w:tc>
        <w:tc>
          <w:tcPr>
            <w:tcW w:w="0" w:type="dxa"/>
            <w:vAlign w:val="bottom"/>
          </w:tcPr>
          <w:p>
            <w:pPr>
              <w:spacing w:after="0"/>
              <w:rPr>
                <w:sz w:val="1"/>
                <w:szCs w:val="1"/>
                <w:color w:val="auto"/>
              </w:rPr>
            </w:pPr>
          </w:p>
        </w:tc>
      </w:tr>
      <w:tr>
        <w:trPr>
          <w:trHeight w:val="20"/>
        </w:trPr>
        <w:tc>
          <w:tcPr>
            <w:tcW w:w="5540" w:type="dxa"/>
            <w:vAlign w:val="bottom"/>
            <w:vMerge w:val="restart"/>
          </w:tcPr>
          <w:p>
            <w:pPr>
              <w:ind w:left="40"/>
              <w:spacing w:after="0"/>
              <w:rPr>
                <w:sz w:val="20"/>
                <w:szCs w:val="20"/>
                <w:color w:val="auto"/>
              </w:rPr>
            </w:pPr>
            <w:r>
              <w:rPr>
                <w:rFonts w:ascii="Arial" w:cs="Arial" w:eastAsia="Arial" w:hAnsi="Arial"/>
                <w:sz w:val="18"/>
                <w:szCs w:val="18"/>
                <w:color w:val="auto"/>
              </w:rPr>
              <w:t>Net income per share:</w:t>
            </w: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24.12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16.37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7.75</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47.3 %</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5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24.04</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16.31</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7.73</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47.4 %</w:t>
            </w:r>
          </w:p>
        </w:tc>
        <w:tc>
          <w:tcPr>
            <w:tcW w:w="0" w:type="dxa"/>
            <w:vAlign w:val="bottom"/>
          </w:tcPr>
          <w:p>
            <w:pPr>
              <w:spacing w:after="0"/>
              <w:rPr>
                <w:sz w:val="1"/>
                <w:szCs w:val="1"/>
                <w:color w:val="auto"/>
              </w:rPr>
            </w:pPr>
          </w:p>
        </w:tc>
      </w:tr>
      <w:tr>
        <w:trPr>
          <w:trHeight w:val="237"/>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540" w:type="dxa"/>
            <w:vAlign w:val="bottom"/>
          </w:tcPr>
          <w:p>
            <w:pPr>
              <w:ind w:left="38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19,497,719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20,331,769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(834,050)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19,558,936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20,410,116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(851,180)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324"/>
        </w:trPr>
        <w:tc>
          <w:tcPr>
            <w:tcW w:w="5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(1) Operating expenses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254.0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224.1</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13.3 %</w:t>
            </w:r>
          </w:p>
        </w:tc>
        <w:tc>
          <w:tcPr>
            <w:tcW w:w="0" w:type="dxa"/>
            <w:vAlign w:val="bottom"/>
          </w:tcPr>
          <w:p>
            <w:pPr>
              <w:spacing w:after="0"/>
              <w:rPr>
                <w:sz w:val="1"/>
                <w:szCs w:val="1"/>
                <w:color w:val="auto"/>
              </w:rPr>
            </w:pPr>
          </w:p>
        </w:tc>
      </w:tr>
      <w:tr>
        <w:trPr>
          <w:trHeight w:val="27"/>
        </w:trPr>
        <w:tc>
          <w:tcPr>
            <w:tcW w:w="55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Finance Charges. </w:t>
      </w:r>
      <w:r>
        <w:rPr>
          <w:rFonts w:ascii="Arial" w:cs="Arial" w:eastAsia="Arial" w:hAnsi="Arial"/>
          <w:sz w:val="18"/>
          <w:szCs w:val="18"/>
          <w:color w:val="auto"/>
        </w:rPr>
        <w:t>The increase of $137.2 million, or 15.7%, was primarily the result of an increase in the average net Loans receivable balance partially</w:t>
      </w:r>
      <w:r>
        <w:rPr>
          <w:rFonts w:ascii="Arial" w:cs="Arial" w:eastAsia="Arial" w:hAnsi="Arial"/>
          <w:sz w:val="18"/>
          <w:szCs w:val="18"/>
          <w:i w:val="1"/>
          <w:iCs w:val="1"/>
          <w:color w:val="auto"/>
        </w:rPr>
        <w:t xml:space="preserve"> </w:t>
      </w:r>
      <w:r>
        <w:rPr>
          <w:rFonts w:ascii="Arial" w:cs="Arial" w:eastAsia="Arial" w:hAnsi="Arial"/>
          <w:sz w:val="18"/>
          <w:szCs w:val="18"/>
          <w:color w:val="auto"/>
        </w:rPr>
        <w:t>offset by a decrease in the average yield on our Loan portfolio,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200" w:type="dxa"/>
            <w:vAlign w:val="bottom"/>
          </w:tcPr>
          <w:p>
            <w:pPr>
              <w:ind w:left="40"/>
              <w:spacing w:after="0"/>
              <w:rPr>
                <w:sz w:val="20"/>
                <w:szCs w:val="20"/>
                <w:color w:val="auto"/>
              </w:rPr>
            </w:pPr>
            <w:r>
              <w:rPr>
                <w:rFonts w:ascii="Arial" w:cs="Arial" w:eastAsia="Arial" w:hAnsi="Arial"/>
                <w:sz w:val="14"/>
                <w:szCs w:val="14"/>
                <w:color w:val="auto"/>
              </w:rPr>
              <w:t>(Dollars in millions)</w:t>
            </w:r>
          </w:p>
        </w:tc>
        <w:tc>
          <w:tcPr>
            <w:tcW w:w="168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rPr>
              <w:t>For the Years Ended December 31,</w:t>
            </w:r>
          </w:p>
        </w:tc>
        <w:tc>
          <w:tcPr>
            <w:tcW w:w="1400" w:type="dxa"/>
            <w:vAlign w:val="bottom"/>
            <w:tcBorders>
              <w:bottom w:val="single" w:sz="8" w:color="auto"/>
            </w:tcBorders>
          </w:tcPr>
          <w:p>
            <w:pPr>
              <w:spacing w:after="0"/>
              <w:rPr>
                <w:sz w:val="17"/>
                <w:szCs w:val="17"/>
                <w:color w:val="auto"/>
              </w:rPr>
            </w:pPr>
          </w:p>
        </w:tc>
      </w:tr>
      <w:tr>
        <w:trPr>
          <w:trHeight w:val="264"/>
        </w:trPr>
        <w:tc>
          <w:tcPr>
            <w:tcW w:w="4200" w:type="dxa"/>
            <w:vAlign w:val="bottom"/>
            <w:tcBorders>
              <w:bottom w:val="single" w:sz="8" w:color="CCEEFF"/>
            </w:tcBorders>
          </w:tcPr>
          <w:p>
            <w:pPr>
              <w:spacing w:after="0"/>
              <w:rPr>
                <w:sz w:val="22"/>
                <w:szCs w:val="22"/>
                <w:color w:val="auto"/>
              </w:rPr>
            </w:pPr>
          </w:p>
        </w:tc>
        <w:tc>
          <w:tcPr>
            <w:tcW w:w="168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Change</w:t>
            </w: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net Loans receivable balance</w:t>
            </w:r>
          </w:p>
        </w:tc>
        <w:tc>
          <w:tcPr>
            <w:tcW w:w="2700" w:type="dxa"/>
            <w:vAlign w:val="bottom"/>
            <w:tcBorders>
              <w:bottom w:val="single" w:sz="8" w:color="CCEEFF"/>
            </w:tcBorders>
            <w:gridSpan w:val="2"/>
            <w:shd w:val="clear" w:color="auto" w:fill="CCEEFF"/>
          </w:tcPr>
          <w:p>
            <w:pPr>
              <w:jc w:val="right"/>
              <w:ind w:right="828"/>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86"/>
              </w:rPr>
              <w:t>4,276.4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3,534.0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742.4</w:t>
            </w: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Average yield on our Loan portfolio</w:t>
            </w:r>
          </w:p>
        </w:tc>
        <w:tc>
          <w:tcPr>
            <w:tcW w:w="16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-1.0 %</w:t>
            </w:r>
          </w:p>
        </w:tc>
      </w:tr>
      <w:tr>
        <w:trPr>
          <w:trHeight w:val="702"/>
        </w:trPr>
        <w:tc>
          <w:tcPr>
            <w:tcW w:w="420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30</w:t>
            </w: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30" w:name="page31"/>
    <w:bookmarkEnd w:id="30"/>
    <w:p>
      <w:pPr>
        <w:ind w:left="340"/>
        <w:spacing w:after="0"/>
        <w:rPr>
          <w:sz w:val="20"/>
          <w:szCs w:val="20"/>
          <w:color w:val="auto"/>
        </w:rPr>
      </w:pPr>
      <w:r>
        <w:rPr>
          <w:rFonts w:ascii="Arial" w:cs="Arial" w:eastAsia="Arial" w:hAnsi="Arial"/>
          <w:sz w:val="17"/>
          <w:szCs w:val="17"/>
          <w:color w:val="auto"/>
        </w:rPr>
        <w:t>The following table summarizes the impact each component had on the overall increase in finance charges for the year ended December 31, 2017:</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millions)</w:t>
      </w:r>
    </w:p>
    <w:tbl>
      <w:tblPr>
        <w:tblLayout w:type="fixed"/>
        <w:tblInd w:w="0" w:type="dxa"/>
        <w:tblCellMar>
          <w:top w:w="0" w:type="dxa"/>
          <w:left w:w="0" w:type="dxa"/>
          <w:bottom w:w="0" w:type="dxa"/>
          <w:right w:w="0" w:type="dxa"/>
        </w:tblCellMar>
      </w:tblPr>
      <w:tr>
        <w:trPr>
          <w:trHeight w:val="133"/>
        </w:trPr>
        <w:tc>
          <w:tcPr>
            <w:tcW w:w="9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tcPr>
          <w:p>
            <w:pPr>
              <w:jc w:val="right"/>
              <w:ind w:right="157"/>
              <w:spacing w:after="0" w:line="133" w:lineRule="exact"/>
              <w:rPr>
                <w:sz w:val="20"/>
                <w:szCs w:val="20"/>
                <w:color w:val="auto"/>
              </w:rPr>
            </w:pPr>
            <w:r>
              <w:rPr>
                <w:rFonts w:ascii="Arial" w:cs="Arial" w:eastAsia="Arial" w:hAnsi="Arial"/>
                <w:sz w:val="14"/>
                <w:szCs w:val="14"/>
                <w:b w:val="1"/>
                <w:bCs w:val="1"/>
                <w:color w:val="auto"/>
                <w:w w:val="98"/>
              </w:rPr>
              <w:t>For the Year Ended</w:t>
            </w:r>
          </w:p>
        </w:tc>
      </w:tr>
      <w:tr>
        <w:trPr>
          <w:trHeight w:val="205"/>
        </w:trPr>
        <w:tc>
          <w:tcPr>
            <w:tcW w:w="97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Impact on finance charges:</w:t>
            </w: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w w:val="98"/>
              </w:rPr>
              <w:t>December 31, 2017</w:t>
            </w: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to an increase in the average net Loans receivable balance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183.7</w:t>
            </w:r>
          </w:p>
        </w:tc>
      </w:tr>
      <w:tr>
        <w:trPr>
          <w:trHeight w:val="284"/>
        </w:trPr>
        <w:tc>
          <w:tcPr>
            <w:tcW w:w="97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Due to a decrease in the average yield</w:t>
            </w: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w:t>
            </w:r>
          </w:p>
        </w:tc>
      </w:tr>
      <w:tr>
        <w:trPr>
          <w:trHeight w:val="257"/>
        </w:trPr>
        <w:tc>
          <w:tcPr>
            <w:tcW w:w="9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increase in finance charges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137.2</w:t>
            </w:r>
          </w:p>
        </w:tc>
      </w:tr>
      <w:tr>
        <w:trPr>
          <w:trHeight w:val="20"/>
        </w:trPr>
        <w:tc>
          <w:tcPr>
            <w:tcW w:w="9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increase in the average net Loans receivable balance was primarily due to the dollar volume of new Consumer Loan assignments exceeding the principal collected on Loans receivable. The average yield on our Loan portfolio for the year ended December 31, 2017 decreased as compared to the same period in 2016 due to lower yields on new Consumer Loan assignments.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The increase of $5.5 million, or 10.6%, was primarily due to an increase in ancillary product profit sharing income due to growth in our</w:t>
      </w:r>
      <w:r>
        <w:rPr>
          <w:rFonts w:ascii="Arial" w:cs="Arial" w:eastAsia="Arial" w:hAnsi="Arial"/>
          <w:sz w:val="18"/>
          <w:szCs w:val="18"/>
          <w:i w:val="1"/>
          <w:iCs w:val="1"/>
          <w:color w:val="auto"/>
        </w:rPr>
        <w:t xml:space="preserve"> </w:t>
      </w:r>
      <w:r>
        <w:rPr>
          <w:rFonts w:ascii="Arial" w:cs="Arial" w:eastAsia="Arial" w:hAnsi="Arial"/>
          <w:sz w:val="18"/>
          <w:szCs w:val="18"/>
          <w:color w:val="auto"/>
        </w:rPr>
        <w:t>Loan portfolio, partially offset by a decrease in GPS Starter Interrupt Device fee income due to a decrease in the number of units purchased by Dealers from our third party provider in the current year.</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The increase of $29.9 million, or 13.3%, was primarily due to the following:</w:t>
      </w:r>
    </w:p>
    <w:p>
      <w:pPr>
        <w:spacing w:after="0" w:line="225" w:lineRule="exact"/>
        <w:rPr>
          <w:sz w:val="20"/>
          <w:szCs w:val="20"/>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increase in salaries and wages expense of $13.6 million, or 10.8%, comprised of the following:</w:t>
      </w:r>
    </w:p>
    <w:p>
      <w:pPr>
        <w:spacing w:after="0" w:line="23" w:lineRule="exact"/>
        <w:rPr>
          <w:rFonts w:ascii="Arial" w:cs="Arial" w:eastAsia="Arial" w:hAnsi="Arial"/>
          <w:sz w:val="18"/>
          <w:szCs w:val="18"/>
          <w:color w:val="auto"/>
        </w:rPr>
      </w:pPr>
    </w:p>
    <w:p>
      <w:pPr>
        <w:ind w:left="1620" w:hanging="315"/>
        <w:spacing w:after="0"/>
        <w:tabs>
          <w:tab w:leader="none" w:pos="16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 increase of $7.9 million in stock-based compensation expense primarily due to 2017 stock awards.</w:t>
      </w:r>
    </w:p>
    <w:p>
      <w:pPr>
        <w:spacing w:after="0" w:line="9" w:lineRule="exact"/>
        <w:rPr>
          <w:rFonts w:ascii="Arial" w:cs="Arial" w:eastAsia="Arial" w:hAnsi="Arial"/>
          <w:sz w:val="18"/>
          <w:szCs w:val="18"/>
          <w:color w:val="auto"/>
        </w:rPr>
      </w:pPr>
    </w:p>
    <w:p>
      <w:pPr>
        <w:ind w:left="1620" w:hanging="315"/>
        <w:spacing w:after="0" w:line="250" w:lineRule="auto"/>
        <w:tabs>
          <w:tab w:leader="none" w:pos="16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 decrease of $4.8 million in cash-based incentive compensation expense primarily due to a decline in Company performance measures.</w:t>
      </w:r>
    </w:p>
    <w:p>
      <w:pPr>
        <w:jc w:val="both"/>
        <w:ind w:left="1620" w:hanging="315"/>
        <w:spacing w:after="0" w:line="250" w:lineRule="auto"/>
        <w:tabs>
          <w:tab w:leader="none" w:pos="16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Excluding the changes in stock-based and cash-based incentive compensation expenses, salaries and wages expense increased $10.5 million primarily related to an increase of $6.2 million for our servicing function and $3.9 million for our support function as a result of an increase in the number of team members.</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increase in sales and marketing expense of $9.0 million, or 18.2%, primarily due to an increase in the size of our sales force.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increase in general and administrative expense of $7.3 million, or 15.1%, primarily as a result of an increase in legal fees.</w:t>
      </w:r>
    </w:p>
    <w:p>
      <w:pPr>
        <w:spacing w:after="0" w:line="21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Provision for Credit Losses</w:t>
      </w:r>
      <w:r>
        <w:rPr>
          <w:rFonts w:ascii="Arial" w:cs="Arial" w:eastAsia="Arial" w:hAnsi="Arial"/>
          <w:sz w:val="17"/>
          <w:szCs w:val="17"/>
          <w:color w:val="auto"/>
        </w:rPr>
        <w:t>. Under accounting principles generally accepted in the United States of America (“GAAP”), when the present value of</w:t>
      </w:r>
      <w:r>
        <w:rPr>
          <w:rFonts w:ascii="Arial" w:cs="Arial" w:eastAsia="Arial" w:hAnsi="Arial"/>
          <w:sz w:val="17"/>
          <w:szCs w:val="17"/>
          <w:i w:val="1"/>
          <w:iCs w:val="1"/>
          <w:color w:val="auto"/>
        </w:rPr>
        <w:t xml:space="preserve"> </w:t>
      </w:r>
      <w:r>
        <w:rPr>
          <w:rFonts w:ascii="Arial" w:cs="Arial" w:eastAsia="Arial" w:hAnsi="Arial"/>
          <w:sz w:val="17"/>
          <w:szCs w:val="17"/>
          <w:color w:val="auto"/>
        </w:rPr>
        <w:t>forecasted future cash flows declines relative to our expectations at the time of assignment, a provision for credit losses is recorded immediately as a current period expense and a corresponding allowance for credit losses is established. For purposes of calculating the required allowance, Dealer Loans are grouped by Dealer and Purchased Loans are grouped by month of purchase. As a result, regardless of the overall performance of the portfolio of Consumer Loans, a provision can be required if any individual Loan pool performs worse than expected. Conversely, a previously recorded provision can be reversed if any previously impaired individual Loan pool experiences an improvement in performance.</w:t>
      </w:r>
    </w:p>
    <w:p>
      <w:pPr>
        <w:spacing w:after="0" w:line="17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During the year ended December 31, 2017, overall Consumer Loan performance was generally consistent with our expectations at the start of the year. However, the performance of certain Loan pools declined from our expectations during the year, resulting in a provision for credit losses of $129.3 million for the year ended December 31, 2017, of which $103.4 million related to Dealer Loans and $25.9 million related to Purchased Loans. Provision for credit losses included an additional expense of $41.6 million related to the revision of our net cash flow timing forecast during the fourth quarter of 2017, of which $31.9 million related to Dealer Loans and $9.7 million related to Purchased Loans. For additional information, see Note 5 to the consolidated financial statements contained in Item 8 of this Form 10-K, which is incorporated herein by reference.</w:t>
      </w:r>
    </w:p>
    <w:p>
      <w:pPr>
        <w:spacing w:after="0" w:line="17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year ended December 31, 2016, overall Consumer Loan performance declined from our expectations at the start of the year, resulting in a provision for credit losses of $90.2 million for the year ended December 31, 2016, of which $87.3 million related to Dealer Loans and $2.9 million related to Purchased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68" w:right="239" w:bottom="1440" w:gutter="0" w:footer="0" w:header="0"/>
        </w:sectPr>
      </w:pPr>
    </w:p>
    <w:bookmarkStart w:id="31" w:name="page32"/>
    <w:bookmarkEnd w:id="31"/>
    <w:p>
      <w:pPr>
        <w:ind w:left="340"/>
        <w:spacing w:after="0"/>
        <w:rPr>
          <w:sz w:val="20"/>
          <w:szCs w:val="20"/>
          <w:color w:val="auto"/>
        </w:rPr>
      </w:pPr>
      <w:r>
        <w:rPr>
          <w:rFonts w:ascii="Arial" w:cs="Arial" w:eastAsia="Arial" w:hAnsi="Arial"/>
          <w:sz w:val="16"/>
          <w:szCs w:val="16"/>
          <w:i w:val="1"/>
          <w:iCs w:val="1"/>
          <w:color w:val="auto"/>
        </w:rPr>
        <w:t xml:space="preserve">Interest.  </w:t>
      </w:r>
      <w:r>
        <w:rPr>
          <w:rFonts w:ascii="Arial" w:cs="Arial" w:eastAsia="Arial" w:hAnsi="Arial"/>
          <w:sz w:val="16"/>
          <w:szCs w:val="16"/>
          <w:color w:val="auto"/>
        </w:rPr>
        <w:t>The increase of $22.5 million, or 23.0%, was due to increases in the average outstanding debt balance and our average cost of debt,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900" w:type="dxa"/>
            <w:vAlign w:val="bottom"/>
          </w:tcPr>
          <w:p>
            <w:pPr>
              <w:ind w:left="40"/>
              <w:spacing w:after="0"/>
              <w:rPr>
                <w:sz w:val="20"/>
                <w:szCs w:val="20"/>
                <w:color w:val="auto"/>
              </w:rPr>
            </w:pPr>
            <w:r>
              <w:rPr>
                <w:rFonts w:ascii="Arial" w:cs="Arial" w:eastAsia="Arial" w:hAnsi="Arial"/>
                <w:sz w:val="14"/>
                <w:szCs w:val="14"/>
                <w:color w:val="auto"/>
              </w:rPr>
              <w:t>(Dollars in millions)</w:t>
            </w:r>
          </w:p>
        </w:tc>
        <w:tc>
          <w:tcPr>
            <w:tcW w:w="36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For the Years Ended December 31,</w:t>
            </w:r>
          </w:p>
        </w:tc>
        <w:tc>
          <w:tcPr>
            <w:tcW w:w="1060" w:type="dxa"/>
            <w:vAlign w:val="bottom"/>
            <w:tcBorders>
              <w:bottom w:val="single" w:sz="8" w:color="auto"/>
            </w:tcBorders>
          </w:tcPr>
          <w:p>
            <w:pPr>
              <w:spacing w:after="0"/>
              <w:rPr>
                <w:sz w:val="17"/>
                <w:szCs w:val="17"/>
                <w:color w:val="auto"/>
              </w:rPr>
            </w:pPr>
          </w:p>
        </w:tc>
      </w:tr>
      <w:tr>
        <w:trPr>
          <w:trHeight w:val="264"/>
        </w:trPr>
        <w:tc>
          <w:tcPr>
            <w:tcW w:w="69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Change</w:t>
            </w: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120.2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97.7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22.5</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Average outstanding debt principal balance (1)</w:t>
            </w:r>
          </w:p>
        </w:tc>
        <w:tc>
          <w:tcPr>
            <w:tcW w:w="360" w:type="dxa"/>
            <w:vAlign w:val="bottom"/>
          </w:tcPr>
          <w:p>
            <w:pPr>
              <w:spacing w:after="0"/>
              <w:rPr>
                <w:sz w:val="21"/>
                <w:szCs w:val="21"/>
                <w:color w:val="auto"/>
              </w:rPr>
            </w:pPr>
          </w:p>
        </w:tc>
        <w:tc>
          <w:tcPr>
            <w:tcW w:w="1080" w:type="dxa"/>
            <w:vAlign w:val="bottom"/>
          </w:tcPr>
          <w:p>
            <w:pPr>
              <w:jc w:val="right"/>
              <w:ind w:right="97"/>
              <w:spacing w:after="0"/>
              <w:rPr>
                <w:sz w:val="20"/>
                <w:szCs w:val="20"/>
                <w:color w:val="auto"/>
              </w:rPr>
            </w:pPr>
            <w:r>
              <w:rPr>
                <w:rFonts w:ascii="Arial" w:cs="Arial" w:eastAsia="Arial" w:hAnsi="Arial"/>
                <w:sz w:val="18"/>
                <w:szCs w:val="18"/>
                <w:color w:val="auto"/>
              </w:rPr>
              <w:t>2,944.8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2,459.5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ind w:right="94"/>
              <w:spacing w:after="0"/>
              <w:rPr>
                <w:sz w:val="20"/>
                <w:szCs w:val="20"/>
                <w:color w:val="auto"/>
              </w:rPr>
            </w:pPr>
            <w:r>
              <w:rPr>
                <w:rFonts w:ascii="Arial" w:cs="Arial" w:eastAsia="Arial" w:hAnsi="Arial"/>
                <w:sz w:val="18"/>
                <w:szCs w:val="18"/>
                <w:color w:val="auto"/>
              </w:rPr>
              <w:t>485.3</w:t>
            </w:r>
          </w:p>
        </w:tc>
      </w:tr>
      <w:tr>
        <w:trPr>
          <w:trHeight w:val="27"/>
        </w:trPr>
        <w:tc>
          <w:tcPr>
            <w:tcW w:w="6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6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Average cost of debt</w:t>
            </w:r>
          </w:p>
        </w:tc>
        <w:tc>
          <w:tcPr>
            <w:tcW w:w="3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69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(1) Includes the unamortized debt discount and excludes deferred debt issuance costs.</w:t>
      </w:r>
    </w:p>
    <w:p>
      <w:pPr>
        <w:spacing w:after="0" w:line="22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average outstanding debt balance increased primarily due to debt proceeds used to fund growth in new Consumer Loan assignments and stock repurchases. The increase in our average cost of debt was primarily a result of a change in the mix of our outstanding debt.</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For the year ended December 31, 2017, the effective income tax rate decreased to 19.5% from 37.3%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2016. The decrease was primarily due to the enactment of the Tax Cuts and Jobs Act in December 2017, which resulted in the reversal of $99.8 million of provision for income taxes. While the new federal statutory income tax rate was not effective until January 1, 2018, we were required to revalue deferred taxes and uncertain tax positions as of December 31, 2017 at the new federal statutory income tax rate. Based on currently enacted federal and state statutory income tax rates, we believe our long-term effective income tax rate will decrease from 37% in past years to approximately 23% in 2018 and future years. For additional information, see Note 11 to the consolidated financial statements contained in Item 8 of this Form 10-K, which is incorporated herein by reference.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68" w:right="239" w:bottom="1440" w:gutter="0" w:footer="0" w:header="0"/>
        </w:sectPr>
      </w:pPr>
    </w:p>
    <w:bookmarkStart w:id="32" w:name="page33"/>
    <w:bookmarkEnd w:id="32"/>
    <w:p>
      <w:pPr>
        <w:ind w:left="340"/>
        <w:spacing w:after="0"/>
        <w:rPr>
          <w:sz w:val="20"/>
          <w:szCs w:val="20"/>
          <w:color w:val="auto"/>
        </w:rPr>
      </w:pPr>
      <w:r>
        <w:rPr>
          <w:rFonts w:ascii="Arial" w:cs="Arial" w:eastAsia="Arial" w:hAnsi="Arial"/>
          <w:sz w:val="18"/>
          <w:szCs w:val="18"/>
          <w:b w:val="1"/>
          <w:bCs w:val="1"/>
          <w:i w:val="1"/>
          <w:iCs w:val="1"/>
          <w:color w:val="auto"/>
        </w:rPr>
        <w:t>Year Ended December 31, 2016 Compared to Year Ended December 31, 2015</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540" w:type="dxa"/>
            <w:vAlign w:val="bottom"/>
          </w:tcPr>
          <w:p>
            <w:pPr>
              <w:ind w:left="40"/>
              <w:spacing w:after="0"/>
              <w:rPr>
                <w:sz w:val="20"/>
                <w:szCs w:val="20"/>
                <w:color w:val="auto"/>
              </w:rPr>
            </w:pPr>
            <w:r>
              <w:rPr>
                <w:rFonts w:ascii="Arial" w:cs="Arial" w:eastAsia="Arial" w:hAnsi="Arial"/>
                <w:sz w:val="14"/>
                <w:szCs w:val="14"/>
                <w:color w:val="auto"/>
              </w:rPr>
              <w:t>(Dollars in millions, except per share data)</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For the Years Ended December 31,</w:t>
            </w:r>
          </w:p>
        </w:tc>
        <w:tc>
          <w:tcPr>
            <w:tcW w:w="14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 Change</w:t>
            </w:r>
          </w:p>
        </w:tc>
        <w:tc>
          <w:tcPr>
            <w:tcW w:w="1480" w:type="dxa"/>
            <w:vAlign w:val="bottom"/>
          </w:tcPr>
          <w:p>
            <w:pPr>
              <w:jc w:val="right"/>
              <w:ind w:right="33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2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Finance charges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19.7 %</w:t>
            </w:r>
          </w:p>
        </w:tc>
        <w:tc>
          <w:tcPr>
            <w:tcW w:w="0" w:type="dxa"/>
            <w:vAlign w:val="bottom"/>
          </w:tcPr>
          <w:p>
            <w:pPr>
              <w:spacing w:after="0"/>
              <w:rPr>
                <w:sz w:val="1"/>
                <w:szCs w:val="1"/>
                <w:color w:val="auto"/>
              </w:rPr>
            </w:pPr>
          </w:p>
        </w:tc>
      </w:tr>
      <w:tr>
        <w:trPr>
          <w:trHeight w:val="243"/>
        </w:trPr>
        <w:tc>
          <w:tcPr>
            <w:tcW w:w="5540" w:type="dxa"/>
            <w:vAlign w:val="bottom"/>
          </w:tcPr>
          <w:p>
            <w:pPr>
              <w:ind w:left="380"/>
              <w:spacing w:after="0"/>
              <w:rPr>
                <w:sz w:val="20"/>
                <w:szCs w:val="20"/>
                <w:color w:val="auto"/>
              </w:rPr>
            </w:pPr>
            <w:r>
              <w:rPr>
                <w:rFonts w:ascii="Arial" w:cs="Arial" w:eastAsia="Arial" w:hAnsi="Arial"/>
                <w:sz w:val="18"/>
                <w:szCs w:val="18"/>
                <w:color w:val="auto"/>
              </w:rPr>
              <w:t>Premiums earned</w:t>
            </w:r>
          </w:p>
        </w:tc>
        <w:tc>
          <w:tcPr>
            <w:tcW w:w="2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48.2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-10.8 %</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w:t>
            </w:r>
          </w:p>
        </w:tc>
        <w:tc>
          <w:tcPr>
            <w:tcW w:w="2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51.9</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46.6</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11.4 %</w:t>
            </w:r>
          </w:p>
        </w:tc>
        <w:tc>
          <w:tcPr>
            <w:tcW w:w="0" w:type="dxa"/>
            <w:vAlign w:val="bottom"/>
          </w:tcPr>
          <w:p>
            <w:pPr>
              <w:spacing w:after="0"/>
              <w:rPr>
                <w:sz w:val="1"/>
                <w:szCs w:val="1"/>
                <w:color w:val="auto"/>
              </w:rPr>
            </w:pPr>
          </w:p>
        </w:tc>
      </w:tr>
      <w:tr>
        <w:trPr>
          <w:trHeight w:val="284"/>
        </w:trPr>
        <w:tc>
          <w:tcPr>
            <w:tcW w:w="55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969.2</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825.3</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143.9</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17.4 %</w:t>
            </w:r>
          </w:p>
        </w:tc>
        <w:tc>
          <w:tcPr>
            <w:tcW w:w="0" w:type="dxa"/>
            <w:vAlign w:val="bottom"/>
          </w:tcPr>
          <w:p>
            <w:pPr>
              <w:spacing w:after="0"/>
              <w:rPr>
                <w:sz w:val="1"/>
                <w:szCs w:val="1"/>
                <w:color w:val="auto"/>
              </w:rPr>
            </w:pPr>
          </w:p>
        </w:tc>
      </w:tr>
      <w:tr>
        <w:trPr>
          <w:trHeight w:val="244"/>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40" w:type="dxa"/>
            <w:vAlign w:val="bottom"/>
          </w:tcPr>
          <w:p>
            <w:pPr>
              <w:ind w:left="380"/>
              <w:spacing w:after="0"/>
              <w:rPr>
                <w:sz w:val="20"/>
                <w:szCs w:val="20"/>
                <w:color w:val="auto"/>
              </w:rPr>
            </w:pPr>
            <w:r>
              <w:rPr>
                <w:rFonts w:ascii="Arial" w:cs="Arial" w:eastAsia="Arial" w:hAnsi="Arial"/>
                <w:sz w:val="18"/>
                <w:szCs w:val="18"/>
                <w:color w:val="auto"/>
              </w:rPr>
              <w:t>Salaries and wages (1)</w:t>
            </w:r>
          </w:p>
        </w:tc>
        <w:tc>
          <w:tcPr>
            <w:tcW w:w="2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126.5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116.4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8.7 %</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 (1)</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27.5 %</w:t>
            </w:r>
          </w:p>
        </w:tc>
        <w:tc>
          <w:tcPr>
            <w:tcW w:w="0" w:type="dxa"/>
            <w:vAlign w:val="bottom"/>
          </w:tcPr>
          <w:p>
            <w:pPr>
              <w:spacing w:after="0"/>
              <w:rPr>
                <w:sz w:val="1"/>
                <w:szCs w:val="1"/>
                <w:color w:val="auto"/>
              </w:rPr>
            </w:pPr>
          </w:p>
        </w:tc>
      </w:tr>
      <w:tr>
        <w:trPr>
          <w:trHeight w:val="243"/>
        </w:trPr>
        <w:tc>
          <w:tcPr>
            <w:tcW w:w="5540" w:type="dxa"/>
            <w:vAlign w:val="bottom"/>
          </w:tcPr>
          <w:p>
            <w:pPr>
              <w:ind w:left="380"/>
              <w:spacing w:after="0"/>
              <w:rPr>
                <w:sz w:val="20"/>
                <w:szCs w:val="20"/>
                <w:color w:val="auto"/>
              </w:rPr>
            </w:pPr>
            <w:r>
              <w:rPr>
                <w:rFonts w:ascii="Arial" w:cs="Arial" w:eastAsia="Arial" w:hAnsi="Arial"/>
                <w:sz w:val="18"/>
                <w:szCs w:val="18"/>
                <w:color w:val="auto"/>
              </w:rPr>
              <w:t>Sales and marketing (1)</w:t>
            </w:r>
          </w:p>
        </w:tc>
        <w:tc>
          <w:tcPr>
            <w:tcW w:w="2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45.9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7.6 %</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credit losses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117.3 %</w:t>
            </w:r>
          </w:p>
        </w:tc>
        <w:tc>
          <w:tcPr>
            <w:tcW w:w="0" w:type="dxa"/>
            <w:vAlign w:val="bottom"/>
          </w:tcPr>
          <w:p>
            <w:pPr>
              <w:spacing w:after="0"/>
              <w:rPr>
                <w:sz w:val="1"/>
                <w:szCs w:val="1"/>
                <w:color w:val="auto"/>
              </w:rPr>
            </w:pPr>
          </w:p>
        </w:tc>
      </w:tr>
      <w:tr>
        <w:trPr>
          <w:trHeight w:val="243"/>
        </w:trPr>
        <w:tc>
          <w:tcPr>
            <w:tcW w:w="5540" w:type="dxa"/>
            <w:vAlign w:val="bottom"/>
          </w:tcPr>
          <w:p>
            <w:pPr>
              <w:ind w:left="380"/>
              <w:spacing w:after="0"/>
              <w:rPr>
                <w:sz w:val="20"/>
                <w:szCs w:val="20"/>
                <w:color w:val="auto"/>
              </w:rPr>
            </w:pPr>
            <w:r>
              <w:rPr>
                <w:rFonts w:ascii="Arial" w:cs="Arial" w:eastAsia="Arial" w:hAnsi="Arial"/>
                <w:sz w:val="18"/>
                <w:szCs w:val="18"/>
                <w:color w:val="auto"/>
              </w:rPr>
              <w:t>Interest</w:t>
            </w:r>
          </w:p>
        </w:tc>
        <w:tc>
          <w:tcPr>
            <w:tcW w:w="2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97.7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76.0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28.6 %</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claims</w:t>
            </w:r>
          </w:p>
        </w:tc>
        <w:tc>
          <w:tcPr>
            <w:tcW w:w="2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33.2</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-21.7 %</w:t>
            </w:r>
          </w:p>
        </w:tc>
        <w:tc>
          <w:tcPr>
            <w:tcW w:w="0" w:type="dxa"/>
            <w:vAlign w:val="bottom"/>
          </w:tcPr>
          <w:p>
            <w:pPr>
              <w:spacing w:after="0"/>
              <w:rPr>
                <w:sz w:val="1"/>
                <w:szCs w:val="1"/>
                <w:color w:val="auto"/>
              </w:rPr>
            </w:pPr>
          </w:p>
        </w:tc>
      </w:tr>
      <w:tr>
        <w:trPr>
          <w:trHeight w:val="284"/>
        </w:trPr>
        <w:tc>
          <w:tcPr>
            <w:tcW w:w="55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costs and expenses</w:t>
            </w: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438.0</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350.8</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87.2</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24.9 %</w:t>
            </w:r>
          </w:p>
        </w:tc>
        <w:tc>
          <w:tcPr>
            <w:tcW w:w="0" w:type="dxa"/>
            <w:vAlign w:val="bottom"/>
          </w:tcPr>
          <w:p>
            <w:pPr>
              <w:spacing w:after="0"/>
              <w:rPr>
                <w:sz w:val="1"/>
                <w:szCs w:val="1"/>
                <w:color w:val="auto"/>
              </w:rPr>
            </w:pPr>
          </w:p>
        </w:tc>
      </w:tr>
      <w:tr>
        <w:trPr>
          <w:trHeight w:val="244"/>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474.5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11.9 %</w:t>
            </w:r>
          </w:p>
        </w:tc>
        <w:tc>
          <w:tcPr>
            <w:tcW w:w="0" w:type="dxa"/>
            <w:vAlign w:val="bottom"/>
          </w:tcPr>
          <w:p>
            <w:pPr>
              <w:spacing w:after="0"/>
              <w:rPr>
                <w:sz w:val="1"/>
                <w:szCs w:val="1"/>
                <w:color w:val="auto"/>
              </w:rPr>
            </w:pPr>
          </w:p>
        </w:tc>
      </w:tr>
      <w:tr>
        <w:trPr>
          <w:trHeight w:val="284"/>
        </w:trPr>
        <w:tc>
          <w:tcPr>
            <w:tcW w:w="55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198.4</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174.8</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13.5 %</w:t>
            </w:r>
          </w:p>
        </w:tc>
        <w:tc>
          <w:tcPr>
            <w:tcW w:w="0" w:type="dxa"/>
            <w:vAlign w:val="bottom"/>
          </w:tcPr>
          <w:p>
            <w:pPr>
              <w:spacing w:after="0"/>
              <w:rPr>
                <w:sz w:val="1"/>
                <w:szCs w:val="1"/>
                <w:color w:val="auto"/>
              </w:rPr>
            </w:pPr>
          </w:p>
        </w:tc>
      </w:tr>
      <w:tr>
        <w:trPr>
          <w:trHeight w:val="257"/>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332.8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299.7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11.0 %</w:t>
            </w:r>
          </w:p>
        </w:tc>
        <w:tc>
          <w:tcPr>
            <w:tcW w:w="0" w:type="dxa"/>
            <w:vAlign w:val="bottom"/>
          </w:tcPr>
          <w:p>
            <w:pPr>
              <w:spacing w:after="0"/>
              <w:rPr>
                <w:sz w:val="1"/>
                <w:szCs w:val="1"/>
                <w:color w:val="auto"/>
              </w:rPr>
            </w:pPr>
          </w:p>
        </w:tc>
      </w:tr>
      <w:tr>
        <w:trPr>
          <w:trHeight w:val="20"/>
        </w:trPr>
        <w:tc>
          <w:tcPr>
            <w:tcW w:w="5540" w:type="dxa"/>
            <w:vAlign w:val="bottom"/>
            <w:vMerge w:val="restart"/>
          </w:tcPr>
          <w:p>
            <w:pPr>
              <w:ind w:left="40"/>
              <w:spacing w:after="0"/>
              <w:rPr>
                <w:sz w:val="20"/>
                <w:szCs w:val="20"/>
                <w:color w:val="auto"/>
              </w:rPr>
            </w:pPr>
            <w:r>
              <w:rPr>
                <w:rFonts w:ascii="Arial" w:cs="Arial" w:eastAsia="Arial" w:hAnsi="Arial"/>
                <w:sz w:val="18"/>
                <w:szCs w:val="18"/>
                <w:color w:val="auto"/>
              </w:rPr>
              <w:t>Net income per share:</w:t>
            </w: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16.37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14.35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14.1 %</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5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16.31</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14.28</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14.2 %</w:t>
            </w:r>
          </w:p>
        </w:tc>
        <w:tc>
          <w:tcPr>
            <w:tcW w:w="0" w:type="dxa"/>
            <w:vAlign w:val="bottom"/>
          </w:tcPr>
          <w:p>
            <w:pPr>
              <w:spacing w:after="0"/>
              <w:rPr>
                <w:sz w:val="1"/>
                <w:szCs w:val="1"/>
                <w:color w:val="auto"/>
              </w:rPr>
            </w:pPr>
          </w:p>
        </w:tc>
      </w:tr>
      <w:tr>
        <w:trPr>
          <w:trHeight w:val="237"/>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540" w:type="dxa"/>
            <w:vAlign w:val="bottom"/>
          </w:tcPr>
          <w:p>
            <w:pPr>
              <w:ind w:left="38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20,331,769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20,891,695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(559,926)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20,410,116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20,980,753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(570,637)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324"/>
        </w:trPr>
        <w:tc>
          <w:tcPr>
            <w:tcW w:w="5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(1) Operating expenses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224.1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200.1</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12.0 %</w:t>
            </w:r>
          </w:p>
        </w:tc>
        <w:tc>
          <w:tcPr>
            <w:tcW w:w="0" w:type="dxa"/>
            <w:vAlign w:val="bottom"/>
          </w:tcPr>
          <w:p>
            <w:pPr>
              <w:spacing w:after="0"/>
              <w:rPr>
                <w:sz w:val="1"/>
                <w:szCs w:val="1"/>
                <w:color w:val="auto"/>
              </w:rPr>
            </w:pPr>
          </w:p>
        </w:tc>
      </w:tr>
      <w:tr>
        <w:trPr>
          <w:trHeight w:val="27"/>
        </w:trPr>
        <w:tc>
          <w:tcPr>
            <w:tcW w:w="55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Finance Charges. </w:t>
      </w:r>
      <w:r>
        <w:rPr>
          <w:rFonts w:ascii="Arial" w:cs="Arial" w:eastAsia="Arial" w:hAnsi="Arial"/>
          <w:sz w:val="18"/>
          <w:szCs w:val="18"/>
          <w:color w:val="auto"/>
        </w:rPr>
        <w:t>The increase of $143.8 million, or 19.7%, was primarily the result of an increase in the average net Loans receivable balance partially</w:t>
      </w:r>
      <w:r>
        <w:rPr>
          <w:rFonts w:ascii="Arial" w:cs="Arial" w:eastAsia="Arial" w:hAnsi="Arial"/>
          <w:sz w:val="18"/>
          <w:szCs w:val="18"/>
          <w:i w:val="1"/>
          <w:iCs w:val="1"/>
          <w:color w:val="auto"/>
        </w:rPr>
        <w:t xml:space="preserve"> </w:t>
      </w:r>
      <w:r>
        <w:rPr>
          <w:rFonts w:ascii="Arial" w:cs="Arial" w:eastAsia="Arial" w:hAnsi="Arial"/>
          <w:sz w:val="18"/>
          <w:szCs w:val="18"/>
          <w:color w:val="auto"/>
        </w:rPr>
        <w:t>offset by a decrease in the average yield on our Loan portfolio,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200" w:type="dxa"/>
            <w:vAlign w:val="bottom"/>
          </w:tcPr>
          <w:p>
            <w:pPr>
              <w:ind w:left="40"/>
              <w:spacing w:after="0"/>
              <w:rPr>
                <w:sz w:val="20"/>
                <w:szCs w:val="20"/>
                <w:color w:val="auto"/>
              </w:rPr>
            </w:pPr>
            <w:r>
              <w:rPr>
                <w:rFonts w:ascii="Arial" w:cs="Arial" w:eastAsia="Arial" w:hAnsi="Arial"/>
                <w:sz w:val="14"/>
                <w:szCs w:val="14"/>
                <w:color w:val="auto"/>
              </w:rPr>
              <w:t>(Dollars in millions)</w:t>
            </w:r>
          </w:p>
        </w:tc>
        <w:tc>
          <w:tcPr>
            <w:tcW w:w="168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rPr>
              <w:t>For the Years Ended December 31,</w:t>
            </w:r>
          </w:p>
        </w:tc>
        <w:tc>
          <w:tcPr>
            <w:tcW w:w="1400" w:type="dxa"/>
            <w:vAlign w:val="bottom"/>
            <w:tcBorders>
              <w:bottom w:val="single" w:sz="8" w:color="auto"/>
            </w:tcBorders>
          </w:tcPr>
          <w:p>
            <w:pPr>
              <w:spacing w:after="0"/>
              <w:rPr>
                <w:sz w:val="17"/>
                <w:szCs w:val="17"/>
                <w:color w:val="auto"/>
              </w:rPr>
            </w:pPr>
          </w:p>
        </w:tc>
      </w:tr>
      <w:tr>
        <w:trPr>
          <w:trHeight w:val="264"/>
        </w:trPr>
        <w:tc>
          <w:tcPr>
            <w:tcW w:w="4200" w:type="dxa"/>
            <w:vAlign w:val="bottom"/>
            <w:tcBorders>
              <w:bottom w:val="single" w:sz="8" w:color="CCEEFF"/>
            </w:tcBorders>
          </w:tcPr>
          <w:p>
            <w:pPr>
              <w:spacing w:after="0"/>
              <w:rPr>
                <w:sz w:val="22"/>
                <w:szCs w:val="22"/>
                <w:color w:val="auto"/>
              </w:rPr>
            </w:pPr>
          </w:p>
        </w:tc>
        <w:tc>
          <w:tcPr>
            <w:tcW w:w="168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Change</w:t>
            </w: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net Loans receivable balance</w:t>
            </w:r>
          </w:p>
        </w:tc>
        <w:tc>
          <w:tcPr>
            <w:tcW w:w="2700" w:type="dxa"/>
            <w:vAlign w:val="bottom"/>
            <w:tcBorders>
              <w:bottom w:val="single" w:sz="8" w:color="CCEEFF"/>
            </w:tcBorders>
            <w:gridSpan w:val="2"/>
            <w:shd w:val="clear" w:color="auto" w:fill="CCEEFF"/>
          </w:tcPr>
          <w:p>
            <w:pPr>
              <w:jc w:val="right"/>
              <w:ind w:right="828"/>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86"/>
              </w:rPr>
              <w:t>3,534.0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2,829.9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704.1</w:t>
            </w: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Average yield on our Loan portfolio</w:t>
            </w:r>
          </w:p>
        </w:tc>
        <w:tc>
          <w:tcPr>
            <w:tcW w:w="16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702"/>
        </w:trPr>
        <w:tc>
          <w:tcPr>
            <w:tcW w:w="420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33</w:t>
            </w: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420"/>
          </w:cols>
          <w:pgMar w:left="240" w:top="368" w:right="239" w:bottom="1440" w:gutter="0" w:footer="0" w:header="0"/>
        </w:sectPr>
      </w:pPr>
    </w:p>
    <w:bookmarkStart w:id="33" w:name="page34"/>
    <w:bookmarkEnd w:id="33"/>
    <w:p>
      <w:pPr>
        <w:ind w:left="340"/>
        <w:spacing w:after="0"/>
        <w:rPr>
          <w:sz w:val="20"/>
          <w:szCs w:val="20"/>
          <w:color w:val="auto"/>
        </w:rPr>
      </w:pPr>
      <w:r>
        <w:rPr>
          <w:rFonts w:ascii="Arial" w:cs="Arial" w:eastAsia="Arial" w:hAnsi="Arial"/>
          <w:sz w:val="17"/>
          <w:szCs w:val="17"/>
          <w:color w:val="auto"/>
        </w:rPr>
        <w:t>The following table summarizes the impact each component had on the overall increase in finance charges for the year ended December 31, 2016:</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millions)</w:t>
      </w:r>
    </w:p>
    <w:tbl>
      <w:tblPr>
        <w:tblLayout w:type="fixed"/>
        <w:tblInd w:w="0" w:type="dxa"/>
        <w:tblCellMar>
          <w:top w:w="0" w:type="dxa"/>
          <w:left w:w="0" w:type="dxa"/>
          <w:bottom w:w="0" w:type="dxa"/>
          <w:right w:w="0" w:type="dxa"/>
        </w:tblCellMar>
      </w:tblPr>
      <w:tr>
        <w:trPr>
          <w:trHeight w:val="133"/>
        </w:trPr>
        <w:tc>
          <w:tcPr>
            <w:tcW w:w="9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tcPr>
          <w:p>
            <w:pPr>
              <w:jc w:val="right"/>
              <w:ind w:right="157"/>
              <w:spacing w:after="0" w:line="133" w:lineRule="exact"/>
              <w:rPr>
                <w:sz w:val="20"/>
                <w:szCs w:val="20"/>
                <w:color w:val="auto"/>
              </w:rPr>
            </w:pPr>
            <w:r>
              <w:rPr>
                <w:rFonts w:ascii="Arial" w:cs="Arial" w:eastAsia="Arial" w:hAnsi="Arial"/>
                <w:sz w:val="14"/>
                <w:szCs w:val="14"/>
                <w:b w:val="1"/>
                <w:bCs w:val="1"/>
                <w:color w:val="auto"/>
                <w:w w:val="98"/>
              </w:rPr>
              <w:t>For the Year Ended</w:t>
            </w:r>
          </w:p>
        </w:tc>
      </w:tr>
      <w:tr>
        <w:trPr>
          <w:trHeight w:val="205"/>
        </w:trPr>
        <w:tc>
          <w:tcPr>
            <w:tcW w:w="97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Impact on finance charges:</w:t>
            </w: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w w:val="98"/>
              </w:rPr>
              <w:t>December 31, 2016</w:t>
            </w: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to an increase in the average net Loans receivable balance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181.8</w:t>
            </w:r>
          </w:p>
        </w:tc>
      </w:tr>
      <w:tr>
        <w:trPr>
          <w:trHeight w:val="284"/>
        </w:trPr>
        <w:tc>
          <w:tcPr>
            <w:tcW w:w="97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Due to a decrease in the average yield</w:t>
            </w: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r>
      <w:tr>
        <w:trPr>
          <w:trHeight w:val="257"/>
        </w:trPr>
        <w:tc>
          <w:tcPr>
            <w:tcW w:w="9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increase in finance charges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143.8</w:t>
            </w:r>
          </w:p>
        </w:tc>
      </w:tr>
      <w:tr>
        <w:trPr>
          <w:trHeight w:val="20"/>
        </w:trPr>
        <w:tc>
          <w:tcPr>
            <w:tcW w:w="9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increase in the average net Loans receivable balance was primarily due to the dollar volume of new Consumer Loan assignments exceeding the principal collected on Loans receivable. The average yield on our Loan portfolio for the year ended December 31, 2016 decreased as compared to the same period in 2015 due to lower yields on new Consumer Loan assignments.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Premiums Earned. </w:t>
      </w:r>
      <w:r>
        <w:rPr>
          <w:rFonts w:ascii="Arial" w:cs="Arial" w:eastAsia="Arial" w:hAnsi="Arial"/>
          <w:sz w:val="18"/>
          <w:szCs w:val="18"/>
          <w:color w:val="auto"/>
        </w:rPr>
        <w:t>The decrease of $5.2 million, or 10.8%, was primarily due to a decrease in the size of our reinsurance portfolio, which was the result</w:t>
      </w:r>
      <w:r>
        <w:rPr>
          <w:rFonts w:ascii="Arial" w:cs="Arial" w:eastAsia="Arial" w:hAnsi="Arial"/>
          <w:sz w:val="18"/>
          <w:szCs w:val="18"/>
          <w:i w:val="1"/>
          <w:iCs w:val="1"/>
          <w:color w:val="auto"/>
        </w:rPr>
        <w:t xml:space="preserve"> </w:t>
      </w:r>
      <w:r>
        <w:rPr>
          <w:rFonts w:ascii="Arial" w:cs="Arial" w:eastAsia="Arial" w:hAnsi="Arial"/>
          <w:sz w:val="18"/>
          <w:szCs w:val="18"/>
          <w:color w:val="auto"/>
        </w:rPr>
        <w:t>of a decline in premiums written on vehicle service contracts. While we have experienced growth in our Loan portfolio, the percentage of Consumer Loan assignments with reinsured vehicle service contracts has declined.</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The increase of $5.3 million, or 11.4%, was primarily due to growth in our Loan portfolio, resulting in increases of $3.7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ancillary product profit sharing and $2.3 million in remarketing fees, partially offset by a decrease in GPS-SID fees of $2.9 million due to a decrease in the number of units purchased by Dealers from our third party provider in the current year.</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The increase of $24.0 million, or 12.0%, was primarily due to the following:</w:t>
      </w:r>
    </w:p>
    <w:p>
      <w:pPr>
        <w:spacing w:after="0" w:line="225" w:lineRule="exact"/>
        <w:rPr>
          <w:sz w:val="20"/>
          <w:szCs w:val="20"/>
          <w:color w:val="auto"/>
        </w:rPr>
      </w:pPr>
    </w:p>
    <w:p>
      <w:pPr>
        <w:ind w:left="980" w:right="20" w:hanging="324"/>
        <w:spacing w:after="0" w:line="258"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increase in general and administrative expense of $10.4 million, or 27.5%, primarily as a result of increases in legal fees and information technology expenses.</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increase in salaries and wages expense of $10.1 million, or 8.7%, comprised of the following:</w:t>
      </w:r>
    </w:p>
    <w:p>
      <w:pPr>
        <w:spacing w:after="0" w:line="9" w:lineRule="exact"/>
        <w:rPr>
          <w:rFonts w:ascii="Arial" w:cs="Arial" w:eastAsia="Arial" w:hAnsi="Arial"/>
          <w:sz w:val="18"/>
          <w:szCs w:val="18"/>
          <w:color w:val="auto"/>
        </w:rPr>
      </w:pPr>
    </w:p>
    <w:p>
      <w:pPr>
        <w:jc w:val="both"/>
        <w:ind w:left="1300" w:hanging="320"/>
        <w:spacing w:after="0" w:line="250"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 increase of $15.1 million in salaries and wages expense, excluding stock-based compensation expense, primarily related to an increase in the number of team members, including increases of $8.3 million for our support function, $4.6 million for our servicing function and $2.2 million for our originations function.</w:t>
      </w:r>
    </w:p>
    <w:p>
      <w:pPr>
        <w:spacing w:after="0" w:line="1" w:lineRule="exact"/>
        <w:rPr>
          <w:rFonts w:ascii="Arial" w:cs="Arial" w:eastAsia="Arial" w:hAnsi="Arial"/>
          <w:sz w:val="18"/>
          <w:szCs w:val="18"/>
          <w:color w:val="auto"/>
        </w:rPr>
      </w:pPr>
    </w:p>
    <w:p>
      <w:pPr>
        <w:jc w:val="both"/>
        <w:ind w:left="1300" w:hanging="320"/>
        <w:spacing w:after="0" w:line="255"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 decrease of $5.0 million in stock-based compensation expense primarily due to declining expense recognition related to long-term stock awards granted in prior years and amounts recorded in the prior year related to a change in the expected vesting period of performance-based stock awards.</w:t>
      </w:r>
    </w:p>
    <w:p>
      <w:pPr>
        <w:spacing w:after="0" w:line="1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Provision for Credit Losses</w:t>
      </w:r>
      <w:r>
        <w:rPr>
          <w:rFonts w:ascii="Arial" w:cs="Arial" w:eastAsia="Arial" w:hAnsi="Arial"/>
          <w:sz w:val="18"/>
          <w:szCs w:val="18"/>
          <w:color w:val="auto"/>
        </w:rPr>
        <w:t>. During the year ended December 31, 2016, overall Consumer Loan performance declined from our expectations at the start</w:t>
      </w:r>
      <w:r>
        <w:rPr>
          <w:rFonts w:ascii="Arial" w:cs="Arial" w:eastAsia="Arial" w:hAnsi="Arial"/>
          <w:sz w:val="18"/>
          <w:szCs w:val="18"/>
          <w:i w:val="1"/>
          <w:iCs w:val="1"/>
          <w:color w:val="auto"/>
        </w:rPr>
        <w:t xml:space="preserve"> </w:t>
      </w:r>
      <w:r>
        <w:rPr>
          <w:rFonts w:ascii="Arial" w:cs="Arial" w:eastAsia="Arial" w:hAnsi="Arial"/>
          <w:sz w:val="18"/>
          <w:szCs w:val="18"/>
          <w:color w:val="auto"/>
        </w:rPr>
        <w:t>of the year, resulting in a provision for credit losses of $90.2 million for the year ended December 31, 2016, of which $87.3 million related to Dealer Loans and $2.9 million related to Purchased Loans.</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year ended December 31, 2015, overall Consumer Loan performance was generally consistent with our expectations at the start of the year. However, the performance of certain Loan pools declined from our expectations during the year, resulting in a provision for credit losses of $41.5 million for the year ended December 31, 2015, of which $41.8 million related to Dealer Loans partially offset by a reversal of provision of $0.3 million related to Purchased Loans.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68" w:right="239" w:bottom="1440" w:gutter="0" w:footer="0" w:header="0"/>
        </w:sectPr>
      </w:pPr>
    </w:p>
    <w:bookmarkStart w:id="34" w:name="page35"/>
    <w:bookmarkEnd w:id="34"/>
    <w:p>
      <w:pPr>
        <w:ind w:left="340"/>
        <w:spacing w:after="0"/>
        <w:rPr>
          <w:sz w:val="20"/>
          <w:szCs w:val="20"/>
          <w:color w:val="auto"/>
        </w:rPr>
      </w:pPr>
      <w:r>
        <w:rPr>
          <w:rFonts w:ascii="Arial" w:cs="Arial" w:eastAsia="Arial" w:hAnsi="Arial"/>
          <w:sz w:val="16"/>
          <w:szCs w:val="16"/>
          <w:i w:val="1"/>
          <w:iCs w:val="1"/>
          <w:color w:val="auto"/>
        </w:rPr>
        <w:t xml:space="preserve">Interest.  </w:t>
      </w:r>
      <w:r>
        <w:rPr>
          <w:rFonts w:ascii="Arial" w:cs="Arial" w:eastAsia="Arial" w:hAnsi="Arial"/>
          <w:sz w:val="16"/>
          <w:szCs w:val="16"/>
          <w:color w:val="auto"/>
        </w:rPr>
        <w:t>The increase of $21.7 million, or 28.6%, was due to increases in the average outstanding debt balance and our average cost of debt,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900" w:type="dxa"/>
            <w:vAlign w:val="bottom"/>
          </w:tcPr>
          <w:p>
            <w:pPr>
              <w:ind w:left="40"/>
              <w:spacing w:after="0"/>
              <w:rPr>
                <w:sz w:val="20"/>
                <w:szCs w:val="20"/>
                <w:color w:val="auto"/>
              </w:rPr>
            </w:pPr>
            <w:r>
              <w:rPr>
                <w:rFonts w:ascii="Arial" w:cs="Arial" w:eastAsia="Arial" w:hAnsi="Arial"/>
                <w:sz w:val="14"/>
                <w:szCs w:val="14"/>
                <w:color w:val="auto"/>
              </w:rPr>
              <w:t>(Dollars in millions)</w:t>
            </w:r>
          </w:p>
        </w:tc>
        <w:tc>
          <w:tcPr>
            <w:tcW w:w="36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For the Years Ended December 31,</w:t>
            </w:r>
          </w:p>
        </w:tc>
        <w:tc>
          <w:tcPr>
            <w:tcW w:w="1060" w:type="dxa"/>
            <w:vAlign w:val="bottom"/>
            <w:tcBorders>
              <w:bottom w:val="single" w:sz="8" w:color="auto"/>
            </w:tcBorders>
          </w:tcPr>
          <w:p>
            <w:pPr>
              <w:spacing w:after="0"/>
              <w:rPr>
                <w:sz w:val="17"/>
                <w:szCs w:val="17"/>
                <w:color w:val="auto"/>
              </w:rPr>
            </w:pPr>
          </w:p>
        </w:tc>
      </w:tr>
      <w:tr>
        <w:trPr>
          <w:trHeight w:val="264"/>
        </w:trPr>
        <w:tc>
          <w:tcPr>
            <w:tcW w:w="69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Change</w:t>
            </w: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97.7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76.0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21.7</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Average outstanding debt principal balance (1)</w:t>
            </w:r>
          </w:p>
        </w:tc>
        <w:tc>
          <w:tcPr>
            <w:tcW w:w="360" w:type="dxa"/>
            <w:vAlign w:val="bottom"/>
          </w:tcPr>
          <w:p>
            <w:pPr>
              <w:spacing w:after="0"/>
              <w:rPr>
                <w:sz w:val="21"/>
                <w:szCs w:val="21"/>
                <w:color w:val="auto"/>
              </w:rPr>
            </w:pPr>
          </w:p>
        </w:tc>
        <w:tc>
          <w:tcPr>
            <w:tcW w:w="1080" w:type="dxa"/>
            <w:vAlign w:val="bottom"/>
          </w:tcPr>
          <w:p>
            <w:pPr>
              <w:jc w:val="right"/>
              <w:ind w:right="97"/>
              <w:spacing w:after="0"/>
              <w:rPr>
                <w:sz w:val="20"/>
                <w:szCs w:val="20"/>
                <w:color w:val="auto"/>
              </w:rPr>
            </w:pPr>
            <w:r>
              <w:rPr>
                <w:rFonts w:ascii="Arial" w:cs="Arial" w:eastAsia="Arial" w:hAnsi="Arial"/>
                <w:sz w:val="18"/>
                <w:szCs w:val="18"/>
                <w:color w:val="auto"/>
              </w:rPr>
              <w:t>2,459.5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1,964.4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ind w:right="94"/>
              <w:spacing w:after="0"/>
              <w:rPr>
                <w:sz w:val="20"/>
                <w:szCs w:val="20"/>
                <w:color w:val="auto"/>
              </w:rPr>
            </w:pPr>
            <w:r>
              <w:rPr>
                <w:rFonts w:ascii="Arial" w:cs="Arial" w:eastAsia="Arial" w:hAnsi="Arial"/>
                <w:sz w:val="18"/>
                <w:szCs w:val="18"/>
                <w:color w:val="auto"/>
              </w:rPr>
              <w:t>495.1</w:t>
            </w:r>
          </w:p>
        </w:tc>
      </w:tr>
      <w:tr>
        <w:trPr>
          <w:trHeight w:val="27"/>
        </w:trPr>
        <w:tc>
          <w:tcPr>
            <w:tcW w:w="6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6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Average cost of debt</w:t>
            </w:r>
          </w:p>
        </w:tc>
        <w:tc>
          <w:tcPr>
            <w:tcW w:w="3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69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(1) Includes the unamortized debt discount and excludes deferred debt issuance costs.</w:t>
      </w:r>
    </w:p>
    <w:p>
      <w:pPr>
        <w:spacing w:after="0" w:line="22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average outstanding debt balance increased primarily due to debt proceeds used to fund growth in new Consumer Loan assignments and stock repurchases. The increase in our average cost of debt was primarily a result of a change in the mix of our outstanding debt.</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Provision for Claims. </w:t>
      </w:r>
      <w:r>
        <w:rPr>
          <w:rFonts w:ascii="Arial" w:cs="Arial" w:eastAsia="Arial" w:hAnsi="Arial"/>
          <w:sz w:val="18"/>
          <w:szCs w:val="18"/>
          <w:color w:val="auto"/>
        </w:rPr>
        <w:t>The decrease of $7.2 million, or 21.7%, was due to a decrease in claims paid per reinsured vehicle service contract and a decrease</w:t>
      </w:r>
      <w:r>
        <w:rPr>
          <w:rFonts w:ascii="Arial" w:cs="Arial" w:eastAsia="Arial" w:hAnsi="Arial"/>
          <w:sz w:val="18"/>
          <w:szCs w:val="18"/>
          <w:i w:val="1"/>
          <w:iCs w:val="1"/>
          <w:color w:val="auto"/>
        </w:rPr>
        <w:t xml:space="preserve"> </w:t>
      </w:r>
      <w:r>
        <w:rPr>
          <w:rFonts w:ascii="Arial" w:cs="Arial" w:eastAsia="Arial" w:hAnsi="Arial"/>
          <w:sz w:val="18"/>
          <w:szCs w:val="18"/>
          <w:color w:val="auto"/>
        </w:rPr>
        <w:t>in the size of our reinsurance portfolio.</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For the year ended December 31, 2016, the effective income tax rate increased to 37.3% from 36.8%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2015. The increase was primarily due to higher effective income tax rates in certain state tax jurisdictions.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68"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ind w:right="20" w:firstLine="324"/>
        <w:spacing w:after="0" w:line="279" w:lineRule="auto"/>
        <w:rPr>
          <w:sz w:val="20"/>
          <w:szCs w:val="20"/>
          <w:color w:val="auto"/>
        </w:rPr>
      </w:pPr>
      <w:r>
        <w:rPr>
          <w:rFonts w:ascii="Arial" w:cs="Arial" w:eastAsia="Arial" w:hAnsi="Arial"/>
          <w:sz w:val="17"/>
          <w:szCs w:val="17"/>
          <w:color w:val="auto"/>
        </w:rPr>
        <w:t>Our consolidated financial statements are prepared in accordance with GAAP. The preparation of these financial statements requires management to make estimates and judgments that affect the reported amounts of assets and liabilities and disclosure of contingent assets and liabilities at the date of the financial statements and the reported amounts of revenues and expenses during the reporting period. On an ongoing basis, we review our accounting policies, assumptions, estimates and judgments to ensure that our financial statements are presented fairly and in accordance with GAAP.</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significant accounting policies are discussed in Note 2 to the consolidated financial statements contained in Item 8 of this Form 10-K, which is incorporated herein by reference. We believe that the following accounting estimates are the most critical to aid in fully understanding and evaluating our reported financial results, and involve a high degree of subjective or complex judgment, and the use of different estimates or assumptions could produce materially different financial results.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Finance Charge Revenue &amp; Allowance for Credit Losses</w:t>
      </w:r>
    </w:p>
    <w:p>
      <w:pPr>
        <w:spacing w:after="0" w:line="22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 xml:space="preserve">Nature of Estimates Required. </w:t>
      </w:r>
      <w:r>
        <w:rPr>
          <w:rFonts w:ascii="Arial" w:cs="Arial" w:eastAsia="Arial" w:hAnsi="Arial"/>
          <w:sz w:val="17"/>
          <w:szCs w:val="17"/>
          <w:color w:val="auto"/>
        </w:rPr>
        <w:t>We estimate the amount and timing of future collections and Dealer Holdback payments. These estimates impact Loans</w:t>
      </w:r>
      <w:r>
        <w:rPr>
          <w:rFonts w:ascii="Arial" w:cs="Arial" w:eastAsia="Arial" w:hAnsi="Arial"/>
          <w:sz w:val="17"/>
          <w:szCs w:val="17"/>
          <w:i w:val="1"/>
          <w:iCs w:val="1"/>
          <w:color w:val="auto"/>
        </w:rPr>
        <w:t xml:space="preserve"> </w:t>
      </w:r>
      <w:r>
        <w:rPr>
          <w:rFonts w:ascii="Arial" w:cs="Arial" w:eastAsia="Arial" w:hAnsi="Arial"/>
          <w:sz w:val="17"/>
          <w:szCs w:val="17"/>
          <w:color w:val="auto"/>
        </w:rPr>
        <w:t>receivable and allowance for credit losses on our balance sheet and finance charges and provision for credit losses on our income statement.</w:t>
      </w:r>
    </w:p>
    <w:p>
      <w:pPr>
        <w:spacing w:after="0" w:line="14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 xml:space="preserve">Assumptions and Approaches Used. </w:t>
      </w:r>
      <w:r>
        <w:rPr>
          <w:rFonts w:ascii="Arial" w:cs="Arial" w:eastAsia="Arial" w:hAnsi="Arial"/>
          <w:sz w:val="17"/>
          <w:szCs w:val="17"/>
          <w:color w:val="auto"/>
        </w:rPr>
        <w:t>For accounting purposes, we are not considered to be an originator of Consumer Loans, but instead are considered</w:t>
      </w:r>
      <w:r>
        <w:rPr>
          <w:rFonts w:ascii="Arial" w:cs="Arial" w:eastAsia="Arial" w:hAnsi="Arial"/>
          <w:sz w:val="17"/>
          <w:szCs w:val="17"/>
          <w:i w:val="1"/>
          <w:iCs w:val="1"/>
          <w:color w:val="auto"/>
        </w:rPr>
        <w:t xml:space="preserve"> </w:t>
      </w:r>
      <w:r>
        <w:rPr>
          <w:rFonts w:ascii="Arial" w:cs="Arial" w:eastAsia="Arial" w:hAnsi="Arial"/>
          <w:sz w:val="17"/>
          <w:szCs w:val="17"/>
          <w:color w:val="auto"/>
        </w:rPr>
        <w:t>to be a lender to our Dealers for Consumer Loans assigned under our Portfolio Program, and a purchaser of Consumer Loans assigned under our Purchase Program. As a result of this classification, our accounting policies for recognizing finance charge revenue and determining our allowance for credit losses may be different from other lenders in our market, who, based on their different business models, may be considered to be a direct lender to consumers for accounting purposes. For additional information regarding our classification as a lender to our Dealers for accounting purposes, see Note 1 to the consolidated financial statements contained in Item 8 of this Form 10-K, which is incorporated herein by reference.</w:t>
      </w:r>
    </w:p>
    <w:p>
      <w:pPr>
        <w:spacing w:after="0" w:line="17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recognize finance charges under the interest method such that revenue is recognized on a level-yield basis based upon forecasted cash flows. For Dealer Loans, finance charge revenue and the allowance for credit losses are calculated after first aggregating Dealer Loans outstanding for each Dealer. For the same purpose, Purchased Loans are aggregated according to the month the Loan was purchased. An allowance for credit losses is maintained at an amount that reduces the net asset value (Loan balance less the allowance) to the value of forecasted future cash flows discounted at the yield established at the time of assignment. Future cash flows are comprised of estimated future collections on the Loans, less any estimated Dealer Holdback payments related to Dealer Loans. We write off Loans once there are no forecasted future collections on any of the associated Consumer Loans.</w:t>
      </w:r>
    </w:p>
    <w:p>
      <w:pPr>
        <w:spacing w:after="0" w:line="16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Actual cash flows from any individual Dealer Loan or pool of Purchased Loans are often different than estimated cash flows at the time of assignment. If such difference is favorable, the difference is recognized prospectively into income over the remaining life of the Dealer Loan or pool of Purchased Loans through a yield adjustment. If such difference is unfavorable, a provision for credit losses is recorded immediately as a current period expense and a corresponding allowance for credit losses is established. Because differences between estimated cash flows at the time of assignment and actual cash flows occur often, an allowance is required for a significant portion of our Loan portfolio. An allowance for credit losses does not necessarily indicate that a Dealer Loan or pool of Purchased Loans is unprofitable, and in recent years, seldom are cash flows from a Dealer Loan or pool of Purchased Loans insufficient to repay the initial amounts advanced or paid to the Dealer.</w:t>
      </w:r>
    </w:p>
    <w:p>
      <w:pPr>
        <w:spacing w:after="0" w:line="18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Future collections are forecasted for each individual Dealer Loan or pool of Purchased Loans based on the historical performance of Consumer Loans with similar characteristics, adjusted for recent trends in payment patterns. Dealer Holdback is forecasted for each individual Dealer Loan based on the expected future collections and current advance balance of each Dealer Loan.</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fourth quarter of 2017, we updated our net cash flow timing model to incorporate more recent data. The revised forecast resulted in an expected cash flow stream with a lower net present value as compared to the prior forecast, as less cash flows are expected in earlier periods and more cash flows are expected in later periods.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64" w:right="239" w:bottom="1440" w:gutter="0" w:footer="0" w:header="0"/>
        </w:sectPr>
      </w:pPr>
    </w:p>
    <w:bookmarkStart w:id="36" w:name="page37"/>
    <w:bookmarkEnd w:id="36"/>
    <w:p>
      <w:pPr>
        <w:jc w:val="both"/>
        <w:ind w:firstLine="324"/>
        <w:spacing w:after="0" w:line="259" w:lineRule="auto"/>
        <w:rPr>
          <w:sz w:val="20"/>
          <w:szCs w:val="20"/>
          <w:color w:val="auto"/>
        </w:rPr>
      </w:pPr>
      <w:r>
        <w:rPr>
          <w:rFonts w:ascii="Arial" w:cs="Arial" w:eastAsia="Arial" w:hAnsi="Arial"/>
          <w:sz w:val="18"/>
          <w:szCs w:val="18"/>
          <w:color w:val="auto"/>
        </w:rPr>
        <w:t>The reduction in net present value was primarily the result of a change in the expected timing of cash flows from longer-term Consumer Loans. Due to our limited historical experience with longer-term Consumer Loans, our prior model relied on extrapolations from the historical performance of shorter-term Consumer Loans to predict the timing of future net cash flows on longer-term Consumer Loans. We now have additional historical experience on these longer-term loans which we used to refine our estimate.</w:t>
      </w:r>
    </w:p>
    <w:p>
      <w:pPr>
        <w:spacing w:after="0" w:line="18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revision to our net cash flow timing forecast does not impact the amount of undiscounted net cash flows we expect to receive. As a result, the dollar amount of future net portfolio revenue (finance charges less provision for credit losses) is not impacted by the revision. However, the revision does impact the period in which those net revenues will be recorded as a portion of the impact of the revised timing estimate was recorded as a current period expense and a portion was recorded as a yield adjustment. For the fourth quarter of 2017, the revision increased provision for credit losses by $41.6 million, reduced finance charge revenue by $7.3 million and reduced net income by $30.8 million. The revision reduced the yield on our loan portfolio by 90 basis points, which will impact the timing of revenue recognition in future periods.</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fourth quarter of 2016, we enhanced our methodology for forecasting the amount and timing of future collections on Consumer Loans through the utilization of more recent data and new forecast variables. Implementation of the enhanced forecasting methodology as of October 31, 2016 did not have a material impact on provision for credit losses or net income; however, it did reduce forecasted net cash flows by $1.8 million, all of which related to Dealer Loans. The implementation also decreased the forecasted collection rates for Consumer Loans assigned in 2015 and 2016 and increased the forecasted collection rates for Consumer Loans assigned in 2011 through 2013.</w:t>
      </w:r>
    </w:p>
    <w:p>
      <w:pPr>
        <w:spacing w:after="0" w:line="188"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i w:val="1"/>
          <w:iCs w:val="1"/>
          <w:color w:val="auto"/>
        </w:rPr>
        <w:t xml:space="preserve">Key Factors. </w:t>
      </w:r>
      <w:r>
        <w:rPr>
          <w:rFonts w:ascii="Arial" w:cs="Arial" w:eastAsia="Arial" w:hAnsi="Arial"/>
          <w:sz w:val="16"/>
          <w:szCs w:val="16"/>
          <w:color w:val="auto"/>
        </w:rPr>
        <w:t>Variances in the amount and timing of future net cash flows from current estimates could materially impact earnings in future periods. A</w:t>
      </w:r>
      <w:r>
        <w:rPr>
          <w:rFonts w:ascii="Arial" w:cs="Arial" w:eastAsia="Arial" w:hAnsi="Arial"/>
          <w:sz w:val="16"/>
          <w:szCs w:val="16"/>
          <w:i w:val="1"/>
          <w:iCs w:val="1"/>
          <w:color w:val="auto"/>
        </w:rPr>
        <w:t xml:space="preserve"> </w:t>
      </w:r>
      <w:r>
        <w:rPr>
          <w:rFonts w:ascii="Arial" w:cs="Arial" w:eastAsia="Arial" w:hAnsi="Arial"/>
          <w:sz w:val="16"/>
          <w:szCs w:val="16"/>
          <w:color w:val="auto"/>
        </w:rPr>
        <w:t>1% decline in the forecasted future net cash flows on Loans as of December 31, 2017 would have reduced 2017 net income by approximately $22.2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Premiums Earned</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Nature of Estimates Required. </w:t>
      </w:r>
      <w:r>
        <w:rPr>
          <w:rFonts w:ascii="Arial" w:cs="Arial" w:eastAsia="Arial" w:hAnsi="Arial"/>
          <w:sz w:val="18"/>
          <w:szCs w:val="18"/>
          <w:color w:val="auto"/>
        </w:rPr>
        <w:t>We estimate the pattern of future claims on vehicle service contracts. These estimates impact accounts payable and</w:t>
      </w:r>
      <w:r>
        <w:rPr>
          <w:rFonts w:ascii="Arial" w:cs="Arial" w:eastAsia="Arial" w:hAnsi="Arial"/>
          <w:sz w:val="18"/>
          <w:szCs w:val="18"/>
          <w:i w:val="1"/>
          <w:iCs w:val="1"/>
          <w:color w:val="auto"/>
        </w:rPr>
        <w:t xml:space="preserve"> </w:t>
      </w:r>
      <w:r>
        <w:rPr>
          <w:rFonts w:ascii="Arial" w:cs="Arial" w:eastAsia="Arial" w:hAnsi="Arial"/>
          <w:sz w:val="18"/>
          <w:szCs w:val="18"/>
          <w:color w:val="auto"/>
        </w:rPr>
        <w:t>accrued liabilities on our balance sheet and premiums earned on our income statement.</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Assumptions and Approaches Used. </w:t>
      </w:r>
      <w:r>
        <w:rPr>
          <w:rFonts w:ascii="Arial" w:cs="Arial" w:eastAsia="Arial" w:hAnsi="Arial"/>
          <w:sz w:val="18"/>
          <w:szCs w:val="18"/>
          <w:color w:val="auto"/>
        </w:rPr>
        <w:t>Premiums from the reinsurance of vehicle service contracts are recognized over the life of the policy in proportion</w:t>
      </w:r>
      <w:r>
        <w:rPr>
          <w:rFonts w:ascii="Arial" w:cs="Arial" w:eastAsia="Arial" w:hAnsi="Arial"/>
          <w:sz w:val="18"/>
          <w:szCs w:val="18"/>
          <w:i w:val="1"/>
          <w:iCs w:val="1"/>
          <w:color w:val="auto"/>
        </w:rPr>
        <w:t xml:space="preserve"> </w:t>
      </w:r>
      <w:r>
        <w:rPr>
          <w:rFonts w:ascii="Arial" w:cs="Arial" w:eastAsia="Arial" w:hAnsi="Arial"/>
          <w:sz w:val="18"/>
          <w:szCs w:val="18"/>
          <w:color w:val="auto"/>
        </w:rPr>
        <w:t>to the expected costs of servicing those contracts. Expected costs are determined based on our historical claims experience. In developing our cost expectations, we stratify our historical claims experience into groupings based on contractual term, as this characteristic has led to different patterns of cost incurrence in the past. We will continue to update our analysis of historical costs under the vehicle service contract program as appropriate, including the consideration of other characteristics that may have led to different patterns of cost incurrence, and revise our revenue recognition timing for any changes in the pattern of our expected costs as they are identified.</w:t>
      </w:r>
    </w:p>
    <w:p>
      <w:pPr>
        <w:spacing w:after="0" w:line="193"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i w:val="1"/>
          <w:iCs w:val="1"/>
          <w:color w:val="auto"/>
        </w:rPr>
        <w:t xml:space="preserve">Key Factors. </w:t>
      </w:r>
      <w:r>
        <w:rPr>
          <w:rFonts w:ascii="Arial" w:cs="Arial" w:eastAsia="Arial" w:hAnsi="Arial"/>
          <w:sz w:val="17"/>
          <w:szCs w:val="17"/>
          <w:color w:val="auto"/>
        </w:rPr>
        <w:t>Variances in the pattern of future claims from our current estimates would impact the timing of premiums recognized in future periods. A</w:t>
      </w:r>
      <w:r>
        <w:rPr>
          <w:rFonts w:ascii="Arial" w:cs="Arial" w:eastAsia="Arial" w:hAnsi="Arial"/>
          <w:sz w:val="17"/>
          <w:szCs w:val="17"/>
          <w:i w:val="1"/>
          <w:iCs w:val="1"/>
          <w:color w:val="auto"/>
        </w:rPr>
        <w:t xml:space="preserve"> </w:t>
      </w:r>
      <w:r>
        <w:rPr>
          <w:rFonts w:ascii="Arial" w:cs="Arial" w:eastAsia="Arial" w:hAnsi="Arial"/>
          <w:sz w:val="17"/>
          <w:szCs w:val="17"/>
          <w:color w:val="auto"/>
        </w:rPr>
        <w:t>10% change in premiums earned for the year ended December 31, 2017 would have affected 2017 net income by approximately $2.6 million.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 Expense</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Nature of Estimates Required. </w:t>
      </w:r>
      <w:r>
        <w:rPr>
          <w:rFonts w:ascii="Arial" w:cs="Arial" w:eastAsia="Arial" w:hAnsi="Arial"/>
          <w:sz w:val="18"/>
          <w:szCs w:val="18"/>
          <w:color w:val="auto"/>
        </w:rPr>
        <w:t>Stock-based compensation expense is based on the fair value on the date the equity instrument is granted or awarded by</w:t>
      </w:r>
      <w:r>
        <w:rPr>
          <w:rFonts w:ascii="Arial" w:cs="Arial" w:eastAsia="Arial" w:hAnsi="Arial"/>
          <w:sz w:val="18"/>
          <w:szCs w:val="18"/>
          <w:i w:val="1"/>
          <w:iCs w:val="1"/>
          <w:color w:val="auto"/>
        </w:rPr>
        <w:t xml:space="preserve"> </w:t>
      </w:r>
      <w:r>
        <w:rPr>
          <w:rFonts w:ascii="Arial" w:cs="Arial" w:eastAsia="Arial" w:hAnsi="Arial"/>
          <w:sz w:val="18"/>
          <w:szCs w:val="18"/>
          <w:color w:val="auto"/>
        </w:rPr>
        <w:t>us, and is recognized over the expected vesting period of the equity instrument. We also estimate expected forfeiture rates of restricted stock awards. These estimates impact paid in capital on our balance sheet and salaries and wages on our income statement.</w:t>
      </w:r>
    </w:p>
    <w:p>
      <w:pPr>
        <w:spacing w:after="0" w:line="181"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i w:val="1"/>
          <w:iCs w:val="1"/>
          <w:color w:val="auto"/>
        </w:rPr>
        <w:t xml:space="preserve">Assumptions and Approaches Used. </w:t>
      </w:r>
      <w:r>
        <w:rPr>
          <w:rFonts w:ascii="Arial" w:cs="Arial" w:eastAsia="Arial" w:hAnsi="Arial"/>
          <w:sz w:val="16"/>
          <w:szCs w:val="16"/>
          <w:color w:val="auto"/>
        </w:rPr>
        <w:t>In recognizing restricted stock-based compensation expense, we make assumptions regarding the expected forfeiture</w:t>
      </w:r>
      <w:r>
        <w:rPr>
          <w:rFonts w:ascii="Arial" w:cs="Arial" w:eastAsia="Arial" w:hAnsi="Arial"/>
          <w:sz w:val="16"/>
          <w:szCs w:val="16"/>
          <w:i w:val="1"/>
          <w:iCs w:val="1"/>
          <w:color w:val="auto"/>
        </w:rPr>
        <w:t xml:space="preserve"> </w:t>
      </w:r>
      <w:r>
        <w:rPr>
          <w:rFonts w:ascii="Arial" w:cs="Arial" w:eastAsia="Arial" w:hAnsi="Arial"/>
          <w:sz w:val="16"/>
          <w:szCs w:val="16"/>
          <w:color w:val="auto"/>
        </w:rPr>
        <w:t>rates of the restricted stock awards. We also make assumptions regarding the expected vesting dates of performance-based restricted stock awards.</w:t>
      </w:r>
    </w:p>
    <w:p>
      <w:pPr>
        <w:spacing w:after="0" w:line="12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fair value of restricted stock awards are estimated as if they were vested and issued on the grant date and are recognized over the expected vesting period of the restricted stock award. For additional information, see Notes 2 and 14 to the consolidated financial statements contained in Item 8 of this Form 10-K, which are incorporated herein by reference.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68" w:right="239" w:bottom="1440" w:gutter="0" w:footer="0" w:header="0"/>
        </w:sectPr>
      </w:pPr>
    </w:p>
    <w:bookmarkStart w:id="37" w:name="page38"/>
    <w:bookmarkEnd w:id="37"/>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Key Factors. </w:t>
      </w:r>
      <w:r>
        <w:rPr>
          <w:rFonts w:ascii="Arial" w:cs="Arial" w:eastAsia="Arial" w:hAnsi="Arial"/>
          <w:sz w:val="18"/>
          <w:szCs w:val="18"/>
          <w:color w:val="auto"/>
        </w:rPr>
        <w:t>Changes in the expected vesting dates of performance-based restricted stock awards and expected forfeiture rates would impact the amount</w:t>
      </w:r>
      <w:r>
        <w:rPr>
          <w:rFonts w:ascii="Arial" w:cs="Arial" w:eastAsia="Arial" w:hAnsi="Arial"/>
          <w:sz w:val="18"/>
          <w:szCs w:val="18"/>
          <w:i w:val="1"/>
          <w:iCs w:val="1"/>
          <w:color w:val="auto"/>
        </w:rPr>
        <w:t xml:space="preserve"> </w:t>
      </w:r>
      <w:r>
        <w:rPr>
          <w:rFonts w:ascii="Arial" w:cs="Arial" w:eastAsia="Arial" w:hAnsi="Arial"/>
          <w:sz w:val="18"/>
          <w:szCs w:val="18"/>
          <w:color w:val="auto"/>
        </w:rPr>
        <w:t>and timing of stock-based compensation expense recognized in future periods. A 10% change in stock-based compensation expense for the year ended December 31, 2017 would have affected 2017 net income by approximately $1.0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Contingencies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Nature of Estimates Required. </w:t>
      </w:r>
      <w:r>
        <w:rPr>
          <w:rFonts w:ascii="Arial" w:cs="Arial" w:eastAsia="Arial" w:hAnsi="Arial"/>
          <w:sz w:val="18"/>
          <w:szCs w:val="18"/>
          <w:color w:val="auto"/>
        </w:rPr>
        <w:t>We estimate the likelihood of adverse judgments against us and any resulting damages, fines or statutory penalties</w:t>
      </w:r>
      <w:r>
        <w:rPr>
          <w:rFonts w:ascii="Arial" w:cs="Arial" w:eastAsia="Arial" w:hAnsi="Arial"/>
          <w:sz w:val="18"/>
          <w:szCs w:val="18"/>
          <w:i w:val="1"/>
          <w:iCs w:val="1"/>
          <w:color w:val="auto"/>
        </w:rPr>
        <w:t xml:space="preserve"> </w:t>
      </w:r>
      <w:r>
        <w:rPr>
          <w:rFonts w:ascii="Arial" w:cs="Arial" w:eastAsia="Arial" w:hAnsi="Arial"/>
          <w:sz w:val="18"/>
          <w:szCs w:val="18"/>
          <w:color w:val="auto"/>
        </w:rPr>
        <w:t>owed. These estimates impact accounts payable and accrued liabilities on our balance sheet and are general and administrative expenses on our income statement.</w:t>
      </w:r>
    </w:p>
    <w:p>
      <w:pPr>
        <w:spacing w:after="0" w:line="18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Assumptions and Approaches Used. </w:t>
      </w:r>
      <w:r>
        <w:rPr>
          <w:rFonts w:ascii="Arial" w:cs="Arial" w:eastAsia="Arial" w:hAnsi="Arial"/>
          <w:sz w:val="17"/>
          <w:szCs w:val="17"/>
          <w:color w:val="auto"/>
        </w:rPr>
        <w:t>With assistance from our legal counsel, we determine if the likelihood of an adverse judgment for various claims,</w:t>
      </w:r>
      <w:r>
        <w:rPr>
          <w:rFonts w:ascii="Arial" w:cs="Arial" w:eastAsia="Arial" w:hAnsi="Arial"/>
          <w:sz w:val="17"/>
          <w:szCs w:val="17"/>
          <w:i w:val="1"/>
          <w:iCs w:val="1"/>
          <w:color w:val="auto"/>
        </w:rPr>
        <w:t xml:space="preserve"> </w:t>
      </w:r>
      <w:r>
        <w:rPr>
          <w:rFonts w:ascii="Arial" w:cs="Arial" w:eastAsia="Arial" w:hAnsi="Arial"/>
          <w:sz w:val="17"/>
          <w:szCs w:val="17"/>
          <w:color w:val="auto"/>
        </w:rPr>
        <w:t>litigation and regulatory investigations is remote, reasonably possible, or probable. To the extent we believe an adverse judgment is probable and the amount of the judgment is estimable, we recognize a liability. For information regarding current actions to which we are a party, see Note 16 to the consolidated financial statements contained in Item 8 of this Form 10-K, which is incorporated herein by reference.</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Key Factors. </w:t>
      </w:r>
      <w:r>
        <w:rPr>
          <w:rFonts w:ascii="Arial" w:cs="Arial" w:eastAsia="Arial" w:hAnsi="Arial"/>
          <w:sz w:val="18"/>
          <w:szCs w:val="18"/>
          <w:color w:val="auto"/>
        </w:rPr>
        <w:t>Negative variances in the ultimate disposition of claims and litigation outstanding from current estimates could result in additional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in future periods.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Uncertain Tax Positions</w:t>
      </w:r>
    </w:p>
    <w:p>
      <w:pPr>
        <w:spacing w:after="0" w:line="22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 xml:space="preserve">Nature of Estimates Required. </w:t>
      </w:r>
      <w:r>
        <w:rPr>
          <w:rFonts w:ascii="Arial" w:cs="Arial" w:eastAsia="Arial" w:hAnsi="Arial"/>
          <w:sz w:val="17"/>
          <w:szCs w:val="17"/>
          <w:color w:val="auto"/>
        </w:rPr>
        <w:t>We estimate the impact of an uncertain income tax position on the income tax return. These estimates impact income</w:t>
      </w:r>
      <w:r>
        <w:rPr>
          <w:rFonts w:ascii="Arial" w:cs="Arial" w:eastAsia="Arial" w:hAnsi="Arial"/>
          <w:sz w:val="17"/>
          <w:szCs w:val="17"/>
          <w:i w:val="1"/>
          <w:iCs w:val="1"/>
          <w:color w:val="auto"/>
        </w:rPr>
        <w:t xml:space="preserve"> </w:t>
      </w:r>
      <w:r>
        <w:rPr>
          <w:rFonts w:ascii="Arial" w:cs="Arial" w:eastAsia="Arial" w:hAnsi="Arial"/>
          <w:sz w:val="17"/>
          <w:szCs w:val="17"/>
          <w:color w:val="auto"/>
        </w:rPr>
        <w:t>taxes receivable and accounts payable and accrued liabilities on our balance sheet and provision for income taxes on our income statement.</w:t>
      </w:r>
    </w:p>
    <w:p>
      <w:pPr>
        <w:spacing w:after="0" w:line="14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 xml:space="preserve">Assumptions and Approaches Used. </w:t>
      </w:r>
      <w:r>
        <w:rPr>
          <w:rFonts w:ascii="Arial" w:cs="Arial" w:eastAsia="Arial" w:hAnsi="Arial"/>
          <w:sz w:val="16"/>
          <w:szCs w:val="16"/>
          <w:color w:val="auto"/>
        </w:rPr>
        <w:t>We follow a two-step approach for recognizing uncertain tax positions. First, we evaluate the tax position for</w:t>
      </w:r>
      <w:r>
        <w:rPr>
          <w:rFonts w:ascii="Arial" w:cs="Arial" w:eastAsia="Arial" w:hAnsi="Arial"/>
          <w:sz w:val="16"/>
          <w:szCs w:val="16"/>
          <w:i w:val="1"/>
          <w:iCs w:val="1"/>
          <w:color w:val="auto"/>
        </w:rPr>
        <w:t xml:space="preserve"> </w:t>
      </w:r>
      <w:r>
        <w:rPr>
          <w:rFonts w:ascii="Arial" w:cs="Arial" w:eastAsia="Arial" w:hAnsi="Arial"/>
          <w:sz w:val="16"/>
          <w:szCs w:val="16"/>
          <w:color w:val="auto"/>
        </w:rPr>
        <w:t>recognition by determining if the weight of available evidence indicates it is more-likely-than-not that the position will be sustained upon examination, including resolution of related appeals or litigation processes, if any. Second, for positions that we determine are more-likely-than-not to be sustained, we recognize the tax benefit as the largest benefit that has a greater than 50% likelihood of being sustained. We establish a reserve for uncertain tax positions liability that is comprised of unrecognized tax benefits and related interest. We adjust this liability in the period in which an uncertain tax position is effectively settled, the statute of limitations expires for the relevant taxing authority to examine the tax position, or more information becomes available.</w:t>
      </w:r>
    </w:p>
    <w:p>
      <w:pPr>
        <w:spacing w:after="0" w:line="16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December 2017, the Tax Cuts and Jobs Act was enacted, which decreased the federal statutory income tax rate. While the new federal statutory income tax rate was not effective until January 1, 2018, we were required to revalue uncertain tax positions as of December 31, 2017 at the new federal statutory income tax rate, which resulted in the reversal of $5.1 million of provision for income taxes. On December 23, 2017, the Securities and Exchange Commission issued Staff Accounting Bulletin No. 118, which provides for a one-year measurement period from a registrant’s reporting period that includes the Tax Cuts and Jobs Act’s enactment date to allow the registrant sufficient time to obtain, prepare and analyze information to complete the accounting required under Accounting Standards Codification Topic 740. For information regarding the impact of the enactment of the Tax Cuts and Jobs Act, see Note 11 to the consolidated financial statements contained in Item 8 of this Form 10-K, which is incorporated herein by reference.</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Key Factors. </w:t>
      </w:r>
      <w:r>
        <w:rPr>
          <w:rFonts w:ascii="Arial" w:cs="Arial" w:eastAsia="Arial" w:hAnsi="Arial"/>
          <w:sz w:val="18"/>
          <w:szCs w:val="18"/>
          <w:color w:val="auto"/>
        </w:rPr>
        <w:t>To the extent we prevail in matters for which a liability has been established or are required to pay amounts in excess of our established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our effective income tax rate in future periods could be materially affected.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need capital to maintain and grow our business. Our primary sources of capital are cash flows from operating activities, collections of Consumer Loans and borrowings under: (1) a revolving secured line of credit; (2) Warehouse facilities; (3) Term ABS financings; and (4) senior notes. There are various restrictive covenants to which we are subject under each financing arrangement and we were in compliance with those covenants as of December 31, 2017. For information regarding these financings and the covenants included in the related documents, see Note 8 to the consolidated financial statements contained in Item 8 of this Form 10-K, which is incorporated herein by reference.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368" w:right="239" w:bottom="1440" w:gutter="0" w:footer="0" w:header="0"/>
        </w:sectPr>
      </w:pPr>
    </w:p>
    <w:bookmarkStart w:id="38" w:name="page39"/>
    <w:bookmarkEnd w:id="38"/>
    <w:p>
      <w:pPr>
        <w:jc w:val="both"/>
        <w:ind w:firstLine="324"/>
        <w:spacing w:after="0" w:line="264" w:lineRule="auto"/>
        <w:rPr>
          <w:sz w:val="20"/>
          <w:szCs w:val="20"/>
          <w:color w:val="auto"/>
        </w:rPr>
      </w:pPr>
      <w:r>
        <w:rPr>
          <w:rFonts w:ascii="Arial" w:cs="Arial" w:eastAsia="Arial" w:hAnsi="Arial"/>
          <w:sz w:val="18"/>
          <w:szCs w:val="18"/>
          <w:color w:val="auto"/>
        </w:rPr>
        <w:t>On February 23, 2017, we completed a $350.0 million Term ABS financing, which was used to repay outstanding indebtedness. The financing has an expected annualized cost of approximately 3.1% (including the initial purchaser’s fees and other costs), and it will revolve for 24 months, after which it will amortize based upon the cash flows on the contributed Loans.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April 28, 2017, we increased the financing amount on Warehouse Facility IV from $75.0 million to $100.0 million and extended the date on which the facility will cease to revolve from April 30, 2018 to April 30, 2020. The interest rate on borrowings under the facility increased from LIBOR plus 200 basis points to LIBOR plus 225 basis points. There were no other material changes to the terms of the facility.</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June 28, 2017, we extended the maturity of our revolving secured line of credit facility with a commercial bank syndicate from June 22, 2019 to June 22, 2020. We also increased the amount of the facility from $310.0 million to $345.0 million until June 22, 2019, when the amount of the facility would decrease to $300.0 million. There were no other material changes to the terms of the facility. On October 19, 2017, we further increased the amount of the facility to $350.0 million until June 22, 2019 and changed the amount to which the facility will decrease on that date from $300.0 million to $315.0 million. There were no material changes to the terms of the facility.</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June 29, 2017, we completed a $450.0 million Term ABS financing, which was used to repay outstanding indebtedness. The financing has an expected annualized cost of approximately 3.0% (including the initial purchaser’s fees and other costs), and it will revolve for 24 months, after which it will amortize based upon the cash flows on the contributed Loans.</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July 18, 2017, we extended the date on which Warehouse Facility VI will cease to revolve from September 30, 2018 to September 30, 2020. There were no other material changes to the terms of the facility.</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October 26, 2017, we completed a $350.0 million Term ABS financing, which was used to repay outstanding indebtedness. The financing has an expected annualized cost of approximately 3.2% (including the initial purchaser’s fees and other costs), and it will revolve for 24 months, after which it will amortize based upon the cash flows on the contributed Loans.</w:t>
      </w:r>
    </w:p>
    <w:p>
      <w:pPr>
        <w:spacing w:after="0" w:line="18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December 1, 2017, we entered into Warehouse Facility VII, a $150.0 million revolving secured warehouse facility. The facility will cease to revolve on December 1, 2019, and must be repaid by November 30, 2021. Borrowings under the facility will generally bear interest at a rate equal to the commercial paper rate plus 190 basis points to class A lenders and the commercial paper rate plus 220 basis points to class B lenders.</w:t>
      </w:r>
    </w:p>
    <w:p>
      <w:pPr>
        <w:spacing w:after="0" w:line="16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December 20, 2017, we extended the date on which Warehouse Facility II will cease to revolve from June 23, 2019 to December 20, 2020. The interest rate on borrowings under the facility decreased from LIBOR plus 225 basis points to LIBOR plus 175 basis points. There were no other material changes to the terms of the facility.</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Cash and cash equivalents decreased to $8.2 million as of December 31, 2017 from $14.6 million as of December 31, 2016. As of December 31, 2017 and December 31, 2016 we had $1,161.1 million and $948.0 million in unused and available lines of credit, respectively. Our total balance sheet indebtedness increased to $3,070.8 million as of December 31, 2017 from $2,603.7 million as of December 31, 2016 primarily due to the growth in new Consumer Loan assignments and stock repurchases.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368"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total future contractual obligations requiring repayments as of December 31, 2017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34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Payments Due by Period</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3"/>
                <w:szCs w:val="13"/>
                <w:color w:val="auto"/>
              </w:rPr>
            </w:pPr>
          </w:p>
        </w:tc>
        <w:tc>
          <w:tcPr>
            <w:tcW w:w="114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88"/>
              </w:rPr>
              <w:t>Less than</w:t>
            </w:r>
          </w:p>
        </w:tc>
        <w:tc>
          <w:tcPr>
            <w:tcW w:w="220" w:type="dxa"/>
            <w:vAlign w:val="bottom"/>
          </w:tcPr>
          <w:p>
            <w:pPr>
              <w:spacing w:after="0"/>
              <w:rPr>
                <w:sz w:val="13"/>
                <w:szCs w:val="13"/>
                <w:color w:val="auto"/>
              </w:rPr>
            </w:pPr>
          </w:p>
        </w:tc>
        <w:tc>
          <w:tcPr>
            <w:tcW w:w="11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1-3 Years</w:t>
            </w:r>
          </w:p>
        </w:tc>
        <w:tc>
          <w:tcPr>
            <w:tcW w:w="220" w:type="dxa"/>
            <w:vAlign w:val="bottom"/>
          </w:tcPr>
          <w:p>
            <w:pPr>
              <w:spacing w:after="0"/>
              <w:rPr>
                <w:sz w:val="13"/>
                <w:szCs w:val="13"/>
                <w:color w:val="auto"/>
              </w:rPr>
            </w:pPr>
          </w:p>
        </w:tc>
        <w:tc>
          <w:tcPr>
            <w:tcW w:w="11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3-5 Years</w:t>
            </w:r>
          </w:p>
        </w:tc>
        <w:tc>
          <w:tcPr>
            <w:tcW w:w="220" w:type="dxa"/>
            <w:vAlign w:val="bottom"/>
          </w:tcPr>
          <w:p>
            <w:pPr>
              <w:spacing w:after="0"/>
              <w:rPr>
                <w:sz w:val="13"/>
                <w:szCs w:val="13"/>
                <w:color w:val="auto"/>
              </w:rPr>
            </w:pPr>
          </w:p>
        </w:tc>
        <w:tc>
          <w:tcPr>
            <w:tcW w:w="11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8"/>
              </w:rPr>
              <w:t>More than</w:t>
            </w:r>
          </w:p>
        </w:tc>
        <w:tc>
          <w:tcPr>
            <w:tcW w:w="280" w:type="dxa"/>
            <w:vAlign w:val="bottom"/>
          </w:tcPr>
          <w:p>
            <w:pPr>
              <w:spacing w:after="0"/>
              <w:rPr>
                <w:sz w:val="13"/>
                <w:szCs w:val="13"/>
                <w:color w:val="auto"/>
              </w:rPr>
            </w:pPr>
          </w:p>
        </w:tc>
        <w:tc>
          <w:tcPr>
            <w:tcW w:w="98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205"/>
        </w:trPr>
        <w:tc>
          <w:tcPr>
            <w:tcW w:w="3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1 Year</w:t>
            </w:r>
          </w:p>
        </w:tc>
        <w:tc>
          <w:tcPr>
            <w:tcW w:w="22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5 Years</w:t>
            </w:r>
          </w:p>
        </w:tc>
        <w:tc>
          <w:tcPr>
            <w:tcW w:w="28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Long-term debt, including current maturities</w:t>
            </w: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3,093.0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800.1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1,719.5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323.4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250.0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Dealer Holdback (2)</w:t>
            </w: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805.1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136.2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246.4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254.7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167.8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Purchase obligations (3)</w:t>
            </w: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future obligations (4)</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64"/>
        </w:trPr>
        <w:tc>
          <w:tcPr>
            <w:tcW w:w="3340" w:type="dxa"/>
            <w:vAlign w:val="bottom"/>
            <w:tcBorders>
              <w:top w:val="single" w:sz="8" w:color="CCEEFF"/>
            </w:tcBorders>
          </w:tcPr>
          <w:p>
            <w:pPr>
              <w:ind w:left="360"/>
              <w:spacing w:after="0"/>
              <w:rPr>
                <w:sz w:val="20"/>
                <w:szCs w:val="20"/>
                <w:color w:val="auto"/>
              </w:rPr>
            </w:pPr>
            <w:r>
              <w:rPr>
                <w:rFonts w:ascii="Arial" w:cs="Arial" w:eastAsia="Arial" w:hAnsi="Arial"/>
                <w:sz w:val="18"/>
                <w:szCs w:val="18"/>
                <w:color w:val="auto"/>
              </w:rPr>
              <w:t>Total contractual obligations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3,940.8</w:t>
            </w:r>
          </w:p>
        </w:tc>
        <w:tc>
          <w:tcPr>
            <w:tcW w:w="100" w:type="dxa"/>
            <w:vAlign w:val="bottom"/>
            <w:tcBorders>
              <w:top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939.2</w:t>
            </w:r>
          </w:p>
        </w:tc>
        <w:tc>
          <w:tcPr>
            <w:tcW w:w="120" w:type="dxa"/>
            <w:vAlign w:val="bottom"/>
            <w:tcBorders>
              <w:top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1,971.4</w:t>
            </w:r>
          </w:p>
        </w:tc>
        <w:tc>
          <w:tcPr>
            <w:tcW w:w="120" w:type="dxa"/>
            <w:vAlign w:val="bottom"/>
            <w:tcBorders>
              <w:top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580.5</w:t>
            </w:r>
          </w:p>
        </w:tc>
        <w:tc>
          <w:tcPr>
            <w:tcW w:w="100" w:type="dxa"/>
            <w:vAlign w:val="bottom"/>
            <w:tcBorders>
              <w:top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417.8</w:t>
            </w:r>
          </w:p>
        </w:tc>
        <w:tc>
          <w:tcPr>
            <w:tcW w:w="100" w:type="dxa"/>
            <w:vAlign w:val="bottom"/>
            <w:tcBorders>
              <w:top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left="660" w:hanging="328"/>
        <w:spacing w:after="0" w:line="264" w:lineRule="auto"/>
        <w:tabs>
          <w:tab w:leader="none" w:pos="660" w:val="left"/>
        </w:tabs>
        <w:numPr>
          <w:ilvl w:val="0"/>
          <w:numId w:val="31"/>
        </w:numPr>
        <w:rPr>
          <w:rFonts w:ascii="Arial" w:cs="Arial" w:eastAsia="Arial" w:hAnsi="Arial"/>
          <w:sz w:val="13"/>
          <w:szCs w:val="13"/>
          <w:color w:val="auto"/>
        </w:rPr>
      </w:pPr>
      <w:r>
        <w:rPr>
          <w:rFonts w:ascii="Arial" w:cs="Arial" w:eastAsia="Arial" w:hAnsi="Arial"/>
          <w:sz w:val="13"/>
          <w:szCs w:val="13"/>
          <w:color w:val="auto"/>
        </w:rPr>
        <w:t>Long-term debt obligations included in the above table consist solely of principal repayments. The amounts are presented on a principal basis to exclude deferred debt issuance costs of $20.9 million and the unamortized debt discount of $1.3 million. We are also obligated to make interest payments at the applicable interest rates, as discussed in Note 8 to the consolidated financial statements contained in Item 8 of this Form 10-K, which is incorporated herein by reference. Based on the actual amounts outstanding under our revolving secured line of credit, our Warehouse facilities, and our senior notes as of December 31, 2017, the forecasted amounts outstanding on all other debt and the actual interest rates in effect as of December 31, 2017, interest is expected to be approximately $99.5 million during 2018; $74.0 million during 2019; and $106.2 million during 2020 and thereafter.</w:t>
      </w:r>
    </w:p>
    <w:p>
      <w:pPr>
        <w:ind w:left="660" w:hanging="328"/>
        <w:spacing w:after="0" w:line="241" w:lineRule="auto"/>
        <w:tabs>
          <w:tab w:leader="none" w:pos="6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We have contractual obligations to pay Dealer Holdback to our Dealers. Payments of Dealer Holdback are contingent upon the receipt of consumer payments and the repayment of advances. The amounts presented represent our forecast as of December 31, 2017.</w:t>
      </w:r>
    </w:p>
    <w:p>
      <w:pPr>
        <w:ind w:left="660" w:hanging="328"/>
        <w:spacing w:after="0"/>
        <w:tabs>
          <w:tab w:leader="none" w:pos="6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Purchase obligations consist primarily of contractual obligations related to our information system and facility needs.</w:t>
      </w:r>
    </w:p>
    <w:p>
      <w:pPr>
        <w:spacing w:after="0" w:line="1" w:lineRule="exact"/>
        <w:rPr>
          <w:rFonts w:ascii="Arial" w:cs="Arial" w:eastAsia="Arial" w:hAnsi="Arial"/>
          <w:sz w:val="14"/>
          <w:szCs w:val="14"/>
          <w:color w:val="auto"/>
        </w:rPr>
      </w:pPr>
    </w:p>
    <w:p>
      <w:pPr>
        <w:ind w:left="660" w:hanging="328"/>
        <w:spacing w:after="0" w:line="255" w:lineRule="auto"/>
        <w:tabs>
          <w:tab w:leader="none" w:pos="6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Other future obligations included in the above table consist solely of reserves for uncertain tax positions. Payments are contingent upon examination and would occur in the periods in which the uncertain tax positions are settled.</w:t>
      </w:r>
    </w:p>
    <w:p>
      <w:pPr>
        <w:spacing w:after="0" w:line="19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Based upon anticipated cash flows, management believes that cash flows from operations and its various financing alternatives will provide sufficient financing for debt maturities and for future operations. Our ability to borrow funds may be impacted by economic and financial market conditions. If the various financing alternatives were to become limited or unavailable to us, our operations and liquidity could be materially and adversely affected.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do not have any off-balance sheet arrangements that have or are reasonably likely to have a material current or future effect on our financial condition, revenues or expenses, results of operations, liquidity, capital expenditures or capital resources.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exposed primarily to market risks associated with movements in interest rates. Our policies and procedures prohibit the use of financial instruments for speculative purposes. A discussion of our accounting policies for derivative instruments is included in Note 2 to the consolidated financial statements contained in Item 8 of this Form 10-K, which is incorporated herein by reference.</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We rely on various sources of financing, some of which contain floating rates of interest and expose us to risks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increases in interest rates. We manage such risk primarily by entering into interest rate cap agreements.</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December 31, 2017, we had $13.9 million of floating rate debt outstanding on our revolving secured line of credit, without interest rate protection. For every 1.0% increase in interest rates on our revolving secured line of credit, annual after-tax earnings would decrease by approximately $0.1 million, assuming we maintain a level amount of floating rate debt.</w:t>
      </w:r>
    </w:p>
    <w:p>
      <w:pPr>
        <w:spacing w:after="0" w:line="18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As of December 31, 2017, we had interest rate cap agreements outstanding to manage the interest rate risk on Warehouse Facility II, Warehouse Facility IV, Warehouse Facility V and Warehouse Facility VII. However, as of December 31, 2017, there was no floating rate debt outstanding under these facilities.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December 31, 2017, we did not have a balance outstanding under Warehouse Facility VI, which does not have interest rate protection.</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364" w:right="239" w:bottom="1440" w:gutter="0" w:footer="0" w:header="0"/>
        </w:sectPr>
      </w:pPr>
    </w:p>
    <w:bookmarkStart w:id="40" w:name="page41"/>
    <w:bookmarkEnd w:id="40"/>
    <w:p>
      <w:pPr>
        <w:jc w:val="both"/>
        <w:ind w:firstLine="324"/>
        <w:spacing w:after="0" w:line="279" w:lineRule="auto"/>
        <w:rPr>
          <w:sz w:val="20"/>
          <w:szCs w:val="20"/>
          <w:color w:val="auto"/>
        </w:rPr>
      </w:pPr>
      <w:r>
        <w:rPr>
          <w:rFonts w:ascii="Arial" w:cs="Arial" w:eastAsia="Arial" w:hAnsi="Arial"/>
          <w:sz w:val="17"/>
          <w:szCs w:val="17"/>
          <w:color w:val="auto"/>
        </w:rPr>
        <w:t>As of December 31, 2017, we had $385.0 million in floating rate debt outstanding under Term ABS 2016-1 covered by an interest rate cap with a cap rate of 5.00% on the underlying benchmark rate. Based on the difference between the underlying benchmark rate on Term ABS 2016-1 as of December 31, 2017 and the interest rate cap rate, the interest rate on Term ABS 2016-1 could increase by a maximum of 3.44%. This maximum interest rate increase would reduce annual after-tax earnings by approximately $10.2 million, assuming we maintain a level amount of floating rate debt.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Updates</w:t>
      </w:r>
    </w:p>
    <w:p>
      <w:pPr>
        <w:spacing w:after="0" w:line="22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See Note 2 to the consolidated financial statements contained in Item 8 of this Form 10-K, which is incorporated herein by reference, for information concerning the following new accounting updates and the impact of the implementation of these updates on our financial statements:</w:t>
      </w:r>
    </w:p>
    <w:p>
      <w:pPr>
        <w:spacing w:after="0" w:line="147" w:lineRule="exact"/>
        <w:rPr>
          <w:sz w:val="20"/>
          <w:szCs w:val="20"/>
          <w:color w:val="auto"/>
        </w:rPr>
      </w:pPr>
    </w:p>
    <w:p>
      <w:pPr>
        <w:ind w:left="840" w:hanging="332"/>
        <w:spacing w:after="0"/>
        <w:tabs>
          <w:tab w:leader="none" w:pos="8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Restricted Cash</w:t>
      </w:r>
    </w:p>
    <w:p>
      <w:pPr>
        <w:spacing w:after="0" w:line="23" w:lineRule="exact"/>
        <w:rPr>
          <w:rFonts w:ascii="Arial" w:cs="Arial" w:eastAsia="Arial" w:hAnsi="Arial"/>
          <w:sz w:val="18"/>
          <w:szCs w:val="18"/>
          <w:color w:val="auto"/>
        </w:rPr>
      </w:pPr>
    </w:p>
    <w:p>
      <w:pPr>
        <w:ind w:left="840" w:hanging="332"/>
        <w:spacing w:after="0"/>
        <w:tabs>
          <w:tab w:leader="none" w:pos="8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Measurement of Credit Losses on Financial Instruments</w:t>
      </w:r>
    </w:p>
    <w:p>
      <w:pPr>
        <w:spacing w:after="0" w:line="9" w:lineRule="exact"/>
        <w:rPr>
          <w:rFonts w:ascii="Arial" w:cs="Arial" w:eastAsia="Arial" w:hAnsi="Arial"/>
          <w:sz w:val="18"/>
          <w:szCs w:val="18"/>
          <w:color w:val="auto"/>
        </w:rPr>
      </w:pPr>
    </w:p>
    <w:p>
      <w:pPr>
        <w:ind w:left="840" w:hanging="332"/>
        <w:spacing w:after="0"/>
        <w:tabs>
          <w:tab w:leader="none" w:pos="8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Leases</w:t>
      </w:r>
    </w:p>
    <w:p>
      <w:pPr>
        <w:spacing w:after="0" w:line="9" w:lineRule="exact"/>
        <w:rPr>
          <w:rFonts w:ascii="Arial" w:cs="Arial" w:eastAsia="Arial" w:hAnsi="Arial"/>
          <w:sz w:val="18"/>
          <w:szCs w:val="18"/>
          <w:color w:val="auto"/>
        </w:rPr>
      </w:pPr>
    </w:p>
    <w:p>
      <w:pPr>
        <w:ind w:left="840" w:hanging="332"/>
        <w:spacing w:after="0"/>
        <w:tabs>
          <w:tab w:leader="none" w:pos="8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Revenue from Contracts with Customers</w:t>
      </w:r>
    </w:p>
    <w:p>
      <w:pPr>
        <w:spacing w:after="0" w:line="9" w:lineRule="exact"/>
        <w:rPr>
          <w:rFonts w:ascii="Arial" w:cs="Arial" w:eastAsia="Arial" w:hAnsi="Arial"/>
          <w:sz w:val="18"/>
          <w:szCs w:val="18"/>
          <w:color w:val="auto"/>
        </w:rPr>
      </w:pPr>
    </w:p>
    <w:p>
      <w:pPr>
        <w:ind w:left="840" w:hanging="332"/>
        <w:spacing w:after="0"/>
        <w:tabs>
          <w:tab w:leader="none" w:pos="8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Improvements to Employee Share-Based Payment Accounting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make forward-looking statements in this report and may make such statements in future filings with the SEC. We may also make forward-looking statements in our press releases or other public or shareholder communications. Our forward-looking statements are subject to risks and uncertainties and include information about our expectations and possible or assumed future results of operations. When we use any of the words "may," "will," "should," "believe," "expect," "anticipate," "assume," "forecast," "estimate," "intend," "plan," “target” or similar expressions, we are making forward-looking statements.</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claim the protection of the safe harbor for forward-looking statements contained in the Private Securities Litigation Reform Act of 1995 for all of our forward-looking statements. These forward-looking statements represent our outlook only as of the date of this report. While we believe that our forward-looking statements are reasonable, actual results could differ materially since the statements are based on our current expectations, which are subject to risks and uncertainties. Factors that might cause such a difference include, but are not limited to, the factors set forth under Item 1A of this Form 10-K, which is incorporated herein by reference, elsewhere in this report and the risks and uncertainties discussed in our other reports filed or furnished from time to time with the SEC.</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information called for by Item 7A is incorporated herein by reference from the information in Item 7 under the caption "Market Risk" in this Form 10-K.</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368" w:right="239" w:bottom="1440" w:gutter="0" w:footer="0" w:header="0"/>
        </w:sectPr>
      </w:pPr>
    </w:p>
    <w:bookmarkStart w:id="41" w:name="page42"/>
    <w:bookmarkEnd w:id="41"/>
    <w:p>
      <w:pPr>
        <w:spacing w:after="0"/>
        <w:tabs>
          <w:tab w:leader="none" w:pos="8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006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Page</w:t>
            </w: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Report of Independent Registered Public Accounting Firm</w:t>
            </w:r>
          </w:p>
        </w:tc>
        <w:tc>
          <w:tcPr>
            <w:tcW w:w="1360" w:type="dxa"/>
            <w:vAlign w:val="bottom"/>
            <w:tcBorders>
              <w:bottom w:val="single" w:sz="8" w:color="CCEEFF"/>
            </w:tcBorders>
            <w:shd w:val="clear" w:color="auto" w:fill="CCEEFF"/>
          </w:tcPr>
          <w:p>
            <w:pPr>
              <w:jc w:val="right"/>
              <w:spacing w:after="0"/>
              <w:rPr>
                <w:rFonts w:ascii="Arial" w:cs="Arial" w:eastAsia="Arial" w:hAnsi="Arial"/>
                <w:sz w:val="18"/>
                <w:szCs w:val="18"/>
                <w:color w:val="0000EE"/>
              </w:rPr>
            </w:pPr>
            <w:hyperlink w:anchor="page43">
              <w:r>
                <w:rPr>
                  <w:rFonts w:ascii="Arial" w:cs="Arial" w:eastAsia="Arial" w:hAnsi="Arial"/>
                  <w:sz w:val="18"/>
                  <w:szCs w:val="18"/>
                  <w:color w:val="0000EE"/>
                </w:rPr>
                <w:t>43</w:t>
              </w:r>
            </w:hyperlink>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Consolidated Balance Sheets as of December 31, 2017 and 2016</w:t>
            </w:r>
          </w:p>
        </w:tc>
        <w:tc>
          <w:tcPr>
            <w:tcW w:w="1360" w:type="dxa"/>
            <w:vAlign w:val="bottom"/>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44</w:t>
              </w:r>
            </w:hyperlink>
          </w:p>
        </w:tc>
      </w:tr>
      <w:tr>
        <w:trPr>
          <w:trHeight w:val="27"/>
        </w:trPr>
        <w:tc>
          <w:tcPr>
            <w:tcW w:w="100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Statements of Income for the years ended December 31, 2017, 2016 and 2015</w:t>
            </w:r>
          </w:p>
        </w:tc>
        <w:tc>
          <w:tcPr>
            <w:tcW w:w="1360" w:type="dxa"/>
            <w:vAlign w:val="bottom"/>
            <w:tcBorders>
              <w:bottom w:val="single" w:sz="8" w:color="CCEEFF"/>
            </w:tcBorders>
            <w:shd w:val="clear" w:color="auto" w:fill="CCEEFF"/>
          </w:tcPr>
          <w:p>
            <w:pPr>
              <w:jc w:val="right"/>
              <w:spacing w:after="0"/>
              <w:rPr>
                <w:rFonts w:ascii="Arial" w:cs="Arial" w:eastAsia="Arial" w:hAnsi="Arial"/>
                <w:sz w:val="18"/>
                <w:szCs w:val="18"/>
                <w:color w:val="0000EE"/>
              </w:rPr>
            </w:pPr>
            <w:hyperlink w:anchor="page45">
              <w:r>
                <w:rPr>
                  <w:rFonts w:ascii="Arial" w:cs="Arial" w:eastAsia="Arial" w:hAnsi="Arial"/>
                  <w:sz w:val="18"/>
                  <w:szCs w:val="18"/>
                  <w:color w:val="0000EE"/>
                </w:rPr>
                <w:t>45</w:t>
              </w:r>
            </w:hyperlink>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Consolidated Statements of Comprehensive Income for the years ended December 31, 2017, 2016 and 2015</w:t>
            </w:r>
          </w:p>
        </w:tc>
        <w:tc>
          <w:tcPr>
            <w:tcW w:w="1360" w:type="dxa"/>
            <w:vAlign w:val="bottom"/>
          </w:tcPr>
          <w:p>
            <w:pPr>
              <w:jc w:val="right"/>
              <w:spacing w:after="0"/>
              <w:rPr>
                <w:rFonts w:ascii="Arial" w:cs="Arial" w:eastAsia="Arial" w:hAnsi="Arial"/>
                <w:sz w:val="18"/>
                <w:szCs w:val="18"/>
                <w:color w:val="0000EE"/>
              </w:rPr>
            </w:pPr>
            <w:hyperlink w:anchor="page46">
              <w:r>
                <w:rPr>
                  <w:rFonts w:ascii="Arial" w:cs="Arial" w:eastAsia="Arial" w:hAnsi="Arial"/>
                  <w:sz w:val="18"/>
                  <w:szCs w:val="18"/>
                  <w:color w:val="0000EE"/>
                </w:rPr>
                <w:t>46</w:t>
              </w:r>
            </w:hyperlink>
          </w:p>
        </w:tc>
      </w:tr>
      <w:tr>
        <w:trPr>
          <w:trHeight w:val="27"/>
        </w:trPr>
        <w:tc>
          <w:tcPr>
            <w:tcW w:w="100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Statements of Shareholders' Equity for the years ended December 31, 2017, 2016 and 2015</w:t>
            </w:r>
          </w:p>
        </w:tc>
        <w:tc>
          <w:tcPr>
            <w:tcW w:w="1360" w:type="dxa"/>
            <w:vAlign w:val="bottom"/>
            <w:tcBorders>
              <w:bottom w:val="single" w:sz="8" w:color="CCEEFF"/>
            </w:tcBorders>
            <w:shd w:val="clear" w:color="auto" w:fill="CCEEFF"/>
          </w:tcPr>
          <w:p>
            <w:pPr>
              <w:jc w:val="right"/>
              <w:spacing w:after="0"/>
              <w:rPr>
                <w:rFonts w:ascii="Arial" w:cs="Arial" w:eastAsia="Arial" w:hAnsi="Arial"/>
                <w:sz w:val="18"/>
                <w:szCs w:val="18"/>
                <w:color w:val="0000EE"/>
              </w:rPr>
            </w:pPr>
            <w:hyperlink w:anchor="page47">
              <w:r>
                <w:rPr>
                  <w:rFonts w:ascii="Arial" w:cs="Arial" w:eastAsia="Arial" w:hAnsi="Arial"/>
                  <w:sz w:val="18"/>
                  <w:szCs w:val="18"/>
                  <w:color w:val="0000EE"/>
                </w:rPr>
                <w:t>47</w:t>
              </w:r>
            </w:hyperlink>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Consolidated Statements of Cash Flows for the years ended December 31, 2017, 2016 and 2015</w:t>
            </w:r>
          </w:p>
        </w:tc>
        <w:tc>
          <w:tcPr>
            <w:tcW w:w="1360" w:type="dxa"/>
            <w:vAlign w:val="bottom"/>
          </w:tcPr>
          <w:p>
            <w:pPr>
              <w:jc w:val="right"/>
              <w:spacing w:after="0"/>
              <w:rPr>
                <w:rFonts w:ascii="Arial" w:cs="Arial" w:eastAsia="Arial" w:hAnsi="Arial"/>
                <w:sz w:val="18"/>
                <w:szCs w:val="18"/>
                <w:color w:val="0000EE"/>
              </w:rPr>
            </w:pPr>
            <w:hyperlink w:anchor="page48">
              <w:r>
                <w:rPr>
                  <w:rFonts w:ascii="Arial" w:cs="Arial" w:eastAsia="Arial" w:hAnsi="Arial"/>
                  <w:sz w:val="18"/>
                  <w:szCs w:val="18"/>
                  <w:color w:val="0000EE"/>
                </w:rPr>
                <w:t>48</w:t>
              </w:r>
            </w:hyperlink>
          </w:p>
        </w:tc>
      </w:tr>
      <w:tr>
        <w:trPr>
          <w:trHeight w:val="27"/>
        </w:trPr>
        <w:tc>
          <w:tcPr>
            <w:tcW w:w="100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to Consolidated Financial Statements</w:t>
            </w:r>
          </w:p>
        </w:tc>
        <w:tc>
          <w:tcPr>
            <w:tcW w:w="1360" w:type="dxa"/>
            <w:vAlign w:val="bottom"/>
            <w:tcBorders>
              <w:bottom w:val="single" w:sz="8" w:color="CCEEFF"/>
            </w:tcBorders>
            <w:shd w:val="clear" w:color="auto" w:fill="CCEEFF"/>
          </w:tcPr>
          <w:p>
            <w:pPr>
              <w:jc w:val="right"/>
              <w:spacing w:after="0"/>
              <w:rPr>
                <w:rFonts w:ascii="Arial" w:cs="Arial" w:eastAsia="Arial" w:hAnsi="Arial"/>
                <w:sz w:val="18"/>
                <w:szCs w:val="18"/>
                <w:color w:val="0000EE"/>
              </w:rPr>
            </w:pPr>
            <w:hyperlink w:anchor="page49">
              <w:r>
                <w:rPr>
                  <w:rFonts w:ascii="Arial" w:cs="Arial" w:eastAsia="Arial" w:hAnsi="Arial"/>
                  <w:sz w:val="18"/>
                  <w:szCs w:val="18"/>
                  <w:color w:val="0000EE"/>
                </w:rPr>
                <w:t>49</w:t>
              </w:r>
            </w:hyperlink>
          </w:p>
        </w:tc>
      </w:tr>
      <w:tr>
        <w:trPr>
          <w:trHeight w:val="459"/>
        </w:trPr>
        <w:tc>
          <w:tcPr>
            <w:tcW w:w="10060" w:type="dxa"/>
            <w:vAlign w:val="bottom"/>
          </w:tcPr>
          <w:p>
            <w:pPr>
              <w:ind w:left="5620"/>
              <w:spacing w:after="0"/>
              <w:rPr>
                <w:sz w:val="20"/>
                <w:szCs w:val="20"/>
                <w:color w:val="auto"/>
              </w:rPr>
            </w:pPr>
            <w:r>
              <w:rPr>
                <w:rFonts w:ascii="Arial" w:cs="Arial" w:eastAsia="Arial" w:hAnsi="Arial"/>
                <w:sz w:val="18"/>
                <w:szCs w:val="18"/>
                <w:color w:val="auto"/>
              </w:rPr>
              <w:t>42</w:t>
            </w:r>
          </w:p>
        </w:tc>
        <w:tc>
          <w:tcPr>
            <w:tcW w:w="1360" w:type="dxa"/>
            <w:vAlign w:val="bottom"/>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Credit Acceptance Corporation</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Opinion on the financial statements</w:t>
      </w:r>
    </w:p>
    <w:p>
      <w:pPr>
        <w:spacing w:after="0" w:line="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Credit Acceptance Corporation (a Michigan corporation) and subsidiaries (the “Company”) as of December 31, 2017 and 2016, the related consolidated statements of income, comprehensive income, shareholders’ equity, and cash flows for each of the three years in the period ended December 31, 2017, and the related notes (collectively referred to as the “financial statements”). In our opinion, the financial statements present fairly, in all material respects, the financial position of the Company as of December 31, 2017 and 2016, and the results of its operations and its cash flows for each of the three years in the period ended December 31, 2017, in conformity with accounting principles generally accepted in the United States of America.</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2017, based on criteria established in the 2013 Internal Control-Integrated Framework issued by the Committee of Sponsoring Organizations of the Treadway Commission (“COSO”), and our report dated February 9, 2018 expressed an unqualified opinion.</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Basis for opinion</w:t>
      </w:r>
    </w:p>
    <w:p>
      <w:pPr>
        <w:spacing w:after="0" w:line="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supporting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2005.</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Southfield,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9, 2018</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64"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580" w:type="dxa"/>
            <w:vAlign w:val="bottom"/>
          </w:tcPr>
          <w:p>
            <w:pPr>
              <w:ind w:left="40"/>
              <w:spacing w:after="0"/>
              <w:rPr>
                <w:sz w:val="20"/>
                <w:szCs w:val="20"/>
                <w:color w:val="auto"/>
              </w:rPr>
            </w:pPr>
            <w:r>
              <w:rPr>
                <w:rFonts w:ascii="Arial" w:cs="Arial" w:eastAsia="Arial" w:hAnsi="Arial"/>
                <w:sz w:val="14"/>
                <w:szCs w:val="14"/>
                <w:color w:val="auto"/>
              </w:rPr>
              <w:t>(Dollars in millions, except per share data)</w:t>
            </w:r>
          </w:p>
        </w:tc>
        <w:tc>
          <w:tcPr>
            <w:tcW w:w="32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4"/>
          </w:tcPr>
          <w:p>
            <w:pPr>
              <w:jc w:val="right"/>
              <w:ind w:right="731"/>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85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r>
      <w:tr>
        <w:trPr>
          <w:trHeight w:val="243"/>
        </w:trPr>
        <w:tc>
          <w:tcPr>
            <w:tcW w:w="8580" w:type="dxa"/>
            <w:vAlign w:val="bottom"/>
          </w:tcPr>
          <w:p>
            <w:pPr>
              <w:jc w:val="center"/>
              <w:spacing w:after="0"/>
              <w:rPr>
                <w:sz w:val="20"/>
                <w:szCs w:val="20"/>
                <w:color w:val="auto"/>
              </w:rPr>
            </w:pPr>
            <w:r>
              <w:rPr>
                <w:rFonts w:ascii="Arial" w:cs="Arial" w:eastAsia="Arial" w:hAnsi="Arial"/>
                <w:sz w:val="18"/>
                <w:szCs w:val="18"/>
                <w:b w:val="1"/>
                <w:bCs w:val="1"/>
                <w:color w:val="auto"/>
                <w:w w:val="94"/>
              </w:rPr>
              <w:t>ASSETS: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Restricted cash and cash equivalents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255.6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224.7</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securities available for sale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45.3</w:t>
            </w:r>
          </w:p>
        </w:tc>
      </w:tr>
      <w:tr>
        <w:trPr>
          <w:trHeight w:val="243"/>
        </w:trPr>
        <w:tc>
          <w:tcPr>
            <w:tcW w:w="8580" w:type="dxa"/>
            <w:vAlign w:val="bottom"/>
          </w:tcPr>
          <w:p>
            <w:pPr>
              <w:ind w:left="360"/>
              <w:spacing w:after="0"/>
              <w:rPr>
                <w:sz w:val="20"/>
                <w:szCs w:val="20"/>
                <w:color w:val="auto"/>
              </w:rPr>
            </w:pPr>
            <w:r>
              <w:rPr>
                <w:rFonts w:ascii="Arial" w:cs="Arial" w:eastAsia="Arial" w:hAnsi="Arial"/>
                <w:sz w:val="18"/>
                <w:szCs w:val="18"/>
                <w:color w:val="auto"/>
              </w:rPr>
              <w:t>Loans receivable (including $1.4 from affiliates as of December 31, 2016)</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5,049.0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4,207.0</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7"/>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Allowance for credit losses</w:t>
            </w: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(429.4)</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(320.4)</w:t>
            </w:r>
          </w:p>
        </w:tc>
      </w:tr>
      <w:tr>
        <w:trPr>
          <w:trHeight w:val="284"/>
        </w:trPr>
        <w:tc>
          <w:tcPr>
            <w:tcW w:w="858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Loans receivable, net</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4,619.6</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3,886.6</w:t>
            </w:r>
          </w:p>
        </w:tc>
      </w:tr>
      <w:tr>
        <w:trPr>
          <w:trHeight w:val="24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and equipment, net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Income taxes receivable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2.3</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7"/>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33.4</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26.3</w:t>
            </w:r>
          </w:p>
        </w:tc>
      </w:tr>
      <w:tr>
        <w:trPr>
          <w:trHeight w:val="304"/>
        </w:trPr>
        <w:tc>
          <w:tcPr>
            <w:tcW w:w="858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4,985.6</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4,218.0</w:t>
            </w:r>
          </w:p>
        </w:tc>
      </w:tr>
      <w:tr>
        <w:trPr>
          <w:trHeight w:val="237"/>
        </w:trPr>
        <w:tc>
          <w:tcPr>
            <w:tcW w:w="8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LIABILITIES AND SHAREHOLDERS' EQUITY:</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and accrued liabilities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143.9</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Revolving secured line of credit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Secured financing</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2,514.1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2,062.4</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Senior notes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542.8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541.3</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 net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273.1</w:t>
            </w:r>
          </w:p>
        </w:tc>
      </w:tr>
      <w:tr>
        <w:trPr>
          <w:trHeight w:val="284"/>
        </w:trPr>
        <w:tc>
          <w:tcPr>
            <w:tcW w:w="85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Income taxes payable</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39.9</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23.6</w:t>
            </w:r>
          </w:p>
        </w:tc>
      </w:tr>
      <w:tr>
        <w:trPr>
          <w:trHeight w:val="277"/>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3,449.8</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3,044.3</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Commitments and Contingencies - See Note 16</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Preferred stock, $0.01 par value, 1,000,000 shares authorized, none issued</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8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Common stock, $0.01 par value, 80,000,000 shares authorized, 19,310,049 and 19,877,381 shares issued and</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7"/>
        </w:trPr>
        <w:tc>
          <w:tcPr>
            <w:tcW w:w="85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outstanding as of December 31, 2017 and December 31, 2016, respectively</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Paid-in capital</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145.5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131.7</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1,042.0</w:t>
            </w:r>
          </w:p>
        </w:tc>
      </w:tr>
      <w:tr>
        <w:trPr>
          <w:trHeight w:val="284"/>
        </w:trPr>
        <w:tc>
          <w:tcPr>
            <w:tcW w:w="85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71"/>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Shareholders' Equity</w:t>
            </w: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1,535.8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1,173.7</w:t>
            </w:r>
          </w:p>
        </w:tc>
      </w:tr>
      <w:tr>
        <w:trPr>
          <w:trHeight w:val="264"/>
        </w:trPr>
        <w:tc>
          <w:tcPr>
            <w:tcW w:w="8580" w:type="dxa"/>
            <w:vAlign w:val="bottom"/>
          </w:tcPr>
          <w:p>
            <w:pPr>
              <w:ind w:left="720"/>
              <w:spacing w:after="0"/>
              <w:rPr>
                <w:sz w:val="20"/>
                <w:szCs w:val="20"/>
                <w:color w:val="auto"/>
              </w:rPr>
            </w:pPr>
            <w:r>
              <w:rPr>
                <w:rFonts w:ascii="Arial" w:cs="Arial" w:eastAsia="Arial" w:hAnsi="Arial"/>
                <w:sz w:val="18"/>
                <w:szCs w:val="18"/>
                <w:color w:val="auto"/>
              </w:rPr>
              <w:t>Total Liabilities and Shareholders' Equity</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4,985.6</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4,218.0</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36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364" w:right="239" w:bottom="1440" w:gutter="0" w:footer="0" w:header="0"/>
          <w:type w:val="continuous"/>
        </w:sectPr>
      </w:pPr>
    </w:p>
    <w:bookmarkStart w:id="44" w:name="page45"/>
    <w:bookmarkEnd w:id="44"/>
    <w:p>
      <w:pPr>
        <w:jc w:val="center"/>
        <w:ind w:left="340"/>
        <w:spacing w:after="0"/>
        <w:rPr>
          <w:sz w:val="20"/>
          <w:szCs w:val="20"/>
          <w:color w:val="auto"/>
        </w:rPr>
      </w:pPr>
      <w:r>
        <w:rPr>
          <w:rFonts w:ascii="Arial" w:cs="Arial" w:eastAsia="Arial" w:hAnsi="Arial"/>
          <w:sz w:val="18"/>
          <w:szCs w:val="18"/>
          <w:b w:val="1"/>
          <w:bCs w:val="1"/>
          <w:color w:val="auto"/>
        </w:rPr>
        <w:t>CONSOLIDATED STATEMENTS OF INCOME</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080" w:type="dxa"/>
            <w:vAlign w:val="bottom"/>
          </w:tcPr>
          <w:p>
            <w:pPr>
              <w:ind w:left="40"/>
              <w:spacing w:after="0"/>
              <w:rPr>
                <w:sz w:val="20"/>
                <w:szCs w:val="20"/>
                <w:color w:val="auto"/>
              </w:rPr>
            </w:pPr>
            <w:r>
              <w:rPr>
                <w:rFonts w:ascii="Arial" w:cs="Arial" w:eastAsia="Arial" w:hAnsi="Arial"/>
                <w:sz w:val="14"/>
                <w:szCs w:val="14"/>
                <w:color w:val="auto"/>
              </w:rPr>
              <w:t>(Dollars in millions, except per share data)</w:t>
            </w:r>
          </w:p>
        </w:tc>
        <w:tc>
          <w:tcPr>
            <w:tcW w:w="30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0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Finance charges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874.3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730.5</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Premiums earned</w:t>
            </w:r>
          </w:p>
        </w:tc>
        <w:tc>
          <w:tcPr>
            <w:tcW w:w="30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43.0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w:t>
            </w:r>
          </w:p>
        </w:tc>
        <w:tc>
          <w:tcPr>
            <w:tcW w:w="30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57.4</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51.9</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84"/>
        </w:trPr>
        <w:tc>
          <w:tcPr>
            <w:tcW w:w="708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1,110.0</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969.2</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825.3</w:t>
            </w: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Salaries and wages</w:t>
            </w:r>
          </w:p>
        </w:tc>
        <w:tc>
          <w:tcPr>
            <w:tcW w:w="30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140.1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126.5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116.4</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49.4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credit losses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Interest</w:t>
            </w:r>
          </w:p>
        </w:tc>
        <w:tc>
          <w:tcPr>
            <w:tcW w:w="30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120.2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97.7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claims</w:t>
            </w:r>
          </w:p>
        </w:tc>
        <w:tc>
          <w:tcPr>
            <w:tcW w:w="30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26.0</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84"/>
        </w:trPr>
        <w:tc>
          <w:tcPr>
            <w:tcW w:w="708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 costs and expenses</w:t>
            </w: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526.2</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438.0</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350.8</w:t>
            </w: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531.2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474.5</w:t>
            </w:r>
          </w:p>
        </w:tc>
        <w:tc>
          <w:tcPr>
            <w:tcW w:w="0" w:type="dxa"/>
            <w:vAlign w:val="bottom"/>
          </w:tcPr>
          <w:p>
            <w:pPr>
              <w:spacing w:after="0"/>
              <w:rPr>
                <w:sz w:val="1"/>
                <w:szCs w:val="1"/>
                <w:color w:val="auto"/>
              </w:rPr>
            </w:pPr>
          </w:p>
        </w:tc>
      </w:tr>
      <w:tr>
        <w:trPr>
          <w:trHeight w:val="284"/>
        </w:trPr>
        <w:tc>
          <w:tcPr>
            <w:tcW w:w="70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113.6</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198.4</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174.8</w:t>
            </w: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470.2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332.8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299.7</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40"/>
              <w:spacing w:after="0"/>
              <w:rPr>
                <w:sz w:val="20"/>
                <w:szCs w:val="20"/>
                <w:color w:val="auto"/>
              </w:rPr>
            </w:pPr>
            <w:r>
              <w:rPr>
                <w:rFonts w:ascii="Arial" w:cs="Arial" w:eastAsia="Arial" w:hAnsi="Arial"/>
                <w:sz w:val="18"/>
                <w:szCs w:val="18"/>
                <w:color w:val="auto"/>
              </w:rPr>
              <w:t>Net income per share:</w:t>
            </w: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08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24.12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16.37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0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24.04</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16.31</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14.28</w:t>
            </w:r>
          </w:p>
        </w:tc>
        <w:tc>
          <w:tcPr>
            <w:tcW w:w="0" w:type="dxa"/>
            <w:vAlign w:val="bottom"/>
          </w:tcPr>
          <w:p>
            <w:pPr>
              <w:spacing w:after="0"/>
              <w:rPr>
                <w:sz w:val="1"/>
                <w:szCs w:val="1"/>
                <w:color w:val="auto"/>
              </w:rPr>
            </w:pPr>
          </w:p>
        </w:tc>
      </w:tr>
      <w:tr>
        <w:trPr>
          <w:trHeight w:val="23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3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19,497,719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20,331,769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w w:val="97"/>
              </w:rPr>
              <w:t>20,891,695</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0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19,558,936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20,410,116</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7"/>
              </w:rPr>
              <w:t>20,980,753</w:t>
            </w:r>
          </w:p>
        </w:tc>
        <w:tc>
          <w:tcPr>
            <w:tcW w:w="0" w:type="dxa"/>
            <w:vAlign w:val="bottom"/>
          </w:tcPr>
          <w:p>
            <w:pPr>
              <w:spacing w:after="0"/>
              <w:rPr>
                <w:sz w:val="1"/>
                <w:szCs w:val="1"/>
                <w:color w:val="auto"/>
              </w:rPr>
            </w:pPr>
          </w:p>
        </w:tc>
      </w:tr>
      <w:tr>
        <w:trPr>
          <w:trHeight w:val="27"/>
        </w:trPr>
        <w:tc>
          <w:tcPr>
            <w:tcW w:w="70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36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364" w:right="239" w:bottom="1440" w:gutter="0" w:footer="0" w:header="0"/>
          <w:type w:val="continuous"/>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08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86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For the Years Ended December 31,</w:t>
            </w:r>
          </w:p>
        </w:tc>
        <w:tc>
          <w:tcPr>
            <w:tcW w:w="960" w:type="dxa"/>
            <w:vAlign w:val="bottom"/>
            <w:tcBorders>
              <w:bottom w:val="single" w:sz="8" w:color="auto"/>
            </w:tcBorders>
          </w:tcPr>
          <w:p>
            <w:pPr>
              <w:spacing w:after="0"/>
              <w:rPr>
                <w:sz w:val="17"/>
                <w:szCs w:val="17"/>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88"/>
              </w:rPr>
              <w:t>470.2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332.8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299.7</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Other comprehensive loss, net of tax:</w:t>
            </w:r>
          </w:p>
        </w:tc>
        <w:tc>
          <w:tcPr>
            <w:tcW w:w="8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7"/>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loss on securities, net of tax</w:t>
            </w:r>
          </w:p>
        </w:tc>
        <w:tc>
          <w:tcPr>
            <w:tcW w:w="86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84"/>
        </w:trPr>
        <w:tc>
          <w:tcPr>
            <w:tcW w:w="708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860" w:type="dxa"/>
            <w:vAlign w:val="bottom"/>
          </w:tcPr>
          <w:p>
            <w:pPr>
              <w:spacing w:after="0"/>
              <w:rPr>
                <w:sz w:val="24"/>
                <w:szCs w:val="2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57"/>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860" w:type="dxa"/>
            <w:vAlign w:val="bottom"/>
            <w:tcBorders>
              <w:top w:val="single" w:sz="8" w:color="auto"/>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88"/>
              </w:rPr>
              <w:t>470.2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332.7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299.7</w:t>
            </w:r>
          </w:p>
        </w:tc>
      </w:tr>
      <w:tr>
        <w:trPr>
          <w:trHeight w:val="20"/>
        </w:trPr>
        <w:tc>
          <w:tcPr>
            <w:tcW w:w="70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36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364" w:right="239" w:bottom="1440" w:gutter="0" w:footer="0" w:header="0"/>
          <w:type w:val="continuous"/>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200" w:type="dxa"/>
            <w:vAlign w:val="bottom"/>
          </w:tcPr>
          <w:p>
            <w:pPr>
              <w:ind w:left="40"/>
              <w:spacing w:after="0"/>
              <w:rPr>
                <w:sz w:val="20"/>
                <w:szCs w:val="20"/>
                <w:color w:val="auto"/>
              </w:rPr>
            </w:pPr>
            <w:r>
              <w:rPr>
                <w:rFonts w:ascii="Arial" w:cs="Arial" w:eastAsia="Arial" w:hAnsi="Arial"/>
                <w:sz w:val="14"/>
                <w:szCs w:val="14"/>
                <w:color w:val="auto"/>
              </w:rPr>
              <w:t>(Dollars in millions)</w:t>
            </w:r>
          </w:p>
        </w:tc>
        <w:tc>
          <w:tcPr>
            <w:tcW w:w="2300" w:type="dxa"/>
            <w:vAlign w:val="bottom"/>
            <w:tcBorders>
              <w:bottom w:val="single" w:sz="8" w:color="auto"/>
            </w:tcBorders>
            <w:gridSpan w:val="3"/>
          </w:tcPr>
          <w:p>
            <w:pPr>
              <w:jc w:val="right"/>
              <w:ind w:right="396"/>
              <w:spacing w:after="0"/>
              <w:rPr>
                <w:sz w:val="20"/>
                <w:szCs w:val="20"/>
                <w:color w:val="auto"/>
              </w:rPr>
            </w:pPr>
            <w:r>
              <w:rPr>
                <w:rFonts w:ascii="Arial" w:cs="Arial" w:eastAsia="Arial" w:hAnsi="Arial"/>
                <w:sz w:val="14"/>
                <w:szCs w:val="14"/>
                <w:b w:val="1"/>
                <w:bCs w:val="1"/>
                <w:color w:val="auto"/>
              </w:rPr>
              <w:t>Common Stock</w:t>
            </w:r>
          </w:p>
        </w:tc>
        <w:tc>
          <w:tcPr>
            <w:tcW w:w="3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3"/>
          </w:tcPr>
          <w:p>
            <w:pPr>
              <w:jc w:val="center"/>
              <w:ind w:right="120"/>
              <w:spacing w:after="0" w:line="139" w:lineRule="exact"/>
              <w:rPr>
                <w:sz w:val="20"/>
                <w:szCs w:val="20"/>
                <w:color w:val="auto"/>
              </w:rPr>
            </w:pPr>
            <w:r>
              <w:rPr>
                <w:rFonts w:ascii="Arial" w:cs="Arial" w:eastAsia="Arial" w:hAnsi="Arial"/>
                <w:sz w:val="14"/>
                <w:szCs w:val="14"/>
                <w:b w:val="1"/>
                <w:bCs w:val="1"/>
                <w:color w:val="auto"/>
                <w:w w:val="94"/>
              </w:rPr>
              <w:t>Accumulated Other</w:t>
            </w:r>
          </w:p>
        </w:tc>
        <w:tc>
          <w:tcPr>
            <w:tcW w:w="160" w:type="dxa"/>
            <w:vAlign w:val="bottom"/>
          </w:tcPr>
          <w:p>
            <w:pPr>
              <w:spacing w:after="0"/>
              <w:rPr>
                <w:sz w:val="12"/>
                <w:szCs w:val="12"/>
                <w:color w:val="auto"/>
              </w:rPr>
            </w:pPr>
          </w:p>
        </w:tc>
        <w:tc>
          <w:tcPr>
            <w:tcW w:w="1100" w:type="dxa"/>
            <w:vAlign w:val="bottom"/>
          </w:tcPr>
          <w:p>
            <w:pPr>
              <w:jc w:val="center"/>
              <w:ind w:right="72"/>
              <w:spacing w:after="0" w:line="13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40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Number</w:t>
            </w: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Paid-In Capital</w:t>
            </w:r>
          </w:p>
        </w:tc>
        <w:tc>
          <w:tcPr>
            <w:tcW w:w="13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Retained Earnings</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2"/>
                <w:szCs w:val="12"/>
                <w:color w:val="auto"/>
              </w:rPr>
            </w:pPr>
          </w:p>
        </w:tc>
        <w:tc>
          <w:tcPr>
            <w:tcW w:w="1100" w:type="dxa"/>
            <w:vAlign w:val="bottom"/>
          </w:tcPr>
          <w:p>
            <w:pPr>
              <w:jc w:val="center"/>
              <w:ind w:right="72"/>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205"/>
        </w:trPr>
        <w:tc>
          <w:tcPr>
            <w:tcW w:w="320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38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Income (Loss)</w:t>
            </w:r>
          </w:p>
        </w:tc>
        <w:tc>
          <w:tcPr>
            <w:tcW w:w="160" w:type="dxa"/>
            <w:vAlign w:val="bottom"/>
          </w:tcPr>
          <w:p>
            <w:pPr>
              <w:spacing w:after="0"/>
              <w:rPr>
                <w:sz w:val="17"/>
                <w:szCs w:val="17"/>
                <w:color w:val="auto"/>
              </w:rPr>
            </w:pPr>
          </w:p>
        </w:tc>
        <w:tc>
          <w:tcPr>
            <w:tcW w:w="1100" w:type="dxa"/>
            <w:vAlign w:val="bottom"/>
          </w:tcPr>
          <w:p>
            <w:pPr>
              <w:jc w:val="center"/>
              <w:ind w:right="72"/>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3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January 1, 2015</w:t>
            </w:r>
          </w:p>
        </w:tc>
        <w:tc>
          <w:tcPr>
            <w:tcW w:w="128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20,597,671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702.2</w:t>
            </w:r>
          </w:p>
        </w:tc>
        <w:tc>
          <w:tcPr>
            <w:tcW w:w="0" w:type="dxa"/>
            <w:vAlign w:val="bottom"/>
          </w:tcPr>
          <w:p>
            <w:pPr>
              <w:spacing w:after="0"/>
              <w:rPr>
                <w:sz w:val="1"/>
                <w:szCs w:val="1"/>
                <w:color w:val="auto"/>
              </w:rPr>
            </w:pPr>
          </w:p>
        </w:tc>
      </w:tr>
      <w:tr>
        <w:trPr>
          <w:trHeight w:val="243"/>
        </w:trPr>
        <w:tc>
          <w:tcPr>
            <w:tcW w:w="320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299.7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299.7</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9"/>
        </w:trPr>
        <w:tc>
          <w:tcPr>
            <w:tcW w:w="3200" w:type="dxa"/>
            <w:vAlign w:val="bottom"/>
          </w:tcPr>
          <w:p>
            <w:pPr>
              <w:ind w:left="360"/>
              <w:spacing w:after="0"/>
              <w:rPr>
                <w:sz w:val="20"/>
                <w:szCs w:val="20"/>
                <w:color w:val="auto"/>
              </w:rPr>
            </w:pPr>
            <w:r>
              <w:rPr>
                <w:rFonts w:ascii="Arial" w:cs="Arial" w:eastAsia="Arial" w:hAnsi="Arial"/>
                <w:sz w:val="18"/>
                <w:szCs w:val="18"/>
                <w:color w:val="auto"/>
              </w:rPr>
              <w:t>Restricted stock awards, net of</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520"/>
              <w:spacing w:after="0"/>
              <w:rPr>
                <w:sz w:val="20"/>
                <w:szCs w:val="20"/>
                <w:color w:val="auto"/>
              </w:rPr>
            </w:pPr>
            <w:r>
              <w:rPr>
                <w:rFonts w:ascii="Arial" w:cs="Arial" w:eastAsia="Arial" w:hAnsi="Arial"/>
                <w:sz w:val="18"/>
                <w:szCs w:val="18"/>
                <w:color w:val="auto"/>
              </w:rPr>
              <w:t>forfeitures</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4,024</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Repurchase of common stock</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(470,071)</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29"/>
        </w:trPr>
        <w:tc>
          <w:tcPr>
            <w:tcW w:w="3200" w:type="dxa"/>
            <w:vAlign w:val="bottom"/>
          </w:tcPr>
          <w:p>
            <w:pPr>
              <w:ind w:left="360"/>
              <w:spacing w:after="0"/>
              <w:rPr>
                <w:sz w:val="20"/>
                <w:szCs w:val="20"/>
                <w:color w:val="auto"/>
              </w:rPr>
            </w:pPr>
            <w:r>
              <w:rPr>
                <w:rFonts w:ascii="Arial" w:cs="Arial" w:eastAsia="Arial" w:hAnsi="Arial"/>
                <w:sz w:val="18"/>
                <w:szCs w:val="18"/>
                <w:color w:val="auto"/>
              </w:rPr>
              <w:t>Restricted stock units converted to</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520"/>
              <w:spacing w:after="0"/>
              <w:rPr>
                <w:sz w:val="20"/>
                <w:szCs w:val="20"/>
                <w:color w:val="auto"/>
              </w:rPr>
            </w:pPr>
            <w:r>
              <w:rPr>
                <w:rFonts w:ascii="Arial" w:cs="Arial" w:eastAsia="Arial" w:hAnsi="Arial"/>
                <w:sz w:val="18"/>
                <w:szCs w:val="18"/>
                <w:color w:val="auto"/>
              </w:rPr>
              <w:t>common stock</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1,348</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 benefits from stock-based</w:t>
            </w:r>
          </w:p>
        </w:tc>
        <w:tc>
          <w:tcPr>
            <w:tcW w:w="14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9"/>
                <w:szCs w:val="19"/>
                <w:color w:val="auto"/>
              </w:rPr>
            </w:pPr>
          </w:p>
        </w:tc>
        <w:tc>
          <w:tcPr>
            <w:tcW w:w="4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51"/>
        </w:trPr>
        <w:tc>
          <w:tcPr>
            <w:tcW w:w="32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compensation plans</w:t>
            </w:r>
          </w:p>
        </w:tc>
        <w:tc>
          <w:tcPr>
            <w:tcW w:w="1400" w:type="dxa"/>
            <w:vAlign w:val="bottom"/>
            <w:gridSpan w:val="2"/>
            <w:vMerge w:val="continue"/>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46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3200" w:type="dxa"/>
            <w:vAlign w:val="bottom"/>
            <w:tcBorders>
              <w:top w:val="single" w:sz="8" w:color="CCEEFF"/>
              <w:bottom w:val="single" w:sz="8" w:color="CCEEFF"/>
            </w:tcBorders>
          </w:tcPr>
          <w:p>
            <w:pPr>
              <w:ind w:left="40"/>
              <w:spacing w:after="0"/>
              <w:rPr>
                <w:sz w:val="20"/>
                <w:szCs w:val="20"/>
                <w:color w:val="auto"/>
              </w:rPr>
            </w:pPr>
            <w:r>
              <w:rPr>
                <w:rFonts w:ascii="Arial" w:cs="Arial" w:eastAsia="Arial" w:hAnsi="Arial"/>
                <w:sz w:val="18"/>
                <w:szCs w:val="18"/>
                <w:color w:val="auto"/>
              </w:rPr>
              <w:t>Balance, December 31, 2015</w:t>
            </w:r>
          </w:p>
        </w:tc>
        <w:tc>
          <w:tcPr>
            <w:tcW w:w="12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20,132,972</w:t>
            </w:r>
          </w:p>
        </w:tc>
        <w:tc>
          <w:tcPr>
            <w:tcW w:w="120" w:type="dxa"/>
            <w:vAlign w:val="bottom"/>
            <w:tcBorders>
              <w:top w:val="single" w:sz="8" w:color="CCEEFF"/>
              <w:bottom w:val="single" w:sz="8" w:color="CCEEFF"/>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7"/>
              </w:rPr>
              <w:t>0.2</w:t>
            </w:r>
          </w:p>
        </w:tc>
        <w:tc>
          <w:tcPr>
            <w:tcW w:w="100" w:type="dxa"/>
            <w:vAlign w:val="bottom"/>
            <w:tcBorders>
              <w:top w:val="single" w:sz="8" w:color="CCEEFF"/>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100.8</w:t>
            </w:r>
          </w:p>
        </w:tc>
        <w:tc>
          <w:tcPr>
            <w:tcW w:w="100" w:type="dxa"/>
            <w:vAlign w:val="bottom"/>
            <w:tcBorders>
              <w:top w:val="single" w:sz="8" w:color="CCEEFF"/>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827.2</w:t>
            </w:r>
          </w:p>
        </w:tc>
        <w:tc>
          <w:tcPr>
            <w:tcW w:w="120" w:type="dxa"/>
            <w:vAlign w:val="bottom"/>
            <w:tcBorders>
              <w:top w:val="single" w:sz="8" w:color="CCEEFF"/>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top w:val="single" w:sz="8" w:color="CCEEFF"/>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928.1</w:t>
            </w:r>
          </w:p>
        </w:tc>
        <w:tc>
          <w:tcPr>
            <w:tcW w:w="0" w:type="dxa"/>
            <w:vAlign w:val="bottom"/>
          </w:tcPr>
          <w:p>
            <w:pPr>
              <w:spacing w:after="0"/>
              <w:rPr>
                <w:sz w:val="1"/>
                <w:szCs w:val="1"/>
                <w:color w:val="auto"/>
              </w:rPr>
            </w:pPr>
          </w:p>
        </w:tc>
      </w:tr>
      <w:tr>
        <w:trPr>
          <w:trHeight w:val="244"/>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332.8</w:t>
            </w:r>
          </w:p>
        </w:tc>
        <w:tc>
          <w:tcPr>
            <w:tcW w:w="0" w:type="dxa"/>
            <w:vAlign w:val="bottom"/>
          </w:tcPr>
          <w:p>
            <w:pPr>
              <w:spacing w:after="0"/>
              <w:rPr>
                <w:sz w:val="1"/>
                <w:szCs w:val="1"/>
                <w:color w:val="auto"/>
              </w:rPr>
            </w:pPr>
          </w:p>
        </w:tc>
      </w:tr>
      <w:tr>
        <w:trPr>
          <w:trHeight w:val="243"/>
        </w:trPr>
        <w:tc>
          <w:tcPr>
            <w:tcW w:w="3200" w:type="dxa"/>
            <w:vAlign w:val="bottom"/>
          </w:tcPr>
          <w:p>
            <w:pPr>
              <w:ind w:left="360"/>
              <w:spacing w:after="0"/>
              <w:rPr>
                <w:sz w:val="20"/>
                <w:szCs w:val="20"/>
                <w:color w:val="auto"/>
              </w:rPr>
            </w:pPr>
            <w:r>
              <w:rPr>
                <w:rFonts w:ascii="Arial" w:cs="Arial" w:eastAsia="Arial" w:hAnsi="Arial"/>
                <w:sz w:val="18"/>
                <w:szCs w:val="18"/>
                <w:color w:val="auto"/>
              </w:rPr>
              <w:t>Other comprehensive loss</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9"/>
        </w:trPr>
        <w:tc>
          <w:tcPr>
            <w:tcW w:w="3200" w:type="dxa"/>
            <w:vAlign w:val="bottom"/>
          </w:tcPr>
          <w:p>
            <w:pPr>
              <w:ind w:left="360"/>
              <w:spacing w:after="0"/>
              <w:rPr>
                <w:sz w:val="20"/>
                <w:szCs w:val="20"/>
                <w:color w:val="auto"/>
              </w:rPr>
            </w:pPr>
            <w:r>
              <w:rPr>
                <w:rFonts w:ascii="Arial" w:cs="Arial" w:eastAsia="Arial" w:hAnsi="Arial"/>
                <w:sz w:val="18"/>
                <w:szCs w:val="18"/>
                <w:color w:val="auto"/>
              </w:rPr>
              <w:t>Restricted stock awards, net of</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520"/>
              <w:spacing w:after="0"/>
              <w:rPr>
                <w:sz w:val="20"/>
                <w:szCs w:val="20"/>
                <w:color w:val="auto"/>
              </w:rPr>
            </w:pPr>
            <w:r>
              <w:rPr>
                <w:rFonts w:ascii="Arial" w:cs="Arial" w:eastAsia="Arial" w:hAnsi="Arial"/>
                <w:sz w:val="18"/>
                <w:szCs w:val="18"/>
                <w:color w:val="auto"/>
              </w:rPr>
              <w:t>forfeitures</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6,643</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Repurchase of common stock</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(666,330)</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0" w:type="dxa"/>
            <w:vAlign w:val="bottom"/>
          </w:tcPr>
          <w:p>
            <w:pPr>
              <w:spacing w:after="0"/>
              <w:rPr>
                <w:sz w:val="1"/>
                <w:szCs w:val="1"/>
                <w:color w:val="auto"/>
              </w:rPr>
            </w:pPr>
          </w:p>
        </w:tc>
      </w:tr>
      <w:tr>
        <w:trPr>
          <w:trHeight w:val="229"/>
        </w:trPr>
        <w:tc>
          <w:tcPr>
            <w:tcW w:w="3200" w:type="dxa"/>
            <w:vAlign w:val="bottom"/>
          </w:tcPr>
          <w:p>
            <w:pPr>
              <w:ind w:left="360"/>
              <w:spacing w:after="0"/>
              <w:rPr>
                <w:sz w:val="20"/>
                <w:szCs w:val="20"/>
                <w:color w:val="auto"/>
              </w:rPr>
            </w:pPr>
            <w:r>
              <w:rPr>
                <w:rFonts w:ascii="Arial" w:cs="Arial" w:eastAsia="Arial" w:hAnsi="Arial"/>
                <w:sz w:val="18"/>
                <w:szCs w:val="18"/>
                <w:color w:val="auto"/>
              </w:rPr>
              <w:t>Restricted stock units converted to</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520"/>
              <w:spacing w:after="0"/>
              <w:rPr>
                <w:sz w:val="20"/>
                <w:szCs w:val="20"/>
                <w:color w:val="auto"/>
              </w:rPr>
            </w:pPr>
            <w:r>
              <w:rPr>
                <w:rFonts w:ascii="Arial" w:cs="Arial" w:eastAsia="Arial" w:hAnsi="Arial"/>
                <w:sz w:val="18"/>
                <w:szCs w:val="18"/>
                <w:color w:val="auto"/>
              </w:rPr>
              <w:t>common stock</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404,096</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 benefits from stock-based</w:t>
            </w:r>
          </w:p>
        </w:tc>
        <w:tc>
          <w:tcPr>
            <w:tcW w:w="14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9"/>
                <w:szCs w:val="19"/>
                <w:color w:val="auto"/>
              </w:rPr>
            </w:pPr>
          </w:p>
        </w:tc>
        <w:tc>
          <w:tcPr>
            <w:tcW w:w="4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51"/>
        </w:trPr>
        <w:tc>
          <w:tcPr>
            <w:tcW w:w="32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compensation plans</w:t>
            </w:r>
          </w:p>
        </w:tc>
        <w:tc>
          <w:tcPr>
            <w:tcW w:w="1400" w:type="dxa"/>
            <w:vAlign w:val="bottom"/>
            <w:gridSpan w:val="2"/>
            <w:vMerge w:val="continue"/>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46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3200" w:type="dxa"/>
            <w:vAlign w:val="bottom"/>
            <w:tcBorders>
              <w:top w:val="single" w:sz="8" w:color="CCEEFF"/>
              <w:bottom w:val="single" w:sz="8" w:color="CCEEFF"/>
            </w:tcBorders>
          </w:tcPr>
          <w:p>
            <w:pPr>
              <w:ind w:left="40"/>
              <w:spacing w:after="0"/>
              <w:rPr>
                <w:sz w:val="20"/>
                <w:szCs w:val="20"/>
                <w:color w:val="auto"/>
              </w:rPr>
            </w:pPr>
            <w:r>
              <w:rPr>
                <w:rFonts w:ascii="Arial" w:cs="Arial" w:eastAsia="Arial" w:hAnsi="Arial"/>
                <w:sz w:val="18"/>
                <w:szCs w:val="18"/>
                <w:color w:val="auto"/>
              </w:rPr>
              <w:t>Balance, December 31, 2016</w:t>
            </w:r>
          </w:p>
        </w:tc>
        <w:tc>
          <w:tcPr>
            <w:tcW w:w="12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19,877,381</w:t>
            </w:r>
          </w:p>
        </w:tc>
        <w:tc>
          <w:tcPr>
            <w:tcW w:w="120" w:type="dxa"/>
            <w:vAlign w:val="bottom"/>
            <w:tcBorders>
              <w:top w:val="single" w:sz="8" w:color="CCEEFF"/>
              <w:bottom w:val="single" w:sz="8" w:color="CCEEFF"/>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7"/>
              </w:rPr>
              <w:t>0.2</w:t>
            </w:r>
          </w:p>
        </w:tc>
        <w:tc>
          <w:tcPr>
            <w:tcW w:w="100" w:type="dxa"/>
            <w:vAlign w:val="bottom"/>
            <w:tcBorders>
              <w:top w:val="single" w:sz="8" w:color="CCEEFF"/>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131.7</w:t>
            </w:r>
          </w:p>
        </w:tc>
        <w:tc>
          <w:tcPr>
            <w:tcW w:w="100" w:type="dxa"/>
            <w:vAlign w:val="bottom"/>
            <w:tcBorders>
              <w:top w:val="single" w:sz="8" w:color="CCEEFF"/>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1,042.0</w:t>
            </w:r>
          </w:p>
        </w:tc>
        <w:tc>
          <w:tcPr>
            <w:tcW w:w="120" w:type="dxa"/>
            <w:vAlign w:val="bottom"/>
            <w:tcBorders>
              <w:top w:val="single" w:sz="8" w:color="CCEEFF"/>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top w:val="single" w:sz="8" w:color="CCEEFF"/>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1,173.7</w:t>
            </w:r>
          </w:p>
        </w:tc>
        <w:tc>
          <w:tcPr>
            <w:tcW w:w="0" w:type="dxa"/>
            <w:vAlign w:val="bottom"/>
          </w:tcPr>
          <w:p>
            <w:pPr>
              <w:spacing w:after="0"/>
              <w:rPr>
                <w:sz w:val="1"/>
                <w:szCs w:val="1"/>
                <w:color w:val="auto"/>
              </w:rPr>
            </w:pPr>
          </w:p>
        </w:tc>
      </w:tr>
      <w:tr>
        <w:trPr>
          <w:trHeight w:val="244"/>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470.2</w:t>
            </w:r>
          </w:p>
        </w:tc>
        <w:tc>
          <w:tcPr>
            <w:tcW w:w="0" w:type="dxa"/>
            <w:vAlign w:val="bottom"/>
          </w:tcPr>
          <w:p>
            <w:pPr>
              <w:spacing w:after="0"/>
              <w:rPr>
                <w:sz w:val="1"/>
                <w:szCs w:val="1"/>
                <w:color w:val="auto"/>
              </w:rPr>
            </w:pPr>
          </w:p>
        </w:tc>
      </w:tr>
      <w:tr>
        <w:trPr>
          <w:trHeight w:val="243"/>
        </w:trPr>
        <w:tc>
          <w:tcPr>
            <w:tcW w:w="320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Restricted stock awards, net of</w:t>
            </w: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forfeitures</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8,092</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00" w:type="dxa"/>
            <w:vAlign w:val="bottom"/>
          </w:tcPr>
          <w:p>
            <w:pPr>
              <w:ind w:left="380"/>
              <w:spacing w:after="0"/>
              <w:rPr>
                <w:sz w:val="20"/>
                <w:szCs w:val="20"/>
                <w:color w:val="auto"/>
              </w:rPr>
            </w:pPr>
            <w:r>
              <w:rPr>
                <w:rFonts w:ascii="Arial" w:cs="Arial" w:eastAsia="Arial" w:hAnsi="Arial"/>
                <w:sz w:val="18"/>
                <w:szCs w:val="18"/>
                <w:color w:val="auto"/>
              </w:rPr>
              <w:t>Repurchase of common stock</w:t>
            </w:r>
          </w:p>
        </w:tc>
        <w:tc>
          <w:tcPr>
            <w:tcW w:w="1280" w:type="dxa"/>
            <w:vAlign w:val="bottom"/>
          </w:tcPr>
          <w:p>
            <w:pPr>
              <w:jc w:val="right"/>
              <w:spacing w:after="0"/>
              <w:rPr>
                <w:sz w:val="20"/>
                <w:szCs w:val="20"/>
                <w:color w:val="auto"/>
              </w:rPr>
            </w:pPr>
            <w:r>
              <w:rPr>
                <w:rFonts w:ascii="Arial" w:cs="Arial" w:eastAsia="Arial" w:hAnsi="Arial"/>
                <w:sz w:val="18"/>
                <w:szCs w:val="18"/>
                <w:color w:val="auto"/>
              </w:rPr>
              <w:t>(610,260)</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(123.5)</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Restricted stock units converted to</w:t>
            </w:r>
          </w:p>
        </w:tc>
        <w:tc>
          <w:tcPr>
            <w:tcW w:w="12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34,836</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1"/>
        </w:trPr>
        <w:tc>
          <w:tcPr>
            <w:tcW w:w="32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common stock</w:t>
            </w:r>
          </w:p>
        </w:tc>
        <w:tc>
          <w:tcPr>
            <w:tcW w:w="12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46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gridSpan w:val="2"/>
            <w:vMerge w:val="continue"/>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200" w:type="dxa"/>
            <w:vAlign w:val="bottom"/>
            <w:tcBorders>
              <w:top w:val="single" w:sz="8" w:color="CCEEFF"/>
            </w:tcBorders>
          </w:tcPr>
          <w:p>
            <w:pPr>
              <w:ind w:left="40"/>
              <w:spacing w:after="0"/>
              <w:rPr>
                <w:sz w:val="20"/>
                <w:szCs w:val="20"/>
                <w:color w:val="auto"/>
              </w:rPr>
            </w:pPr>
            <w:r>
              <w:rPr>
                <w:rFonts w:ascii="Arial" w:cs="Arial" w:eastAsia="Arial" w:hAnsi="Arial"/>
                <w:sz w:val="18"/>
                <w:szCs w:val="18"/>
                <w:color w:val="auto"/>
              </w:rPr>
              <w:t>Balance, December 31, 2017</w:t>
            </w:r>
          </w:p>
        </w:tc>
        <w:tc>
          <w:tcPr>
            <w:tcW w:w="12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19,310,049</w:t>
            </w:r>
          </w:p>
        </w:tc>
        <w:tc>
          <w:tcPr>
            <w:tcW w:w="120" w:type="dxa"/>
            <w:vAlign w:val="bottom"/>
            <w:tcBorders>
              <w:top w:val="single" w:sz="8" w:color="CCEEFF"/>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7"/>
              </w:rPr>
              <w:t>0.2</w:t>
            </w:r>
          </w:p>
        </w:tc>
        <w:tc>
          <w:tcPr>
            <w:tcW w:w="100" w:type="dxa"/>
            <w:vAlign w:val="bottom"/>
            <w:tcBorders>
              <w:top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145.5</w:t>
            </w:r>
          </w:p>
        </w:tc>
        <w:tc>
          <w:tcPr>
            <w:tcW w:w="100" w:type="dxa"/>
            <w:vAlign w:val="bottom"/>
            <w:tcBorders>
              <w:top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1,390.3</w:t>
            </w:r>
          </w:p>
        </w:tc>
        <w:tc>
          <w:tcPr>
            <w:tcW w:w="120" w:type="dxa"/>
            <w:vAlign w:val="bottom"/>
            <w:tcBorders>
              <w:top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top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1,535.8</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36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364" w:right="239" w:bottom="1440" w:gutter="0" w:footer="0" w:header="0"/>
          <w:type w:val="continuous"/>
        </w:sectPr>
      </w:pPr>
    </w:p>
    <w:bookmarkStart w:id="47" w:name="page48"/>
    <w:bookmarkEnd w:id="47"/>
    <w:p>
      <w:pPr>
        <w:jc w:val="center"/>
        <w:ind w:left="3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08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For the Years Ended December 31,</w:t>
            </w:r>
          </w:p>
        </w:tc>
        <w:tc>
          <w:tcPr>
            <w:tcW w:w="960" w:type="dxa"/>
            <w:vAlign w:val="bottom"/>
            <w:tcBorders>
              <w:bottom w:val="single" w:sz="8" w:color="auto"/>
            </w:tcBorders>
          </w:tcPr>
          <w:p>
            <w:pPr>
              <w:spacing w:after="0"/>
              <w:rPr>
                <w:sz w:val="17"/>
                <w:szCs w:val="17"/>
                <w:color w:val="auto"/>
              </w:rPr>
            </w:pPr>
          </w:p>
        </w:tc>
      </w:tr>
      <w:tr>
        <w:trPr>
          <w:trHeight w:val="264"/>
        </w:trPr>
        <w:tc>
          <w:tcPr>
            <w:tcW w:w="7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2015</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299.7</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Adjustments to reconcile cash provided by operating activities:</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Provision for credit losses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41.5</w:t>
            </w:r>
          </w:p>
        </w:tc>
      </w:tr>
      <w:tr>
        <w:trPr>
          <w:trHeight w:val="243"/>
        </w:trPr>
        <w:tc>
          <w:tcPr>
            <w:tcW w:w="7080" w:type="dxa"/>
            <w:vAlign w:val="bottom"/>
          </w:tcPr>
          <w:p>
            <w:pPr>
              <w:ind w:left="500"/>
              <w:spacing w:after="0"/>
              <w:rPr>
                <w:sz w:val="20"/>
                <w:szCs w:val="20"/>
                <w:color w:val="auto"/>
              </w:rPr>
            </w:pPr>
            <w:r>
              <w:rPr>
                <w:rFonts w:ascii="Arial" w:cs="Arial" w:eastAsia="Arial" w:hAnsi="Arial"/>
                <w:sz w:val="18"/>
                <w:szCs w:val="18"/>
                <w:color w:val="auto"/>
              </w:rPr>
              <w:t>Depreciation</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5.7</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r>
      <w:tr>
        <w:trPr>
          <w:trHeight w:val="243"/>
        </w:trPr>
        <w:tc>
          <w:tcPr>
            <w:tcW w:w="7080" w:type="dxa"/>
            <w:vAlign w:val="bottom"/>
          </w:tcPr>
          <w:p>
            <w:pPr>
              <w:ind w:left="500"/>
              <w:spacing w:after="0"/>
              <w:rPr>
                <w:sz w:val="20"/>
                <w:szCs w:val="20"/>
                <w:color w:val="auto"/>
              </w:rPr>
            </w:pPr>
            <w:r>
              <w:rPr>
                <w:rFonts w:ascii="Arial" w:cs="Arial" w:eastAsia="Arial" w:hAnsi="Arial"/>
                <w:sz w:val="18"/>
                <w:szCs w:val="18"/>
                <w:color w:val="auto"/>
              </w:rPr>
              <w:t>Loss on retirement of property and equipment</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0.3</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Provision (credit) for deferred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w:t>
            </w:r>
          </w:p>
        </w:tc>
      </w:tr>
      <w:tr>
        <w:trPr>
          <w:trHeight w:val="243"/>
        </w:trPr>
        <w:tc>
          <w:tcPr>
            <w:tcW w:w="7080" w:type="dxa"/>
            <w:vAlign w:val="bottom"/>
          </w:tcPr>
          <w:p>
            <w:pPr>
              <w:ind w:left="50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12.4</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operating assets and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500"/>
              <w:spacing w:after="0"/>
              <w:rPr>
                <w:sz w:val="20"/>
                <w:szCs w:val="20"/>
                <w:color w:val="auto"/>
              </w:rPr>
            </w:pPr>
            <w:r>
              <w:rPr>
                <w:rFonts w:ascii="Arial" w:cs="Arial" w:eastAsia="Arial" w:hAnsi="Arial"/>
                <w:sz w:val="18"/>
                <w:szCs w:val="18"/>
                <w:color w:val="auto"/>
              </w:rPr>
              <w:t>Increase in accounts payable and accrued liabilities</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13.0</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Decrease (increase) in income taxes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43"/>
        </w:trPr>
        <w:tc>
          <w:tcPr>
            <w:tcW w:w="7080" w:type="dxa"/>
            <w:vAlign w:val="bottom"/>
          </w:tcPr>
          <w:p>
            <w:pPr>
              <w:ind w:left="500"/>
              <w:spacing w:after="0"/>
              <w:rPr>
                <w:sz w:val="20"/>
                <w:szCs w:val="20"/>
                <w:color w:val="auto"/>
              </w:rPr>
            </w:pPr>
            <w:r>
              <w:rPr>
                <w:rFonts w:ascii="Arial" w:cs="Arial" w:eastAsia="Arial" w:hAnsi="Arial"/>
                <w:sz w:val="18"/>
                <w:szCs w:val="18"/>
                <w:color w:val="auto"/>
              </w:rPr>
              <w:t>Increase (decrease) in income taxes payable</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7"/>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Increase in other assets</w:t>
            </w:r>
          </w:p>
        </w:tc>
        <w:tc>
          <w:tcPr>
            <w:tcW w:w="34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84"/>
        </w:trPr>
        <w:tc>
          <w:tcPr>
            <w:tcW w:w="708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566.0</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507.2</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404.2</w:t>
            </w: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Increase in restricted cash and cash equivalents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restricted securities available for sale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Proceeds from sale of restricted securities available for sale</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35.9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34.4</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Maturities of restricted securities available for sale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Principal collected on Loans receivable</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2,189.5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1,955.8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1,739.6</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Advances to Dealers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(1,881.3)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(1,795.1)</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Purchases of Consumer Loans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(754.2)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(371.9)</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Accelerated payments of Dealer Holdback</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Payments of Dealer Holdback</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(142.0)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(150.1)</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7"/>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w:t>
            </w:r>
          </w:p>
        </w:tc>
        <w:tc>
          <w:tcPr>
            <w:tcW w:w="34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84"/>
        </w:trPr>
        <w:tc>
          <w:tcPr>
            <w:tcW w:w="708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(902.7)</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(935.5)</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(639.5)</w:t>
            </w: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Borrowings under revolving secured line of credit</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3,527.1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1,615.4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1,657.0</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Repayments under revolving secured line of credit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(1,673.1)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(1,718.8)</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Proceeds from secured financing</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2,364.5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2,169.3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1,247.0</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Repayments of secured financing</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(1,575.8)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(1,101.4)</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Proceeds from issuance of senior notes</w:t>
            </w:r>
          </w:p>
        </w:tc>
        <w:tc>
          <w:tcPr>
            <w:tcW w:w="34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248.2</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 of debt issuance costs and debt extinguishment costs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Repurchase of common stock</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(121.7)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(86.5)</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Excess tax benefits from stock-based compensation plans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r>
      <w:tr>
        <w:trPr>
          <w:trHeight w:val="284"/>
        </w:trPr>
        <w:tc>
          <w:tcPr>
            <w:tcW w:w="70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financing activities</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0.4</w:t>
            </w:r>
          </w:p>
        </w:tc>
      </w:tr>
      <w:tr>
        <w:trPr>
          <w:trHeight w:val="271"/>
        </w:trPr>
        <w:tc>
          <w:tcPr>
            <w:tcW w:w="70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330.3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436.6</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235.2</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Net increase (decrease) in cash and cash equivalents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7"/>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 beginning of period</w:t>
            </w:r>
          </w:p>
        </w:tc>
        <w:tc>
          <w:tcPr>
            <w:tcW w:w="34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r>
      <w:tr>
        <w:trPr>
          <w:trHeight w:val="304"/>
        </w:trPr>
        <w:tc>
          <w:tcPr>
            <w:tcW w:w="70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Cash and cash equivalents, end of period</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w:t>
            </w:r>
          </w:p>
        </w:tc>
      </w:tr>
      <w:tr>
        <w:trPr>
          <w:trHeight w:val="23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Cash paid during the period for interest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108.8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88.0</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61.8</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70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Cash paid during the period for income taxes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175.0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111.2</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146.9</w:t>
            </w:r>
          </w:p>
        </w:tc>
      </w:tr>
      <w:tr>
        <w:trPr>
          <w:trHeight w:val="27"/>
        </w:trPr>
        <w:tc>
          <w:tcPr>
            <w:tcW w:w="70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364" w:right="239" w:bottom="1014"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364" w:right="239" w:bottom="1014" w:gutter="0" w:footer="0" w:header="0"/>
          <w:type w:val="continuous"/>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360" w:hanging="352"/>
        <w:spacing w:after="0"/>
        <w:tabs>
          <w:tab w:leader="none" w:pos="3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Principal Business. </w:t>
      </w:r>
      <w:r>
        <w:rPr>
          <w:rFonts w:ascii="Arial" w:cs="Arial" w:eastAsia="Arial" w:hAnsi="Arial"/>
          <w:sz w:val="18"/>
          <w:szCs w:val="18"/>
          <w:color w:val="auto"/>
        </w:rPr>
        <w:t>Since 1972, Credit Acceptance Corporation (referred to as the “Company”, “Credit Acceptance”, “we”, “our” or “us”) has offered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financing programs that enable automobile dealers to sell vehicles to consumers, regardless of their credit history. Our financing programs are offered through a nationwide network of automobile dealers who benefit from sales of vehicles to consumers who otherwise could not obtain financing; from repeat and referral sales generated by these same customers; and from sales to customers responding to advertisements for our financing programs, but who actually end up qualifying for traditional financing.</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Without our financing programs, consumers are often unable to purchase vehicles or they purchase unreliable ones. Further, as we report to the three national credit reporting agencies, an important ancillary benefit of our programs is that we provide consumers with an opportunity to improve their lives by improving their credit score and move on to more traditional sources of financing.</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refer to automobile dealers who participate in our programs and who share our commitment to changing consumers’ lives as “Dealers”. Upon enrollment in our financing programs, the Dealer enters into a Dealer servicing agreement with us that defines the legal relationship between Credit Acceptance and the Dealer. The Dealer servicing agreement assigns the responsibilities for administering, servicing, and collecting the amounts due on retail installment contracts (referred to as “Consumer Loans”) from the Dealers to us. We are an indirect lender from a legal perspective, meaning the Consumer Loan is originated by the Dealer and assigned to us.</w:t>
      </w:r>
    </w:p>
    <w:p>
      <w:pPr>
        <w:spacing w:after="0" w:line="188"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Substantially all of the Consumer Loans assigned to us are made to consumers with impaired or limited credit histories. The following table shows the percentage of Consumer Loans assigned to us with either FICO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scores below 650 or no FICO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scores: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auto"/>
                <w:w w:val="92"/>
              </w:rPr>
              <w:t>For the Years Ended December 31,</w:t>
            </w:r>
          </w:p>
        </w:tc>
        <w:tc>
          <w:tcPr>
            <w:tcW w:w="1440" w:type="dxa"/>
            <w:vAlign w:val="bottom"/>
            <w:tcBorders>
              <w:bottom w:val="single" w:sz="8" w:color="auto"/>
            </w:tcBorders>
          </w:tcPr>
          <w:p>
            <w:pPr>
              <w:spacing w:after="0"/>
              <w:rPr>
                <w:sz w:val="17"/>
                <w:szCs w:val="17"/>
                <w:color w:val="auto"/>
              </w:rPr>
            </w:pPr>
          </w:p>
        </w:tc>
      </w:tr>
      <w:tr>
        <w:trPr>
          <w:trHeight w:val="264"/>
        </w:trPr>
        <w:tc>
          <w:tcPr>
            <w:tcW w:w="5500" w:type="dxa"/>
            <w:vAlign w:val="bottom"/>
            <w:tcBorders>
              <w:bottom w:val="single" w:sz="8" w:color="auto"/>
            </w:tcBorders>
          </w:tcPr>
          <w:p>
            <w:pPr>
              <w:ind w:left="1620"/>
              <w:spacing w:after="0"/>
              <w:rPr>
                <w:sz w:val="20"/>
                <w:szCs w:val="20"/>
                <w:color w:val="auto"/>
              </w:rPr>
            </w:pPr>
            <w:r>
              <w:rPr>
                <w:rFonts w:ascii="Arial" w:cs="Arial" w:eastAsia="Arial" w:hAnsi="Arial"/>
                <w:sz w:val="14"/>
                <w:szCs w:val="14"/>
                <w:b w:val="1"/>
                <w:bCs w:val="1"/>
                <w:color w:val="auto"/>
              </w:rPr>
              <w:t>Consumer Loan Assignment Volume</w:t>
            </w:r>
          </w:p>
        </w:tc>
        <w:tc>
          <w:tcPr>
            <w:tcW w:w="12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tcPr>
          <w:p>
            <w:pPr>
              <w:jc w:val="right"/>
              <w:ind w:right="679"/>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6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2015</w:t>
            </w:r>
          </w:p>
        </w:tc>
      </w:tr>
      <w:tr>
        <w:trPr>
          <w:trHeight w:val="229"/>
        </w:trPr>
        <w:tc>
          <w:tcPr>
            <w:tcW w:w="5620" w:type="dxa"/>
            <w:vAlign w:val="bottom"/>
            <w:gridSpan w:val="2"/>
            <w:shd w:val="clear" w:color="auto" w:fill="CCEEFF"/>
          </w:tcPr>
          <w:p>
            <w:pPr>
              <w:ind w:left="40"/>
              <w:spacing w:after="0" w:line="228" w:lineRule="exact"/>
              <w:rPr>
                <w:sz w:val="20"/>
                <w:szCs w:val="20"/>
                <w:color w:val="auto"/>
              </w:rPr>
            </w:pPr>
            <w:r>
              <w:rPr>
                <w:rFonts w:ascii="Arial" w:cs="Arial" w:eastAsia="Arial" w:hAnsi="Arial"/>
                <w:sz w:val="18"/>
                <w:szCs w:val="18"/>
                <w:color w:val="auto"/>
                <w:w w:val="94"/>
              </w:rPr>
              <w:t>Percentage of total unit volume with either FICO</w:t>
            </w:r>
            <w:r>
              <w:rPr>
                <w:rFonts w:ascii="Arial" w:cs="Arial" w:eastAsia="Arial" w:hAnsi="Arial"/>
                <w:sz w:val="25"/>
                <w:szCs w:val="25"/>
                <w:color w:val="auto"/>
                <w:w w:val="94"/>
                <w:vertAlign w:val="superscript"/>
              </w:rPr>
              <w:t>®</w:t>
            </w:r>
            <w:r>
              <w:rPr>
                <w:rFonts w:ascii="Arial" w:cs="Arial" w:eastAsia="Arial" w:hAnsi="Arial"/>
                <w:sz w:val="18"/>
                <w:szCs w:val="18"/>
                <w:color w:val="auto"/>
                <w:w w:val="94"/>
              </w:rPr>
              <w:t xml:space="preserve"> scores below 650 or no</w:t>
            </w:r>
          </w:p>
        </w:tc>
        <w:tc>
          <w:tcPr>
            <w:tcW w:w="1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57"/>
        </w:trPr>
        <w:tc>
          <w:tcPr>
            <w:tcW w:w="5620" w:type="dxa"/>
            <w:vAlign w:val="bottom"/>
            <w:gridSpan w:val="2"/>
            <w:shd w:val="clear" w:color="auto" w:fill="CCEEFF"/>
          </w:tcPr>
          <w:p>
            <w:pPr>
              <w:ind w:left="40"/>
              <w:spacing w:after="0" w:line="257" w:lineRule="exact"/>
              <w:rPr>
                <w:sz w:val="20"/>
                <w:szCs w:val="20"/>
                <w:color w:val="auto"/>
              </w:rPr>
            </w:pPr>
            <w:r>
              <w:rPr>
                <w:rFonts w:ascii="Arial" w:cs="Arial" w:eastAsia="Arial" w:hAnsi="Arial"/>
                <w:sz w:val="18"/>
                <w:szCs w:val="18"/>
                <w:color w:val="auto"/>
              </w:rPr>
              <w:t>FICO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scores</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2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r>
    </w:tbl>
    <w:p>
      <w:pPr>
        <w:spacing w:after="0" w:line="20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two programs: the Portfolio Program and the Purchase Program. Under the Portfolio Program, we advance money to Dealers (referred to as a “Dealer Loan”) in exchange for the right to service the underlying Consumer Loans. Under the Purchase Program, we buy the Consumer Loans from the Dealers (referred to as a “Purchased Loan”) and keep all amounts collected from the consumer. Dealer Loans and Purchased Loans are collectively referred to as “Loans”. The following table shows the percentage of Consumer Loans assigned to us as Dealer Loans and Purchased Loans for each of the last three years: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4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60" w:type="dxa"/>
            <w:vAlign w:val="bottom"/>
            <w:tcBorders>
              <w:bottom w:val="single" w:sz="8" w:color="auto"/>
            </w:tcBorders>
            <w:gridSpan w:val="3"/>
          </w:tcPr>
          <w:p>
            <w:pPr>
              <w:jc w:val="right"/>
              <w:ind w:right="1194"/>
              <w:spacing w:after="0"/>
              <w:rPr>
                <w:sz w:val="20"/>
                <w:szCs w:val="20"/>
                <w:color w:val="auto"/>
              </w:rPr>
            </w:pPr>
            <w:r>
              <w:rPr>
                <w:rFonts w:ascii="Arial" w:cs="Arial" w:eastAsia="Arial" w:hAnsi="Arial"/>
                <w:sz w:val="14"/>
                <w:szCs w:val="14"/>
                <w:b w:val="1"/>
                <w:bCs w:val="1"/>
                <w:color w:val="auto"/>
              </w:rPr>
              <w:t>Unit Volume</w:t>
            </w:r>
          </w:p>
        </w:tc>
        <w:tc>
          <w:tcPr>
            <w:tcW w:w="120" w:type="dxa"/>
            <w:vAlign w:val="bottom"/>
          </w:tcPr>
          <w:p>
            <w:pPr>
              <w:spacing w:after="0"/>
              <w:rPr>
                <w:sz w:val="17"/>
                <w:szCs w:val="17"/>
                <w:color w:val="auto"/>
              </w:rPr>
            </w:pPr>
          </w:p>
        </w:tc>
        <w:tc>
          <w:tcPr>
            <w:tcW w:w="3380" w:type="dxa"/>
            <w:vAlign w:val="bottom"/>
            <w:tcBorders>
              <w:bottom w:val="single" w:sz="8" w:color="auto"/>
            </w:tcBorders>
            <w:gridSpan w:val="3"/>
          </w:tcPr>
          <w:p>
            <w:pPr>
              <w:ind w:left="1140"/>
              <w:spacing w:after="0"/>
              <w:rPr>
                <w:sz w:val="20"/>
                <w:szCs w:val="20"/>
                <w:color w:val="auto"/>
              </w:rPr>
            </w:pPr>
            <w:r>
              <w:rPr>
                <w:rFonts w:ascii="Arial" w:cs="Arial" w:eastAsia="Arial" w:hAnsi="Arial"/>
                <w:sz w:val="14"/>
                <w:szCs w:val="14"/>
                <w:b w:val="1"/>
                <w:bCs w:val="1"/>
                <w:color w:val="auto"/>
              </w:rPr>
              <w:t>Dollar Volume (1)</w:t>
            </w:r>
          </w:p>
        </w:tc>
      </w:tr>
      <w:tr>
        <w:trPr>
          <w:trHeight w:val="264"/>
        </w:trPr>
        <w:tc>
          <w:tcPr>
            <w:tcW w:w="4500" w:type="dxa"/>
            <w:vAlign w:val="bottom"/>
            <w:gridSpan w:val="2"/>
          </w:tcPr>
          <w:p>
            <w:pPr>
              <w:ind w:left="1120"/>
              <w:spacing w:after="0"/>
              <w:rPr>
                <w:sz w:val="20"/>
                <w:szCs w:val="20"/>
                <w:color w:val="auto"/>
              </w:rPr>
            </w:pPr>
            <w:r>
              <w:rPr>
                <w:rFonts w:ascii="Arial" w:cs="Arial" w:eastAsia="Arial" w:hAnsi="Arial"/>
                <w:sz w:val="14"/>
                <w:szCs w:val="14"/>
                <w:b w:val="1"/>
                <w:bCs w:val="1"/>
                <w:color w:val="auto"/>
              </w:rPr>
              <w:t>For the Years Ended December 31,</w:t>
            </w:r>
          </w:p>
        </w:tc>
        <w:tc>
          <w:tcPr>
            <w:tcW w:w="1740" w:type="dxa"/>
            <w:vAlign w:val="bottom"/>
            <w:gridSpan w:val="2"/>
          </w:tcPr>
          <w:p>
            <w:pPr>
              <w:ind w:left="400"/>
              <w:spacing w:after="0"/>
              <w:rPr>
                <w:sz w:val="20"/>
                <w:szCs w:val="20"/>
                <w:color w:val="auto"/>
              </w:rPr>
            </w:pPr>
            <w:r>
              <w:rPr>
                <w:rFonts w:ascii="Arial" w:cs="Arial" w:eastAsia="Arial" w:hAnsi="Arial"/>
                <w:sz w:val="14"/>
                <w:szCs w:val="14"/>
                <w:b w:val="1"/>
                <w:bCs w:val="1"/>
                <w:color w:val="auto"/>
              </w:rPr>
              <w:t>Dealer Loans</w:t>
            </w:r>
          </w:p>
        </w:tc>
        <w:tc>
          <w:tcPr>
            <w:tcW w:w="1740" w:type="dxa"/>
            <w:vAlign w:val="bottom"/>
            <w:gridSpan w:val="2"/>
          </w:tcPr>
          <w:p>
            <w:pPr>
              <w:ind w:left="280"/>
              <w:spacing w:after="0"/>
              <w:rPr>
                <w:sz w:val="20"/>
                <w:szCs w:val="20"/>
                <w:color w:val="auto"/>
              </w:rPr>
            </w:pPr>
            <w:r>
              <w:rPr>
                <w:rFonts w:ascii="Arial" w:cs="Arial" w:eastAsia="Arial" w:hAnsi="Arial"/>
                <w:sz w:val="14"/>
                <w:szCs w:val="14"/>
                <w:b w:val="1"/>
                <w:bCs w:val="1"/>
                <w:color w:val="auto"/>
              </w:rPr>
              <w:t>Purchased Loans</w:t>
            </w:r>
          </w:p>
        </w:tc>
        <w:tc>
          <w:tcPr>
            <w:tcW w:w="1740" w:type="dxa"/>
            <w:vAlign w:val="bottom"/>
            <w:gridSpan w:val="2"/>
          </w:tcPr>
          <w:p>
            <w:pPr>
              <w:ind w:left="400"/>
              <w:spacing w:after="0"/>
              <w:rPr>
                <w:sz w:val="20"/>
                <w:szCs w:val="20"/>
                <w:color w:val="auto"/>
              </w:rPr>
            </w:pPr>
            <w:r>
              <w:rPr>
                <w:rFonts w:ascii="Arial" w:cs="Arial" w:eastAsia="Arial" w:hAnsi="Arial"/>
                <w:sz w:val="14"/>
                <w:szCs w:val="14"/>
                <w:b w:val="1"/>
                <w:bCs w:val="1"/>
                <w:color w:val="auto"/>
              </w:rPr>
              <w:t>Dealer Loans</w:t>
            </w:r>
          </w:p>
        </w:tc>
        <w:tc>
          <w:tcPr>
            <w:tcW w:w="1640" w:type="dxa"/>
            <w:vAlign w:val="bottom"/>
          </w:tcPr>
          <w:p>
            <w:pPr>
              <w:jc w:val="right"/>
              <w:ind w:right="214"/>
              <w:spacing w:after="0"/>
              <w:rPr>
                <w:sz w:val="20"/>
                <w:szCs w:val="20"/>
                <w:color w:val="auto"/>
              </w:rPr>
            </w:pPr>
            <w:r>
              <w:rPr>
                <w:rFonts w:ascii="Arial" w:cs="Arial" w:eastAsia="Arial" w:hAnsi="Arial"/>
                <w:sz w:val="14"/>
                <w:szCs w:val="14"/>
                <w:b w:val="1"/>
                <w:bCs w:val="1"/>
                <w:color w:val="auto"/>
              </w:rPr>
              <w:t>Purchased Loans</w:t>
            </w:r>
          </w:p>
        </w:tc>
      </w:tr>
      <w:tr>
        <w:trPr>
          <w:trHeight w:val="250"/>
        </w:trPr>
        <w:tc>
          <w:tcPr>
            <w:tcW w:w="4380" w:type="dxa"/>
            <w:vAlign w:val="bottom"/>
            <w:tcBorders>
              <w:top w:val="single" w:sz="8" w:color="auto"/>
              <w:bottom w:val="single" w:sz="8" w:color="CCEEFF"/>
            </w:tcBorders>
            <w:shd w:val="clear" w:color="auto" w:fill="CCEEFF"/>
          </w:tcPr>
          <w:p>
            <w:pPr>
              <w:jc w:val="right"/>
              <w:ind w:right="3914"/>
              <w:spacing w:after="0"/>
              <w:rPr>
                <w:sz w:val="20"/>
                <w:szCs w:val="20"/>
                <w:color w:val="auto"/>
              </w:rPr>
            </w:pPr>
            <w:r>
              <w:rPr>
                <w:rFonts w:ascii="Arial" w:cs="Arial" w:eastAsia="Arial" w:hAnsi="Arial"/>
                <w:sz w:val="18"/>
                <w:szCs w:val="18"/>
                <w:color w:val="auto"/>
                <w:w w:val="89"/>
              </w:rPr>
              <w:t>2015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w w:val="97"/>
              </w:rPr>
              <w:t>82.8%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43"/>
        </w:trPr>
        <w:tc>
          <w:tcPr>
            <w:tcW w:w="4380" w:type="dxa"/>
            <w:vAlign w:val="bottom"/>
          </w:tcPr>
          <w:p>
            <w:pPr>
              <w:jc w:val="right"/>
              <w:ind w:right="3914"/>
              <w:spacing w:after="0"/>
              <w:rPr>
                <w:sz w:val="20"/>
                <w:szCs w:val="20"/>
                <w:color w:val="auto"/>
              </w:rPr>
            </w:pPr>
            <w:r>
              <w:rPr>
                <w:rFonts w:ascii="Arial" w:cs="Arial" w:eastAsia="Arial" w:hAnsi="Arial"/>
                <w:sz w:val="18"/>
                <w:szCs w:val="18"/>
                <w:color w:val="auto"/>
                <w:w w:val="89"/>
              </w:rPr>
              <w:t>2016</w:t>
            </w: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78.6%</w:t>
            </w: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1"/>
                <w:szCs w:val="21"/>
                <w:color w:val="auto"/>
              </w:rPr>
            </w:pPr>
          </w:p>
        </w:tc>
        <w:tc>
          <w:tcPr>
            <w:tcW w:w="1640" w:type="dxa"/>
            <w:vAlign w:val="bottom"/>
          </w:tcPr>
          <w:p>
            <w:pPr>
              <w:ind w:left="1120"/>
              <w:spacing w:after="0"/>
              <w:rPr>
                <w:sz w:val="20"/>
                <w:szCs w:val="20"/>
                <w:color w:val="auto"/>
              </w:rPr>
            </w:pPr>
            <w:r>
              <w:rPr>
                <w:rFonts w:ascii="Arial" w:cs="Arial" w:eastAsia="Arial" w:hAnsi="Arial"/>
                <w:sz w:val="18"/>
                <w:szCs w:val="18"/>
                <w:color w:val="auto"/>
                <w:w w:val="97"/>
              </w:rPr>
              <w:t>71.4%</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28.6%</w:t>
            </w:r>
          </w:p>
        </w:tc>
      </w:tr>
      <w:tr>
        <w:trPr>
          <w:trHeight w:val="27"/>
        </w:trPr>
        <w:tc>
          <w:tcPr>
            <w:tcW w:w="4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43"/>
        </w:trPr>
        <w:tc>
          <w:tcPr>
            <w:tcW w:w="4380" w:type="dxa"/>
            <w:vAlign w:val="bottom"/>
            <w:shd w:val="clear" w:color="auto" w:fill="CCEEFF"/>
          </w:tcPr>
          <w:p>
            <w:pPr>
              <w:jc w:val="right"/>
              <w:ind w:right="3914"/>
              <w:spacing w:after="0"/>
              <w:rPr>
                <w:sz w:val="20"/>
                <w:szCs w:val="20"/>
                <w:color w:val="auto"/>
              </w:rPr>
            </w:pPr>
            <w:r>
              <w:rPr>
                <w:rFonts w:ascii="Arial" w:cs="Arial" w:eastAsia="Arial" w:hAnsi="Arial"/>
                <w:sz w:val="18"/>
                <w:szCs w:val="18"/>
                <w:color w:val="auto"/>
                <w:w w:val="89"/>
              </w:rPr>
              <w:t>2017</w:t>
            </w:r>
          </w:p>
        </w:tc>
        <w:tc>
          <w:tcPr>
            <w:tcW w:w="12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2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ind w:left="1120"/>
              <w:spacing w:after="0"/>
              <w:rPr>
                <w:sz w:val="20"/>
                <w:szCs w:val="20"/>
                <w:color w:val="auto"/>
              </w:rPr>
            </w:pPr>
            <w:r>
              <w:rPr>
                <w:rFonts w:ascii="Arial" w:cs="Arial" w:eastAsia="Arial" w:hAnsi="Arial"/>
                <w:sz w:val="18"/>
                <w:szCs w:val="18"/>
                <w:color w:val="auto"/>
                <w:w w:val="97"/>
              </w:rPr>
              <w:t>68.5%</w:t>
            </w: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r>
      <w:tr>
        <w:trPr>
          <w:trHeight w:val="27"/>
        </w:trPr>
        <w:tc>
          <w:tcPr>
            <w:tcW w:w="4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197" w:lineRule="exact"/>
        <w:rPr>
          <w:sz w:val="20"/>
          <w:szCs w:val="20"/>
          <w:color w:val="auto"/>
        </w:rPr>
      </w:pPr>
    </w:p>
    <w:p>
      <w:pPr>
        <w:ind w:left="500" w:right="20" w:hanging="330"/>
        <w:spacing w:after="0" w:line="273" w:lineRule="auto"/>
        <w:tabs>
          <w:tab w:leader="none" w:pos="5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Represents advances paid to Dealers on Consumer Loans assigned under our Portfolio Program and one-time payments made to Dealers to purchase Consumer Loans assigned under our Purchase Program. Payments of Dealer Holdback (as defined below) and accelerated Dealer Holdback are not included.</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Portfolio Program</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payment for the vehicle, the Dealer generally receives the following:</w:t>
      </w:r>
    </w:p>
    <w:p>
      <w:pPr>
        <w:spacing w:after="0" w:line="225" w:lineRule="exact"/>
        <w:rPr>
          <w:sz w:val="20"/>
          <w:szCs w:val="20"/>
          <w:color w:val="auto"/>
        </w:rPr>
      </w:pPr>
    </w:p>
    <w:p>
      <w:pPr>
        <w:ind w:left="840" w:hanging="332"/>
        <w:spacing w:after="0"/>
        <w:tabs>
          <w:tab w:leader="none" w:pos="8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down payment from the consumer;</w:t>
      </w:r>
    </w:p>
    <w:p>
      <w:pPr>
        <w:spacing w:after="0" w:line="23" w:lineRule="exact"/>
        <w:rPr>
          <w:rFonts w:ascii="Arial" w:cs="Arial" w:eastAsia="Arial" w:hAnsi="Arial"/>
          <w:sz w:val="18"/>
          <w:szCs w:val="18"/>
          <w:color w:val="auto"/>
        </w:rPr>
      </w:pPr>
    </w:p>
    <w:p>
      <w:pPr>
        <w:ind w:left="840" w:hanging="332"/>
        <w:spacing w:after="0"/>
        <w:tabs>
          <w:tab w:leader="none" w:pos="8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non-recourse cash payment (“advance”) from us; and</w:t>
      </w:r>
    </w:p>
    <w:p>
      <w:pPr>
        <w:spacing w:after="0" w:line="9" w:lineRule="exact"/>
        <w:rPr>
          <w:rFonts w:ascii="Arial" w:cs="Arial" w:eastAsia="Arial" w:hAnsi="Arial"/>
          <w:sz w:val="18"/>
          <w:szCs w:val="18"/>
          <w:color w:val="auto"/>
        </w:rPr>
      </w:pPr>
    </w:p>
    <w:p>
      <w:pPr>
        <w:ind w:left="840" w:hanging="332"/>
        <w:spacing w:after="0" w:line="261" w:lineRule="auto"/>
        <w:tabs>
          <w:tab w:leader="none" w:pos="8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after the advance has been recovered by us, the cash from payments made on the Consumer Loan, net of certain collection costs and our servicing fee (“Dealer Holdback”).</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337"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record the amount advanced to the Dealer as a Dealer Loan, which is classified within Loans receivable in our consolidated balance sheets. Cash advanced to the Dealer is automatically assigned to the Dealer’s open pool of advances. We generally require Dealers to group advances into pools of at least 100 Consumer Loans. At the Dealer’s option, a pool containing at least 100 Consumer Loans can be closed and subsequent advances assigned to a new pool. All advances within a Dealer’s pool are secured by the future collections on the related Consumer Loans assigned to the pool. For Dealers with more than one pool, the pools are cross-collateralized so the performance of other pools is considered in determining eligibility for Dealer Holdback. We perfect our security interest in the Dealer Loans by taking possession of the Consumer Loans, which list us as lien holder on the vehicle title.</w:t>
      </w:r>
    </w:p>
    <w:p>
      <w:pPr>
        <w:spacing w:after="0" w:line="16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Dealer servicing agreement provides that collections received by us during a calendar month on Consumer Loans assigned by a Dealer are applied on a pool-by-pool basis as follows:</w:t>
      </w:r>
    </w:p>
    <w:p>
      <w:pPr>
        <w:spacing w:after="0" w:line="170" w:lineRule="exact"/>
        <w:rPr>
          <w:sz w:val="20"/>
          <w:szCs w:val="20"/>
          <w:color w:val="auto"/>
        </w:rPr>
      </w:pPr>
    </w:p>
    <w:p>
      <w:pPr>
        <w:ind w:left="840" w:hanging="332"/>
        <w:spacing w:after="0"/>
        <w:tabs>
          <w:tab w:leader="none" w:pos="8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First, to reimburse us for certain collection costs;</w:t>
      </w:r>
    </w:p>
    <w:p>
      <w:pPr>
        <w:spacing w:after="0" w:line="23" w:lineRule="exact"/>
        <w:rPr>
          <w:rFonts w:ascii="Arial" w:cs="Arial" w:eastAsia="Arial" w:hAnsi="Arial"/>
          <w:sz w:val="18"/>
          <w:szCs w:val="18"/>
          <w:color w:val="auto"/>
        </w:rPr>
      </w:pPr>
    </w:p>
    <w:p>
      <w:pPr>
        <w:ind w:left="840" w:hanging="332"/>
        <w:spacing w:after="0"/>
        <w:tabs>
          <w:tab w:leader="none" w:pos="8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Second, to pay us our servicing fee, which generally equals 20% of collections;</w:t>
      </w:r>
    </w:p>
    <w:p>
      <w:pPr>
        <w:spacing w:after="0" w:line="9" w:lineRule="exact"/>
        <w:rPr>
          <w:rFonts w:ascii="Arial" w:cs="Arial" w:eastAsia="Arial" w:hAnsi="Arial"/>
          <w:sz w:val="18"/>
          <w:szCs w:val="18"/>
          <w:color w:val="auto"/>
        </w:rPr>
      </w:pPr>
    </w:p>
    <w:p>
      <w:pPr>
        <w:ind w:left="840" w:hanging="332"/>
        <w:spacing w:after="0"/>
        <w:tabs>
          <w:tab w:leader="none" w:pos="8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Third, to reduce the aggregate advance balance and to pay any other amounts due from the Dealer to us; and</w:t>
      </w:r>
    </w:p>
    <w:p>
      <w:pPr>
        <w:spacing w:after="0" w:line="9" w:lineRule="exact"/>
        <w:rPr>
          <w:rFonts w:ascii="Arial" w:cs="Arial" w:eastAsia="Arial" w:hAnsi="Arial"/>
          <w:sz w:val="18"/>
          <w:szCs w:val="18"/>
          <w:color w:val="auto"/>
        </w:rPr>
      </w:pPr>
    </w:p>
    <w:p>
      <w:pPr>
        <w:ind w:left="840" w:hanging="332"/>
        <w:spacing w:after="0"/>
        <w:tabs>
          <w:tab w:leader="none" w:pos="8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Fourth, to the Dealer as payment of Dealer Holdback.</w:t>
      </w:r>
    </w:p>
    <w:p>
      <w:pPr>
        <w:spacing w:after="0" w:line="21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If the collections on Consumer Loans from a Dealer’s pool are not sufficient to repay the advance balance and any other amounts due to us, the Dealer will not receive Dealer Holdback. Certain events may also result in Dealers forfeiting their rights to Dealer Holdback, including becoming inactive before assigning at least 100 Consumer Loans.</w:t>
      </w:r>
    </w:p>
    <w:p>
      <w:pPr>
        <w:spacing w:after="0" w:line="181"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Dealers have an opportunity to receive an accelerated Dealer Holdback payment each time 100 Consumer Loans have been assigned to us. The amount paid to the Dealer is calculated using a formula that considers the forecasted collections and the advance balance on the related Consumer Loans.</w:t>
      </w:r>
    </w:p>
    <w:p>
      <w:pPr>
        <w:spacing w:after="0" w:line="124"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Since typically the combination of the advance and the consumer’s down payment provides the Dealer with a cash profit at the time of sale, the Dealer’s risk in the Consumer Loan is limited. We cannot demand repayment of the advance from the Dealer except in the event the Dealer is in default of the Dealer servicing agreement. Advances are made only after the consumer and Dealer have signed a Consumer Loan contract, we have received the executed Consumer Loan contract and supporting documentation in either physical or electronic form, and we have approved all of the related stipulations for funding.</w:t>
      </w:r>
    </w:p>
    <w:p>
      <w:pPr>
        <w:spacing w:after="0" w:line="15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accounting purposes, the transactions described under the Portfolio Program are not considered to be loans to consumers. Instead, our accounting reflects that of a lender to the Dealer. The classification as a Dealer Loan for accounting purposes is primarily a result of (1) the Dealer’s financial interest in the Consumer Loan and (2) certain elements of our legal relationship with the Dealer.</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Purchase Program</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Purchase Program differs from our Portfolio Program in that the Dealer receives a one-time payment from us at the time of assignment to purchase the Consumer Loan instead of a cash advance at the time of assignment and future Dealer Holdback payments. For accounting purposes, the transactions described under the Purchase Program are considered to be originated by the Dealer and then purchased by us.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Program Enrollment</w:t>
      </w:r>
    </w:p>
    <w:p>
      <w:pPr>
        <w:spacing w:after="0" w:line="225" w:lineRule="exact"/>
        <w:rPr>
          <w:sz w:val="20"/>
          <w:szCs w:val="20"/>
          <w:color w:val="auto"/>
        </w:rPr>
      </w:pPr>
    </w:p>
    <w:p>
      <w:pPr>
        <w:jc w:val="both"/>
        <w:ind w:right="20" w:firstLine="243"/>
        <w:spacing w:after="0" w:line="308" w:lineRule="auto"/>
        <w:rPr>
          <w:sz w:val="20"/>
          <w:szCs w:val="20"/>
          <w:color w:val="auto"/>
        </w:rPr>
      </w:pPr>
      <w:r>
        <w:rPr>
          <w:rFonts w:ascii="Arial" w:cs="Arial" w:eastAsia="Arial" w:hAnsi="Arial"/>
          <w:sz w:val="17"/>
          <w:szCs w:val="17"/>
          <w:color w:val="auto"/>
        </w:rPr>
        <w:t>Dealers may enroll in our Portfolio Program by (1) paying an up-front, one-time fee of $9,850, or (2) agreeing to allow us to retain 50% of their first accelerated Dealer Holdback payment. Access to the Purchase Program is typically only granted to Dealers that meet one of the following:</w:t>
      </w:r>
    </w:p>
    <w:p>
      <w:pPr>
        <w:spacing w:after="0" w:line="147" w:lineRule="exact"/>
        <w:rPr>
          <w:sz w:val="20"/>
          <w:szCs w:val="20"/>
          <w:color w:val="auto"/>
        </w:rPr>
      </w:pPr>
    </w:p>
    <w:p>
      <w:pPr>
        <w:ind w:left="840" w:hanging="332"/>
        <w:spacing w:after="0"/>
        <w:tabs>
          <w:tab w:leader="none" w:pos="8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received first accelerated Dealer Holdback payment under the Portfolio Program;</w:t>
      </w:r>
    </w:p>
    <w:p>
      <w:pPr>
        <w:spacing w:after="0" w:line="23" w:lineRule="exact"/>
        <w:rPr>
          <w:rFonts w:ascii="Arial" w:cs="Arial" w:eastAsia="Arial" w:hAnsi="Arial"/>
          <w:sz w:val="18"/>
          <w:szCs w:val="18"/>
          <w:color w:val="auto"/>
        </w:rPr>
      </w:pPr>
    </w:p>
    <w:p>
      <w:pPr>
        <w:ind w:left="840" w:hanging="332"/>
        <w:spacing w:after="0"/>
        <w:tabs>
          <w:tab w:leader="none" w:pos="8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franchise dealership; or</w:t>
      </w:r>
    </w:p>
    <w:p>
      <w:pPr>
        <w:spacing w:after="0" w:line="9" w:lineRule="exact"/>
        <w:rPr>
          <w:rFonts w:ascii="Arial" w:cs="Arial" w:eastAsia="Arial" w:hAnsi="Arial"/>
          <w:sz w:val="18"/>
          <w:szCs w:val="18"/>
          <w:color w:val="auto"/>
        </w:rPr>
      </w:pPr>
    </w:p>
    <w:p>
      <w:pPr>
        <w:ind w:left="840" w:hanging="332"/>
        <w:spacing w:after="0"/>
        <w:tabs>
          <w:tab w:leader="none" w:pos="8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independent dealership that meets certain criteria upon enrollment.</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337"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right="6400" w:firstLine="8"/>
        <w:spacing w:after="0" w:line="503" w:lineRule="auto"/>
        <w:tabs>
          <w:tab w:leader="none" w:pos="315"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Principles of Consolidation</w:t>
      </w:r>
    </w:p>
    <w:p>
      <w:pPr>
        <w:spacing w:after="0" w:line="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consolidated financial statements include our accounts and our wholly-owned subsidiaries. All significant intercompany transactions have been eliminated. Our primary subsidiaries as of December 31, 2017 are: Buyer’s Vehicle Protection Plan, Inc. (“BVPP”), Vehicle Remarketing Services, Inc. (“VRS”), VSC Re Company (“VSC Re”), CAC Warehouse Funding Corp. II, CAC Warehouse Funding LLC IV, CAC Warehouse Funding LLC V, CAC Warehouse Funding LLC VI, CAC Warehouse Funding LLC VII, Credit Acceptance Funding LLC 2015-1, Credit Acceptance Funding LLC 2015-2, Credit Acceptance Funding LLC 2016-1, Credit Acceptance Funding LLC 2016-2, Credit Acceptance Funding LLC 2016-3, Credit Acceptance Funding LLC 2017-1, Credit Acceptance Funding LLC 2017-2 and Credit Acceptance Funding LLC 2017-3.</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 Information</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currently operate in one reportable segment which represents our core business of offering financing programs that enable Dealers to sell vehicles to consumers regardless of their credit history. For information regarding our one reportable segment and related entity wide disclosures, see Note 15 to the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(“GAAP”) requires us to make estimates and assumptions that affect the reported amounts of assets and liabilities and disclosure of contingent assets and liabilities at the date of the financial statements and the reported amounts of revenues and expenses during the reporting period. The accounts which are subject to significant estimation include the allowance for credit losses, finance charge revenue, premiums earned, stock-based compensation expense, contingencies, and uncertain tax positions. Actual results could materially differ from those estimates.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Cash equivalents consist of readily marketable securities with original maturities at the date of acquisition of three months or less. As of December 31, 2017 and 2016, we had $7.8 million and $14.3 million, respectively, in cash and cash equivalents that were not insured by the Federal Deposit Insurance Corporation (“FDIC”).</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 and Cash Equivalents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Restricted cash and cash equivalents consist of cash pledged as collateral for secured financings and cash held in a trust for future vehicle service contract claims. As of December 31, 2017 and 2016, we had $255.1 million and $224.1 million, respectively, in restricted cash and cash equivalents that were not insured by the FDIC.</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Securities Available for Sale</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Restricted securities available for sale consist of amounts held in a trust for future vehicle service contract claims. We determine the appropriate classification of our investments in debt securities at the time of purchase and reevaluate such determinations at each balance sheet date. Debt securities for which we do not have the intent or ability to hold to maturity are classified as available for sale, and stated at fair value with unrealized gains and losses, net of income taxes included in the determination of comprehensive income and reported as a component of shareholders’ equity.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Receivable and Allowance for Credit Losses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 xml:space="preserve">Consumer Loan Assignment. </w:t>
      </w:r>
      <w:r>
        <w:rPr>
          <w:rFonts w:ascii="Arial" w:cs="Arial" w:eastAsia="Arial" w:hAnsi="Arial"/>
          <w:sz w:val="17"/>
          <w:szCs w:val="17"/>
          <w:color w:val="auto"/>
        </w:rPr>
        <w:t>For legal purposes, a Consumer Loan is considered to have been assigned to us after the following has occurred:</w:t>
      </w:r>
    </w:p>
    <w:p>
      <w:pPr>
        <w:spacing w:after="0" w:line="237" w:lineRule="exact"/>
        <w:rPr>
          <w:sz w:val="20"/>
          <w:szCs w:val="20"/>
          <w:color w:val="auto"/>
        </w:rPr>
      </w:pPr>
    </w:p>
    <w:p>
      <w:pPr>
        <w:ind w:left="840" w:hanging="332"/>
        <w:spacing w:after="0"/>
        <w:tabs>
          <w:tab w:leader="none" w:pos="8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consumer and Dealer have signed a Consumer Loan contract; and</w:t>
      </w:r>
    </w:p>
    <w:p>
      <w:pPr>
        <w:spacing w:after="0" w:line="23" w:lineRule="exact"/>
        <w:rPr>
          <w:rFonts w:ascii="Arial" w:cs="Arial" w:eastAsia="Arial" w:hAnsi="Arial"/>
          <w:sz w:val="18"/>
          <w:szCs w:val="18"/>
          <w:color w:val="auto"/>
        </w:rPr>
      </w:pPr>
    </w:p>
    <w:p>
      <w:pPr>
        <w:ind w:left="840" w:hanging="332"/>
        <w:spacing w:after="0"/>
        <w:tabs>
          <w:tab w:leader="none" w:pos="8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have received the executed Consumer Loan contract and supporting documentation in either physical or electronic form.</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337"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accounting and financial reporting purposes, a Consumer Loan is considered to have been assigned to us after the following has occurred:</w:t>
      </w:r>
    </w:p>
    <w:p>
      <w:pPr>
        <w:spacing w:after="0" w:line="237" w:lineRule="exact"/>
        <w:rPr>
          <w:sz w:val="20"/>
          <w:szCs w:val="20"/>
          <w:color w:val="auto"/>
        </w:rPr>
      </w:pPr>
    </w:p>
    <w:p>
      <w:pPr>
        <w:ind w:left="840" w:hanging="332"/>
        <w:spacing w:after="0"/>
        <w:tabs>
          <w:tab w:leader="none" w:pos="8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Consumer Loan has been legally assigned to us; and</w:t>
      </w:r>
    </w:p>
    <w:p>
      <w:pPr>
        <w:spacing w:after="0" w:line="23" w:lineRule="exact"/>
        <w:rPr>
          <w:rFonts w:ascii="Arial" w:cs="Arial" w:eastAsia="Arial" w:hAnsi="Arial"/>
          <w:sz w:val="18"/>
          <w:szCs w:val="18"/>
          <w:color w:val="auto"/>
        </w:rPr>
      </w:pPr>
    </w:p>
    <w:p>
      <w:pPr>
        <w:ind w:left="840" w:hanging="332"/>
        <w:spacing w:after="0" w:line="261" w:lineRule="auto"/>
        <w:tabs>
          <w:tab w:leader="none" w:pos="8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have made a funding decision and generally have provided funding to the Dealer in the form of either an advance under the Portfolio Program or one-time purchase payment under the Purchase Program.</w:t>
      </w:r>
    </w:p>
    <w:p>
      <w:pPr>
        <w:spacing w:after="0" w:line="18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Portfolio Segments and Classes. </w:t>
      </w:r>
      <w:r>
        <w:rPr>
          <w:rFonts w:ascii="Arial" w:cs="Arial" w:eastAsia="Arial" w:hAnsi="Arial"/>
          <w:sz w:val="17"/>
          <w:szCs w:val="17"/>
          <w:color w:val="auto"/>
        </w:rPr>
        <w:t>We are considered to be a lender to our Dealers for Consumer Loans assigned under our Portfolio Program and a</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purchaser of Consumer Loans assigned under our Purchase Program. As a result, our Loan portfolio consists of two portfolio segments: Dealer Loans and Purchased Loans. Each portfolio segment is comprised of one class of Consumer Loan assignments, which is Consumer Loans originated by Dealers to finance purchases of vehicles and related ancillary products by consumers with impaired or limited credit histories.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Dealer Loans</w:t>
      </w:r>
      <w:r>
        <w:rPr>
          <w:rFonts w:ascii="Arial" w:cs="Arial" w:eastAsia="Arial" w:hAnsi="Arial"/>
          <w:sz w:val="18"/>
          <w:szCs w:val="18"/>
          <w:color w:val="auto"/>
        </w:rPr>
        <w:t>. Amounts advanced to Dealers for Consumer Loans assigned under the Portfolio Program are recorded as Dealer Loans and are aggregated</w:t>
      </w:r>
      <w:r>
        <w:rPr>
          <w:rFonts w:ascii="Arial" w:cs="Arial" w:eastAsia="Arial" w:hAnsi="Arial"/>
          <w:sz w:val="18"/>
          <w:szCs w:val="18"/>
          <w:i w:val="1"/>
          <w:iCs w:val="1"/>
          <w:color w:val="auto"/>
        </w:rPr>
        <w:t xml:space="preserve"> </w:t>
      </w:r>
      <w:r>
        <w:rPr>
          <w:rFonts w:ascii="Arial" w:cs="Arial" w:eastAsia="Arial" w:hAnsi="Arial"/>
          <w:sz w:val="18"/>
          <w:szCs w:val="18"/>
          <w:color w:val="auto"/>
        </w:rPr>
        <w:t>by Dealer for purposes of recognizing revenue and evaluating impairment. We account for Dealer Loans based on forecasted cash flows instead of contractual cash flows as we do not expect to collect all of the contractually specified amounts due to the credit quality of the underlying Consumer Loans. The outstanding balance of each Dealer Loan included in Loans receivable is comprised of the following:</w:t>
      </w:r>
    </w:p>
    <w:p>
      <w:pPr>
        <w:spacing w:after="0" w:line="187" w:lineRule="exact"/>
        <w:rPr>
          <w:sz w:val="20"/>
          <w:szCs w:val="20"/>
          <w:color w:val="auto"/>
        </w:rPr>
      </w:pPr>
    </w:p>
    <w:p>
      <w:pPr>
        <w:ind w:left="840" w:hanging="332"/>
        <w:spacing w:after="0"/>
        <w:tabs>
          <w:tab w:leader="none" w:pos="8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aggregate amount of all cash advances paid;</w:t>
      </w:r>
    </w:p>
    <w:p>
      <w:pPr>
        <w:spacing w:after="0" w:line="23" w:lineRule="exact"/>
        <w:rPr>
          <w:rFonts w:ascii="Arial" w:cs="Arial" w:eastAsia="Arial" w:hAnsi="Arial"/>
          <w:sz w:val="18"/>
          <w:szCs w:val="18"/>
          <w:color w:val="auto"/>
        </w:rPr>
      </w:pPr>
    </w:p>
    <w:p>
      <w:pPr>
        <w:ind w:left="840" w:hanging="332"/>
        <w:spacing w:after="0"/>
        <w:tabs>
          <w:tab w:leader="none" w:pos="8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finance charges;</w:t>
      </w:r>
    </w:p>
    <w:p>
      <w:pPr>
        <w:spacing w:after="0" w:line="9" w:lineRule="exact"/>
        <w:rPr>
          <w:rFonts w:ascii="Arial" w:cs="Arial" w:eastAsia="Arial" w:hAnsi="Arial"/>
          <w:sz w:val="18"/>
          <w:szCs w:val="18"/>
          <w:color w:val="auto"/>
        </w:rPr>
      </w:pPr>
    </w:p>
    <w:p>
      <w:pPr>
        <w:ind w:left="840" w:hanging="332"/>
        <w:spacing w:after="0"/>
        <w:tabs>
          <w:tab w:leader="none" w:pos="8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Dealer Holdback payments;</w:t>
      </w:r>
    </w:p>
    <w:p>
      <w:pPr>
        <w:spacing w:after="0" w:line="9" w:lineRule="exact"/>
        <w:rPr>
          <w:rFonts w:ascii="Arial" w:cs="Arial" w:eastAsia="Arial" w:hAnsi="Arial"/>
          <w:sz w:val="18"/>
          <w:szCs w:val="18"/>
          <w:color w:val="auto"/>
        </w:rPr>
      </w:pPr>
    </w:p>
    <w:p>
      <w:pPr>
        <w:ind w:left="840" w:hanging="332"/>
        <w:spacing w:after="0"/>
        <w:tabs>
          <w:tab w:leader="none" w:pos="8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accelerated Dealer Holdback payments; and</w:t>
      </w:r>
    </w:p>
    <w:p>
      <w:pPr>
        <w:spacing w:after="0" w:line="9" w:lineRule="exact"/>
        <w:rPr>
          <w:rFonts w:ascii="Arial" w:cs="Arial" w:eastAsia="Arial" w:hAnsi="Arial"/>
          <w:sz w:val="18"/>
          <w:szCs w:val="18"/>
          <w:color w:val="auto"/>
        </w:rPr>
      </w:pPr>
    </w:p>
    <w:p>
      <w:pPr>
        <w:ind w:left="840" w:hanging="332"/>
        <w:spacing w:after="0"/>
        <w:tabs>
          <w:tab w:leader="none" w:pos="8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recoveries.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Less:</w:t>
      </w:r>
    </w:p>
    <w:p>
      <w:pPr>
        <w:spacing w:after="0" w:line="9" w:lineRule="exact"/>
        <w:rPr>
          <w:sz w:val="20"/>
          <w:szCs w:val="20"/>
          <w:color w:val="auto"/>
        </w:rPr>
      </w:pPr>
    </w:p>
    <w:p>
      <w:pPr>
        <w:ind w:left="840" w:hanging="332"/>
        <w:spacing w:after="0"/>
        <w:tabs>
          <w:tab w:leader="none" w:pos="8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collections (net of certain collection costs);</w:t>
      </w:r>
    </w:p>
    <w:p>
      <w:pPr>
        <w:spacing w:after="0" w:line="9" w:lineRule="exact"/>
        <w:rPr>
          <w:rFonts w:ascii="Arial" w:cs="Arial" w:eastAsia="Arial" w:hAnsi="Arial"/>
          <w:sz w:val="18"/>
          <w:szCs w:val="18"/>
          <w:color w:val="auto"/>
        </w:rPr>
      </w:pPr>
    </w:p>
    <w:p>
      <w:pPr>
        <w:ind w:left="840" w:hanging="332"/>
        <w:spacing w:after="0"/>
        <w:tabs>
          <w:tab w:leader="none" w:pos="8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write-offs; and</w:t>
      </w:r>
    </w:p>
    <w:p>
      <w:pPr>
        <w:spacing w:after="0" w:line="9" w:lineRule="exact"/>
        <w:rPr>
          <w:rFonts w:ascii="Arial" w:cs="Arial" w:eastAsia="Arial" w:hAnsi="Arial"/>
          <w:sz w:val="18"/>
          <w:szCs w:val="18"/>
          <w:color w:val="auto"/>
        </w:rPr>
      </w:pPr>
    </w:p>
    <w:p>
      <w:pPr>
        <w:ind w:left="840" w:hanging="332"/>
        <w:spacing w:after="0"/>
        <w:tabs>
          <w:tab w:leader="none" w:pos="8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transfers.</w:t>
      </w:r>
    </w:p>
    <w:p>
      <w:pPr>
        <w:spacing w:after="0" w:line="2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An allowance for credit losses is maintained at an amount that reduces the net asset value (Dealer Loan balance less the allowance) to the value of forecasted future cash flows discounted at the yield established at the time of assignment. This allowance calculation is completed for each individual Dealer. Future cash flows are comprised of estimated future collections on the Consumer Loans, less any estimated Dealer Holdback payments. We write off Dealer Loans once there are no forecasted future cash flows on any of the associated Consumer Loans, which generally occurs 120 months after the last Consumer Loan assignment.</w:t>
      </w:r>
    </w:p>
    <w:p>
      <w:pPr>
        <w:spacing w:after="0" w:line="18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Future collections on Dealer Loans are forecasted for each individual Dealer based on the historical performance of Consumer Loans with similar characteristics, adjusted for recent trends in payment patterns. Dealer Holdback is forecasted for each individual Dealer based on the expected future collections and current advance balance of each Dealer Loan. Cash flows from any individual Dealer Loan are often different than estimated cash flows at the time of assignment. If such difference is favorable, the difference is recognized prospectively into income over the remaining life of the Dealer Loan through a yield adjustment. If such difference is unfavorable, a provision for credit losses is recorded immediately as a current period expense and a corresponding allowance for credit losses is established. Because differences between estimated cash flows at the time of assignment and actual cash flows occur often, an allowance is required for a significant portion of our Dealer Loan portfolio. An allowance for credit losses does not necessarily indicate that a Dealer Loan is unprofitable, and seldom are cash flows from a Dealer Loan insufficient to repay the initial amounts advanced to the Dealer.</w:t>
      </w:r>
    </w:p>
    <w:p>
      <w:pPr>
        <w:spacing w:after="0" w:line="166"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i w:val="1"/>
          <w:iCs w:val="1"/>
          <w:color w:val="auto"/>
        </w:rPr>
        <w:t>Purchased Loans</w:t>
      </w:r>
      <w:r>
        <w:rPr>
          <w:rFonts w:ascii="Arial" w:cs="Arial" w:eastAsia="Arial" w:hAnsi="Arial"/>
          <w:sz w:val="16"/>
          <w:szCs w:val="16"/>
          <w:color w:val="auto"/>
        </w:rPr>
        <w:t>. Amounts paid to Dealers for Consumer Loans assigned under the Purchase Program are recorded as Purchased Loans and are</w:t>
      </w:r>
      <w:r>
        <w:rPr>
          <w:rFonts w:ascii="Arial" w:cs="Arial" w:eastAsia="Arial" w:hAnsi="Arial"/>
          <w:sz w:val="16"/>
          <w:szCs w:val="16"/>
          <w:i w:val="1"/>
          <w:iCs w:val="1"/>
          <w:color w:val="auto"/>
        </w:rPr>
        <w:t xml:space="preserve"> </w:t>
      </w:r>
      <w:r>
        <w:rPr>
          <w:rFonts w:ascii="Arial" w:cs="Arial" w:eastAsia="Arial" w:hAnsi="Arial"/>
          <w:sz w:val="16"/>
          <w:szCs w:val="16"/>
          <w:color w:val="auto"/>
        </w:rPr>
        <w:t>aggregated into pools based on the month of purchase for purposes of recognizing revenue and evaluating impairment. We account for Purchased Loans based on forecasted cash flows instead of contractual cash flows as we do not expect to collect all of the contractually specified amounts due to the credit quality of the assigned Consumer Loans. The outstanding balance of each Purchased Loan pool included in Loans receivable is comprised of the following:</w:t>
      </w:r>
    </w:p>
    <w:p>
      <w:pPr>
        <w:spacing w:after="0" w:line="154" w:lineRule="exact"/>
        <w:rPr>
          <w:sz w:val="20"/>
          <w:szCs w:val="20"/>
          <w:color w:val="auto"/>
        </w:rPr>
      </w:pPr>
    </w:p>
    <w:p>
      <w:pPr>
        <w:ind w:left="840" w:hanging="332"/>
        <w:spacing w:after="0"/>
        <w:tabs>
          <w:tab w:leader="none" w:pos="8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aggregate amount of all amounts paid during the month of purchase to purchase Consumer Loans from Dealers;</w:t>
      </w:r>
    </w:p>
    <w:p>
      <w:pPr>
        <w:spacing w:after="0" w:line="23" w:lineRule="exact"/>
        <w:rPr>
          <w:rFonts w:ascii="Arial" w:cs="Arial" w:eastAsia="Arial" w:hAnsi="Arial"/>
          <w:sz w:val="18"/>
          <w:szCs w:val="18"/>
          <w:color w:val="auto"/>
        </w:rPr>
      </w:pPr>
    </w:p>
    <w:p>
      <w:pPr>
        <w:ind w:left="840" w:hanging="332"/>
        <w:spacing w:after="0"/>
        <w:tabs>
          <w:tab w:leader="none" w:pos="8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finance charges;</w:t>
      </w:r>
    </w:p>
    <w:p>
      <w:pPr>
        <w:spacing w:after="0" w:line="9" w:lineRule="exact"/>
        <w:rPr>
          <w:rFonts w:ascii="Arial" w:cs="Arial" w:eastAsia="Arial" w:hAnsi="Arial"/>
          <w:sz w:val="18"/>
          <w:szCs w:val="18"/>
          <w:color w:val="auto"/>
        </w:rPr>
      </w:pPr>
    </w:p>
    <w:p>
      <w:pPr>
        <w:ind w:left="840" w:hanging="332"/>
        <w:spacing w:after="0"/>
        <w:tabs>
          <w:tab w:leader="none" w:pos="8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recoveries; and</w:t>
      </w:r>
    </w:p>
    <w:p>
      <w:pPr>
        <w:spacing w:after="0" w:line="9" w:lineRule="exact"/>
        <w:rPr>
          <w:rFonts w:ascii="Arial" w:cs="Arial" w:eastAsia="Arial" w:hAnsi="Arial"/>
          <w:sz w:val="18"/>
          <w:szCs w:val="18"/>
          <w:color w:val="auto"/>
        </w:rPr>
      </w:pPr>
    </w:p>
    <w:p>
      <w:pPr>
        <w:ind w:left="840" w:hanging="332"/>
        <w:spacing w:after="0"/>
        <w:tabs>
          <w:tab w:leader="none" w:pos="8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transfers.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Less:</w:t>
      </w:r>
    </w:p>
    <w:p>
      <w:pPr>
        <w:spacing w:after="0" w:line="9" w:lineRule="exact"/>
        <w:rPr>
          <w:sz w:val="20"/>
          <w:szCs w:val="20"/>
          <w:color w:val="auto"/>
        </w:rPr>
      </w:pPr>
    </w:p>
    <w:p>
      <w:pPr>
        <w:ind w:left="840" w:hanging="332"/>
        <w:spacing w:after="0"/>
        <w:tabs>
          <w:tab w:leader="none" w:pos="8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collections (net of certain collection costs); and</w:t>
      </w:r>
    </w:p>
    <w:p>
      <w:pPr>
        <w:spacing w:after="0" w:line="9" w:lineRule="exact"/>
        <w:rPr>
          <w:rFonts w:ascii="Arial" w:cs="Arial" w:eastAsia="Arial" w:hAnsi="Arial"/>
          <w:sz w:val="18"/>
          <w:szCs w:val="18"/>
          <w:color w:val="auto"/>
        </w:rPr>
      </w:pPr>
    </w:p>
    <w:p>
      <w:pPr>
        <w:ind w:left="840" w:hanging="332"/>
        <w:spacing w:after="0"/>
        <w:tabs>
          <w:tab w:leader="none" w:pos="8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write-offs.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337"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left="60" w:firstLine="324"/>
        <w:spacing w:after="0" w:line="257" w:lineRule="auto"/>
        <w:rPr>
          <w:sz w:val="20"/>
          <w:szCs w:val="20"/>
          <w:color w:val="auto"/>
        </w:rPr>
      </w:pPr>
      <w:r>
        <w:rPr>
          <w:rFonts w:ascii="Arial" w:cs="Arial" w:eastAsia="Arial" w:hAnsi="Arial"/>
          <w:sz w:val="18"/>
          <w:szCs w:val="18"/>
          <w:color w:val="auto"/>
        </w:rPr>
        <w:t>An allowance for credit losses is maintained at an amount that reduces the net asset value (Purchased Loan pool balance less the allowance) to the value of forecasted future cash flows discounted at the yield established at the time of assignment. This allowance calculation is completed for each individual monthly pool of Purchased Loans. Future cash flows are comprised of estimated future collections on the pool of Purchased Loans. We write off pools of Purchased Loans once there are no forecasted future cash flows on any of the Purchased Loans included in the pool, which generally occurs 120 months after the month of purchase.</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Future collections on Purchased Loans are forecasted for each individual pool based on the historical performance of Consumer Loans with similar characteristics, adjusted for recent trends in payment patterns. Cash flows from any individual pool of Purchased Loans are often different than estimated cash flows at the time of assignment. If such difference is favorable, the difference is recognized prospectively into income over the remaining life of the pool of Purchased Loans through a yield adjustment. If such difference is unfavorable, a provision for credit losses is recorded immediately as a current period expense and a corresponding allowance for credit losses is established.</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Under our Portfolio Program, certain events may result in Dealers forfeiting their rights to Dealer Holdback. We transfer the Dealer’s outstanding Dealer Loan balance to Purchased Loans in the period this forfeiture occurs. During the fourth quarter of 2017, we enhanced our accounting methodology for transferring loans. Beginning in the fourth quarter of 2017, we:</w:t>
      </w:r>
    </w:p>
    <w:p>
      <w:pPr>
        <w:spacing w:after="0" w:line="181" w:lineRule="exact"/>
        <w:rPr>
          <w:sz w:val="20"/>
          <w:szCs w:val="20"/>
          <w:color w:val="auto"/>
        </w:rPr>
      </w:pPr>
    </w:p>
    <w:p>
      <w:pPr>
        <w:ind w:left="840" w:hanging="332"/>
        <w:spacing w:after="0"/>
        <w:tabs>
          <w:tab w:leader="none" w:pos="8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transfer the related Dealer Loan allowance for credit losses balance to Purchased Loans in the period this forfeiture occurs; and</w:t>
      </w:r>
    </w:p>
    <w:p>
      <w:pPr>
        <w:spacing w:after="0" w:line="23" w:lineRule="exact"/>
        <w:rPr>
          <w:rFonts w:ascii="Arial" w:cs="Arial" w:eastAsia="Arial" w:hAnsi="Arial"/>
          <w:sz w:val="18"/>
          <w:szCs w:val="18"/>
          <w:color w:val="auto"/>
        </w:rPr>
      </w:pPr>
    </w:p>
    <w:p>
      <w:pPr>
        <w:ind w:left="840" w:hanging="332"/>
        <w:spacing w:after="0"/>
        <w:tabs>
          <w:tab w:leader="none" w:pos="8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aggregate these Purchased Loans by Dealer for purposes of recognizing revenue and evaluating impairment.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Prior to the fourth quarter of 2017, we:</w:t>
      </w:r>
    </w:p>
    <w:p>
      <w:pPr>
        <w:spacing w:after="0" w:line="225" w:lineRule="exact"/>
        <w:rPr>
          <w:sz w:val="20"/>
          <w:szCs w:val="20"/>
          <w:color w:val="auto"/>
        </w:rPr>
      </w:pPr>
    </w:p>
    <w:p>
      <w:pPr>
        <w:ind w:left="840" w:hanging="332"/>
        <w:spacing w:after="0" w:line="258" w:lineRule="auto"/>
        <w:tabs>
          <w:tab w:leader="none" w:pos="8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reversed the Dealer Loan allowance for credit losses balance through Dealer Loan provision for credit losses and established a new allowance for credit losses in Purchased Loans through Purchased Loan provision for credit losses; and</w:t>
      </w:r>
    </w:p>
    <w:p>
      <w:pPr>
        <w:spacing w:after="0" w:line="1" w:lineRule="exact"/>
        <w:rPr>
          <w:rFonts w:ascii="Arial" w:cs="Arial" w:eastAsia="Arial" w:hAnsi="Arial"/>
          <w:sz w:val="18"/>
          <w:szCs w:val="18"/>
          <w:color w:val="auto"/>
        </w:rPr>
      </w:pPr>
    </w:p>
    <w:p>
      <w:pPr>
        <w:ind w:left="840" w:hanging="332"/>
        <w:spacing w:after="0"/>
        <w:tabs>
          <w:tab w:leader="none" w:pos="8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aggregated these Purchased Loans by month of purchase for purposes of recognizing revenue and evaluating impairment.</w:t>
      </w:r>
    </w:p>
    <w:p>
      <w:pPr>
        <w:spacing w:after="0" w:line="21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 xml:space="preserve">Credit Quality. </w:t>
      </w:r>
      <w:r>
        <w:rPr>
          <w:rFonts w:ascii="Arial" w:cs="Arial" w:eastAsia="Arial" w:hAnsi="Arial"/>
          <w:sz w:val="17"/>
          <w:szCs w:val="17"/>
          <w:color w:val="auto"/>
        </w:rPr>
        <w:t>Substantially all of the Consumer Loans assigned to us are made to individuals with impaired or limited credit histories or higher debt-to-income ratios than are permitted by traditional lenders. Consumer Loans made to these individuals generally entail a higher risk of delinquency, default and repossession and higher losses than loans made to consumers with better credit. Since most of our revenue and cash flows are generated from these Consumer Loans, our ability to accurately forecast Consumer Loan performance is critical to our business and financial results. At the time the Consumer Loan is submitted to us for assignment, we forecast future expected cash flows from the Consumer Loan. Based on these forecasts, an advance or one-time purchase payment is made to the related Dealer at a price designed to maximize economic profit, a non-GAAP financial measure that considers our return on capital, our cost of capital and the amount of capital invested.</w:t>
      </w:r>
    </w:p>
    <w:p>
      <w:pPr>
        <w:spacing w:after="0" w:line="17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monitor and evaluate the credit quality of Consumer Loans on a monthly basis by comparing our current forecasted collection rates to our initial expectations. We use a statistical model that considers a number of credit quality indicators to estimate the expected collection rate for each Consumer Loan at the time of assignment. The credit quality indicators considered in our model include attributes contained in the consumer’s credit bureau report, data contained in the consumer’s credit application, the structure of the proposed transaction, vehicle information and other factors. We continue to evaluate the expected collection rate of each Consumer Loan subsequent to assignment primarily through the monitoring of consumer payment behavior. Our evaluation becomes more accurate as the Consumer Loans age, as we use actual performance data in our forecast. Since all known, significant credit quality indicators have already been factored into our forecasts and pricing, we are not able to use any specific credit quality indicators to predict or explain variances in actual performance from our initial expectations. Any variances in performance from our initial expectations are the result of Consumer Loans performing differently than historical Consumer Loans with similar characteristics. We periodically adjust our statistical pricing model for new trends that we identify through our evaluation of these forecasted collection rate variances.</w:t>
      </w:r>
    </w:p>
    <w:p>
      <w:pPr>
        <w:spacing w:after="0" w:line="178"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When overall forecasted collection rates underperform our initial expectations, the decline in forecasted collections has a more adverse impact on the profitability of the Purchased Loans than on the profitability of the Dealer Loans. For Purchased Loans, the decline in forecasted collections is absorbed entirely by us. For Dealer Loans, the decline in the forecasted collections is substantially offset by a decline in forecasted payments of Dealer Holdback.</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337"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Methodology Changes. </w:t>
      </w:r>
      <w:r>
        <w:rPr>
          <w:rFonts w:ascii="Arial" w:cs="Arial" w:eastAsia="Arial" w:hAnsi="Arial"/>
          <w:sz w:val="18"/>
          <w:szCs w:val="18"/>
          <w:color w:val="auto"/>
        </w:rPr>
        <w:t>During 2017, we enhanced our methodology for transferring Loans and updated our net cash flow timing model. During 2016, we</w:t>
      </w:r>
      <w:r>
        <w:rPr>
          <w:rFonts w:ascii="Arial" w:cs="Arial" w:eastAsia="Arial" w:hAnsi="Arial"/>
          <w:sz w:val="18"/>
          <w:szCs w:val="18"/>
          <w:i w:val="1"/>
          <w:iCs w:val="1"/>
          <w:color w:val="auto"/>
        </w:rPr>
        <w:t xml:space="preserve"> </w:t>
      </w:r>
      <w:r>
        <w:rPr>
          <w:rFonts w:ascii="Arial" w:cs="Arial" w:eastAsia="Arial" w:hAnsi="Arial"/>
          <w:sz w:val="18"/>
          <w:szCs w:val="18"/>
          <w:color w:val="auto"/>
        </w:rPr>
        <w:t>enhanced our methodology for forecasting the amount and timing of future collections on Consumer Loans. For additional information regarding these methodology changes, see Note 5 to the consolidated financial statements. For the three year period ended December 31, 2017, we did not make any other methodology changes for Loans that had a material impact on our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Purchases of property and equipment are recorded at cost. Depreciation is provided on a straight-line basis over the estimated useful life of the asset. Estimated useful lives are generally as follows: buildings – 40 years, building improvements – 10 years, data processing equipment – 3 years, software</w:t>
      </w:r>
    </w:p>
    <w:p>
      <w:pPr>
        <w:jc w:val="both"/>
        <w:spacing w:after="0" w:line="295" w:lineRule="auto"/>
        <w:rPr>
          <w:sz w:val="20"/>
          <w:szCs w:val="20"/>
          <w:color w:val="auto"/>
        </w:rPr>
      </w:pPr>
      <w:r>
        <w:rPr>
          <w:rFonts w:ascii="Arial" w:cs="Arial" w:eastAsia="Arial" w:hAnsi="Arial"/>
          <w:sz w:val="16"/>
          <w:szCs w:val="16"/>
          <w:color w:val="auto"/>
        </w:rPr>
        <w:t>– 5 years, office furniture and equipment – 7 years, and leasehold improvements – the lesser of the lease term or 7 years. The cost of assets sold or retired and the related accumulated depreciation are removed from the balance sheet at the time of disposition and any resulting gain or loss is included in operations. Maintenance, repairs and minor replacements are charged to operations as incurred; major replacements and improvements are capitalized. We evaluate long-lived assets for impairment whenever events or changes in circumstances indicate that the carrying amount of an asset may not be recoverable.</w:t>
      </w:r>
    </w:p>
    <w:p>
      <w:pPr>
        <w:spacing w:after="0" w:line="1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Costs incurred during the application development stage of software developed for internal use are capitalized and generally depreciated on a straight-line basis over five years. Costs incurred to maintain existing software are expensed as incurred. For additional information regarding our property and equipment, see Note 6 to the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Debt Issuance Costs</w:t>
      </w:r>
    </w:p>
    <w:p>
      <w:pPr>
        <w:spacing w:after="0" w:line="22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Deferred debt issuance costs associated with secured financings and senior notes are included as a deduction from the carrying amount of the related debt liability, and deferred debt issuance costs associated with our revolving secured line of credit are included in other assets. Expenses associated with the issuance of debt instruments are capitalized and amortized as interest expense over the term of the debt instrument using the effective interest method for asset-backed secured financings (“Term ABS”) and senior notes and the straight-line method for lines of credit and revolving secured warehouse (“Warehouse”) facilities. For additional information regarding deferred debt issuance costs, see Note 8 to the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rely on various sources of financing, some of which contain floating rates of interest and expose us to risks associated with increases in interest rates. We manage such risk primarily by entering into interest rate cap agreements (“derivative instruments”). These derivative instruments are not designated as hedges, and changes in their fair value increase or decrease interest expense.</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recognize derivative instruments as either other assets or accounts payable and accrued liabilities on our consolidated balance sheets. For additional information regarding our derivative instruments, see Note 9 to the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Charges</w:t>
      </w:r>
    </w:p>
    <w:p>
      <w:pPr>
        <w:spacing w:after="0" w:line="22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Finance charges is comprised of: (1) servicing fees earned as a result of servicing Consumer Loans assigned to us by Dealers under the Portfolio Program; (2) finance charge income from Purchased Loans; (3) fees earned from our third party ancillary product offerings; (4) monthly program fees charged to Dealers under the Portfolio Program; and (5) fees associated with certain Loans. We recognize finance charges under the interest method such that revenue is recognized on a level-yield basis based upon forecasted cash flows. For Dealer Loans only, certain direct origination costs such as salaries and credit reports are deferred and the net costs are recognized as an adjustment to finance charges over the life of the related Dealer Loan on a level-yield basis.</w:t>
      </w:r>
    </w:p>
    <w:p>
      <w:pPr>
        <w:spacing w:after="0" w:line="15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provide Dealers the ability to offer vehicle service contracts to consumers through our relationships with Third Party Providers (“TPPs”). A vehicle service contract provides the consumer protection by paying for the repair or replacement of certain components of the vehicle in the event of a mechanical failure. The wholesale cost of the vehicle service contract is charged to the Dealer’s advance balance, and paid to the TPP, net of an administrative fee retained by us. We recognize our fee as part of finance charges on a level-yield basis based upon forecasted cash flows. The difference between the wholesale cost and the retail price to the consumer is paid to the Dealer as a commission. The commission is charged to the Dealer’s advance balance. TPPs process claims on vehicle service contracts that are underwritten by third party insurers. We bear the risk of loss for claims on certain vehicle service contracts that are reinsured by us. We market the vehicle service contracts directly to our Dealers.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337"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provide Dealers the ability to offer Guaranteed Asset Protection (“GAP”) to consumers through our relationships with TPPs. GAP provides the consumer protection by paying the difference between the loan balance and the amount covered by the consumer’s insurance policy in the event of a total loss of the vehicle due to severe damage or theft. The wholesale cost of GAP is charged to the Dealer’s advance balance, and paid to the TPP, net of an administrative fee retained by us. We recognize our fee as part of finance charges on a level-yield basis based upon forecasted cash flows. The difference between the wholesale cost and the retail price to the consumer is paid to the Dealer as a commission. The commission is charged to the Dealer’s advance balance. TPPs process claims on GAP contracts that are underwritten by third party insurers.</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Program fees represent monthly fees charged to Dealers for access to our Credit Approval Processing System (“CAPS”); administration, servicing and collection services offered by us; documentation related to or affecting our program; and all tangible and intangible property owned by Credit Acceptance. We charge a monthly fee of $599 to Dealers participating in our Portfolio Program and we collect it from future Dealer Holdback payments. As a result, we record program fees under the Portfolio Program as a yield adjustment, recognizing these fees as finance charge revenue over the forecasted net cash flows of the Dealer Loan.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Reinsurance</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VSC Re, our wholly-owned subsidiary, is engaged in the business of reinsuring coverage under vehicle service contracts sold to consumers by Dealers on vehicles financed by us. VSC Re currently reinsures vehicle service contracts that are offered through one of our TPPs. Vehicle service contract premiums, which represent the selling price of the vehicle service contract to the consumer, less fees and certain administrative costs, are contributed to a trust account controlled by VSC Re. These premiums are used to fund claims covered under the vehicle service contracts. VSC Re is a bankruptcy remote entity. As such, our exposure to fund claims is limited to the trust assets controlled by VSC Re and our net investment in VSC Re.</w:t>
      </w:r>
    </w:p>
    <w:p>
      <w:pPr>
        <w:spacing w:after="0" w:line="1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Premiums from the reinsurance of vehicle service contracts are recognized over the life of the policy in proportion to expected costs of servicing those contracts. Expected costs are determined based on our historical claims experience. Claims are expensed through a provision for claims in the period the claim was incurred. Capitalized acquisition costs are comprised of premium taxes and are amortized as general and administrative expense over the life of the contracts in proportion to premiums earned.</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consolidated the trust assets within our financial statements based on our determination of the following:</w:t>
      </w:r>
    </w:p>
    <w:p>
      <w:pPr>
        <w:spacing w:after="0" w:line="225" w:lineRule="exact"/>
        <w:rPr>
          <w:sz w:val="20"/>
          <w:szCs w:val="20"/>
          <w:color w:val="auto"/>
        </w:rPr>
      </w:pPr>
    </w:p>
    <w:p>
      <w:pPr>
        <w:jc w:val="both"/>
        <w:ind w:left="840" w:hanging="332"/>
        <w:spacing w:after="0" w:line="256" w:lineRule="auto"/>
        <w:tabs>
          <w:tab w:leader="none" w:pos="84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We have a variable interest in the trust. </w:t>
      </w:r>
      <w:r>
        <w:rPr>
          <w:rFonts w:ascii="Arial" w:cs="Arial" w:eastAsia="Arial" w:hAnsi="Arial"/>
          <w:sz w:val="18"/>
          <w:szCs w:val="18"/>
          <w:color w:val="auto"/>
        </w:rPr>
        <w:t>We have a residual interest in the assets of the trust, which is variable in nature, given that it increases or</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decreases based upon the actual loss experience of the related service contracts. In addition, VSC Re is required to absorb any losses in excess of the trust's assets.</w:t>
      </w:r>
    </w:p>
    <w:p>
      <w:pPr>
        <w:ind w:left="840" w:hanging="332"/>
        <w:spacing w:after="0" w:line="250" w:lineRule="auto"/>
        <w:tabs>
          <w:tab w:leader="none" w:pos="84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The trust is a variable interest entity. </w:t>
      </w:r>
      <w:r>
        <w:rPr>
          <w:rFonts w:ascii="Arial" w:cs="Arial" w:eastAsia="Arial" w:hAnsi="Arial"/>
          <w:sz w:val="18"/>
          <w:szCs w:val="18"/>
          <w:color w:val="auto"/>
        </w:rPr>
        <w:t>The trust has insufficient equity at risk as no parties to the trust were required to contribute assets that</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them with any ownership interest.</w:t>
      </w:r>
    </w:p>
    <w:p>
      <w:pPr>
        <w:jc w:val="both"/>
        <w:ind w:left="840" w:hanging="332"/>
        <w:spacing w:after="0" w:line="254" w:lineRule="auto"/>
        <w:tabs>
          <w:tab w:leader="none" w:pos="84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We are the primary beneficiary of the trust. </w:t>
      </w:r>
      <w:r>
        <w:rPr>
          <w:rFonts w:ascii="Arial" w:cs="Arial" w:eastAsia="Arial" w:hAnsi="Arial"/>
          <w:sz w:val="18"/>
          <w:szCs w:val="18"/>
          <w:color w:val="auto"/>
        </w:rPr>
        <w:t>We control the amount of premium written and placed in the trust through Consumer Loan</w:t>
      </w:r>
      <w:r>
        <w:rPr>
          <w:rFonts w:ascii="Arial" w:cs="Arial" w:eastAsia="Arial" w:hAnsi="Arial"/>
          <w:sz w:val="18"/>
          <w:szCs w:val="18"/>
          <w:i w:val="1"/>
          <w:iCs w:val="1"/>
          <w:color w:val="auto"/>
        </w:rPr>
        <w:t xml:space="preserve"> </w:t>
      </w:r>
      <w:r>
        <w:rPr>
          <w:rFonts w:ascii="Arial" w:cs="Arial" w:eastAsia="Arial" w:hAnsi="Arial"/>
          <w:sz w:val="18"/>
          <w:szCs w:val="18"/>
          <w:color w:val="auto"/>
        </w:rPr>
        <w:t>assignments under our Programs, which is the activity that most significantly impacts the economic performance of the trust. We have the right to receive benefits from the trust that could potentially be significant. In addition, VSC Re has the obligation to absorb losses of the trust that could potentially be significant.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income consists of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72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12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6"/>
          </w:tcPr>
          <w:p>
            <w:pPr>
              <w:jc w:val="right"/>
              <w:ind w:right="290"/>
              <w:spacing w:after="0"/>
              <w:rPr>
                <w:sz w:val="20"/>
                <w:szCs w:val="20"/>
                <w:color w:val="auto"/>
              </w:rPr>
            </w:pPr>
            <w:r>
              <w:rPr>
                <w:rFonts w:ascii="Arial" w:cs="Arial" w:eastAsia="Arial" w:hAnsi="Arial"/>
                <w:sz w:val="14"/>
                <w:szCs w:val="14"/>
                <w:b w:val="1"/>
                <w:bCs w:val="1"/>
                <w:color w:val="auto"/>
                <w:w w:val="92"/>
              </w:rPr>
              <w:t>For the Years Ended December 31,</w:t>
            </w:r>
          </w:p>
        </w:tc>
        <w:tc>
          <w:tcPr>
            <w:tcW w:w="1380" w:type="dxa"/>
            <w:vAlign w:val="bottom"/>
            <w:tcBorders>
              <w:bottom w:val="single" w:sz="8" w:color="auto"/>
            </w:tcBorders>
          </w:tcPr>
          <w:p>
            <w:pPr>
              <w:spacing w:after="0"/>
              <w:rPr>
                <w:sz w:val="17"/>
                <w:szCs w:val="17"/>
                <w:color w:val="auto"/>
              </w:rPr>
            </w:pPr>
          </w:p>
        </w:tc>
      </w:tr>
      <w:tr>
        <w:trPr>
          <w:trHeight w:val="264"/>
        </w:trPr>
        <w:tc>
          <w:tcPr>
            <w:tcW w:w="572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2015</w:t>
            </w: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Ancillary product profit sharing</w:t>
            </w:r>
          </w:p>
        </w:tc>
        <w:tc>
          <w:tcPr>
            <w:tcW w:w="1220" w:type="dxa"/>
            <w:vAlign w:val="bottom"/>
            <w:tcBorders>
              <w:bottom w:val="single" w:sz="8" w:color="CCEEFF"/>
            </w:tcBorders>
            <w:shd w:val="clear" w:color="auto" w:fill="CCEEFF"/>
          </w:tcPr>
          <w:p>
            <w:pPr>
              <w:jc w:val="right"/>
              <w:ind w:right="101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62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GPS-SID fees</w:t>
            </w:r>
          </w:p>
        </w:tc>
        <w:tc>
          <w:tcPr>
            <w:tcW w:w="12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16.4</w:t>
            </w:r>
          </w:p>
        </w:tc>
      </w:tr>
      <w:tr>
        <w:trPr>
          <w:trHeight w:val="27"/>
        </w:trPr>
        <w:tc>
          <w:tcPr>
            <w:tcW w:w="57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Remarketing fees</w:t>
            </w:r>
          </w:p>
        </w:tc>
        <w:tc>
          <w:tcPr>
            <w:tcW w:w="1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Dealer support products and services</w:t>
            </w:r>
          </w:p>
        </w:tc>
        <w:tc>
          <w:tcPr>
            <w:tcW w:w="12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4.9</w:t>
            </w:r>
          </w:p>
        </w:tc>
      </w:tr>
      <w:tr>
        <w:trPr>
          <w:trHeight w:val="27"/>
        </w:trPr>
        <w:tc>
          <w:tcPr>
            <w:tcW w:w="57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Dealer enrollment fees</w:t>
            </w:r>
          </w:p>
        </w:tc>
        <w:tc>
          <w:tcPr>
            <w:tcW w:w="1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w:t>
            </w:r>
          </w:p>
        </w:tc>
      </w:tr>
      <w:tr>
        <w:trPr>
          <w:trHeight w:val="284"/>
        </w:trPr>
        <w:tc>
          <w:tcPr>
            <w:tcW w:w="57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w:t>
            </w:r>
          </w:p>
        </w:tc>
        <w:tc>
          <w:tcPr>
            <w:tcW w:w="1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w:t>
            </w:r>
          </w:p>
        </w:tc>
      </w:tr>
      <w:tr>
        <w:trPr>
          <w:trHeight w:val="257"/>
        </w:trPr>
        <w:tc>
          <w:tcPr>
            <w:tcW w:w="5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220" w:type="dxa"/>
            <w:vAlign w:val="bottom"/>
            <w:shd w:val="clear" w:color="auto" w:fill="CCEEFF"/>
          </w:tcPr>
          <w:p>
            <w:pPr>
              <w:jc w:val="right"/>
              <w:ind w:right="101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6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51.9</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46.6</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Ancillary product profit sharing consists of payments received from TPPs based upon the performance of vehicle service contracts and GAP contracts, and are recognized as income over the life of the vehicle service contracts and GAP contracts.</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337" w:right="239" w:bottom="1440" w:gutter="0" w:footer="0" w:header="0"/>
          <w:type w:val="continuous"/>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GPS-SID fees consist of fees we receive from a TPP for providing Dealers in certain states the ability to purchase GPS Starter Interrupt Devices ("GPS-SID"). Through this program, Dealers can install GPS-SID on vehicles financed by us that can be activated if the consumer fails to make payments on their account, and can result in the prompt repossession of the vehicle. Dealers purchase GPS-SID directly from the TPP and the TPP pays us a vendor fee for each device sold. GPS-SID fee income is recognized when the unit is sold.</w:t>
      </w:r>
    </w:p>
    <w:p>
      <w:pPr>
        <w:spacing w:after="0" w:line="18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Remarketing fees consist of fees retained from the sale of repossessed vehicles by VRS, our wholly-owned subsidiary that is responsible for remarketing vehicles for Credit Acceptance. VRS coordinates vehicle repossessions with a nationwide network of repossession contractors, the redemption of the vehicle by the consumer, or the sale of the vehicle through a nationwide network of vehicle auctions. VRS recognizes income from the retained fees at the time of the sale and does not retain a fee if a repossessed vehicle is redeemed by the consumer prior to the sale.</w:t>
      </w:r>
    </w:p>
    <w:p>
      <w:pPr>
        <w:spacing w:after="0" w:line="17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Dealer support products and services consist of income earned from products and services provided to Dealers to assist with their operations, including sales and marketing, purchasing supplies and materials and acquiring vehicle inventory. Income is recognized in the period the product or service is provided.</w:t>
      </w:r>
    </w:p>
    <w:p>
      <w:pPr>
        <w:spacing w:after="0" w:line="12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Dealer enrollment fees include fees from Dealers that enroll in our Portfolio Program. Depending on the enrollment option selected by the Dealer, Dealers may have enrolled by paying us an upfront, one-time fee, or by agreeing to allow us to retain 50% of their first accelerated Dealer Holdback payment. For additional information regarding program enrollment, see Note 1 to the consolidated financial statements. A portion of the $9,850 upfront, one-time fee is considered to be Dealer support products and services revenue. The remaining portion of the $9,850 fee is considered to be a Dealer enrollment fee, which is amortized on a straight-line basis over the estimated life of the Dealer relationship. The 50% portion of the first accelerated Dealer Holdback payment is also considered to be a Dealer enrollment fee. We do not recognize any of this Dealer enrollment fee until the Dealer has met the eligibility requirements to receive an accelerated Dealer Holdback payment and the amount of the first payment, if any, has been calculated. Once the accelerated Dealer Holdback payment has been calculated, we defer the 50% portion that we keep and recognize it on a straight-line basis over the remaining estimated life of the Dealer relationship.</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Plans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stock-based compensation plans for team members and non-employee directors, which are described more fully in Note 14 to the consolidated financial statements. We apply a fair-value-based measurement method in accounting for stock-based compensation plans and recognize stock-based compensation expense over the requisite service period of the grant as salaries and wages expense.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 Plan</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sponsor a 401(k) plan that covers substantially all of our team members. We offer matching contributions to the 401(k) plan based on each enrolled team members’ eligible annual gross pay (subject to statutory limitations). Our matching contribution rate is equal to 100% of the first 2% participants contribute and an additional 50% of the next 4% participants contribute, for a maximum matching contribution of 4% of each participant’s eligible annual gross pay. For the years ended December 31, 2017, 2016 and 2015, we recognized compensation expense of $4.6 million, $3.6 million, and $3.1 million, respectively, for our matching contributions to the plan.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Provisions for federal, state and foreign income taxes are calculated on reported pre-tax earnings based on current tax law and also include, in the current period, the cumulative effect of any changes in tax rates from those used previously in determining deferred tax assets and liabilities. Such provisions differ from the amounts currently receivable or payable because certain items of income and expense are recognized in different time periods for financial reporting purposes than for income tax purposes.</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Deferred income tax balances reflect the effects of temporary differences between the carrying amounts of assets and liabilities and their tax bases and are stated at enacted tax rates expected to be in effect when taxes are actually paid or recovered.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337"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follow a two-step approach for recognizing uncertain tax positions. First, we evaluate the tax position for recognition by determining if the weight of available evidence indicates it is more-likely-than-not that the position will be sustained upon examination, including resolution of related appeals or litigation processes, if any. Second, for positions that we determine are more-likely-than-not to be sustained, we recognize the tax benefit as the largest benefit that has a greater than 50% likelihood of being sustained. We establish a reserve for uncertain tax positions liability that is comprised of unrecognized tax benefits and related interest. We consider many factors when evaluating and estimating our tax positions and tax benefits, which may require periodic adjustments and which may not accurately anticipate actual outcomes. We recognize interest and penalties related to uncertain tax positions in provision for income taxes. For additional information regarding our income taxes, see Note 11 to the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Advertising costs are expensed as incurred. Advertising expenses were $0.4 million for the year ended December 31, 2017, and $0.3 million for the years ended December 31, 2016 and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Updates Adopted During the Current Year</w:t>
      </w:r>
    </w:p>
    <w:p>
      <w:pPr>
        <w:spacing w:after="0" w:line="229"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On December 23, 2017, the Securities and Exchange Commission’s Office of the Chief Accountant ("SEC staff") issued Staff Accounting Bulletin No. 118 ("SAB 118"), which expresses the views of the SEC staff regarding the application of the Financial Accounting Standards Board (“FASB”) Accounting Standards Codification ("ASC") Topic 740 (Income Taxes), in the reporting period that includes December 22, 2017—the date on which the Tax Cuts and Jobs Act ("2017 Act") was signed into law. SAB 118 provides guidance for registrants under three scenarios: (1) Measurement of certain income tax effects is complete—Registrants must reflect the tax effects of the 2017 Act for which the accounting is complete; (2) Measurement of certain income tax effects can be reasonably estimated—Registrants must report provisional amounts for those specific income tax effects of the 2017 Act for which the accounting is incomplete but a reasonable estimate can be determined. Provisional amounts or adjustments to provisional amounts identified in the measurement period, as defined, should be included as an adjustment to tax expense or benefit from continuing operations in the period the amounts are determined; and (3) Measurement of certain income tax effects cannot be reasonably estimated—Registrants are not required to report provisional amounts for any specific income tax effects of the 2017 Act for which a reasonable estimate cannot be determined, and would continue to apply ASC Topic 740 based on the provisions of the tax laws that were in effect immediately prior to the enactment of the 2017 Act. Registrants would report the provisional amounts of the tax effects of the 2017 Act in the first reporting period in which a reasonable estimate can be determined. SAB 118 further provides that the measurement period is complete when a company's accounting is complete and in no circumstances should the measurement period extend beyond one year from the enactment date. A registrant may be able to complete the accounting for some provisions earlier than others. As a result it may need to apply all three scenarios in determining the accounting for the 2017 Act based on the information that is available. The ultimate impact of the 2017 Act on our consolidated financial statements and related disclosures for 2017 and beyond may differ from our current estimates, possibly materially, due to, among other things, changes in interpretations and assumptions we have made, guidance that may be issued, and other actions we may take as a result of the 2017 Act that differ from those presently contemplated. For additional information, see Note 11 to the consolidated financial statements.</w:t>
      </w:r>
    </w:p>
    <w:p>
      <w:pPr>
        <w:spacing w:after="0" w:line="17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 xml:space="preserve">Improvements to Employee Share-Based Payment Accounting. </w:t>
      </w:r>
      <w:r>
        <w:rPr>
          <w:rFonts w:ascii="Arial" w:cs="Arial" w:eastAsia="Arial" w:hAnsi="Arial"/>
          <w:sz w:val="17"/>
          <w:szCs w:val="17"/>
          <w:color w:val="auto"/>
        </w:rPr>
        <w:t>In March 2016, the FASB issued Accounting Standards Update (“ASU”) 2016-09, which</w:t>
      </w:r>
      <w:r>
        <w:rPr>
          <w:rFonts w:ascii="Arial" w:cs="Arial" w:eastAsia="Arial" w:hAnsi="Arial"/>
          <w:sz w:val="17"/>
          <w:szCs w:val="17"/>
          <w:i w:val="1"/>
          <w:iCs w:val="1"/>
          <w:color w:val="auto"/>
        </w:rPr>
        <w:t xml:space="preserve"> </w:t>
      </w:r>
      <w:r>
        <w:rPr>
          <w:rFonts w:ascii="Arial" w:cs="Arial" w:eastAsia="Arial" w:hAnsi="Arial"/>
          <w:sz w:val="17"/>
          <w:szCs w:val="17"/>
          <w:color w:val="auto"/>
        </w:rPr>
        <w:t>simplifies the accounting for share-based payment transactions, including income tax consequences, classification of awards as either equity or liabilities, and the classification on the statement of cash flows. ASU 2016-09 is effective for fiscal years, and interim periods, beginning after December 15, 2016, with early adoption permitted. The adoption of ASU 2016-09 on January 1, 2017 changed where we recognize excess tax benefits and deficiencies from stock-based compensation plans in our consolidated financial statements on a prospective basis. We receive a tax deduction upon the vesting of restricted stock and the conversion of restricted stock units to common stock based on the fair value of the shares. The amount by which this tax deduction differs from the grant-date fair value that was recognized as stock-based compensation expense is referred to as an excess tax benefit or deficiency. For periods prior to adoption, these excess tax benefits or deficiencies were recognized in paid-in capital in our consolidated balance sheets and reported as a financing activity in our consolidated statements of cash flows. Upon adoption, these excess tax benefits or deficiencies are recognized in provision for income taxes in our consolidated statements of income and reported as an operating activity in our consolidated statements of cash flows. As a result of the adoption, excess tax benefits of $2.5 million decreased our provision for income taxes, increased our net cash provided by operating activities and decreased our net cash provided by financing activities for the year ended December 31, 2017.</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337"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Updates Not Yet Adopted</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 xml:space="preserve">Restricted Cash. </w:t>
      </w:r>
      <w:r>
        <w:rPr>
          <w:rFonts w:ascii="Arial" w:cs="Arial" w:eastAsia="Arial" w:hAnsi="Arial"/>
          <w:sz w:val="17"/>
          <w:szCs w:val="17"/>
          <w:color w:val="auto"/>
        </w:rPr>
        <w:t>In November 2016, the FASB issued ASU 2016-18, which amends Topic 230 (Statement of Cash Flows) and requires that a statement</w:t>
      </w:r>
      <w:r>
        <w:rPr>
          <w:rFonts w:ascii="Arial" w:cs="Arial" w:eastAsia="Arial" w:hAnsi="Arial"/>
          <w:sz w:val="17"/>
          <w:szCs w:val="17"/>
          <w:i w:val="1"/>
          <w:iCs w:val="1"/>
          <w:color w:val="auto"/>
        </w:rPr>
        <w:t xml:space="preserve"> </w:t>
      </w:r>
      <w:r>
        <w:rPr>
          <w:rFonts w:ascii="Arial" w:cs="Arial" w:eastAsia="Arial" w:hAnsi="Arial"/>
          <w:sz w:val="17"/>
          <w:szCs w:val="17"/>
          <w:color w:val="auto"/>
        </w:rPr>
        <w:t>of cash flows explain the change during the period in the total of cash, cash equivalents, and amounts generally described as restricted cash or restricted cash equivalents. ASU 2016-18 is intended to reduce diversity in practice in how restricted cash or restricted cash equivalents are presented and classified in the statement of cash flows. ASU 2016-18 is effective for fiscal years, and interim periods, beginning after December 15, 2017, with early adoption permitted. The standard requires application using a retrospective transition method. The adoption of ASU 2016-18 will change the presentation and classification of restricted cash and restricted cash equivalents in our consolidated statements of cash flows.</w:t>
      </w:r>
    </w:p>
    <w:p>
      <w:pPr>
        <w:spacing w:after="0" w:line="178"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i w:val="1"/>
          <w:iCs w:val="1"/>
          <w:color w:val="auto"/>
        </w:rPr>
        <w:t xml:space="preserve">Measurement of Credit Losses on Financial Instruments. </w:t>
      </w:r>
      <w:r>
        <w:rPr>
          <w:rFonts w:ascii="Arial" w:cs="Arial" w:eastAsia="Arial" w:hAnsi="Arial"/>
          <w:sz w:val="16"/>
          <w:szCs w:val="16"/>
          <w:color w:val="auto"/>
        </w:rPr>
        <w:t>In June 2016, the FASB issued ASU 2016-13, which includes an impairment model (known as</w:t>
      </w:r>
      <w:r>
        <w:rPr>
          <w:rFonts w:ascii="Arial" w:cs="Arial" w:eastAsia="Arial" w:hAnsi="Arial"/>
          <w:sz w:val="16"/>
          <w:szCs w:val="16"/>
          <w:i w:val="1"/>
          <w:iCs w:val="1"/>
          <w:color w:val="auto"/>
        </w:rPr>
        <w:t xml:space="preserve"> </w:t>
      </w:r>
      <w:r>
        <w:rPr>
          <w:rFonts w:ascii="Arial" w:cs="Arial" w:eastAsia="Arial" w:hAnsi="Arial"/>
          <w:sz w:val="16"/>
          <w:szCs w:val="16"/>
          <w:color w:val="auto"/>
        </w:rPr>
        <w:t>the current expected credit loss (CECL) model) that is based on expected losses rather than incurred losses. Under the new guidance, an entity recognizes its estimate of expected credit losses as an allowance. ASU 2016-13 is effective for fiscal years, and interim periods, beginning after December 15, 2019. Early application is permitted for fiscal years, and interim periods, beginning after December 15, 2018. While we continue to assess the impact of ASU 2016-13, based on our preliminary assessment, we believe the adoption will have a material impact on our consolidated financial statements and related disclosures.</w:t>
      </w:r>
    </w:p>
    <w:p>
      <w:pPr>
        <w:spacing w:after="0" w:line="1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Leases. </w:t>
      </w:r>
      <w:r>
        <w:rPr>
          <w:rFonts w:ascii="Arial" w:cs="Arial" w:eastAsia="Arial" w:hAnsi="Arial"/>
          <w:sz w:val="18"/>
          <w:szCs w:val="18"/>
          <w:color w:val="auto"/>
        </w:rPr>
        <w:t>In February 2016, the FASB issued ASU 2016-02, which requires lessees to recognize a right-of-use asset and related lease liability for leases</w:t>
      </w:r>
      <w:r>
        <w:rPr>
          <w:rFonts w:ascii="Arial" w:cs="Arial" w:eastAsia="Arial" w:hAnsi="Arial"/>
          <w:sz w:val="18"/>
          <w:szCs w:val="18"/>
          <w:i w:val="1"/>
          <w:iCs w:val="1"/>
          <w:color w:val="auto"/>
        </w:rPr>
        <w:t xml:space="preserve"> </w:t>
      </w:r>
      <w:r>
        <w:rPr>
          <w:rFonts w:ascii="Arial" w:cs="Arial" w:eastAsia="Arial" w:hAnsi="Arial"/>
          <w:sz w:val="18"/>
          <w:szCs w:val="18"/>
          <w:color w:val="auto"/>
        </w:rPr>
        <w:t>classified as operating leases at the commencement date that have lease terms of more than 12 months. This ASU retains the classification distinction between finance leases and operating leases. ASU 2016-02 is effective for fiscal years, and interim periods, beginning after December 15, 2018. Early application is permitted, but we have not yet adopted ASU 2016-02. We are currently assessing the impact the adoption of ASU 2016-02 will have on our consolidated financial statements and related disclosures.</w:t>
      </w:r>
    </w:p>
    <w:p>
      <w:pPr>
        <w:spacing w:after="0" w:line="18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i w:val="1"/>
          <w:iCs w:val="1"/>
          <w:color w:val="auto"/>
        </w:rPr>
        <w:t xml:space="preserve">Revenue from Contracts with Customers. </w:t>
      </w:r>
      <w:r>
        <w:rPr>
          <w:rFonts w:ascii="Arial" w:cs="Arial" w:eastAsia="Arial" w:hAnsi="Arial"/>
          <w:sz w:val="17"/>
          <w:szCs w:val="17"/>
          <w:color w:val="auto"/>
        </w:rPr>
        <w:t>In May 2014, the FASB issued ASU 2014-09, which supersedes the revenue recognition requirements Topic</w:t>
      </w:r>
      <w:r>
        <w:rPr>
          <w:rFonts w:ascii="Arial" w:cs="Arial" w:eastAsia="Arial" w:hAnsi="Arial"/>
          <w:sz w:val="17"/>
          <w:szCs w:val="17"/>
          <w:i w:val="1"/>
          <w:iCs w:val="1"/>
          <w:color w:val="auto"/>
        </w:rPr>
        <w:t xml:space="preserve"> </w:t>
      </w:r>
      <w:r>
        <w:rPr>
          <w:rFonts w:ascii="Arial" w:cs="Arial" w:eastAsia="Arial" w:hAnsi="Arial"/>
          <w:sz w:val="17"/>
          <w:szCs w:val="17"/>
          <w:color w:val="auto"/>
        </w:rPr>
        <w:t>605 (Revenue Recognition), and most industry-specific guidance. ASU 2014-09 is based on the principle that revenue is recognized to depict the transfer of goods or services to customers in an amount that reflects the consideration to which the entity expects to be entitled in exchange for those goods or services. ASU 2014-09 also requires additional disclosure about the nature, amount, timing and uncertainty of revenue and cash flows arising from customer contracts, including significant judgments and changes in judgments and assets recognized from costs incurred to obtain or fulfill a contract. ASU 2014-09 permits two methods of adoption: retrospectively to each prior reporting period presented (full retrospective method), or retrospectively with the cumulative effect of initially applying the guidance recognized at the date of initial application (modified retrospective method). In August 2015, the FASB issued ASU 2015-14 to defer the effective date of ASU 2014-09 by one year to fiscal years beginning after December 15, 2017. ASU 2015-14 also permits early adoption of ASU 2014-09, but not before the original effective date, which was for fiscal years beginning after December 15, 2016. We plan on adopting ASU 2014-09, as amended by ASU 2015-14, on January 1, 2018 using the modified retrospective method. Given that the guidance is not applicable to our finance charges and premiums earned sources of revenue, our assessment has focused on our other income source of revenue. We have completed our assessment and do not expect the adoption of ASU 2014-09, as amended by ASU 2015-14, to have a material impact on the timing of revenue recognition and financial statement presentation of our other income source of revenue.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evaluated events and transactions occurring subsequent to the consolidated balance sheet date of December 31, 2017 for items that could potentially be recognized or disclosed in these financial statements. We did not identify any items which would require disclosure in or adjustment to the consolidated financial statements.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337"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left="640" w:hanging="632"/>
        <w:spacing w:after="0"/>
        <w:tabs>
          <w:tab w:leader="none" w:pos="64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methods and assumptions were used to estimate the fair value of each class of financial instruments for which it is practicable to estimate their value.</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Cash and Cash Equivalents and Restricted Cash and Cash Equivalents. </w:t>
      </w:r>
      <w:r>
        <w:rPr>
          <w:rFonts w:ascii="Arial" w:cs="Arial" w:eastAsia="Arial" w:hAnsi="Arial"/>
          <w:sz w:val="18"/>
          <w:szCs w:val="18"/>
          <w:color w:val="auto"/>
        </w:rPr>
        <w:t>The carrying amounts approximate their fair value due to the short maturity of</w:t>
      </w:r>
      <w:r>
        <w:rPr>
          <w:rFonts w:ascii="Arial" w:cs="Arial" w:eastAsia="Arial" w:hAnsi="Arial"/>
          <w:sz w:val="18"/>
          <w:szCs w:val="18"/>
          <w:i w:val="1"/>
          <w:iCs w:val="1"/>
          <w:color w:val="auto"/>
        </w:rPr>
        <w:t xml:space="preserve"> </w:t>
      </w:r>
      <w:r>
        <w:rPr>
          <w:rFonts w:ascii="Arial" w:cs="Arial" w:eastAsia="Arial" w:hAnsi="Arial"/>
          <w:sz w:val="18"/>
          <w:szCs w:val="18"/>
          <w:color w:val="auto"/>
        </w:rPr>
        <w:t>these instruments.</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Restricted Securities Available for Sale. </w:t>
      </w:r>
      <w:r>
        <w:rPr>
          <w:rFonts w:ascii="Arial" w:cs="Arial" w:eastAsia="Arial" w:hAnsi="Arial"/>
          <w:sz w:val="18"/>
          <w:szCs w:val="18"/>
          <w:color w:val="auto"/>
        </w:rPr>
        <w:t>The fair value of U.S. Government and agency securities and corporate bonds is based on quoted market values</w:t>
      </w:r>
      <w:r>
        <w:rPr>
          <w:rFonts w:ascii="Arial" w:cs="Arial" w:eastAsia="Arial" w:hAnsi="Arial"/>
          <w:sz w:val="18"/>
          <w:szCs w:val="18"/>
          <w:i w:val="1"/>
          <w:iCs w:val="1"/>
          <w:color w:val="auto"/>
        </w:rPr>
        <w:t xml:space="preserve"> </w:t>
      </w:r>
      <w:r>
        <w:rPr>
          <w:rFonts w:ascii="Arial" w:cs="Arial" w:eastAsia="Arial" w:hAnsi="Arial"/>
          <w:sz w:val="18"/>
          <w:szCs w:val="18"/>
          <w:color w:val="auto"/>
        </w:rPr>
        <w:t>in active markets. For asset-backed securities and mortgage-backed securities we use model-based valuation techniques for which all significant assumptions are observable in the market.</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Loans Receivable, net. </w:t>
      </w:r>
      <w:r>
        <w:rPr>
          <w:rFonts w:ascii="Arial" w:cs="Arial" w:eastAsia="Arial" w:hAnsi="Arial"/>
          <w:sz w:val="18"/>
          <w:szCs w:val="18"/>
          <w:color w:val="auto"/>
        </w:rPr>
        <w:t>The fair value is determined by calculating the present value of future net cash flows estimated by us utilizing a discount rate</w:t>
      </w:r>
      <w:r>
        <w:rPr>
          <w:rFonts w:ascii="Arial" w:cs="Arial" w:eastAsia="Arial" w:hAnsi="Arial"/>
          <w:sz w:val="18"/>
          <w:szCs w:val="18"/>
          <w:i w:val="1"/>
          <w:iCs w:val="1"/>
          <w:color w:val="auto"/>
        </w:rPr>
        <w:t xml:space="preserve"> </w:t>
      </w:r>
      <w:r>
        <w:rPr>
          <w:rFonts w:ascii="Arial" w:cs="Arial" w:eastAsia="Arial" w:hAnsi="Arial"/>
          <w:sz w:val="18"/>
          <w:szCs w:val="18"/>
          <w:color w:val="auto"/>
        </w:rPr>
        <w:t>comparable with the rate used to calculate our allowance for credit losses.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Revolving Secured Line of Credit. </w:t>
      </w:r>
      <w:r>
        <w:rPr>
          <w:rFonts w:ascii="Arial" w:cs="Arial" w:eastAsia="Arial" w:hAnsi="Arial"/>
          <w:sz w:val="18"/>
          <w:szCs w:val="18"/>
          <w:color w:val="auto"/>
        </w:rPr>
        <w:t>The fair value is determined by calculating the present value of the debt instrument based on current rates for debt</w:t>
      </w:r>
      <w:r>
        <w:rPr>
          <w:rFonts w:ascii="Arial" w:cs="Arial" w:eastAsia="Arial" w:hAnsi="Arial"/>
          <w:sz w:val="18"/>
          <w:szCs w:val="18"/>
          <w:i w:val="1"/>
          <w:iCs w:val="1"/>
          <w:color w:val="auto"/>
        </w:rPr>
        <w:t xml:space="preserve"> </w:t>
      </w:r>
      <w:r>
        <w:rPr>
          <w:rFonts w:ascii="Arial" w:cs="Arial" w:eastAsia="Arial" w:hAnsi="Arial"/>
          <w:sz w:val="18"/>
          <w:szCs w:val="18"/>
          <w:color w:val="auto"/>
        </w:rPr>
        <w:t>with a similar risk profile and maturity.</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Secured Financing. </w:t>
      </w:r>
      <w:r>
        <w:rPr>
          <w:rFonts w:ascii="Arial" w:cs="Arial" w:eastAsia="Arial" w:hAnsi="Arial"/>
          <w:sz w:val="18"/>
          <w:szCs w:val="18"/>
          <w:color w:val="auto"/>
        </w:rPr>
        <w:t>The fair value of our Term ABS financings is determined using quoted market prices, however, these instruments trade in a market</w:t>
      </w:r>
      <w:r>
        <w:rPr>
          <w:rFonts w:ascii="Arial" w:cs="Arial" w:eastAsia="Arial" w:hAnsi="Arial"/>
          <w:sz w:val="18"/>
          <w:szCs w:val="18"/>
          <w:i w:val="1"/>
          <w:iCs w:val="1"/>
          <w:color w:val="auto"/>
        </w:rPr>
        <w:t xml:space="preserve"> </w:t>
      </w:r>
      <w:r>
        <w:rPr>
          <w:rFonts w:ascii="Arial" w:cs="Arial" w:eastAsia="Arial" w:hAnsi="Arial"/>
          <w:sz w:val="18"/>
          <w:szCs w:val="18"/>
          <w:color w:val="auto"/>
        </w:rPr>
        <w:t>with a low trading volume. For our warehouse facilities, the fair values are determined by calculating the present value of each debt instrument based on current rates for debt with similar risk profiles and maturities.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Senior Notes. </w:t>
      </w:r>
      <w:r>
        <w:rPr>
          <w:rFonts w:ascii="Arial" w:cs="Arial" w:eastAsia="Arial" w:hAnsi="Arial"/>
          <w:sz w:val="18"/>
          <w:szCs w:val="18"/>
          <w:color w:val="auto"/>
        </w:rPr>
        <w:t>The fair value is determined using quoted market prices in an active market.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comparison of the carrying amount and estimated fair value of these financial instruments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78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3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r>
      <w:tr>
        <w:trPr>
          <w:trHeight w:val="264"/>
        </w:trPr>
        <w:tc>
          <w:tcPr>
            <w:tcW w:w="37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w w:val="89"/>
              </w:rPr>
              <w:t>2017</w:t>
            </w:r>
          </w:p>
        </w:tc>
        <w:tc>
          <w:tcPr>
            <w:tcW w:w="14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w w:val="89"/>
              </w:rPr>
              <w:t>2016</w:t>
            </w:r>
          </w:p>
        </w:tc>
        <w:tc>
          <w:tcPr>
            <w:tcW w:w="1480" w:type="dxa"/>
            <w:vAlign w:val="bottom"/>
            <w:tcBorders>
              <w:bottom w:val="single" w:sz="8" w:color="auto"/>
            </w:tcBorders>
          </w:tcPr>
          <w:p>
            <w:pPr>
              <w:spacing w:after="0"/>
              <w:rPr>
                <w:sz w:val="22"/>
                <w:szCs w:val="22"/>
                <w:color w:val="auto"/>
              </w:rPr>
            </w:pPr>
          </w:p>
        </w:tc>
      </w:tr>
      <w:tr>
        <w:trPr>
          <w:trHeight w:val="153"/>
        </w:trPr>
        <w:tc>
          <w:tcPr>
            <w:tcW w:w="3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60" w:type="dxa"/>
            <w:vAlign w:val="bottom"/>
          </w:tcPr>
          <w:p>
            <w:pPr>
              <w:jc w:val="right"/>
              <w:ind w:right="454"/>
              <w:spacing w:after="0" w:line="153"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80" w:type="dxa"/>
            <w:vAlign w:val="bottom"/>
            <w:gridSpan w:val="2"/>
          </w:tcPr>
          <w:p>
            <w:pPr>
              <w:ind w:left="260"/>
              <w:spacing w:after="0" w:line="153" w:lineRule="exact"/>
              <w:rPr>
                <w:sz w:val="20"/>
                <w:szCs w:val="20"/>
                <w:color w:val="auto"/>
              </w:rPr>
            </w:pPr>
            <w:r>
              <w:rPr>
                <w:rFonts w:ascii="Arial" w:cs="Arial" w:eastAsia="Arial" w:hAnsi="Arial"/>
                <w:sz w:val="14"/>
                <w:szCs w:val="14"/>
                <w:b w:val="1"/>
                <w:bCs w:val="1"/>
                <w:color w:val="auto"/>
              </w:rPr>
              <w:t>Estimated</w:t>
            </w:r>
          </w:p>
        </w:tc>
        <w:tc>
          <w:tcPr>
            <w:tcW w:w="600" w:type="dxa"/>
            <w:vAlign w:val="bottom"/>
          </w:tcPr>
          <w:p>
            <w:pPr>
              <w:spacing w:after="0"/>
              <w:rPr>
                <w:sz w:val="13"/>
                <w:szCs w:val="13"/>
                <w:color w:val="auto"/>
              </w:rPr>
            </w:pPr>
          </w:p>
        </w:tc>
        <w:tc>
          <w:tcPr>
            <w:tcW w:w="1140" w:type="dxa"/>
            <w:vAlign w:val="bottom"/>
          </w:tcPr>
          <w:p>
            <w:pPr>
              <w:jc w:val="right"/>
              <w:ind w:right="454"/>
              <w:spacing w:after="0" w:line="153" w:lineRule="exact"/>
              <w:rPr>
                <w:sz w:val="20"/>
                <w:szCs w:val="20"/>
                <w:color w:val="auto"/>
              </w:rPr>
            </w:pPr>
            <w:r>
              <w:rPr>
                <w:rFonts w:ascii="Arial" w:cs="Arial" w:eastAsia="Arial" w:hAnsi="Arial"/>
                <w:sz w:val="14"/>
                <w:szCs w:val="14"/>
                <w:b w:val="1"/>
                <w:bCs w:val="1"/>
                <w:color w:val="auto"/>
              </w:rPr>
              <w:t>Carrying</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80" w:type="dxa"/>
            <w:vAlign w:val="bottom"/>
          </w:tcPr>
          <w:p>
            <w:pPr>
              <w:jc w:val="right"/>
              <w:ind w:right="514"/>
              <w:spacing w:after="0" w:line="153" w:lineRule="exact"/>
              <w:rPr>
                <w:sz w:val="20"/>
                <w:szCs w:val="20"/>
                <w:color w:val="auto"/>
              </w:rPr>
            </w:pPr>
            <w:r>
              <w:rPr>
                <w:rFonts w:ascii="Arial" w:cs="Arial" w:eastAsia="Arial" w:hAnsi="Arial"/>
                <w:sz w:val="14"/>
                <w:szCs w:val="14"/>
                <w:b w:val="1"/>
                <w:bCs w:val="1"/>
                <w:color w:val="auto"/>
              </w:rPr>
              <w:t>Estimated</w:t>
            </w:r>
          </w:p>
        </w:tc>
      </w:tr>
      <w:tr>
        <w:trPr>
          <w:trHeight w:val="205"/>
        </w:trPr>
        <w:tc>
          <w:tcPr>
            <w:tcW w:w="3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tcPr>
          <w:p>
            <w:pPr>
              <w:jc w:val="right"/>
              <w:ind w:right="474"/>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gridSpan w:val="2"/>
          </w:tcPr>
          <w:p>
            <w:pPr>
              <w:ind w:left="240"/>
              <w:spacing w:after="0"/>
              <w:rPr>
                <w:sz w:val="20"/>
                <w:szCs w:val="20"/>
                <w:color w:val="auto"/>
              </w:rPr>
            </w:pPr>
            <w:r>
              <w:rPr>
                <w:rFonts w:ascii="Arial" w:cs="Arial" w:eastAsia="Arial" w:hAnsi="Arial"/>
                <w:sz w:val="14"/>
                <w:szCs w:val="14"/>
                <w:b w:val="1"/>
                <w:bCs w:val="1"/>
                <w:color w:val="auto"/>
              </w:rPr>
              <w:t>Fair Value</w:t>
            </w:r>
          </w:p>
        </w:tc>
        <w:tc>
          <w:tcPr>
            <w:tcW w:w="600" w:type="dxa"/>
            <w:vAlign w:val="bottom"/>
          </w:tcPr>
          <w:p>
            <w:pPr>
              <w:spacing w:after="0"/>
              <w:rPr>
                <w:sz w:val="17"/>
                <w:szCs w:val="17"/>
                <w:color w:val="auto"/>
              </w:rPr>
            </w:pPr>
          </w:p>
        </w:tc>
        <w:tc>
          <w:tcPr>
            <w:tcW w:w="1140" w:type="dxa"/>
            <w:vAlign w:val="bottom"/>
          </w:tcPr>
          <w:p>
            <w:pPr>
              <w:jc w:val="right"/>
              <w:ind w:right="494"/>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jc w:val="right"/>
              <w:ind w:right="494"/>
              <w:spacing w:after="0"/>
              <w:rPr>
                <w:sz w:val="20"/>
                <w:szCs w:val="20"/>
                <w:color w:val="auto"/>
              </w:rPr>
            </w:pPr>
            <w:r>
              <w:rPr>
                <w:rFonts w:ascii="Arial" w:cs="Arial" w:eastAsia="Arial" w:hAnsi="Arial"/>
                <w:sz w:val="14"/>
                <w:szCs w:val="14"/>
                <w:b w:val="1"/>
                <w:bCs w:val="1"/>
                <w:color w:val="auto"/>
              </w:rPr>
              <w:t>Fair Value</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38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r>
      <w:tr>
        <w:trPr>
          <w:trHeight w:val="27"/>
        </w:trPr>
        <w:tc>
          <w:tcPr>
            <w:tcW w:w="3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5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5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14.6</w:t>
            </w:r>
          </w:p>
        </w:tc>
      </w:tr>
      <w:tr>
        <w:trPr>
          <w:trHeight w:val="243"/>
        </w:trPr>
        <w:tc>
          <w:tcPr>
            <w:tcW w:w="3780" w:type="dxa"/>
            <w:vAlign w:val="bottom"/>
          </w:tcPr>
          <w:p>
            <w:pPr>
              <w:ind w:left="380"/>
              <w:spacing w:after="0"/>
              <w:rPr>
                <w:sz w:val="20"/>
                <w:szCs w:val="20"/>
                <w:color w:val="auto"/>
              </w:rPr>
            </w:pPr>
            <w:r>
              <w:rPr>
                <w:rFonts w:ascii="Arial" w:cs="Arial" w:eastAsia="Arial" w:hAnsi="Arial"/>
                <w:sz w:val="18"/>
                <w:szCs w:val="18"/>
                <w:color w:val="auto"/>
              </w:rPr>
              <w:t>Restricted cash and cash equivalents</w:t>
            </w:r>
          </w:p>
        </w:tc>
        <w:tc>
          <w:tcPr>
            <w:tcW w:w="3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255.6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255.6</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224.7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224.7</w:t>
            </w:r>
          </w:p>
        </w:tc>
      </w:tr>
      <w:tr>
        <w:trPr>
          <w:trHeight w:val="27"/>
        </w:trPr>
        <w:tc>
          <w:tcPr>
            <w:tcW w:w="3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securities available for sale</w:t>
            </w: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46.1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45.3</w:t>
            </w:r>
          </w:p>
        </w:tc>
      </w:tr>
      <w:tr>
        <w:trPr>
          <w:trHeight w:val="243"/>
        </w:trPr>
        <w:tc>
          <w:tcPr>
            <w:tcW w:w="3780" w:type="dxa"/>
            <w:vAlign w:val="bottom"/>
          </w:tcPr>
          <w:p>
            <w:pPr>
              <w:ind w:left="380"/>
              <w:spacing w:after="0"/>
              <w:rPr>
                <w:sz w:val="20"/>
                <w:szCs w:val="20"/>
                <w:color w:val="auto"/>
              </w:rPr>
            </w:pPr>
            <w:r>
              <w:rPr>
                <w:rFonts w:ascii="Arial" w:cs="Arial" w:eastAsia="Arial" w:hAnsi="Arial"/>
                <w:sz w:val="18"/>
                <w:szCs w:val="18"/>
                <w:color w:val="auto"/>
              </w:rPr>
              <w:t>Loans receivable, net</w:t>
            </w:r>
          </w:p>
        </w:tc>
        <w:tc>
          <w:tcPr>
            <w:tcW w:w="3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4,619.6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4,741.5</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3,886.6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3,955.9</w:t>
            </w:r>
          </w:p>
        </w:tc>
      </w:tr>
      <w:tr>
        <w:trPr>
          <w:trHeight w:val="27"/>
        </w:trPr>
        <w:tc>
          <w:tcPr>
            <w:tcW w:w="3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380"/>
              <w:spacing w:after="0"/>
              <w:rPr>
                <w:sz w:val="20"/>
                <w:szCs w:val="20"/>
                <w:color w:val="auto"/>
              </w:rPr>
            </w:pPr>
            <w:r>
              <w:rPr>
                <w:rFonts w:ascii="Arial" w:cs="Arial" w:eastAsia="Arial" w:hAnsi="Arial"/>
                <w:sz w:val="18"/>
                <w:szCs w:val="18"/>
                <w:color w:val="auto"/>
              </w:rPr>
              <w:t>Revolving secured line of credit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13.9</w:t>
            </w:r>
          </w:p>
        </w:tc>
        <w:tc>
          <w:tcPr>
            <w:tcW w:w="5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3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Secured financing</w:t>
            </w: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2,514.1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2,527.6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2,062.4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2,072.0</w:t>
            </w:r>
          </w:p>
        </w:tc>
      </w:tr>
      <w:tr>
        <w:trPr>
          <w:trHeight w:val="243"/>
        </w:trPr>
        <w:tc>
          <w:tcPr>
            <w:tcW w:w="3780" w:type="dxa"/>
            <w:vAlign w:val="bottom"/>
          </w:tcPr>
          <w:p>
            <w:pPr>
              <w:ind w:left="380"/>
              <w:spacing w:after="0"/>
              <w:rPr>
                <w:sz w:val="20"/>
                <w:szCs w:val="20"/>
                <w:color w:val="auto"/>
              </w:rPr>
            </w:pPr>
            <w:r>
              <w:rPr>
                <w:rFonts w:ascii="Arial" w:cs="Arial" w:eastAsia="Arial" w:hAnsi="Arial"/>
                <w:sz w:val="18"/>
                <w:szCs w:val="18"/>
                <w:color w:val="auto"/>
              </w:rPr>
              <w:t>Senior notes</w:t>
            </w:r>
          </w:p>
        </w:tc>
        <w:tc>
          <w:tcPr>
            <w:tcW w:w="3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542.8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569.4</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541.3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560.5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337"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We group assets and liabilities at fair value in three levels, based on the markets in which the assets and liabilities are traded and the reliability of the assumptions used to determine fair value. These levels are:</w:t>
      </w:r>
    </w:p>
    <w:p>
      <w:pPr>
        <w:spacing w:after="0" w:line="18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Valuation is based upon quoted prices for identical instruments traded in active markets.</w:t>
      </w:r>
    </w:p>
    <w:p>
      <w:pPr>
        <w:spacing w:after="0" w:line="225" w:lineRule="exact"/>
        <w:rPr>
          <w:sz w:val="20"/>
          <w:szCs w:val="20"/>
          <w:color w:val="auto"/>
        </w:rPr>
      </w:pPr>
    </w:p>
    <w:p>
      <w:pPr>
        <w:jc w:val="both"/>
        <w:ind w:left="660" w:hanging="647"/>
        <w:spacing w:after="0" w:line="277" w:lineRule="auto"/>
        <w:rPr>
          <w:sz w:val="20"/>
          <w:szCs w:val="20"/>
          <w:color w:val="auto"/>
        </w:rPr>
      </w:pPr>
      <w:r>
        <w:rPr>
          <w:rFonts w:ascii="Arial" w:cs="Arial" w:eastAsia="Arial" w:hAnsi="Arial"/>
          <w:sz w:val="18"/>
          <w:szCs w:val="18"/>
          <w:color w:val="auto"/>
        </w:rPr>
        <w:t>Level 2 Valuation is based upon quoted prices for similar instruments in active markets, quoted prices for identical or similar instruments in markets that are not active, and model-based valuation techniques for which all significant assumptions are observable in the market.</w:t>
      </w:r>
    </w:p>
    <w:p>
      <w:pPr>
        <w:spacing w:after="0" w:line="170" w:lineRule="exact"/>
        <w:rPr>
          <w:sz w:val="20"/>
          <w:szCs w:val="20"/>
          <w:color w:val="auto"/>
        </w:rPr>
      </w:pPr>
    </w:p>
    <w:p>
      <w:pPr>
        <w:jc w:val="both"/>
        <w:ind w:left="660" w:hanging="647"/>
        <w:spacing w:after="0" w:line="277" w:lineRule="auto"/>
        <w:rPr>
          <w:sz w:val="20"/>
          <w:szCs w:val="20"/>
          <w:color w:val="auto"/>
        </w:rPr>
      </w:pPr>
      <w:r>
        <w:rPr>
          <w:rFonts w:ascii="Arial" w:cs="Arial" w:eastAsia="Arial" w:hAnsi="Arial"/>
          <w:sz w:val="18"/>
          <w:szCs w:val="18"/>
          <w:color w:val="auto"/>
        </w:rPr>
        <w:t>Level 3 Valuation is generated from model-based techniques that use at least one significant assumption not observable in the market. These unobservable assumptions reflect estimates or assumptions that market participants would use in pricing the asset or liability.</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provides the level of measurement used to determine the fair value for each of our financial instruments measured or disclosed at fair value: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24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1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gridSpan w:val="5"/>
          </w:tcPr>
          <w:p>
            <w:pPr>
              <w:ind w:left="600"/>
              <w:spacing w:after="0"/>
              <w:rPr>
                <w:sz w:val="20"/>
                <w:szCs w:val="20"/>
                <w:color w:val="auto"/>
              </w:rPr>
            </w:pPr>
            <w:r>
              <w:rPr>
                <w:rFonts w:ascii="Arial" w:cs="Arial" w:eastAsia="Arial" w:hAnsi="Arial"/>
                <w:sz w:val="14"/>
                <w:szCs w:val="14"/>
                <w:b w:val="1"/>
                <w:bCs w:val="1"/>
                <w:color w:val="auto"/>
              </w:rPr>
              <w:t>As of December 31, 2017</w:t>
            </w: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r>
      <w:tr>
        <w:trPr>
          <w:trHeight w:val="264"/>
        </w:trPr>
        <w:tc>
          <w:tcPr>
            <w:tcW w:w="42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2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2</w:t>
            </w:r>
          </w:p>
        </w:tc>
        <w:tc>
          <w:tcPr>
            <w:tcW w:w="380" w:type="dxa"/>
            <w:vAlign w:val="bottom"/>
          </w:tcPr>
          <w:p>
            <w:pPr>
              <w:spacing w:after="0"/>
              <w:rPr>
                <w:sz w:val="22"/>
                <w:szCs w:val="22"/>
                <w:color w:val="auto"/>
              </w:rPr>
            </w:pPr>
          </w:p>
        </w:tc>
        <w:tc>
          <w:tcPr>
            <w:tcW w:w="1440" w:type="dxa"/>
            <w:vAlign w:val="bottom"/>
            <w:gridSpan w:val="2"/>
          </w:tcPr>
          <w:p>
            <w:pPr>
              <w:ind w:left="260"/>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22"/>
                <w:szCs w:val="22"/>
                <w:color w:val="auto"/>
              </w:rPr>
            </w:pPr>
          </w:p>
        </w:tc>
        <w:tc>
          <w:tcPr>
            <w:tcW w:w="1460" w:type="dxa"/>
            <w:vAlign w:val="bottom"/>
          </w:tcPr>
          <w:p>
            <w:pPr>
              <w:jc w:val="right"/>
              <w:ind w:right="272"/>
              <w:spacing w:after="0"/>
              <w:rPr>
                <w:sz w:val="20"/>
                <w:szCs w:val="20"/>
                <w:color w:val="auto"/>
              </w:rPr>
            </w:pPr>
            <w:r>
              <w:rPr>
                <w:rFonts w:ascii="Arial" w:cs="Arial" w:eastAsia="Arial" w:hAnsi="Arial"/>
                <w:sz w:val="14"/>
                <w:szCs w:val="14"/>
                <w:b w:val="1"/>
                <w:bCs w:val="1"/>
                <w:color w:val="auto"/>
              </w:rPr>
              <w:t>Total Fair Value</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14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Cash and cash equivalents (1)</w:t>
            </w:r>
          </w:p>
        </w:tc>
        <w:tc>
          <w:tcPr>
            <w:tcW w:w="114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w:t>
            </w:r>
          </w:p>
        </w:tc>
      </w:tr>
      <w:tr>
        <w:trPr>
          <w:trHeight w:val="243"/>
        </w:trPr>
        <w:tc>
          <w:tcPr>
            <w:tcW w:w="4240" w:type="dxa"/>
            <w:vAlign w:val="bottom"/>
          </w:tcPr>
          <w:p>
            <w:pPr>
              <w:ind w:left="500"/>
              <w:spacing w:after="0"/>
              <w:rPr>
                <w:sz w:val="20"/>
                <w:szCs w:val="20"/>
                <w:color w:val="auto"/>
              </w:rPr>
            </w:pPr>
            <w:r>
              <w:rPr>
                <w:rFonts w:ascii="Arial" w:cs="Arial" w:eastAsia="Arial" w:hAnsi="Arial"/>
                <w:sz w:val="18"/>
                <w:szCs w:val="18"/>
                <w:color w:val="auto"/>
              </w:rPr>
              <w:t>Restricted cash and cash equivalents (1)</w:t>
            </w:r>
          </w:p>
        </w:tc>
        <w:tc>
          <w:tcPr>
            <w:tcW w:w="114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255.6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255.6</w:t>
            </w:r>
          </w:p>
        </w:tc>
      </w:tr>
      <w:tr>
        <w:trPr>
          <w:trHeight w:val="27"/>
        </w:trPr>
        <w:tc>
          <w:tcPr>
            <w:tcW w:w="4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Restricted securities available for sale (2)</w:t>
            </w: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46.1</w:t>
            </w:r>
          </w:p>
        </w:tc>
      </w:tr>
      <w:tr>
        <w:trPr>
          <w:trHeight w:val="243"/>
        </w:trPr>
        <w:tc>
          <w:tcPr>
            <w:tcW w:w="4240" w:type="dxa"/>
            <w:vAlign w:val="bottom"/>
          </w:tcPr>
          <w:p>
            <w:pPr>
              <w:ind w:left="500"/>
              <w:spacing w:after="0"/>
              <w:rPr>
                <w:sz w:val="20"/>
                <w:szCs w:val="20"/>
                <w:color w:val="auto"/>
              </w:rPr>
            </w:pPr>
            <w:r>
              <w:rPr>
                <w:rFonts w:ascii="Arial" w:cs="Arial" w:eastAsia="Arial" w:hAnsi="Arial"/>
                <w:sz w:val="18"/>
                <w:szCs w:val="18"/>
                <w:color w:val="auto"/>
              </w:rPr>
              <w:t>Loans receivable, net (1)</w:t>
            </w:r>
          </w:p>
        </w:tc>
        <w:tc>
          <w:tcPr>
            <w:tcW w:w="114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4,741.5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4,741.5</w:t>
            </w:r>
          </w:p>
        </w:tc>
      </w:tr>
      <w:tr>
        <w:trPr>
          <w:trHeight w:val="27"/>
        </w:trPr>
        <w:tc>
          <w:tcPr>
            <w:tcW w:w="4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500"/>
              <w:spacing w:after="0"/>
              <w:rPr>
                <w:sz w:val="20"/>
                <w:szCs w:val="20"/>
                <w:color w:val="auto"/>
              </w:rPr>
            </w:pPr>
            <w:r>
              <w:rPr>
                <w:rFonts w:ascii="Arial" w:cs="Arial" w:eastAsia="Arial" w:hAnsi="Arial"/>
                <w:sz w:val="18"/>
                <w:szCs w:val="18"/>
                <w:color w:val="auto"/>
              </w:rPr>
              <w:t>Revolving secured line of credit (1)</w:t>
            </w:r>
          </w:p>
        </w:tc>
        <w:tc>
          <w:tcPr>
            <w:tcW w:w="1140" w:type="dxa"/>
            <w:vAlign w:val="bottom"/>
          </w:tcPr>
          <w:p>
            <w:pPr>
              <w:jc w:val="right"/>
              <w:ind w:right="936"/>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13.9</w:t>
            </w:r>
          </w:p>
        </w:tc>
      </w:tr>
      <w:tr>
        <w:trPr>
          <w:trHeight w:val="27"/>
        </w:trPr>
        <w:tc>
          <w:tcPr>
            <w:tcW w:w="4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Secured financing (1)</w:t>
            </w:r>
          </w:p>
        </w:tc>
        <w:tc>
          <w:tcPr>
            <w:tcW w:w="1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2,527.6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2,527.6</w:t>
            </w:r>
          </w:p>
        </w:tc>
      </w:tr>
      <w:tr>
        <w:trPr>
          <w:trHeight w:val="243"/>
        </w:trPr>
        <w:tc>
          <w:tcPr>
            <w:tcW w:w="4240" w:type="dxa"/>
            <w:vAlign w:val="bottom"/>
          </w:tcPr>
          <w:p>
            <w:pPr>
              <w:ind w:left="500"/>
              <w:spacing w:after="0"/>
              <w:rPr>
                <w:sz w:val="20"/>
                <w:szCs w:val="20"/>
                <w:color w:val="auto"/>
              </w:rPr>
            </w:pPr>
            <w:r>
              <w:rPr>
                <w:rFonts w:ascii="Arial" w:cs="Arial" w:eastAsia="Arial" w:hAnsi="Arial"/>
                <w:sz w:val="18"/>
                <w:szCs w:val="18"/>
                <w:color w:val="auto"/>
              </w:rPr>
              <w:t>Senior notes (1)</w:t>
            </w:r>
          </w:p>
        </w:tc>
        <w:tc>
          <w:tcPr>
            <w:tcW w:w="114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569.4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569.4</w:t>
            </w:r>
          </w:p>
        </w:tc>
      </w:tr>
      <w:tr>
        <w:trPr>
          <w:trHeight w:val="439"/>
        </w:trPr>
        <w:tc>
          <w:tcPr>
            <w:tcW w:w="424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1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5"/>
          </w:tcPr>
          <w:p>
            <w:pPr>
              <w:ind w:left="600"/>
              <w:spacing w:after="0"/>
              <w:rPr>
                <w:sz w:val="20"/>
                <w:szCs w:val="20"/>
                <w:color w:val="auto"/>
              </w:rPr>
            </w:pPr>
            <w:r>
              <w:rPr>
                <w:rFonts w:ascii="Arial" w:cs="Arial" w:eastAsia="Arial" w:hAnsi="Arial"/>
                <w:sz w:val="14"/>
                <w:szCs w:val="14"/>
                <w:b w:val="1"/>
                <w:bCs w:val="1"/>
                <w:color w:val="auto"/>
              </w:rPr>
              <w:t>As of December 31, 2016</w:t>
            </w: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r>
        <w:trPr>
          <w:trHeight w:val="264"/>
        </w:trPr>
        <w:tc>
          <w:tcPr>
            <w:tcW w:w="42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2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2</w:t>
            </w:r>
          </w:p>
        </w:tc>
        <w:tc>
          <w:tcPr>
            <w:tcW w:w="380" w:type="dxa"/>
            <w:vAlign w:val="bottom"/>
          </w:tcPr>
          <w:p>
            <w:pPr>
              <w:spacing w:after="0"/>
              <w:rPr>
                <w:sz w:val="22"/>
                <w:szCs w:val="22"/>
                <w:color w:val="auto"/>
              </w:rPr>
            </w:pPr>
          </w:p>
        </w:tc>
        <w:tc>
          <w:tcPr>
            <w:tcW w:w="1440" w:type="dxa"/>
            <w:vAlign w:val="bottom"/>
            <w:gridSpan w:val="2"/>
          </w:tcPr>
          <w:p>
            <w:pPr>
              <w:ind w:left="260"/>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22"/>
                <w:szCs w:val="22"/>
                <w:color w:val="auto"/>
              </w:rPr>
            </w:pPr>
          </w:p>
        </w:tc>
        <w:tc>
          <w:tcPr>
            <w:tcW w:w="1460" w:type="dxa"/>
            <w:vAlign w:val="bottom"/>
          </w:tcPr>
          <w:p>
            <w:pPr>
              <w:jc w:val="right"/>
              <w:ind w:right="272"/>
              <w:spacing w:after="0"/>
              <w:rPr>
                <w:sz w:val="20"/>
                <w:szCs w:val="20"/>
                <w:color w:val="auto"/>
              </w:rPr>
            </w:pPr>
            <w:r>
              <w:rPr>
                <w:rFonts w:ascii="Arial" w:cs="Arial" w:eastAsia="Arial" w:hAnsi="Arial"/>
                <w:sz w:val="14"/>
                <w:szCs w:val="14"/>
                <w:b w:val="1"/>
                <w:bCs w:val="1"/>
                <w:color w:val="auto"/>
              </w:rPr>
              <w:t>Total Fair Value</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14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Cash and cash equivalents (1)</w:t>
            </w:r>
          </w:p>
        </w:tc>
        <w:tc>
          <w:tcPr>
            <w:tcW w:w="114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w:t>
            </w:r>
          </w:p>
        </w:tc>
      </w:tr>
      <w:tr>
        <w:trPr>
          <w:trHeight w:val="243"/>
        </w:trPr>
        <w:tc>
          <w:tcPr>
            <w:tcW w:w="4240" w:type="dxa"/>
            <w:vAlign w:val="bottom"/>
          </w:tcPr>
          <w:p>
            <w:pPr>
              <w:ind w:left="500"/>
              <w:spacing w:after="0"/>
              <w:rPr>
                <w:sz w:val="20"/>
                <w:szCs w:val="20"/>
                <w:color w:val="auto"/>
              </w:rPr>
            </w:pPr>
            <w:r>
              <w:rPr>
                <w:rFonts w:ascii="Arial" w:cs="Arial" w:eastAsia="Arial" w:hAnsi="Arial"/>
                <w:sz w:val="18"/>
                <w:szCs w:val="18"/>
                <w:color w:val="auto"/>
              </w:rPr>
              <w:t>Restricted cash and cash equivalents (1)</w:t>
            </w:r>
          </w:p>
        </w:tc>
        <w:tc>
          <w:tcPr>
            <w:tcW w:w="114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224.7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224.7</w:t>
            </w:r>
          </w:p>
        </w:tc>
      </w:tr>
      <w:tr>
        <w:trPr>
          <w:trHeight w:val="27"/>
        </w:trPr>
        <w:tc>
          <w:tcPr>
            <w:tcW w:w="4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Restricted securities available for sale (2)</w:t>
            </w: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45.3</w:t>
            </w:r>
          </w:p>
        </w:tc>
      </w:tr>
      <w:tr>
        <w:trPr>
          <w:trHeight w:val="243"/>
        </w:trPr>
        <w:tc>
          <w:tcPr>
            <w:tcW w:w="4240" w:type="dxa"/>
            <w:vAlign w:val="bottom"/>
          </w:tcPr>
          <w:p>
            <w:pPr>
              <w:ind w:left="500"/>
              <w:spacing w:after="0"/>
              <w:rPr>
                <w:sz w:val="20"/>
                <w:szCs w:val="20"/>
                <w:color w:val="auto"/>
              </w:rPr>
            </w:pPr>
            <w:r>
              <w:rPr>
                <w:rFonts w:ascii="Arial" w:cs="Arial" w:eastAsia="Arial" w:hAnsi="Arial"/>
                <w:sz w:val="18"/>
                <w:szCs w:val="18"/>
                <w:color w:val="auto"/>
              </w:rPr>
              <w:t>Loans receivable, net (1)</w:t>
            </w:r>
          </w:p>
        </w:tc>
        <w:tc>
          <w:tcPr>
            <w:tcW w:w="114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3,955.9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3,955.9</w:t>
            </w:r>
          </w:p>
        </w:tc>
      </w:tr>
      <w:tr>
        <w:trPr>
          <w:trHeight w:val="27"/>
        </w:trPr>
        <w:tc>
          <w:tcPr>
            <w:tcW w:w="4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500"/>
              <w:spacing w:after="0"/>
              <w:rPr>
                <w:sz w:val="20"/>
                <w:szCs w:val="20"/>
                <w:color w:val="auto"/>
              </w:rPr>
            </w:pPr>
            <w:r>
              <w:rPr>
                <w:rFonts w:ascii="Arial" w:cs="Arial" w:eastAsia="Arial" w:hAnsi="Arial"/>
                <w:sz w:val="18"/>
                <w:szCs w:val="18"/>
                <w:color w:val="auto"/>
              </w:rPr>
              <w:t>Revolving secured line of credit (1)</w:t>
            </w:r>
          </w:p>
        </w:tc>
        <w:tc>
          <w:tcPr>
            <w:tcW w:w="1140" w:type="dxa"/>
            <w:vAlign w:val="bottom"/>
          </w:tcPr>
          <w:p>
            <w:pPr>
              <w:jc w:val="right"/>
              <w:ind w:right="936"/>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Secured financing (1)</w:t>
            </w:r>
          </w:p>
        </w:tc>
        <w:tc>
          <w:tcPr>
            <w:tcW w:w="1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2,072.0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2,072.0</w:t>
            </w:r>
          </w:p>
        </w:tc>
      </w:tr>
      <w:tr>
        <w:trPr>
          <w:trHeight w:val="243"/>
        </w:trPr>
        <w:tc>
          <w:tcPr>
            <w:tcW w:w="4240" w:type="dxa"/>
            <w:vAlign w:val="bottom"/>
          </w:tcPr>
          <w:p>
            <w:pPr>
              <w:ind w:left="500"/>
              <w:spacing w:after="0"/>
              <w:rPr>
                <w:sz w:val="20"/>
                <w:szCs w:val="20"/>
                <w:color w:val="auto"/>
              </w:rPr>
            </w:pPr>
            <w:r>
              <w:rPr>
                <w:rFonts w:ascii="Arial" w:cs="Arial" w:eastAsia="Arial" w:hAnsi="Arial"/>
                <w:sz w:val="18"/>
                <w:szCs w:val="18"/>
                <w:color w:val="auto"/>
              </w:rPr>
              <w:t>Senior notes (1)</w:t>
            </w:r>
          </w:p>
        </w:tc>
        <w:tc>
          <w:tcPr>
            <w:tcW w:w="114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560.5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560.5</w:t>
            </w:r>
          </w:p>
        </w:tc>
      </w:tr>
    </w:tbl>
    <w:p>
      <w:pPr>
        <w:spacing w:after="0" w:line="170" w:lineRule="exact"/>
        <w:rPr>
          <w:sz w:val="20"/>
          <w:szCs w:val="20"/>
          <w:color w:val="auto"/>
        </w:rPr>
      </w:pPr>
    </w:p>
    <w:p>
      <w:pPr>
        <w:ind w:left="500" w:hanging="330"/>
        <w:spacing w:after="0"/>
        <w:tabs>
          <w:tab w:leader="none" w:pos="5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Measured at amortized cost with fair value disclosed.</w:t>
      </w:r>
    </w:p>
    <w:p>
      <w:pPr>
        <w:spacing w:after="0" w:line="13" w:lineRule="exact"/>
        <w:rPr>
          <w:rFonts w:ascii="Arial" w:cs="Arial" w:eastAsia="Arial" w:hAnsi="Arial"/>
          <w:sz w:val="14"/>
          <w:szCs w:val="14"/>
          <w:color w:val="auto"/>
        </w:rPr>
      </w:pPr>
    </w:p>
    <w:p>
      <w:pPr>
        <w:ind w:left="500" w:hanging="330"/>
        <w:spacing w:after="0"/>
        <w:tabs>
          <w:tab w:leader="none" w:pos="5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Measured at fair value on a recurring basis.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337"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left="640" w:hanging="632"/>
        <w:spacing w:after="0"/>
        <w:tabs>
          <w:tab w:leader="none" w:pos="64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SECURITIES AVAILABLE FOR SALE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Restricted securities available for sale consist of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78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1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5"/>
          </w:tcPr>
          <w:p>
            <w:pPr>
              <w:ind w:left="980"/>
              <w:spacing w:after="0"/>
              <w:rPr>
                <w:sz w:val="20"/>
                <w:szCs w:val="20"/>
                <w:color w:val="auto"/>
              </w:rPr>
            </w:pPr>
            <w:r>
              <w:rPr>
                <w:rFonts w:ascii="Arial" w:cs="Arial" w:eastAsia="Arial" w:hAnsi="Arial"/>
                <w:sz w:val="14"/>
                <w:szCs w:val="14"/>
                <w:b w:val="1"/>
                <w:bCs w:val="1"/>
                <w:color w:val="auto"/>
              </w:rPr>
              <w:t>As of December 31, 2017</w:t>
            </w:r>
          </w:p>
        </w:tc>
        <w:tc>
          <w:tcPr>
            <w:tcW w:w="3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780" w:type="dxa"/>
            <w:vAlign w:val="bottom"/>
          </w:tcPr>
          <w:p>
            <w:pPr>
              <w:spacing w:after="0"/>
              <w:rPr>
                <w:sz w:val="13"/>
                <w:szCs w:val="13"/>
                <w:color w:val="auto"/>
              </w:rPr>
            </w:pPr>
          </w:p>
        </w:tc>
        <w:tc>
          <w:tcPr>
            <w:tcW w:w="124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Cost</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w w:val="93"/>
              </w:rPr>
              <w:t>Gross Unrealized Gains</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89"/>
              </w:rPr>
              <w:t>Gross Unrealized Losses</w:t>
            </w:r>
          </w:p>
        </w:tc>
        <w:tc>
          <w:tcPr>
            <w:tcW w:w="120" w:type="dxa"/>
            <w:vAlign w:val="bottom"/>
            <w:vMerge w:val="restart"/>
          </w:tcPr>
          <w:p>
            <w:pPr>
              <w:spacing w:after="0"/>
              <w:rPr>
                <w:sz w:val="13"/>
                <w:szCs w:val="13"/>
                <w:color w:val="auto"/>
              </w:rPr>
            </w:pPr>
          </w:p>
        </w:tc>
        <w:tc>
          <w:tcPr>
            <w:tcW w:w="340" w:type="dxa"/>
            <w:vAlign w:val="bottom"/>
          </w:tcPr>
          <w:p>
            <w:pPr>
              <w:spacing w:after="0"/>
              <w:rPr>
                <w:sz w:val="13"/>
                <w:szCs w:val="13"/>
                <w:color w:val="auto"/>
              </w:rPr>
            </w:pPr>
          </w:p>
        </w:tc>
        <w:tc>
          <w:tcPr>
            <w:tcW w:w="1480" w:type="dxa"/>
            <w:vAlign w:val="bottom"/>
          </w:tcPr>
          <w:p>
            <w:pPr>
              <w:ind w:left="260"/>
              <w:spacing w:after="0" w:line="153"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205"/>
        </w:trPr>
        <w:tc>
          <w:tcPr>
            <w:tcW w:w="378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 and agency securities</w:t>
            </w:r>
          </w:p>
        </w:tc>
        <w:tc>
          <w:tcPr>
            <w:tcW w:w="1240" w:type="dxa"/>
            <w:vAlign w:val="bottom"/>
            <w:tcBorders>
              <w:bottom w:val="single" w:sz="8" w:color="CCEEFF"/>
            </w:tcBorders>
            <w:shd w:val="clear" w:color="auto" w:fill="CCEEFF"/>
          </w:tcPr>
          <w:p>
            <w:pPr>
              <w:jc w:val="right"/>
              <w:ind w:right="103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Corporate bonds</w:t>
            </w:r>
          </w:p>
        </w:tc>
        <w:tc>
          <w:tcPr>
            <w:tcW w:w="124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1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84"/>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Mortgage-backed securities</w:t>
            </w:r>
          </w:p>
        </w:tc>
        <w:tc>
          <w:tcPr>
            <w:tcW w:w="1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w w:val="92"/>
              </w:rPr>
              <w:t>Total restricted securities available for sale</w:t>
            </w:r>
          </w:p>
        </w:tc>
        <w:tc>
          <w:tcPr>
            <w:tcW w:w="1240" w:type="dxa"/>
            <w:vAlign w:val="bottom"/>
            <w:tcBorders>
              <w:bottom w:val="single" w:sz="8" w:color="auto"/>
            </w:tcBorders>
            <w:shd w:val="clear" w:color="auto" w:fill="CCEEFF"/>
          </w:tcPr>
          <w:p>
            <w:pPr>
              <w:jc w:val="right"/>
              <w:ind w:right="103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46.4</w:t>
            </w:r>
          </w:p>
        </w:tc>
        <w:tc>
          <w:tcPr>
            <w:tcW w:w="1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720" w:type="dxa"/>
            <w:vAlign w:val="bottom"/>
            <w:tcBorders>
              <w:bottom w:val="single" w:sz="8" w:color="auto"/>
            </w:tcBorders>
            <w:gridSpan w:val="5"/>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8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1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5"/>
          </w:tcPr>
          <w:p>
            <w:pPr>
              <w:ind w:left="980"/>
              <w:spacing w:after="0"/>
              <w:rPr>
                <w:sz w:val="20"/>
                <w:szCs w:val="20"/>
                <w:color w:val="auto"/>
              </w:rPr>
            </w:pPr>
            <w:r>
              <w:rPr>
                <w:rFonts w:ascii="Arial" w:cs="Arial" w:eastAsia="Arial" w:hAnsi="Arial"/>
                <w:sz w:val="14"/>
                <w:szCs w:val="14"/>
                <w:b w:val="1"/>
                <w:bCs w:val="1"/>
                <w:color w:val="auto"/>
              </w:rPr>
              <w:t>As of December 31, 2016</w:t>
            </w:r>
          </w:p>
        </w:tc>
        <w:tc>
          <w:tcPr>
            <w:tcW w:w="3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780" w:type="dxa"/>
            <w:vAlign w:val="bottom"/>
          </w:tcPr>
          <w:p>
            <w:pPr>
              <w:spacing w:after="0"/>
              <w:rPr>
                <w:sz w:val="13"/>
                <w:szCs w:val="13"/>
                <w:color w:val="auto"/>
              </w:rPr>
            </w:pPr>
          </w:p>
        </w:tc>
        <w:tc>
          <w:tcPr>
            <w:tcW w:w="124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Cost</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w w:val="93"/>
              </w:rPr>
              <w:t>Gross Unrealized Gains</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89"/>
              </w:rPr>
              <w:t>Gross Unrealized Losses</w:t>
            </w:r>
          </w:p>
        </w:tc>
        <w:tc>
          <w:tcPr>
            <w:tcW w:w="120" w:type="dxa"/>
            <w:vAlign w:val="bottom"/>
            <w:vMerge w:val="restart"/>
          </w:tcPr>
          <w:p>
            <w:pPr>
              <w:spacing w:after="0"/>
              <w:rPr>
                <w:sz w:val="13"/>
                <w:szCs w:val="13"/>
                <w:color w:val="auto"/>
              </w:rPr>
            </w:pPr>
          </w:p>
        </w:tc>
        <w:tc>
          <w:tcPr>
            <w:tcW w:w="340" w:type="dxa"/>
            <w:vAlign w:val="bottom"/>
          </w:tcPr>
          <w:p>
            <w:pPr>
              <w:spacing w:after="0"/>
              <w:rPr>
                <w:sz w:val="13"/>
                <w:szCs w:val="13"/>
                <w:color w:val="auto"/>
              </w:rPr>
            </w:pPr>
          </w:p>
        </w:tc>
        <w:tc>
          <w:tcPr>
            <w:tcW w:w="1480" w:type="dxa"/>
            <w:vAlign w:val="bottom"/>
          </w:tcPr>
          <w:p>
            <w:pPr>
              <w:ind w:left="260"/>
              <w:spacing w:after="0" w:line="153"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205"/>
        </w:trPr>
        <w:tc>
          <w:tcPr>
            <w:tcW w:w="378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 and agency securities</w:t>
            </w:r>
          </w:p>
        </w:tc>
        <w:tc>
          <w:tcPr>
            <w:tcW w:w="1240" w:type="dxa"/>
            <w:vAlign w:val="bottom"/>
            <w:tcBorders>
              <w:bottom w:val="single" w:sz="8" w:color="CCEEFF"/>
            </w:tcBorders>
            <w:shd w:val="clear" w:color="auto" w:fill="CCEEFF"/>
          </w:tcPr>
          <w:p>
            <w:pPr>
              <w:jc w:val="right"/>
              <w:ind w:right="103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Corporate bonds</w:t>
            </w:r>
          </w:p>
        </w:tc>
        <w:tc>
          <w:tcPr>
            <w:tcW w:w="124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35"/>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1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84"/>
        </w:trPr>
        <w:tc>
          <w:tcPr>
            <w:tcW w:w="3780" w:type="dxa"/>
            <w:vAlign w:val="bottom"/>
          </w:tcPr>
          <w:p>
            <w:pPr>
              <w:ind w:left="40"/>
              <w:spacing w:after="0"/>
              <w:rPr>
                <w:sz w:val="20"/>
                <w:szCs w:val="20"/>
                <w:color w:val="auto"/>
              </w:rPr>
            </w:pPr>
            <w:r>
              <w:rPr>
                <w:rFonts w:ascii="Arial" w:cs="Arial" w:eastAsia="Arial" w:hAnsi="Arial"/>
                <w:sz w:val="18"/>
                <w:szCs w:val="18"/>
                <w:color w:val="auto"/>
              </w:rPr>
              <w:t>Mortgage-backed securities</w:t>
            </w:r>
          </w:p>
        </w:tc>
        <w:tc>
          <w:tcPr>
            <w:tcW w:w="1240" w:type="dxa"/>
            <w:vAlign w:val="bottom"/>
          </w:tcPr>
          <w:p>
            <w:pPr>
              <w:spacing w:after="0"/>
              <w:rPr>
                <w:sz w:val="24"/>
                <w:szCs w:val="24"/>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57"/>
        </w:trPr>
        <w:tc>
          <w:tcPr>
            <w:tcW w:w="3780" w:type="dxa"/>
            <w:vAlign w:val="bottom"/>
            <w:tcBorders>
              <w:top w:val="single" w:sz="8" w:color="CCEEFF"/>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w w:val="92"/>
              </w:rPr>
              <w:t>Total restricted securities available for sale</w:t>
            </w:r>
          </w:p>
        </w:tc>
        <w:tc>
          <w:tcPr>
            <w:tcW w:w="1240" w:type="dxa"/>
            <w:vAlign w:val="bottom"/>
            <w:tcBorders>
              <w:top w:val="single" w:sz="8" w:color="auto"/>
              <w:bottom w:val="single" w:sz="8" w:color="auto"/>
            </w:tcBorders>
            <w:shd w:val="clear" w:color="auto" w:fill="CCEEFF"/>
          </w:tcPr>
          <w:p>
            <w:pPr>
              <w:jc w:val="right"/>
              <w:ind w:right="103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0.1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fair value and gross unrealized losses for restricted securities available for sale, aggregated by investment category and length of time that individual securities have been in a continuous unrealized loss position, are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34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320" w:type="dxa"/>
            <w:vAlign w:val="bottom"/>
            <w:tcBorders>
              <w:bottom w:val="single" w:sz="8" w:color="auto"/>
            </w:tcBorders>
            <w:gridSpan w:val="11"/>
          </w:tcPr>
          <w:p>
            <w:pPr>
              <w:jc w:val="center"/>
              <w:ind w:right="240"/>
              <w:spacing w:after="0"/>
              <w:rPr>
                <w:sz w:val="20"/>
                <w:szCs w:val="20"/>
                <w:color w:val="auto"/>
              </w:rPr>
            </w:pPr>
            <w:r>
              <w:rPr>
                <w:rFonts w:ascii="Arial" w:cs="Arial" w:eastAsia="Arial" w:hAnsi="Arial"/>
                <w:sz w:val="14"/>
                <w:szCs w:val="14"/>
                <w:b w:val="1"/>
                <w:bCs w:val="1"/>
                <w:color w:val="auto"/>
                <w:w w:val="91"/>
              </w:rPr>
              <w:t>Securities Available for Sale with Gross Unrealized Losses as of December 31, 2017</w:t>
            </w: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3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420" w:type="dxa"/>
            <w:vAlign w:val="bottom"/>
            <w:tcBorders>
              <w:bottom w:val="single" w:sz="8" w:color="auto"/>
            </w:tcBorders>
            <w:gridSpan w:val="4"/>
          </w:tcPr>
          <w:p>
            <w:pPr>
              <w:jc w:val="right"/>
              <w:ind w:right="578"/>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420" w:type="dxa"/>
            <w:vAlign w:val="bottom"/>
            <w:tcBorders>
              <w:bottom w:val="single" w:sz="8" w:color="auto"/>
            </w:tcBorders>
            <w:gridSpan w:val="4"/>
          </w:tcPr>
          <w:p>
            <w:pPr>
              <w:jc w:val="center"/>
              <w:ind w:right="97"/>
              <w:spacing w:after="0"/>
              <w:rPr>
                <w:sz w:val="20"/>
                <w:szCs w:val="20"/>
                <w:color w:val="auto"/>
              </w:rPr>
            </w:pPr>
            <w:r>
              <w:rPr>
                <w:rFonts w:ascii="Arial" w:cs="Arial" w:eastAsia="Arial" w:hAnsi="Arial"/>
                <w:sz w:val="14"/>
                <w:szCs w:val="14"/>
                <w:b w:val="1"/>
                <w:bCs w:val="1"/>
                <w:color w:val="auto"/>
                <w:w w:val="96"/>
              </w:rPr>
              <w:t>12 Months or More</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3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Estimated</w:t>
            </w:r>
          </w:p>
        </w:tc>
        <w:tc>
          <w:tcPr>
            <w:tcW w:w="140" w:type="dxa"/>
            <w:vAlign w:val="bottom"/>
          </w:tcPr>
          <w:p>
            <w:pPr>
              <w:spacing w:after="0"/>
              <w:rPr>
                <w:sz w:val="13"/>
                <w:szCs w:val="13"/>
                <w:color w:val="auto"/>
              </w:rPr>
            </w:pPr>
          </w:p>
        </w:tc>
        <w:tc>
          <w:tcPr>
            <w:tcW w:w="12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3"/>
                <w:szCs w:val="13"/>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Estimated</w:t>
            </w:r>
          </w:p>
        </w:tc>
        <w:tc>
          <w:tcPr>
            <w:tcW w:w="200" w:type="dxa"/>
            <w:vAlign w:val="bottom"/>
          </w:tcPr>
          <w:p>
            <w:pPr>
              <w:spacing w:after="0"/>
              <w:rPr>
                <w:sz w:val="13"/>
                <w:szCs w:val="13"/>
                <w:color w:val="auto"/>
              </w:rPr>
            </w:pPr>
          </w:p>
        </w:tc>
        <w:tc>
          <w:tcPr>
            <w:tcW w:w="11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3"/>
                <w:szCs w:val="13"/>
                <w:color w:val="auto"/>
              </w:rPr>
            </w:pPr>
          </w:p>
        </w:tc>
        <w:tc>
          <w:tcPr>
            <w:tcW w:w="12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Total Estimated</w:t>
            </w:r>
          </w:p>
        </w:tc>
        <w:tc>
          <w:tcPr>
            <w:tcW w:w="200" w:type="dxa"/>
            <w:vAlign w:val="bottom"/>
          </w:tcPr>
          <w:p>
            <w:pPr>
              <w:spacing w:after="0"/>
              <w:rPr>
                <w:sz w:val="13"/>
                <w:szCs w:val="13"/>
                <w:color w:val="auto"/>
              </w:rPr>
            </w:pPr>
          </w:p>
        </w:tc>
        <w:tc>
          <w:tcPr>
            <w:tcW w:w="1060" w:type="dxa"/>
            <w:vAlign w:val="bottom"/>
            <w:vMerge w:val="restart"/>
          </w:tcPr>
          <w:p>
            <w:pPr>
              <w:jc w:val="center"/>
              <w:ind w:right="113"/>
              <w:spacing w:after="0"/>
              <w:rPr>
                <w:sz w:val="20"/>
                <w:szCs w:val="20"/>
                <w:color w:val="auto"/>
              </w:rPr>
            </w:pPr>
            <w:r>
              <w:rPr>
                <w:rFonts w:ascii="Arial" w:cs="Arial" w:eastAsia="Arial" w:hAnsi="Arial"/>
                <w:sz w:val="14"/>
                <w:szCs w:val="14"/>
                <w:b w:val="1"/>
                <w:bCs w:val="1"/>
                <w:color w:val="auto"/>
                <w:w w:val="89"/>
              </w:rPr>
              <w:t>Total Gross</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3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200" w:type="dxa"/>
            <w:vAlign w:val="bottom"/>
          </w:tcPr>
          <w:p>
            <w:pPr>
              <w:spacing w:after="0"/>
              <w:rPr>
                <w:sz w:val="17"/>
                <w:szCs w:val="17"/>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7"/>
                <w:szCs w:val="17"/>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Fair Value</w:t>
            </w: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Unrealized Losses</w:t>
            </w: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 and agency securities</w:t>
            </w: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Corporate bonds</w:t>
            </w:r>
          </w:p>
        </w:tc>
        <w:tc>
          <w:tcPr>
            <w:tcW w:w="20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3340" w:type="dxa"/>
            <w:vAlign w:val="bottom"/>
          </w:tcPr>
          <w:p>
            <w:pPr>
              <w:ind w:left="40"/>
              <w:spacing w:after="0"/>
              <w:rPr>
                <w:sz w:val="20"/>
                <w:szCs w:val="20"/>
                <w:color w:val="auto"/>
              </w:rPr>
            </w:pPr>
            <w:r>
              <w:rPr>
                <w:rFonts w:ascii="Arial" w:cs="Arial" w:eastAsia="Arial" w:hAnsi="Arial"/>
                <w:sz w:val="18"/>
                <w:szCs w:val="18"/>
                <w:color w:val="auto"/>
              </w:rPr>
              <w:t>Mortgage-backed securities</w:t>
            </w:r>
          </w:p>
        </w:tc>
        <w:tc>
          <w:tcPr>
            <w:tcW w:w="200" w:type="dxa"/>
            <w:vAlign w:val="bottom"/>
          </w:tcPr>
          <w:p>
            <w:pPr>
              <w:spacing w:after="0"/>
              <w:rPr>
                <w:sz w:val="24"/>
                <w:szCs w:val="24"/>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3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7"/>
              </w:rPr>
              <w:t>Total restricted securities available for</w:t>
            </w:r>
          </w:p>
        </w:tc>
        <w:tc>
          <w:tcPr>
            <w:tcW w:w="20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vMerge w:val="restart"/>
            <w:shd w:val="clear" w:color="auto" w:fill="CCEEFF"/>
          </w:tcPr>
          <w:p>
            <w:pPr>
              <w:jc w:val="right"/>
              <w:ind w:right="17"/>
              <w:spacing w:after="0"/>
              <w:rPr>
                <w:sz w:val="20"/>
                <w:szCs w:val="20"/>
                <w:color w:val="auto"/>
              </w:rPr>
            </w:pPr>
            <w:r>
              <w:rPr>
                <w:rFonts w:ascii="Arial" w:cs="Arial" w:eastAsia="Arial" w:hAnsi="Arial"/>
                <w:sz w:val="18"/>
                <w:szCs w:val="18"/>
                <w:color w:val="auto"/>
              </w:rPr>
              <w:t>28.2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vMerge w:val="restart"/>
            <w:shd w:val="clear" w:color="auto" w:fill="CCEEFF"/>
          </w:tcPr>
          <w:p>
            <w:pPr>
              <w:jc w:val="right"/>
              <w:ind w:right="17"/>
              <w:spacing w:after="0"/>
              <w:rPr>
                <w:sz w:val="20"/>
                <w:szCs w:val="20"/>
                <w:color w:val="auto"/>
              </w:rPr>
            </w:pPr>
            <w:r>
              <w:rPr>
                <w:rFonts w:ascii="Arial" w:cs="Arial" w:eastAsia="Arial" w:hAnsi="Arial"/>
                <w:sz w:val="18"/>
                <w:szCs w:val="18"/>
                <w:color w:val="auto"/>
              </w:rPr>
              <w:t>12.0</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40.2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sale</w:t>
            </w: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334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gridSpan w:val="11"/>
          </w:tcPr>
          <w:p>
            <w:pPr>
              <w:jc w:val="center"/>
              <w:ind w:right="240"/>
              <w:spacing w:after="0"/>
              <w:rPr>
                <w:sz w:val="20"/>
                <w:szCs w:val="20"/>
                <w:color w:val="auto"/>
              </w:rPr>
            </w:pPr>
            <w:r>
              <w:rPr>
                <w:rFonts w:ascii="Arial" w:cs="Arial" w:eastAsia="Arial" w:hAnsi="Arial"/>
                <w:sz w:val="14"/>
                <w:szCs w:val="14"/>
                <w:b w:val="1"/>
                <w:bCs w:val="1"/>
                <w:color w:val="auto"/>
                <w:w w:val="91"/>
              </w:rPr>
              <w:t>Securities Available for Sale with Gross Unrealized Losses as of December 31, 2016</w:t>
            </w: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3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420" w:type="dxa"/>
            <w:vAlign w:val="bottom"/>
            <w:tcBorders>
              <w:bottom w:val="single" w:sz="8" w:color="auto"/>
            </w:tcBorders>
            <w:gridSpan w:val="4"/>
          </w:tcPr>
          <w:p>
            <w:pPr>
              <w:jc w:val="right"/>
              <w:ind w:right="578"/>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420" w:type="dxa"/>
            <w:vAlign w:val="bottom"/>
            <w:tcBorders>
              <w:bottom w:val="single" w:sz="8" w:color="auto"/>
            </w:tcBorders>
            <w:gridSpan w:val="4"/>
          </w:tcPr>
          <w:p>
            <w:pPr>
              <w:jc w:val="center"/>
              <w:ind w:right="97"/>
              <w:spacing w:after="0"/>
              <w:rPr>
                <w:sz w:val="20"/>
                <w:szCs w:val="20"/>
                <w:color w:val="auto"/>
              </w:rPr>
            </w:pPr>
            <w:r>
              <w:rPr>
                <w:rFonts w:ascii="Arial" w:cs="Arial" w:eastAsia="Arial" w:hAnsi="Arial"/>
                <w:sz w:val="14"/>
                <w:szCs w:val="14"/>
                <w:b w:val="1"/>
                <w:bCs w:val="1"/>
                <w:color w:val="auto"/>
                <w:w w:val="96"/>
              </w:rPr>
              <w:t>12 Months or More</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3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Estimated</w:t>
            </w:r>
          </w:p>
        </w:tc>
        <w:tc>
          <w:tcPr>
            <w:tcW w:w="140" w:type="dxa"/>
            <w:vAlign w:val="bottom"/>
          </w:tcPr>
          <w:p>
            <w:pPr>
              <w:spacing w:after="0"/>
              <w:rPr>
                <w:sz w:val="13"/>
                <w:szCs w:val="13"/>
                <w:color w:val="auto"/>
              </w:rPr>
            </w:pPr>
          </w:p>
        </w:tc>
        <w:tc>
          <w:tcPr>
            <w:tcW w:w="12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3"/>
                <w:szCs w:val="13"/>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Estimated</w:t>
            </w:r>
          </w:p>
        </w:tc>
        <w:tc>
          <w:tcPr>
            <w:tcW w:w="200" w:type="dxa"/>
            <w:vAlign w:val="bottom"/>
          </w:tcPr>
          <w:p>
            <w:pPr>
              <w:spacing w:after="0"/>
              <w:rPr>
                <w:sz w:val="13"/>
                <w:szCs w:val="13"/>
                <w:color w:val="auto"/>
              </w:rPr>
            </w:pPr>
          </w:p>
        </w:tc>
        <w:tc>
          <w:tcPr>
            <w:tcW w:w="11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3"/>
                <w:szCs w:val="13"/>
                <w:color w:val="auto"/>
              </w:rPr>
            </w:pPr>
          </w:p>
        </w:tc>
        <w:tc>
          <w:tcPr>
            <w:tcW w:w="12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Total Estimated</w:t>
            </w:r>
          </w:p>
        </w:tc>
        <w:tc>
          <w:tcPr>
            <w:tcW w:w="200" w:type="dxa"/>
            <w:vAlign w:val="bottom"/>
          </w:tcPr>
          <w:p>
            <w:pPr>
              <w:spacing w:after="0"/>
              <w:rPr>
                <w:sz w:val="13"/>
                <w:szCs w:val="13"/>
                <w:color w:val="auto"/>
              </w:rPr>
            </w:pPr>
          </w:p>
        </w:tc>
        <w:tc>
          <w:tcPr>
            <w:tcW w:w="1060" w:type="dxa"/>
            <w:vAlign w:val="bottom"/>
            <w:vMerge w:val="restart"/>
          </w:tcPr>
          <w:p>
            <w:pPr>
              <w:jc w:val="center"/>
              <w:ind w:right="113"/>
              <w:spacing w:after="0"/>
              <w:rPr>
                <w:sz w:val="20"/>
                <w:szCs w:val="20"/>
                <w:color w:val="auto"/>
              </w:rPr>
            </w:pPr>
            <w:r>
              <w:rPr>
                <w:rFonts w:ascii="Arial" w:cs="Arial" w:eastAsia="Arial" w:hAnsi="Arial"/>
                <w:sz w:val="14"/>
                <w:szCs w:val="14"/>
                <w:b w:val="1"/>
                <w:bCs w:val="1"/>
                <w:color w:val="auto"/>
                <w:w w:val="89"/>
              </w:rPr>
              <w:t>Total Gross</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33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Unrealized Losses</w:t>
            </w: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 and agency securities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Corporate bonds</w:t>
            </w:r>
          </w:p>
        </w:tc>
        <w:tc>
          <w:tcPr>
            <w:tcW w:w="20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Mortgage-backed securities</w:t>
            </w: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3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7"/>
              </w:rPr>
              <w:t>Total restricted securities available for</w:t>
            </w: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CEEFF"/>
          </w:tcPr>
          <w:p>
            <w:pPr>
              <w:jc w:val="right"/>
              <w:ind w:right="17"/>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7"/>
        </w:trPr>
        <w:tc>
          <w:tcPr>
            <w:tcW w:w="33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sale</w:t>
            </w:r>
          </w:p>
        </w:tc>
        <w:tc>
          <w:tcPr>
            <w:tcW w:w="200" w:type="dxa"/>
            <w:vAlign w:val="bottom"/>
            <w:vMerge w:val="continue"/>
            <w:shd w:val="clear" w:color="auto" w:fill="CCEEFF"/>
          </w:tcPr>
          <w:p>
            <w:pPr>
              <w:spacing w:after="0"/>
              <w:rPr>
                <w:sz w:val="20"/>
                <w:szCs w:val="20"/>
                <w:color w:val="auto"/>
              </w:rPr>
            </w:pPr>
          </w:p>
        </w:tc>
        <w:tc>
          <w:tcPr>
            <w:tcW w:w="10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1160" w:type="dxa"/>
            <w:vAlign w:val="bottom"/>
            <w:gridSpan w:val="2"/>
            <w:vMerge w:val="continue"/>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1160" w:type="dxa"/>
            <w:vAlign w:val="bottom"/>
            <w:gridSpan w:val="2"/>
            <w:vMerge w:val="continue"/>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10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ind w:right="78"/>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cost and estimated fair values of debt securities by contractual maturity were as follows (securities with multiple maturity dates are classified in the period of final maturity). Expected maturities will differ from contractual maturities because borrowers may have the right to call or prepay obligations with or without call or prepayment penalties.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780" w:type="dxa"/>
            <w:vAlign w:val="bottom"/>
            <w:gridSpan w:val="2"/>
          </w:tcPr>
          <w:p>
            <w:pPr>
              <w:ind w:left="40"/>
              <w:spacing w:after="0"/>
              <w:rPr>
                <w:sz w:val="20"/>
                <w:szCs w:val="20"/>
                <w:color w:val="auto"/>
              </w:rPr>
            </w:pPr>
            <w:r>
              <w:rPr>
                <w:rFonts w:ascii="Arial" w:cs="Arial" w:eastAsia="Arial" w:hAnsi="Arial"/>
                <w:sz w:val="14"/>
                <w:szCs w:val="14"/>
                <w:color w:val="auto"/>
              </w:rPr>
              <w:t>(In millions)</w:t>
            </w:r>
          </w:p>
        </w:tc>
        <w:tc>
          <w:tcPr>
            <w:tcW w:w="4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680" w:type="dxa"/>
            <w:vAlign w:val="bottom"/>
            <w:tcBorders>
              <w:bottom w:val="single" w:sz="8" w:color="auto"/>
            </w:tcBorders>
            <w:gridSpan w:val="5"/>
          </w:tcPr>
          <w:p>
            <w:pPr>
              <w:ind w:left="1100"/>
              <w:spacing w:after="0"/>
              <w:rPr>
                <w:sz w:val="20"/>
                <w:szCs w:val="20"/>
                <w:color w:val="auto"/>
              </w:rPr>
            </w:pPr>
            <w:r>
              <w:rPr>
                <w:rFonts w:ascii="Arial" w:cs="Arial" w:eastAsia="Arial" w:hAnsi="Arial"/>
                <w:sz w:val="14"/>
                <w:szCs w:val="14"/>
                <w:b w:val="1"/>
                <w:bCs w:val="1"/>
                <w:color w:val="auto"/>
              </w:rPr>
              <w:t>As of December 31,</w:t>
            </w:r>
          </w:p>
        </w:tc>
        <w:tc>
          <w:tcPr>
            <w:tcW w:w="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89"/>
              </w:rPr>
              <w:t>2017</w:t>
            </w:r>
          </w:p>
        </w:tc>
        <w:tc>
          <w:tcPr>
            <w:tcW w:w="16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2016</w:t>
            </w:r>
          </w:p>
        </w:tc>
        <w:tc>
          <w:tcPr>
            <w:tcW w:w="16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Contractual Maturity</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Cost</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8"/>
              </w:rPr>
              <w:t>Estimated Fair Value</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8"/>
              </w:rPr>
              <w:t>Estimated Fair Value</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Within one year</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Over one year to five years</w:t>
            </w:r>
          </w:p>
        </w:tc>
        <w:tc>
          <w:tcPr>
            <w:tcW w:w="4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5"/>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6"/>
              <w:spacing w:after="0"/>
              <w:rPr>
                <w:sz w:val="20"/>
                <w:szCs w:val="20"/>
                <w:color w:val="auto"/>
              </w:rPr>
            </w:pPr>
            <w:r>
              <w:rPr>
                <w:rFonts w:ascii="Arial" w:cs="Arial" w:eastAsia="Arial" w:hAnsi="Arial"/>
                <w:sz w:val="18"/>
                <w:szCs w:val="18"/>
                <w:color w:val="auto"/>
              </w:rPr>
              <w:t>39.3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Over five years to ten years</w:t>
            </w:r>
          </w:p>
        </w:tc>
        <w:tc>
          <w:tcPr>
            <w:tcW w:w="4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84"/>
        </w:trPr>
        <w:tc>
          <w:tcPr>
            <w:tcW w:w="37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Over ten years</w:t>
            </w:r>
          </w:p>
        </w:tc>
        <w:tc>
          <w:tcPr>
            <w:tcW w:w="4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57"/>
        </w:trPr>
        <w:tc>
          <w:tcPr>
            <w:tcW w:w="3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Total restricted securities available for sale</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3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46.1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45.5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5.  LOANS RECEIVABLE</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78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780" w:type="dxa"/>
            <w:vAlign w:val="bottom"/>
            <w:gridSpan w:val="2"/>
          </w:tcPr>
          <w:p>
            <w:pPr>
              <w:ind w:left="340"/>
              <w:spacing w:after="0"/>
              <w:rPr>
                <w:sz w:val="20"/>
                <w:szCs w:val="20"/>
                <w:color w:val="auto"/>
              </w:rPr>
            </w:pPr>
            <w:r>
              <w:rPr>
                <w:rFonts w:ascii="Arial" w:cs="Arial" w:eastAsia="Arial" w:hAnsi="Arial"/>
                <w:sz w:val="18"/>
                <w:szCs w:val="18"/>
                <w:color w:val="auto"/>
              </w:rPr>
              <w:t>Loans receivable consists of the following:</w:t>
            </w:r>
          </w:p>
        </w:tc>
        <w:tc>
          <w:tcPr>
            <w:tcW w:w="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3780" w:type="dxa"/>
            <w:vAlign w:val="bottom"/>
            <w:gridSpan w:val="2"/>
          </w:tcPr>
          <w:p>
            <w:pPr>
              <w:ind w:left="40"/>
              <w:spacing w:after="0"/>
              <w:rPr>
                <w:sz w:val="20"/>
                <w:szCs w:val="20"/>
                <w:color w:val="auto"/>
              </w:rPr>
            </w:pPr>
            <w:r>
              <w:rPr>
                <w:rFonts w:ascii="Arial" w:cs="Arial" w:eastAsia="Arial" w:hAnsi="Arial"/>
                <w:sz w:val="14"/>
                <w:szCs w:val="14"/>
                <w:color w:val="auto"/>
              </w:rPr>
              <w:t>(In millions)</w:t>
            </w:r>
          </w:p>
        </w:tc>
        <w:tc>
          <w:tcPr>
            <w:tcW w:w="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As of December 31, 2017</w:t>
            </w:r>
          </w:p>
        </w:tc>
        <w:tc>
          <w:tcPr>
            <w:tcW w:w="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6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Dealer Loans</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0"/>
              </w:rPr>
              <w:t>Purchased Loans</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Loans receivable</w:t>
            </w:r>
          </w:p>
        </w:tc>
        <w:tc>
          <w:tcPr>
            <w:tcW w:w="4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3,518.1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1,530.9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5,049.0</w:t>
            </w:r>
          </w:p>
        </w:tc>
        <w:tc>
          <w:tcPr>
            <w:tcW w:w="0" w:type="dxa"/>
            <w:vAlign w:val="bottom"/>
          </w:tcPr>
          <w:p>
            <w:pPr>
              <w:spacing w:after="0"/>
              <w:rPr>
                <w:sz w:val="1"/>
                <w:szCs w:val="1"/>
                <w:color w:val="auto"/>
              </w:rPr>
            </w:pPr>
          </w:p>
        </w:tc>
      </w:tr>
      <w:tr>
        <w:trPr>
          <w:trHeight w:val="284"/>
        </w:trPr>
        <w:tc>
          <w:tcPr>
            <w:tcW w:w="37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Allowance for credit losses</w:t>
            </w:r>
          </w:p>
        </w:tc>
        <w:tc>
          <w:tcPr>
            <w:tcW w:w="46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(366.0)</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(429.4)</w:t>
            </w: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Loans receivable, net</w:t>
            </w:r>
          </w:p>
        </w:tc>
        <w:tc>
          <w:tcPr>
            <w:tcW w:w="4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spacing w:after="0"/>
              <w:rPr>
                <w:sz w:val="22"/>
                <w:szCs w:val="22"/>
                <w:color w:val="auto"/>
              </w:rPr>
            </w:pPr>
          </w:p>
        </w:tc>
        <w:tc>
          <w:tcPr>
            <w:tcW w:w="2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3,152.1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1,467.5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4,619.6</w:t>
            </w:r>
          </w:p>
        </w:tc>
        <w:tc>
          <w:tcPr>
            <w:tcW w:w="0" w:type="dxa"/>
            <w:vAlign w:val="bottom"/>
          </w:tcPr>
          <w:p>
            <w:pPr>
              <w:spacing w:after="0"/>
              <w:rPr>
                <w:sz w:val="1"/>
                <w:szCs w:val="1"/>
                <w:color w:val="auto"/>
              </w:rPr>
            </w:pPr>
          </w:p>
        </w:tc>
      </w:tr>
      <w:tr>
        <w:trPr>
          <w:trHeight w:val="20"/>
        </w:trPr>
        <w:tc>
          <w:tcPr>
            <w:tcW w:w="37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3780" w:type="dxa"/>
            <w:vAlign w:val="bottom"/>
            <w:gridSpan w:val="2"/>
          </w:tcPr>
          <w:p>
            <w:pPr>
              <w:ind w:left="40"/>
              <w:spacing w:after="0"/>
              <w:rPr>
                <w:sz w:val="20"/>
                <w:szCs w:val="20"/>
                <w:color w:val="auto"/>
              </w:rPr>
            </w:pPr>
            <w:r>
              <w:rPr>
                <w:rFonts w:ascii="Arial" w:cs="Arial" w:eastAsia="Arial" w:hAnsi="Arial"/>
                <w:sz w:val="14"/>
                <w:szCs w:val="14"/>
                <w:color w:val="auto"/>
              </w:rPr>
              <w:t>(In millions)</w:t>
            </w:r>
          </w:p>
        </w:tc>
        <w:tc>
          <w:tcPr>
            <w:tcW w:w="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As of December 31, 2016</w:t>
            </w:r>
          </w:p>
        </w:tc>
        <w:tc>
          <w:tcPr>
            <w:tcW w:w="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6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Dealer Loans</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0"/>
              </w:rPr>
              <w:t>Purchased Loans</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Loans receivable</w:t>
            </w:r>
          </w:p>
        </w:tc>
        <w:tc>
          <w:tcPr>
            <w:tcW w:w="4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3,209.0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998.0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4,207.0</w:t>
            </w:r>
          </w:p>
        </w:tc>
        <w:tc>
          <w:tcPr>
            <w:tcW w:w="0" w:type="dxa"/>
            <w:vAlign w:val="bottom"/>
          </w:tcPr>
          <w:p>
            <w:pPr>
              <w:spacing w:after="0"/>
              <w:rPr>
                <w:sz w:val="1"/>
                <w:szCs w:val="1"/>
                <w:color w:val="auto"/>
              </w:rPr>
            </w:pPr>
          </w:p>
        </w:tc>
      </w:tr>
      <w:tr>
        <w:trPr>
          <w:trHeight w:val="284"/>
        </w:trPr>
        <w:tc>
          <w:tcPr>
            <w:tcW w:w="37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Allowance for credit losses</w:t>
            </w:r>
          </w:p>
        </w:tc>
        <w:tc>
          <w:tcPr>
            <w:tcW w:w="46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(309.3)</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(320.4)</w:t>
            </w:r>
          </w:p>
        </w:tc>
        <w:tc>
          <w:tcPr>
            <w:tcW w:w="0" w:type="dxa"/>
            <w:vAlign w:val="bottom"/>
          </w:tcPr>
          <w:p>
            <w:pPr>
              <w:spacing w:after="0"/>
              <w:rPr>
                <w:sz w:val="1"/>
                <w:szCs w:val="1"/>
                <w:color w:val="auto"/>
              </w:rPr>
            </w:pPr>
          </w:p>
        </w:tc>
      </w:tr>
      <w:tr>
        <w:trPr>
          <w:trHeight w:val="257"/>
        </w:trPr>
        <w:tc>
          <w:tcPr>
            <w:tcW w:w="3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Loans receivable, net</w:t>
            </w:r>
          </w:p>
        </w:tc>
        <w:tc>
          <w:tcPr>
            <w:tcW w:w="4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3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2,899.7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986.9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3,886.6</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0" w:type="dxa"/>
            <w:vAlign w:val="bottom"/>
            <w:gridSpan w:val="4"/>
          </w:tcPr>
          <w:p>
            <w:pPr>
              <w:jc w:val="right"/>
              <w:ind w:right="120"/>
              <w:spacing w:after="0"/>
              <w:rPr>
                <w:sz w:val="20"/>
                <w:szCs w:val="20"/>
                <w:color w:val="auto"/>
              </w:rPr>
            </w:pPr>
            <w:r>
              <w:rPr>
                <w:rFonts w:ascii="Arial" w:cs="Arial" w:eastAsia="Arial" w:hAnsi="Arial"/>
                <w:sz w:val="18"/>
                <w:szCs w:val="18"/>
                <w:color w:val="auto"/>
              </w:rPr>
              <w:t>62</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changes in Loans receivable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72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7"/>
                <w:szCs w:val="17"/>
                <w:color w:val="auto"/>
              </w:rPr>
            </w:pPr>
          </w:p>
        </w:tc>
        <w:tc>
          <w:tcPr>
            <w:tcW w:w="4040" w:type="dxa"/>
            <w:vAlign w:val="bottom"/>
            <w:tcBorders>
              <w:bottom w:val="single" w:sz="8" w:color="auto"/>
            </w:tcBorders>
            <w:gridSpan w:val="6"/>
          </w:tcPr>
          <w:p>
            <w:pPr>
              <w:jc w:val="center"/>
              <w:ind w:left="953"/>
              <w:spacing w:after="0"/>
              <w:rPr>
                <w:sz w:val="20"/>
                <w:szCs w:val="20"/>
                <w:color w:val="auto"/>
              </w:rPr>
            </w:pPr>
            <w:r>
              <w:rPr>
                <w:rFonts w:ascii="Arial" w:cs="Arial" w:eastAsia="Arial" w:hAnsi="Arial"/>
                <w:sz w:val="14"/>
                <w:szCs w:val="14"/>
                <w:b w:val="1"/>
                <w:bCs w:val="1"/>
                <w:color w:val="auto"/>
                <w:w w:val="92"/>
              </w:rPr>
              <w:t>For the Year Ended December 31, 2017</w:t>
            </w:r>
          </w:p>
        </w:tc>
        <w:tc>
          <w:tcPr>
            <w:tcW w:w="1340" w:type="dxa"/>
            <w:vAlign w:val="bottom"/>
            <w:tcBorders>
              <w:bottom w:val="single" w:sz="8" w:color="auto"/>
            </w:tcBorders>
          </w:tcPr>
          <w:p>
            <w:pPr>
              <w:spacing w:after="0"/>
              <w:rPr>
                <w:sz w:val="17"/>
                <w:szCs w:val="17"/>
                <w:color w:val="auto"/>
              </w:rPr>
            </w:pPr>
          </w:p>
        </w:tc>
      </w:tr>
      <w:tr>
        <w:trPr>
          <w:trHeight w:val="264"/>
        </w:trPr>
        <w:tc>
          <w:tcPr>
            <w:tcW w:w="5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20" w:type="dxa"/>
            <w:vAlign w:val="bottom"/>
            <w:gridSpan w:val="2"/>
          </w:tcPr>
          <w:p>
            <w:pPr>
              <w:ind w:left="180"/>
              <w:spacing w:after="0"/>
              <w:rPr>
                <w:sz w:val="20"/>
                <w:szCs w:val="20"/>
                <w:color w:val="auto"/>
              </w:rPr>
            </w:pPr>
            <w:r>
              <w:rPr>
                <w:rFonts w:ascii="Arial" w:cs="Arial" w:eastAsia="Arial" w:hAnsi="Arial"/>
                <w:sz w:val="14"/>
                <w:szCs w:val="14"/>
                <w:b w:val="1"/>
                <w:bCs w:val="1"/>
                <w:color w:val="auto"/>
              </w:rPr>
              <w:t>Dealer Loans</w:t>
            </w:r>
          </w:p>
        </w:tc>
        <w:tc>
          <w:tcPr>
            <w:tcW w:w="260" w:type="dxa"/>
            <w:vAlign w:val="bottom"/>
          </w:tcPr>
          <w:p>
            <w:pPr>
              <w:spacing w:after="0"/>
              <w:rPr>
                <w:sz w:val="22"/>
                <w:szCs w:val="22"/>
                <w:color w:val="auto"/>
              </w:rPr>
            </w:pPr>
          </w:p>
        </w:tc>
        <w:tc>
          <w:tcPr>
            <w:tcW w:w="16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Purchased Loans</w:t>
            </w:r>
          </w:p>
        </w:tc>
        <w:tc>
          <w:tcPr>
            <w:tcW w:w="480" w:type="dxa"/>
            <w:vAlign w:val="bottom"/>
          </w:tcPr>
          <w:p>
            <w:pPr>
              <w:spacing w:after="0"/>
              <w:rPr>
                <w:sz w:val="22"/>
                <w:szCs w:val="22"/>
                <w:color w:val="auto"/>
              </w:rPr>
            </w:pPr>
          </w:p>
        </w:tc>
        <w:tc>
          <w:tcPr>
            <w:tcW w:w="1340" w:type="dxa"/>
            <w:vAlign w:val="bottom"/>
          </w:tcPr>
          <w:p>
            <w:pPr>
              <w:jc w:val="right"/>
              <w:ind w:right="672"/>
              <w:spacing w:after="0"/>
              <w:rPr>
                <w:sz w:val="20"/>
                <w:szCs w:val="20"/>
                <w:color w:val="auto"/>
              </w:rPr>
            </w:pPr>
            <w:r>
              <w:rPr>
                <w:rFonts w:ascii="Arial" w:cs="Arial" w:eastAsia="Arial" w:hAnsi="Arial"/>
                <w:sz w:val="14"/>
                <w:szCs w:val="14"/>
                <w:b w:val="1"/>
                <w:bCs w:val="1"/>
                <w:color w:val="auto"/>
              </w:rPr>
              <w:t>Total</w:t>
            </w:r>
          </w:p>
        </w:tc>
      </w:tr>
      <w:tr>
        <w:trPr>
          <w:trHeight w:val="250"/>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beginning of period</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3,209.0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4,207.0</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New Consumer Loan assignments (1)</w:t>
            </w:r>
          </w:p>
        </w:tc>
        <w:tc>
          <w:tcPr>
            <w:tcW w:w="320" w:type="dxa"/>
            <w:vAlign w:val="bottom"/>
          </w:tcPr>
          <w:p>
            <w:pPr>
              <w:spacing w:after="0"/>
              <w:rPr>
                <w:sz w:val="21"/>
                <w:szCs w:val="21"/>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1,968.3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904.8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2,873.1</w:t>
            </w:r>
          </w:p>
        </w:tc>
      </w:tr>
      <w:tr>
        <w:trPr>
          <w:trHeight w:val="27"/>
        </w:trPr>
        <w:tc>
          <w:tcPr>
            <w:tcW w:w="5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Principal collected on Loans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(2,189.5)</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Accelerated Dealer Holdback payments</w:t>
            </w:r>
          </w:p>
        </w:tc>
        <w:tc>
          <w:tcPr>
            <w:tcW w:w="320" w:type="dxa"/>
            <w:vAlign w:val="bottom"/>
          </w:tcPr>
          <w:p>
            <w:pPr>
              <w:spacing w:after="0"/>
              <w:rPr>
                <w:sz w:val="21"/>
                <w:szCs w:val="21"/>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47.1</w:t>
            </w:r>
          </w:p>
        </w:tc>
      </w:tr>
      <w:tr>
        <w:trPr>
          <w:trHeight w:val="27"/>
        </w:trPr>
        <w:tc>
          <w:tcPr>
            <w:tcW w:w="5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Dealer Holdback payments</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131.6</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Transfers (2)</w:t>
            </w:r>
          </w:p>
        </w:tc>
        <w:tc>
          <w:tcPr>
            <w:tcW w:w="3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93.1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Write-offs</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r>
      <w:tr>
        <w:trPr>
          <w:trHeight w:val="284"/>
        </w:trPr>
        <w:tc>
          <w:tcPr>
            <w:tcW w:w="57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Recoveries (3)</w:t>
            </w:r>
          </w:p>
        </w:tc>
        <w:tc>
          <w:tcPr>
            <w:tcW w:w="3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w:t>
            </w:r>
          </w:p>
        </w:tc>
      </w:tr>
      <w:tr>
        <w:trPr>
          <w:trHeight w:val="25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end of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3,518.1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1,530.9</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5,049.0</w:t>
            </w:r>
          </w:p>
        </w:tc>
      </w:tr>
      <w:tr>
        <w:trPr>
          <w:trHeight w:val="20"/>
        </w:trPr>
        <w:tc>
          <w:tcPr>
            <w:tcW w:w="5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521"/>
        </w:trPr>
        <w:tc>
          <w:tcPr>
            <w:tcW w:w="572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6"/>
          </w:tcPr>
          <w:p>
            <w:pPr>
              <w:jc w:val="center"/>
              <w:ind w:left="953"/>
              <w:spacing w:after="0"/>
              <w:rPr>
                <w:sz w:val="20"/>
                <w:szCs w:val="20"/>
                <w:color w:val="auto"/>
              </w:rPr>
            </w:pPr>
            <w:r>
              <w:rPr>
                <w:rFonts w:ascii="Arial" w:cs="Arial" w:eastAsia="Arial" w:hAnsi="Arial"/>
                <w:sz w:val="14"/>
                <w:szCs w:val="14"/>
                <w:b w:val="1"/>
                <w:bCs w:val="1"/>
                <w:color w:val="auto"/>
                <w:w w:val="92"/>
              </w:rPr>
              <w:t>For the Year Ended December 31, 2016</w:t>
            </w:r>
          </w:p>
        </w:tc>
        <w:tc>
          <w:tcPr>
            <w:tcW w:w="1340" w:type="dxa"/>
            <w:vAlign w:val="bottom"/>
            <w:tcBorders>
              <w:bottom w:val="single" w:sz="8" w:color="auto"/>
            </w:tcBorders>
          </w:tcPr>
          <w:p>
            <w:pPr>
              <w:spacing w:after="0"/>
              <w:rPr>
                <w:sz w:val="24"/>
                <w:szCs w:val="24"/>
                <w:color w:val="auto"/>
              </w:rPr>
            </w:pPr>
          </w:p>
        </w:tc>
      </w:tr>
      <w:tr>
        <w:trPr>
          <w:trHeight w:val="264"/>
        </w:trPr>
        <w:tc>
          <w:tcPr>
            <w:tcW w:w="5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20" w:type="dxa"/>
            <w:vAlign w:val="bottom"/>
            <w:gridSpan w:val="2"/>
          </w:tcPr>
          <w:p>
            <w:pPr>
              <w:ind w:left="180"/>
              <w:spacing w:after="0"/>
              <w:rPr>
                <w:sz w:val="20"/>
                <w:szCs w:val="20"/>
                <w:color w:val="auto"/>
              </w:rPr>
            </w:pPr>
            <w:r>
              <w:rPr>
                <w:rFonts w:ascii="Arial" w:cs="Arial" w:eastAsia="Arial" w:hAnsi="Arial"/>
                <w:sz w:val="14"/>
                <w:szCs w:val="14"/>
                <w:b w:val="1"/>
                <w:bCs w:val="1"/>
                <w:color w:val="auto"/>
              </w:rPr>
              <w:t>Dealer Loans</w:t>
            </w:r>
          </w:p>
        </w:tc>
        <w:tc>
          <w:tcPr>
            <w:tcW w:w="260" w:type="dxa"/>
            <w:vAlign w:val="bottom"/>
          </w:tcPr>
          <w:p>
            <w:pPr>
              <w:spacing w:after="0"/>
              <w:rPr>
                <w:sz w:val="22"/>
                <w:szCs w:val="22"/>
                <w:color w:val="auto"/>
              </w:rPr>
            </w:pPr>
          </w:p>
        </w:tc>
        <w:tc>
          <w:tcPr>
            <w:tcW w:w="16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Purchased Loans</w:t>
            </w:r>
          </w:p>
        </w:tc>
        <w:tc>
          <w:tcPr>
            <w:tcW w:w="480" w:type="dxa"/>
            <w:vAlign w:val="bottom"/>
          </w:tcPr>
          <w:p>
            <w:pPr>
              <w:spacing w:after="0"/>
              <w:rPr>
                <w:sz w:val="22"/>
                <w:szCs w:val="22"/>
                <w:color w:val="auto"/>
              </w:rPr>
            </w:pPr>
          </w:p>
        </w:tc>
        <w:tc>
          <w:tcPr>
            <w:tcW w:w="1340" w:type="dxa"/>
            <w:vAlign w:val="bottom"/>
          </w:tcPr>
          <w:p>
            <w:pPr>
              <w:jc w:val="right"/>
              <w:ind w:right="672"/>
              <w:spacing w:after="0"/>
              <w:rPr>
                <w:sz w:val="20"/>
                <w:szCs w:val="20"/>
                <w:color w:val="auto"/>
              </w:rPr>
            </w:pPr>
            <w:r>
              <w:rPr>
                <w:rFonts w:ascii="Arial" w:cs="Arial" w:eastAsia="Arial" w:hAnsi="Arial"/>
                <w:sz w:val="14"/>
                <w:szCs w:val="14"/>
                <w:b w:val="1"/>
                <w:bCs w:val="1"/>
                <w:color w:val="auto"/>
              </w:rPr>
              <w:t>Total</w:t>
            </w:r>
          </w:p>
        </w:tc>
      </w:tr>
      <w:tr>
        <w:trPr>
          <w:trHeight w:val="250"/>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beginning of period</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2,823.4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3,345.1</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New Consumer Loan assignments (1)</w:t>
            </w:r>
          </w:p>
        </w:tc>
        <w:tc>
          <w:tcPr>
            <w:tcW w:w="320" w:type="dxa"/>
            <w:vAlign w:val="bottom"/>
          </w:tcPr>
          <w:p>
            <w:pPr>
              <w:spacing w:after="0"/>
              <w:rPr>
                <w:sz w:val="21"/>
                <w:szCs w:val="21"/>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1,881.3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754.2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2,635.5</w:t>
            </w:r>
          </w:p>
        </w:tc>
      </w:tr>
      <w:tr>
        <w:trPr>
          <w:trHeight w:val="27"/>
        </w:trPr>
        <w:tc>
          <w:tcPr>
            <w:tcW w:w="5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Principal collected on Loans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(1,955.8)</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Accelerated Dealer Holdback payments</w:t>
            </w:r>
          </w:p>
        </w:tc>
        <w:tc>
          <w:tcPr>
            <w:tcW w:w="320" w:type="dxa"/>
            <w:vAlign w:val="bottom"/>
          </w:tcPr>
          <w:p>
            <w:pPr>
              <w:spacing w:after="0"/>
              <w:rPr>
                <w:sz w:val="21"/>
                <w:szCs w:val="21"/>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53.6</w:t>
            </w:r>
          </w:p>
        </w:tc>
      </w:tr>
      <w:tr>
        <w:trPr>
          <w:trHeight w:val="27"/>
        </w:trPr>
        <w:tc>
          <w:tcPr>
            <w:tcW w:w="5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Dealer Holdback payments</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142.0</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Transfers (2)</w:t>
            </w:r>
          </w:p>
        </w:tc>
        <w:tc>
          <w:tcPr>
            <w:tcW w:w="3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Write-offs</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84"/>
        </w:trPr>
        <w:tc>
          <w:tcPr>
            <w:tcW w:w="57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Recoveries (3)</w:t>
            </w:r>
          </w:p>
        </w:tc>
        <w:tc>
          <w:tcPr>
            <w:tcW w:w="3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w:t>
            </w:r>
          </w:p>
        </w:tc>
      </w:tr>
      <w:tr>
        <w:trPr>
          <w:trHeight w:val="25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end of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3,209.0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998.0</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4,207.0</w:t>
            </w:r>
          </w:p>
        </w:tc>
      </w:tr>
      <w:tr>
        <w:trPr>
          <w:trHeight w:val="20"/>
        </w:trPr>
        <w:tc>
          <w:tcPr>
            <w:tcW w:w="5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521"/>
        </w:trPr>
        <w:tc>
          <w:tcPr>
            <w:tcW w:w="572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6"/>
          </w:tcPr>
          <w:p>
            <w:pPr>
              <w:jc w:val="center"/>
              <w:ind w:left="953"/>
              <w:spacing w:after="0"/>
              <w:rPr>
                <w:sz w:val="20"/>
                <w:szCs w:val="20"/>
                <w:color w:val="auto"/>
              </w:rPr>
            </w:pPr>
            <w:r>
              <w:rPr>
                <w:rFonts w:ascii="Arial" w:cs="Arial" w:eastAsia="Arial" w:hAnsi="Arial"/>
                <w:sz w:val="14"/>
                <w:szCs w:val="14"/>
                <w:b w:val="1"/>
                <w:bCs w:val="1"/>
                <w:color w:val="auto"/>
                <w:w w:val="92"/>
              </w:rPr>
              <w:t>For the Year Ended December 31, 2015</w:t>
            </w:r>
          </w:p>
        </w:tc>
        <w:tc>
          <w:tcPr>
            <w:tcW w:w="1340" w:type="dxa"/>
            <w:vAlign w:val="bottom"/>
            <w:tcBorders>
              <w:bottom w:val="single" w:sz="8" w:color="auto"/>
            </w:tcBorders>
          </w:tcPr>
          <w:p>
            <w:pPr>
              <w:spacing w:after="0"/>
              <w:rPr>
                <w:sz w:val="24"/>
                <w:szCs w:val="24"/>
                <w:color w:val="auto"/>
              </w:rPr>
            </w:pPr>
          </w:p>
        </w:tc>
      </w:tr>
      <w:tr>
        <w:trPr>
          <w:trHeight w:val="264"/>
        </w:trPr>
        <w:tc>
          <w:tcPr>
            <w:tcW w:w="5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20" w:type="dxa"/>
            <w:vAlign w:val="bottom"/>
            <w:gridSpan w:val="2"/>
          </w:tcPr>
          <w:p>
            <w:pPr>
              <w:ind w:left="180"/>
              <w:spacing w:after="0"/>
              <w:rPr>
                <w:sz w:val="20"/>
                <w:szCs w:val="20"/>
                <w:color w:val="auto"/>
              </w:rPr>
            </w:pPr>
            <w:r>
              <w:rPr>
                <w:rFonts w:ascii="Arial" w:cs="Arial" w:eastAsia="Arial" w:hAnsi="Arial"/>
                <w:sz w:val="14"/>
                <w:szCs w:val="14"/>
                <w:b w:val="1"/>
                <w:bCs w:val="1"/>
                <w:color w:val="auto"/>
              </w:rPr>
              <w:t>Dealer Loans</w:t>
            </w:r>
          </w:p>
        </w:tc>
        <w:tc>
          <w:tcPr>
            <w:tcW w:w="260" w:type="dxa"/>
            <w:vAlign w:val="bottom"/>
          </w:tcPr>
          <w:p>
            <w:pPr>
              <w:spacing w:after="0"/>
              <w:rPr>
                <w:sz w:val="22"/>
                <w:szCs w:val="22"/>
                <w:color w:val="auto"/>
              </w:rPr>
            </w:pPr>
          </w:p>
        </w:tc>
        <w:tc>
          <w:tcPr>
            <w:tcW w:w="16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Purchased Loans</w:t>
            </w:r>
          </w:p>
        </w:tc>
        <w:tc>
          <w:tcPr>
            <w:tcW w:w="480" w:type="dxa"/>
            <w:vAlign w:val="bottom"/>
          </w:tcPr>
          <w:p>
            <w:pPr>
              <w:spacing w:after="0"/>
              <w:rPr>
                <w:sz w:val="22"/>
                <w:szCs w:val="22"/>
                <w:color w:val="auto"/>
              </w:rPr>
            </w:pPr>
          </w:p>
        </w:tc>
        <w:tc>
          <w:tcPr>
            <w:tcW w:w="1340" w:type="dxa"/>
            <w:vAlign w:val="bottom"/>
          </w:tcPr>
          <w:p>
            <w:pPr>
              <w:jc w:val="right"/>
              <w:ind w:right="672"/>
              <w:spacing w:after="0"/>
              <w:rPr>
                <w:sz w:val="20"/>
                <w:szCs w:val="20"/>
                <w:color w:val="auto"/>
              </w:rPr>
            </w:pPr>
            <w:r>
              <w:rPr>
                <w:rFonts w:ascii="Arial" w:cs="Arial" w:eastAsia="Arial" w:hAnsi="Arial"/>
                <w:sz w:val="14"/>
                <w:szCs w:val="14"/>
                <w:b w:val="1"/>
                <w:bCs w:val="1"/>
                <w:color w:val="auto"/>
              </w:rPr>
              <w:t>Total</w:t>
            </w:r>
          </w:p>
        </w:tc>
      </w:tr>
      <w:tr>
        <w:trPr>
          <w:trHeight w:val="250"/>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beginning of period</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2,389.8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2,719.8</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New Consumer Loan assignments (1)</w:t>
            </w:r>
          </w:p>
        </w:tc>
        <w:tc>
          <w:tcPr>
            <w:tcW w:w="320" w:type="dxa"/>
            <w:vAlign w:val="bottom"/>
          </w:tcPr>
          <w:p>
            <w:pPr>
              <w:spacing w:after="0"/>
              <w:rPr>
                <w:sz w:val="21"/>
                <w:szCs w:val="21"/>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1,795.1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371.9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2,167.0</w:t>
            </w:r>
          </w:p>
        </w:tc>
      </w:tr>
      <w:tr>
        <w:trPr>
          <w:trHeight w:val="27"/>
        </w:trPr>
        <w:tc>
          <w:tcPr>
            <w:tcW w:w="5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Principal collected on Loans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(1,739.6)</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Accelerated Dealer Holdback payments</w:t>
            </w:r>
          </w:p>
        </w:tc>
        <w:tc>
          <w:tcPr>
            <w:tcW w:w="320" w:type="dxa"/>
            <w:vAlign w:val="bottom"/>
          </w:tcPr>
          <w:p>
            <w:pPr>
              <w:spacing w:after="0"/>
              <w:rPr>
                <w:sz w:val="21"/>
                <w:szCs w:val="21"/>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52.6</w:t>
            </w:r>
          </w:p>
        </w:tc>
      </w:tr>
      <w:tr>
        <w:trPr>
          <w:trHeight w:val="27"/>
        </w:trPr>
        <w:tc>
          <w:tcPr>
            <w:tcW w:w="5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Dealer Holdback payments</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150.1</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Transfers (2)</w:t>
            </w:r>
          </w:p>
        </w:tc>
        <w:tc>
          <w:tcPr>
            <w:tcW w:w="3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Write-offs</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84"/>
        </w:trPr>
        <w:tc>
          <w:tcPr>
            <w:tcW w:w="57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Recoveries (3)</w:t>
            </w:r>
          </w:p>
        </w:tc>
        <w:tc>
          <w:tcPr>
            <w:tcW w:w="3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w:t>
            </w:r>
          </w:p>
        </w:tc>
      </w:tr>
      <w:tr>
        <w:trPr>
          <w:trHeight w:val="25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end of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2,823.4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521.7</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3,345.1</w:t>
            </w:r>
          </w:p>
        </w:tc>
      </w:tr>
      <w:tr>
        <w:trPr>
          <w:trHeight w:val="20"/>
        </w:trPr>
        <w:tc>
          <w:tcPr>
            <w:tcW w:w="5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500" w:right="20" w:hanging="330"/>
        <w:spacing w:after="0" w:line="250" w:lineRule="auto"/>
        <w:tabs>
          <w:tab w:leader="none" w:pos="5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Dealer Loans amount represents advances paid to Dealers on Consumer Loans assigned under our Portfolio Program. The Purchased Loans amount represents one-time payments made to Dealers to purchase Consumer Loans assigned under our Purchase Program.</w:t>
      </w:r>
    </w:p>
    <w:p>
      <w:pPr>
        <w:ind w:left="500" w:hanging="330"/>
        <w:spacing w:after="0" w:line="241" w:lineRule="auto"/>
        <w:tabs>
          <w:tab w:leader="none" w:pos="5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Under our Portfolio Program, certain events may result in Dealers forfeiting their rights to Dealer Holdback. We transfer the Dealer’s outstanding Dealer Loan balance to Purchased Loans in the period this forfeiture occurs.</w:t>
      </w:r>
    </w:p>
    <w:p>
      <w:pPr>
        <w:ind w:left="500" w:hanging="330"/>
        <w:spacing w:after="0"/>
        <w:tabs>
          <w:tab w:leader="none" w:pos="5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Represents collections received on previously written off Loans.</w:t>
      </w:r>
    </w:p>
    <w:p>
      <w:pPr>
        <w:spacing w:after="0" w:line="21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During the fourth quarter of 2017, we transferred $89.0 million of Dealer Loans along with the related allowance for credit losses balance of $31.8 million to Purchased Loans. Under our Portfolio Program, certain events may result in Dealers forfeiting their rights to Dealer Holdback. Substantially all of these transfers relate to Dealers where events had occurred in prior periods that met our criteria for forfeiture. However, while we intended to exercise our rights to Dealer Holdback in the period the forfeiture event occurred, we did not exercise our rights for these Dealers until the fourth quarter of 2017. We also enhanced our accounting methodology for transferring Loans. In the fourth quarter of 2017, we began transferring the related allowance for credit losses balance to Purchased Loans. Prior to the fourth quarter of 2017, rather than transferring the related allowance for credit losses</w:t>
      </w:r>
    </w:p>
    <w:p>
      <w:pPr>
        <w:sectPr>
          <w:pgSz w:w="11900" w:h="16838" w:orient="portrait"/>
          <w:cols w:equalWidth="0" w:num="1">
            <w:col w:w="11420"/>
          </w:cols>
          <w:pgMar w:left="240" w:top="337" w:right="239" w:bottom="1440" w:gutter="0" w:footer="0" w:header="0"/>
        </w:sectPr>
      </w:pP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337" w:right="239" w:bottom="1440" w:gutter="0" w:footer="0" w:header="0"/>
          <w:type w:val="continuous"/>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balance to Purchased Loans, we reversed the balance through Dealer Loan provision for credit losses and established a new allowance for credit losses in Purchased Loans through Purchased Loan provision for credit losses.</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Contractual net cash flows are comprised of the contractual repayments of the underlying Consumer Loans for Dealer and Purchased Loans, less the related Dealer Holdback payments for Dealer Loans. The difference between the contractual net cash flows and the expected net cash flows is referred to as the nonaccretable difference. This difference is neither accreted into income nor recorded in our balance sheets. We do not believe that the contractual net cash flows of our Loan portfolio are relevant in assessing our financial position. We are contractually owed repayments on many Consumer Loans, primarily those older than 120 months, where we are not forecasting any future net cash flows.</w:t>
      </w:r>
    </w:p>
    <w:p>
      <w:pPr>
        <w:spacing w:after="0" w:line="188"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excess of expected net cash flows over the outstanding balance of Loans receivable, net is referred to as the accretable yield and is recognized on a level-yield basis as finance charge income over the remaining lives of the Loans. A summary of changes in the accretable yield is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72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7"/>
                <w:szCs w:val="17"/>
                <w:color w:val="auto"/>
              </w:rPr>
            </w:pPr>
          </w:p>
        </w:tc>
        <w:tc>
          <w:tcPr>
            <w:tcW w:w="4040" w:type="dxa"/>
            <w:vAlign w:val="bottom"/>
            <w:tcBorders>
              <w:bottom w:val="single" w:sz="8" w:color="auto"/>
            </w:tcBorders>
            <w:gridSpan w:val="6"/>
          </w:tcPr>
          <w:p>
            <w:pPr>
              <w:jc w:val="center"/>
              <w:ind w:left="954"/>
              <w:spacing w:after="0"/>
              <w:rPr>
                <w:sz w:val="20"/>
                <w:szCs w:val="20"/>
                <w:color w:val="auto"/>
              </w:rPr>
            </w:pPr>
            <w:r>
              <w:rPr>
                <w:rFonts w:ascii="Arial" w:cs="Arial" w:eastAsia="Arial" w:hAnsi="Arial"/>
                <w:sz w:val="14"/>
                <w:szCs w:val="14"/>
                <w:b w:val="1"/>
                <w:bCs w:val="1"/>
                <w:color w:val="auto"/>
                <w:w w:val="92"/>
              </w:rPr>
              <w:t>For the Year Ended December 31, 2017</w:t>
            </w:r>
          </w:p>
        </w:tc>
        <w:tc>
          <w:tcPr>
            <w:tcW w:w="1340" w:type="dxa"/>
            <w:vAlign w:val="bottom"/>
            <w:tcBorders>
              <w:bottom w:val="single" w:sz="8" w:color="auto"/>
            </w:tcBorders>
          </w:tcPr>
          <w:p>
            <w:pPr>
              <w:spacing w:after="0"/>
              <w:rPr>
                <w:sz w:val="17"/>
                <w:szCs w:val="17"/>
                <w:color w:val="auto"/>
              </w:rPr>
            </w:pPr>
          </w:p>
        </w:tc>
      </w:tr>
      <w:tr>
        <w:trPr>
          <w:trHeight w:val="264"/>
        </w:trPr>
        <w:tc>
          <w:tcPr>
            <w:tcW w:w="5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20" w:type="dxa"/>
            <w:vAlign w:val="bottom"/>
            <w:gridSpan w:val="2"/>
          </w:tcPr>
          <w:p>
            <w:pPr>
              <w:ind w:left="180"/>
              <w:spacing w:after="0"/>
              <w:rPr>
                <w:sz w:val="20"/>
                <w:szCs w:val="20"/>
                <w:color w:val="auto"/>
              </w:rPr>
            </w:pPr>
            <w:r>
              <w:rPr>
                <w:rFonts w:ascii="Arial" w:cs="Arial" w:eastAsia="Arial" w:hAnsi="Arial"/>
                <w:sz w:val="14"/>
                <w:szCs w:val="14"/>
                <w:b w:val="1"/>
                <w:bCs w:val="1"/>
                <w:color w:val="auto"/>
              </w:rPr>
              <w:t>Dealer Loans</w:t>
            </w:r>
          </w:p>
        </w:tc>
        <w:tc>
          <w:tcPr>
            <w:tcW w:w="260" w:type="dxa"/>
            <w:vAlign w:val="bottom"/>
          </w:tcPr>
          <w:p>
            <w:pPr>
              <w:spacing w:after="0"/>
              <w:rPr>
                <w:sz w:val="22"/>
                <w:szCs w:val="22"/>
                <w:color w:val="auto"/>
              </w:rPr>
            </w:pPr>
          </w:p>
        </w:tc>
        <w:tc>
          <w:tcPr>
            <w:tcW w:w="16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Purchased Loans</w:t>
            </w:r>
          </w:p>
        </w:tc>
        <w:tc>
          <w:tcPr>
            <w:tcW w:w="480" w:type="dxa"/>
            <w:vAlign w:val="bottom"/>
          </w:tcPr>
          <w:p>
            <w:pPr>
              <w:spacing w:after="0"/>
              <w:rPr>
                <w:sz w:val="22"/>
                <w:szCs w:val="22"/>
                <w:color w:val="auto"/>
              </w:rPr>
            </w:pPr>
          </w:p>
        </w:tc>
        <w:tc>
          <w:tcPr>
            <w:tcW w:w="1340" w:type="dxa"/>
            <w:vAlign w:val="bottom"/>
          </w:tcPr>
          <w:p>
            <w:pPr>
              <w:jc w:val="right"/>
              <w:ind w:right="672"/>
              <w:spacing w:after="0"/>
              <w:rPr>
                <w:sz w:val="20"/>
                <w:szCs w:val="20"/>
                <w:color w:val="auto"/>
              </w:rPr>
            </w:pPr>
            <w:r>
              <w:rPr>
                <w:rFonts w:ascii="Arial" w:cs="Arial" w:eastAsia="Arial" w:hAnsi="Arial"/>
                <w:sz w:val="14"/>
                <w:szCs w:val="14"/>
                <w:b w:val="1"/>
                <w:bCs w:val="1"/>
                <w:color w:val="auto"/>
              </w:rPr>
              <w:t>Total</w:t>
            </w:r>
          </w:p>
        </w:tc>
      </w:tr>
      <w:tr>
        <w:trPr>
          <w:trHeight w:val="250"/>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beginning of period</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982.6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1,330.7</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New Consumer Loan assignments (1)</w:t>
            </w:r>
          </w:p>
        </w:tc>
        <w:tc>
          <w:tcPr>
            <w:tcW w:w="32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803.0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377.9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1,180.9</w:t>
            </w:r>
          </w:p>
        </w:tc>
      </w:tr>
      <w:tr>
        <w:trPr>
          <w:trHeight w:val="27"/>
        </w:trPr>
        <w:tc>
          <w:tcPr>
            <w:tcW w:w="5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Accretion (2)</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(1,020.2)</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Provision for credit losses</w:t>
            </w:r>
          </w:p>
        </w:tc>
        <w:tc>
          <w:tcPr>
            <w:tcW w:w="32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103.4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129.3</w:t>
            </w:r>
          </w:p>
        </w:tc>
      </w:tr>
      <w:tr>
        <w:trPr>
          <w:trHeight w:val="27"/>
        </w:trPr>
        <w:tc>
          <w:tcPr>
            <w:tcW w:w="5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Forecast changes</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36.1</w:t>
            </w:r>
          </w:p>
        </w:tc>
      </w:tr>
      <w:tr>
        <w:trPr>
          <w:trHeight w:val="284"/>
        </w:trPr>
        <w:tc>
          <w:tcPr>
            <w:tcW w:w="57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Transfers (3)</w:t>
            </w:r>
          </w:p>
        </w:tc>
        <w:tc>
          <w:tcPr>
            <w:tcW w:w="3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36.9</w:t>
            </w: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8.7</w:t>
            </w:r>
          </w:p>
        </w:tc>
      </w:tr>
      <w:tr>
        <w:trPr>
          <w:trHeight w:val="25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end of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1,088.6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576.9</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1,665.5</w:t>
            </w:r>
          </w:p>
        </w:tc>
      </w:tr>
      <w:tr>
        <w:trPr>
          <w:trHeight w:val="20"/>
        </w:trPr>
        <w:tc>
          <w:tcPr>
            <w:tcW w:w="5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521"/>
        </w:trPr>
        <w:tc>
          <w:tcPr>
            <w:tcW w:w="572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6"/>
          </w:tcPr>
          <w:p>
            <w:pPr>
              <w:jc w:val="center"/>
              <w:ind w:left="954"/>
              <w:spacing w:after="0"/>
              <w:rPr>
                <w:sz w:val="20"/>
                <w:szCs w:val="20"/>
                <w:color w:val="auto"/>
              </w:rPr>
            </w:pPr>
            <w:r>
              <w:rPr>
                <w:rFonts w:ascii="Arial" w:cs="Arial" w:eastAsia="Arial" w:hAnsi="Arial"/>
                <w:sz w:val="14"/>
                <w:szCs w:val="14"/>
                <w:b w:val="1"/>
                <w:bCs w:val="1"/>
                <w:color w:val="auto"/>
                <w:w w:val="92"/>
              </w:rPr>
              <w:t>For the Year Ended December 31, 2016</w:t>
            </w:r>
          </w:p>
        </w:tc>
        <w:tc>
          <w:tcPr>
            <w:tcW w:w="1340" w:type="dxa"/>
            <w:vAlign w:val="bottom"/>
            <w:tcBorders>
              <w:bottom w:val="single" w:sz="8" w:color="auto"/>
            </w:tcBorders>
          </w:tcPr>
          <w:p>
            <w:pPr>
              <w:spacing w:after="0"/>
              <w:rPr>
                <w:sz w:val="24"/>
                <w:szCs w:val="24"/>
                <w:color w:val="auto"/>
              </w:rPr>
            </w:pPr>
          </w:p>
        </w:tc>
      </w:tr>
      <w:tr>
        <w:trPr>
          <w:trHeight w:val="264"/>
        </w:trPr>
        <w:tc>
          <w:tcPr>
            <w:tcW w:w="5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20" w:type="dxa"/>
            <w:vAlign w:val="bottom"/>
            <w:gridSpan w:val="2"/>
          </w:tcPr>
          <w:p>
            <w:pPr>
              <w:ind w:left="180"/>
              <w:spacing w:after="0"/>
              <w:rPr>
                <w:sz w:val="20"/>
                <w:szCs w:val="20"/>
                <w:color w:val="auto"/>
              </w:rPr>
            </w:pPr>
            <w:r>
              <w:rPr>
                <w:rFonts w:ascii="Arial" w:cs="Arial" w:eastAsia="Arial" w:hAnsi="Arial"/>
                <w:sz w:val="14"/>
                <w:szCs w:val="14"/>
                <w:b w:val="1"/>
                <w:bCs w:val="1"/>
                <w:color w:val="auto"/>
              </w:rPr>
              <w:t>Dealer Loans</w:t>
            </w:r>
          </w:p>
        </w:tc>
        <w:tc>
          <w:tcPr>
            <w:tcW w:w="260" w:type="dxa"/>
            <w:vAlign w:val="bottom"/>
          </w:tcPr>
          <w:p>
            <w:pPr>
              <w:spacing w:after="0"/>
              <w:rPr>
                <w:sz w:val="22"/>
                <w:szCs w:val="22"/>
                <w:color w:val="auto"/>
              </w:rPr>
            </w:pPr>
          </w:p>
        </w:tc>
        <w:tc>
          <w:tcPr>
            <w:tcW w:w="16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Purchased Loans</w:t>
            </w:r>
          </w:p>
        </w:tc>
        <w:tc>
          <w:tcPr>
            <w:tcW w:w="480" w:type="dxa"/>
            <w:vAlign w:val="bottom"/>
          </w:tcPr>
          <w:p>
            <w:pPr>
              <w:spacing w:after="0"/>
              <w:rPr>
                <w:sz w:val="22"/>
                <w:szCs w:val="22"/>
                <w:color w:val="auto"/>
              </w:rPr>
            </w:pPr>
          </w:p>
        </w:tc>
        <w:tc>
          <w:tcPr>
            <w:tcW w:w="1340" w:type="dxa"/>
            <w:vAlign w:val="bottom"/>
          </w:tcPr>
          <w:p>
            <w:pPr>
              <w:jc w:val="right"/>
              <w:ind w:right="672"/>
              <w:spacing w:after="0"/>
              <w:rPr>
                <w:sz w:val="20"/>
                <w:szCs w:val="20"/>
                <w:color w:val="auto"/>
              </w:rPr>
            </w:pPr>
            <w:r>
              <w:rPr>
                <w:rFonts w:ascii="Arial" w:cs="Arial" w:eastAsia="Arial" w:hAnsi="Arial"/>
                <w:sz w:val="14"/>
                <w:szCs w:val="14"/>
                <w:b w:val="1"/>
                <w:bCs w:val="1"/>
                <w:color w:val="auto"/>
              </w:rPr>
              <w:t>Total</w:t>
            </w:r>
          </w:p>
        </w:tc>
      </w:tr>
      <w:tr>
        <w:trPr>
          <w:trHeight w:val="250"/>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beginning of period</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874.2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1,072.8</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New Consumer Loan assignments (1)</w:t>
            </w:r>
          </w:p>
        </w:tc>
        <w:tc>
          <w:tcPr>
            <w:tcW w:w="32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782.6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284.7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1,067.3</w:t>
            </w:r>
          </w:p>
        </w:tc>
      </w:tr>
      <w:tr>
        <w:trPr>
          <w:trHeight w:val="27"/>
        </w:trPr>
        <w:tc>
          <w:tcPr>
            <w:tcW w:w="5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Accretion (2)</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(883.3)</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Provision for credit losses</w:t>
            </w:r>
          </w:p>
        </w:tc>
        <w:tc>
          <w:tcPr>
            <w:tcW w:w="32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87.3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90.2</w:t>
            </w:r>
          </w:p>
        </w:tc>
      </w:tr>
      <w:tr>
        <w:trPr>
          <w:trHeight w:val="27"/>
        </w:trPr>
        <w:tc>
          <w:tcPr>
            <w:tcW w:w="5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Forecast changes</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r>
      <w:tr>
        <w:trPr>
          <w:trHeight w:val="284"/>
        </w:trPr>
        <w:tc>
          <w:tcPr>
            <w:tcW w:w="57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Transfers (3)</w:t>
            </w:r>
          </w:p>
        </w:tc>
        <w:tc>
          <w:tcPr>
            <w:tcW w:w="3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3.8</w:t>
            </w:r>
          </w:p>
        </w:tc>
      </w:tr>
      <w:tr>
        <w:trPr>
          <w:trHeight w:val="25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end of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982.6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348.1</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1,330.7</w:t>
            </w:r>
          </w:p>
        </w:tc>
      </w:tr>
      <w:tr>
        <w:trPr>
          <w:trHeight w:val="20"/>
        </w:trPr>
        <w:tc>
          <w:tcPr>
            <w:tcW w:w="5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521"/>
        </w:trPr>
        <w:tc>
          <w:tcPr>
            <w:tcW w:w="572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6"/>
          </w:tcPr>
          <w:p>
            <w:pPr>
              <w:jc w:val="center"/>
              <w:ind w:left="954"/>
              <w:spacing w:after="0"/>
              <w:rPr>
                <w:sz w:val="20"/>
                <w:szCs w:val="20"/>
                <w:color w:val="auto"/>
              </w:rPr>
            </w:pPr>
            <w:r>
              <w:rPr>
                <w:rFonts w:ascii="Arial" w:cs="Arial" w:eastAsia="Arial" w:hAnsi="Arial"/>
                <w:sz w:val="14"/>
                <w:szCs w:val="14"/>
                <w:b w:val="1"/>
                <w:bCs w:val="1"/>
                <w:color w:val="auto"/>
                <w:w w:val="92"/>
              </w:rPr>
              <w:t>For the Year Ended December 31, 2015</w:t>
            </w:r>
          </w:p>
        </w:tc>
        <w:tc>
          <w:tcPr>
            <w:tcW w:w="1340" w:type="dxa"/>
            <w:vAlign w:val="bottom"/>
            <w:tcBorders>
              <w:bottom w:val="single" w:sz="8" w:color="auto"/>
            </w:tcBorders>
          </w:tcPr>
          <w:p>
            <w:pPr>
              <w:spacing w:after="0"/>
              <w:rPr>
                <w:sz w:val="24"/>
                <w:szCs w:val="24"/>
                <w:color w:val="auto"/>
              </w:rPr>
            </w:pPr>
          </w:p>
        </w:tc>
      </w:tr>
      <w:tr>
        <w:trPr>
          <w:trHeight w:val="264"/>
        </w:trPr>
        <w:tc>
          <w:tcPr>
            <w:tcW w:w="5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20" w:type="dxa"/>
            <w:vAlign w:val="bottom"/>
            <w:gridSpan w:val="2"/>
          </w:tcPr>
          <w:p>
            <w:pPr>
              <w:ind w:left="180"/>
              <w:spacing w:after="0"/>
              <w:rPr>
                <w:sz w:val="20"/>
                <w:szCs w:val="20"/>
                <w:color w:val="auto"/>
              </w:rPr>
            </w:pPr>
            <w:r>
              <w:rPr>
                <w:rFonts w:ascii="Arial" w:cs="Arial" w:eastAsia="Arial" w:hAnsi="Arial"/>
                <w:sz w:val="14"/>
                <w:szCs w:val="14"/>
                <w:b w:val="1"/>
                <w:bCs w:val="1"/>
                <w:color w:val="auto"/>
              </w:rPr>
              <w:t>Dealer Loans</w:t>
            </w:r>
          </w:p>
        </w:tc>
        <w:tc>
          <w:tcPr>
            <w:tcW w:w="260" w:type="dxa"/>
            <w:vAlign w:val="bottom"/>
          </w:tcPr>
          <w:p>
            <w:pPr>
              <w:spacing w:after="0"/>
              <w:rPr>
                <w:sz w:val="22"/>
                <w:szCs w:val="22"/>
                <w:color w:val="auto"/>
              </w:rPr>
            </w:pPr>
          </w:p>
        </w:tc>
        <w:tc>
          <w:tcPr>
            <w:tcW w:w="16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Purchased Loans</w:t>
            </w:r>
          </w:p>
        </w:tc>
        <w:tc>
          <w:tcPr>
            <w:tcW w:w="480" w:type="dxa"/>
            <w:vAlign w:val="bottom"/>
          </w:tcPr>
          <w:p>
            <w:pPr>
              <w:spacing w:after="0"/>
              <w:rPr>
                <w:sz w:val="22"/>
                <w:szCs w:val="22"/>
                <w:color w:val="auto"/>
              </w:rPr>
            </w:pPr>
          </w:p>
        </w:tc>
        <w:tc>
          <w:tcPr>
            <w:tcW w:w="1340" w:type="dxa"/>
            <w:vAlign w:val="bottom"/>
          </w:tcPr>
          <w:p>
            <w:pPr>
              <w:jc w:val="right"/>
              <w:ind w:right="672"/>
              <w:spacing w:after="0"/>
              <w:rPr>
                <w:sz w:val="20"/>
                <w:szCs w:val="20"/>
                <w:color w:val="auto"/>
              </w:rPr>
            </w:pPr>
            <w:r>
              <w:rPr>
                <w:rFonts w:ascii="Arial" w:cs="Arial" w:eastAsia="Arial" w:hAnsi="Arial"/>
                <w:sz w:val="14"/>
                <w:szCs w:val="14"/>
                <w:b w:val="1"/>
                <w:bCs w:val="1"/>
                <w:color w:val="auto"/>
              </w:rPr>
              <w:t>Total</w:t>
            </w:r>
          </w:p>
        </w:tc>
      </w:tr>
      <w:tr>
        <w:trPr>
          <w:trHeight w:val="250"/>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beginning of period</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725.2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861.7</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New Consumer Loan assignments (1)</w:t>
            </w:r>
          </w:p>
        </w:tc>
        <w:tc>
          <w:tcPr>
            <w:tcW w:w="32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743.7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138.4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882.1</w:t>
            </w:r>
          </w:p>
        </w:tc>
      </w:tr>
      <w:tr>
        <w:trPr>
          <w:trHeight w:val="27"/>
        </w:trPr>
        <w:tc>
          <w:tcPr>
            <w:tcW w:w="5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Accretion (2)</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(739.9)</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Provision for credit losses</w:t>
            </w:r>
          </w:p>
        </w:tc>
        <w:tc>
          <w:tcPr>
            <w:tcW w:w="32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41.5</w:t>
            </w:r>
          </w:p>
        </w:tc>
      </w:tr>
      <w:tr>
        <w:trPr>
          <w:trHeight w:val="27"/>
        </w:trPr>
        <w:tc>
          <w:tcPr>
            <w:tcW w:w="5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Forecast changes</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w:t>
            </w:r>
          </w:p>
        </w:tc>
      </w:tr>
      <w:tr>
        <w:trPr>
          <w:trHeight w:val="284"/>
        </w:trPr>
        <w:tc>
          <w:tcPr>
            <w:tcW w:w="57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Transfers (3)</w:t>
            </w:r>
          </w:p>
        </w:tc>
        <w:tc>
          <w:tcPr>
            <w:tcW w:w="3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3.5</w:t>
            </w:r>
          </w:p>
        </w:tc>
      </w:tr>
      <w:tr>
        <w:trPr>
          <w:trHeight w:val="25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end of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874.2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198.6</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1,072.8</w:t>
            </w:r>
          </w:p>
        </w:tc>
      </w:tr>
      <w:tr>
        <w:trPr>
          <w:trHeight w:val="20"/>
        </w:trPr>
        <w:tc>
          <w:tcPr>
            <w:tcW w:w="5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both"/>
        <w:ind w:left="580" w:hanging="329"/>
        <w:spacing w:after="0" w:line="247" w:lineRule="auto"/>
        <w:tabs>
          <w:tab w:leader="none" w:pos="5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Dealer Loans amount represents the net cash flows expected at the time of assignment on Consumer Loans assigned under our Portfolio Program, less the related advances paid to Dealers. The Purchased Loans amount represents the net cash flows expected at the time of assignment on Consumer Loans assigned under our Purchase Program, less the related one-time payments made to Dealers.</w:t>
      </w:r>
    </w:p>
    <w:p>
      <w:pPr>
        <w:spacing w:after="0" w:line="1" w:lineRule="exact"/>
        <w:rPr>
          <w:rFonts w:ascii="Arial" w:cs="Arial" w:eastAsia="Arial" w:hAnsi="Arial"/>
          <w:sz w:val="14"/>
          <w:szCs w:val="14"/>
          <w:color w:val="auto"/>
        </w:rPr>
      </w:pPr>
    </w:p>
    <w:p>
      <w:pPr>
        <w:ind w:left="580" w:hanging="329"/>
        <w:spacing w:after="0"/>
        <w:tabs>
          <w:tab w:leader="none" w:pos="5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Represents finance charges excluding the amortization of deferred direct origination costs for Dealer Loans.</w:t>
      </w:r>
    </w:p>
    <w:p>
      <w:pPr>
        <w:spacing w:after="0" w:line="1" w:lineRule="exact"/>
        <w:rPr>
          <w:rFonts w:ascii="Arial" w:cs="Arial" w:eastAsia="Arial" w:hAnsi="Arial"/>
          <w:sz w:val="14"/>
          <w:szCs w:val="14"/>
          <w:color w:val="auto"/>
        </w:rPr>
      </w:pPr>
    </w:p>
    <w:p>
      <w:pPr>
        <w:ind w:left="580" w:hanging="329"/>
        <w:spacing w:after="0" w:line="255" w:lineRule="auto"/>
        <w:tabs>
          <w:tab w:leader="none" w:pos="5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Under our Portfolio Program, certain events may result in Dealers forfeiting their rights to Dealer Holdback. We transfer the Dealer’s outstanding Dealer Loan balance and related expected future net cash flows to Purchased Loans in the period this forfeiture occurs.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337"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 information related to new Consumer Loan assignments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72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7"/>
                <w:szCs w:val="17"/>
                <w:color w:val="auto"/>
              </w:rPr>
            </w:pPr>
          </w:p>
        </w:tc>
        <w:tc>
          <w:tcPr>
            <w:tcW w:w="4040" w:type="dxa"/>
            <w:vAlign w:val="bottom"/>
            <w:tcBorders>
              <w:bottom w:val="single" w:sz="8" w:color="auto"/>
            </w:tcBorders>
            <w:gridSpan w:val="6"/>
          </w:tcPr>
          <w:p>
            <w:pPr>
              <w:jc w:val="center"/>
              <w:ind w:left="957"/>
              <w:spacing w:after="0"/>
              <w:rPr>
                <w:sz w:val="20"/>
                <w:szCs w:val="20"/>
                <w:color w:val="auto"/>
              </w:rPr>
            </w:pPr>
            <w:r>
              <w:rPr>
                <w:rFonts w:ascii="Arial" w:cs="Arial" w:eastAsia="Arial" w:hAnsi="Arial"/>
                <w:sz w:val="14"/>
                <w:szCs w:val="14"/>
                <w:b w:val="1"/>
                <w:bCs w:val="1"/>
                <w:color w:val="auto"/>
                <w:w w:val="92"/>
              </w:rPr>
              <w:t>For the Year Ended December 31, 2017</w:t>
            </w:r>
          </w:p>
        </w:tc>
        <w:tc>
          <w:tcPr>
            <w:tcW w:w="1340" w:type="dxa"/>
            <w:vAlign w:val="bottom"/>
            <w:tcBorders>
              <w:bottom w:val="single" w:sz="8" w:color="auto"/>
            </w:tcBorders>
          </w:tcPr>
          <w:p>
            <w:pPr>
              <w:spacing w:after="0"/>
              <w:rPr>
                <w:sz w:val="17"/>
                <w:szCs w:val="17"/>
                <w:color w:val="auto"/>
              </w:rPr>
            </w:pPr>
          </w:p>
        </w:tc>
      </w:tr>
      <w:tr>
        <w:trPr>
          <w:trHeight w:val="264"/>
        </w:trPr>
        <w:tc>
          <w:tcPr>
            <w:tcW w:w="5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20" w:type="dxa"/>
            <w:vAlign w:val="bottom"/>
            <w:gridSpan w:val="2"/>
          </w:tcPr>
          <w:p>
            <w:pPr>
              <w:ind w:left="180"/>
              <w:spacing w:after="0"/>
              <w:rPr>
                <w:sz w:val="20"/>
                <w:szCs w:val="20"/>
                <w:color w:val="auto"/>
              </w:rPr>
            </w:pPr>
            <w:r>
              <w:rPr>
                <w:rFonts w:ascii="Arial" w:cs="Arial" w:eastAsia="Arial" w:hAnsi="Arial"/>
                <w:sz w:val="14"/>
                <w:szCs w:val="14"/>
                <w:b w:val="1"/>
                <w:bCs w:val="1"/>
                <w:color w:val="auto"/>
              </w:rPr>
              <w:t>Dealer Loans</w:t>
            </w:r>
          </w:p>
        </w:tc>
        <w:tc>
          <w:tcPr>
            <w:tcW w:w="260" w:type="dxa"/>
            <w:vAlign w:val="bottom"/>
          </w:tcPr>
          <w:p>
            <w:pPr>
              <w:spacing w:after="0"/>
              <w:rPr>
                <w:sz w:val="22"/>
                <w:szCs w:val="22"/>
                <w:color w:val="auto"/>
              </w:rPr>
            </w:pPr>
          </w:p>
        </w:tc>
        <w:tc>
          <w:tcPr>
            <w:tcW w:w="16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Purchased Loans</w:t>
            </w:r>
          </w:p>
        </w:tc>
        <w:tc>
          <w:tcPr>
            <w:tcW w:w="480" w:type="dxa"/>
            <w:vAlign w:val="bottom"/>
          </w:tcPr>
          <w:p>
            <w:pPr>
              <w:spacing w:after="0"/>
              <w:rPr>
                <w:sz w:val="22"/>
                <w:szCs w:val="22"/>
                <w:color w:val="auto"/>
              </w:rPr>
            </w:pPr>
          </w:p>
        </w:tc>
        <w:tc>
          <w:tcPr>
            <w:tcW w:w="1340" w:type="dxa"/>
            <w:vAlign w:val="bottom"/>
          </w:tcPr>
          <w:p>
            <w:pPr>
              <w:jc w:val="right"/>
              <w:ind w:right="674"/>
              <w:spacing w:after="0"/>
              <w:rPr>
                <w:sz w:val="20"/>
                <w:szCs w:val="20"/>
                <w:color w:val="auto"/>
              </w:rPr>
            </w:pPr>
            <w:r>
              <w:rPr>
                <w:rFonts w:ascii="Arial" w:cs="Arial" w:eastAsia="Arial" w:hAnsi="Arial"/>
                <w:sz w:val="14"/>
                <w:szCs w:val="14"/>
                <w:b w:val="1"/>
                <w:bCs w:val="1"/>
                <w:color w:val="auto"/>
              </w:rPr>
              <w:t>Total</w:t>
            </w:r>
          </w:p>
        </w:tc>
      </w:tr>
      <w:tr>
        <w:trPr>
          <w:trHeight w:val="250"/>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Contractual net cash flows at the time of assignment (1)</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3,131.6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1,973.7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5,105.3</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Expected net cash flows at the time of assignment (2)</w:t>
            </w:r>
          </w:p>
        </w:tc>
        <w:tc>
          <w:tcPr>
            <w:tcW w:w="320" w:type="dxa"/>
            <w:vAlign w:val="bottom"/>
          </w:tcPr>
          <w:p>
            <w:pPr>
              <w:spacing w:after="0"/>
              <w:rPr>
                <w:sz w:val="21"/>
                <w:szCs w:val="21"/>
                <w:color w:val="auto"/>
              </w:rPr>
            </w:pPr>
          </w:p>
        </w:tc>
        <w:tc>
          <w:tcPr>
            <w:tcW w:w="1520" w:type="dxa"/>
            <w:vAlign w:val="bottom"/>
          </w:tcPr>
          <w:p>
            <w:pPr>
              <w:jc w:val="right"/>
              <w:ind w:right="37"/>
              <w:spacing w:after="0"/>
              <w:rPr>
                <w:sz w:val="20"/>
                <w:szCs w:val="20"/>
                <w:color w:val="auto"/>
              </w:rPr>
            </w:pPr>
            <w:r>
              <w:rPr>
                <w:rFonts w:ascii="Arial" w:cs="Arial" w:eastAsia="Arial" w:hAnsi="Arial"/>
                <w:sz w:val="18"/>
                <w:szCs w:val="18"/>
                <w:color w:val="auto"/>
              </w:rPr>
              <w:t>2,771.3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1,282.7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4,054.0</w:t>
            </w:r>
          </w:p>
        </w:tc>
      </w:tr>
      <w:tr>
        <w:trPr>
          <w:trHeight w:val="27"/>
        </w:trPr>
        <w:tc>
          <w:tcPr>
            <w:tcW w:w="5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at the time of assignment (3)</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1,968.3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904.8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2,873.1</w:t>
            </w:r>
          </w:p>
        </w:tc>
      </w:tr>
      <w:tr>
        <w:trPr>
          <w:trHeight w:val="426"/>
        </w:trPr>
        <w:tc>
          <w:tcPr>
            <w:tcW w:w="572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6"/>
          </w:tcPr>
          <w:p>
            <w:pPr>
              <w:jc w:val="center"/>
              <w:ind w:left="957"/>
              <w:spacing w:after="0"/>
              <w:rPr>
                <w:sz w:val="20"/>
                <w:szCs w:val="20"/>
                <w:color w:val="auto"/>
              </w:rPr>
            </w:pPr>
            <w:r>
              <w:rPr>
                <w:rFonts w:ascii="Arial" w:cs="Arial" w:eastAsia="Arial" w:hAnsi="Arial"/>
                <w:sz w:val="14"/>
                <w:szCs w:val="14"/>
                <w:b w:val="1"/>
                <w:bCs w:val="1"/>
                <w:color w:val="auto"/>
                <w:w w:val="92"/>
              </w:rPr>
              <w:t>For the Year Ended December 31, 2016</w:t>
            </w:r>
          </w:p>
        </w:tc>
        <w:tc>
          <w:tcPr>
            <w:tcW w:w="1340" w:type="dxa"/>
            <w:vAlign w:val="bottom"/>
            <w:tcBorders>
              <w:bottom w:val="single" w:sz="8" w:color="auto"/>
            </w:tcBorders>
          </w:tcPr>
          <w:p>
            <w:pPr>
              <w:spacing w:after="0"/>
              <w:rPr>
                <w:sz w:val="24"/>
                <w:szCs w:val="24"/>
                <w:color w:val="auto"/>
              </w:rPr>
            </w:pPr>
          </w:p>
        </w:tc>
      </w:tr>
      <w:tr>
        <w:trPr>
          <w:trHeight w:val="264"/>
        </w:trPr>
        <w:tc>
          <w:tcPr>
            <w:tcW w:w="5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20" w:type="dxa"/>
            <w:vAlign w:val="bottom"/>
            <w:gridSpan w:val="2"/>
          </w:tcPr>
          <w:p>
            <w:pPr>
              <w:ind w:left="180"/>
              <w:spacing w:after="0"/>
              <w:rPr>
                <w:sz w:val="20"/>
                <w:szCs w:val="20"/>
                <w:color w:val="auto"/>
              </w:rPr>
            </w:pPr>
            <w:r>
              <w:rPr>
                <w:rFonts w:ascii="Arial" w:cs="Arial" w:eastAsia="Arial" w:hAnsi="Arial"/>
                <w:sz w:val="14"/>
                <w:szCs w:val="14"/>
                <w:b w:val="1"/>
                <w:bCs w:val="1"/>
                <w:color w:val="auto"/>
              </w:rPr>
              <w:t>Dealer Loans</w:t>
            </w:r>
          </w:p>
        </w:tc>
        <w:tc>
          <w:tcPr>
            <w:tcW w:w="260" w:type="dxa"/>
            <w:vAlign w:val="bottom"/>
          </w:tcPr>
          <w:p>
            <w:pPr>
              <w:spacing w:after="0"/>
              <w:rPr>
                <w:sz w:val="22"/>
                <w:szCs w:val="22"/>
                <w:color w:val="auto"/>
              </w:rPr>
            </w:pPr>
          </w:p>
        </w:tc>
        <w:tc>
          <w:tcPr>
            <w:tcW w:w="16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Purchased Loans</w:t>
            </w:r>
          </w:p>
        </w:tc>
        <w:tc>
          <w:tcPr>
            <w:tcW w:w="480" w:type="dxa"/>
            <w:vAlign w:val="bottom"/>
          </w:tcPr>
          <w:p>
            <w:pPr>
              <w:spacing w:after="0"/>
              <w:rPr>
                <w:sz w:val="22"/>
                <w:szCs w:val="22"/>
                <w:color w:val="auto"/>
              </w:rPr>
            </w:pPr>
          </w:p>
        </w:tc>
        <w:tc>
          <w:tcPr>
            <w:tcW w:w="1340" w:type="dxa"/>
            <w:vAlign w:val="bottom"/>
          </w:tcPr>
          <w:p>
            <w:pPr>
              <w:jc w:val="right"/>
              <w:ind w:right="674"/>
              <w:spacing w:after="0"/>
              <w:rPr>
                <w:sz w:val="20"/>
                <w:szCs w:val="20"/>
                <w:color w:val="auto"/>
              </w:rPr>
            </w:pPr>
            <w:r>
              <w:rPr>
                <w:rFonts w:ascii="Arial" w:cs="Arial" w:eastAsia="Arial" w:hAnsi="Arial"/>
                <w:sz w:val="14"/>
                <w:szCs w:val="14"/>
                <w:b w:val="1"/>
                <w:bCs w:val="1"/>
                <w:color w:val="auto"/>
              </w:rPr>
              <w:t>Total</w:t>
            </w:r>
          </w:p>
        </w:tc>
      </w:tr>
      <w:tr>
        <w:trPr>
          <w:trHeight w:val="250"/>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Contractual net cash flows at the time of assignment (1)</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2,997.0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1,553.2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4,550.2</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Expected net cash flows at the time of assignment (2)</w:t>
            </w:r>
          </w:p>
        </w:tc>
        <w:tc>
          <w:tcPr>
            <w:tcW w:w="320" w:type="dxa"/>
            <w:vAlign w:val="bottom"/>
          </w:tcPr>
          <w:p>
            <w:pPr>
              <w:spacing w:after="0"/>
              <w:rPr>
                <w:sz w:val="21"/>
                <w:szCs w:val="21"/>
                <w:color w:val="auto"/>
              </w:rPr>
            </w:pPr>
          </w:p>
        </w:tc>
        <w:tc>
          <w:tcPr>
            <w:tcW w:w="1520" w:type="dxa"/>
            <w:vAlign w:val="bottom"/>
          </w:tcPr>
          <w:p>
            <w:pPr>
              <w:jc w:val="right"/>
              <w:ind w:right="37"/>
              <w:spacing w:after="0"/>
              <w:rPr>
                <w:sz w:val="20"/>
                <w:szCs w:val="20"/>
                <w:color w:val="auto"/>
              </w:rPr>
            </w:pPr>
            <w:r>
              <w:rPr>
                <w:rFonts w:ascii="Arial" w:cs="Arial" w:eastAsia="Arial" w:hAnsi="Arial"/>
                <w:sz w:val="18"/>
                <w:szCs w:val="18"/>
                <w:color w:val="auto"/>
              </w:rPr>
              <w:t>2,663.9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1,038.9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3,702.8</w:t>
            </w:r>
          </w:p>
        </w:tc>
      </w:tr>
      <w:tr>
        <w:trPr>
          <w:trHeight w:val="27"/>
        </w:trPr>
        <w:tc>
          <w:tcPr>
            <w:tcW w:w="5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at the time of assignment (3)</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1,881.3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754.2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2,635.5</w:t>
            </w:r>
          </w:p>
        </w:tc>
      </w:tr>
      <w:tr>
        <w:trPr>
          <w:trHeight w:val="426"/>
        </w:trPr>
        <w:tc>
          <w:tcPr>
            <w:tcW w:w="572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6"/>
          </w:tcPr>
          <w:p>
            <w:pPr>
              <w:jc w:val="center"/>
              <w:ind w:left="957"/>
              <w:spacing w:after="0"/>
              <w:rPr>
                <w:sz w:val="20"/>
                <w:szCs w:val="20"/>
                <w:color w:val="auto"/>
              </w:rPr>
            </w:pPr>
            <w:r>
              <w:rPr>
                <w:rFonts w:ascii="Arial" w:cs="Arial" w:eastAsia="Arial" w:hAnsi="Arial"/>
                <w:sz w:val="14"/>
                <w:szCs w:val="14"/>
                <w:b w:val="1"/>
                <w:bCs w:val="1"/>
                <w:color w:val="auto"/>
                <w:w w:val="92"/>
              </w:rPr>
              <w:t>For the Year Ended December 31, 2015</w:t>
            </w:r>
          </w:p>
        </w:tc>
        <w:tc>
          <w:tcPr>
            <w:tcW w:w="1340" w:type="dxa"/>
            <w:vAlign w:val="bottom"/>
            <w:tcBorders>
              <w:bottom w:val="single" w:sz="8" w:color="auto"/>
            </w:tcBorders>
          </w:tcPr>
          <w:p>
            <w:pPr>
              <w:spacing w:after="0"/>
              <w:rPr>
                <w:sz w:val="24"/>
                <w:szCs w:val="24"/>
                <w:color w:val="auto"/>
              </w:rPr>
            </w:pPr>
          </w:p>
        </w:tc>
      </w:tr>
      <w:tr>
        <w:trPr>
          <w:trHeight w:val="264"/>
        </w:trPr>
        <w:tc>
          <w:tcPr>
            <w:tcW w:w="5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20" w:type="dxa"/>
            <w:vAlign w:val="bottom"/>
            <w:gridSpan w:val="2"/>
          </w:tcPr>
          <w:p>
            <w:pPr>
              <w:ind w:left="180"/>
              <w:spacing w:after="0"/>
              <w:rPr>
                <w:sz w:val="20"/>
                <w:szCs w:val="20"/>
                <w:color w:val="auto"/>
              </w:rPr>
            </w:pPr>
            <w:r>
              <w:rPr>
                <w:rFonts w:ascii="Arial" w:cs="Arial" w:eastAsia="Arial" w:hAnsi="Arial"/>
                <w:sz w:val="14"/>
                <w:szCs w:val="14"/>
                <w:b w:val="1"/>
                <w:bCs w:val="1"/>
                <w:color w:val="auto"/>
              </w:rPr>
              <w:t>Dealer Loans</w:t>
            </w:r>
          </w:p>
        </w:tc>
        <w:tc>
          <w:tcPr>
            <w:tcW w:w="260" w:type="dxa"/>
            <w:vAlign w:val="bottom"/>
          </w:tcPr>
          <w:p>
            <w:pPr>
              <w:spacing w:after="0"/>
              <w:rPr>
                <w:sz w:val="22"/>
                <w:szCs w:val="22"/>
                <w:color w:val="auto"/>
              </w:rPr>
            </w:pPr>
          </w:p>
        </w:tc>
        <w:tc>
          <w:tcPr>
            <w:tcW w:w="16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Purchased Loans</w:t>
            </w:r>
          </w:p>
        </w:tc>
        <w:tc>
          <w:tcPr>
            <w:tcW w:w="480" w:type="dxa"/>
            <w:vAlign w:val="bottom"/>
          </w:tcPr>
          <w:p>
            <w:pPr>
              <w:spacing w:after="0"/>
              <w:rPr>
                <w:sz w:val="22"/>
                <w:szCs w:val="22"/>
                <w:color w:val="auto"/>
              </w:rPr>
            </w:pPr>
          </w:p>
        </w:tc>
        <w:tc>
          <w:tcPr>
            <w:tcW w:w="1340" w:type="dxa"/>
            <w:vAlign w:val="bottom"/>
          </w:tcPr>
          <w:p>
            <w:pPr>
              <w:jc w:val="right"/>
              <w:ind w:right="674"/>
              <w:spacing w:after="0"/>
              <w:rPr>
                <w:sz w:val="20"/>
                <w:szCs w:val="20"/>
                <w:color w:val="auto"/>
              </w:rPr>
            </w:pPr>
            <w:r>
              <w:rPr>
                <w:rFonts w:ascii="Arial" w:cs="Arial" w:eastAsia="Arial" w:hAnsi="Arial"/>
                <w:sz w:val="14"/>
                <w:szCs w:val="14"/>
                <w:b w:val="1"/>
                <w:bCs w:val="1"/>
                <w:color w:val="auto"/>
              </w:rPr>
              <w:t>Total</w:t>
            </w:r>
          </w:p>
        </w:tc>
      </w:tr>
      <w:tr>
        <w:trPr>
          <w:trHeight w:val="250"/>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Contractual net cash flows at the time of assignment (1)</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2,821.4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3,562.5</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Expected net cash flows at the time of assignment (2)</w:t>
            </w:r>
          </w:p>
        </w:tc>
        <w:tc>
          <w:tcPr>
            <w:tcW w:w="320" w:type="dxa"/>
            <w:vAlign w:val="bottom"/>
          </w:tcPr>
          <w:p>
            <w:pPr>
              <w:spacing w:after="0"/>
              <w:rPr>
                <w:sz w:val="21"/>
                <w:szCs w:val="21"/>
                <w:color w:val="auto"/>
              </w:rPr>
            </w:pPr>
          </w:p>
        </w:tc>
        <w:tc>
          <w:tcPr>
            <w:tcW w:w="1520" w:type="dxa"/>
            <w:vAlign w:val="bottom"/>
          </w:tcPr>
          <w:p>
            <w:pPr>
              <w:jc w:val="right"/>
              <w:ind w:right="37"/>
              <w:spacing w:after="0"/>
              <w:rPr>
                <w:sz w:val="20"/>
                <w:szCs w:val="20"/>
                <w:color w:val="auto"/>
              </w:rPr>
            </w:pPr>
            <w:r>
              <w:rPr>
                <w:rFonts w:ascii="Arial" w:cs="Arial" w:eastAsia="Arial" w:hAnsi="Arial"/>
                <w:sz w:val="18"/>
                <w:szCs w:val="18"/>
                <w:color w:val="auto"/>
              </w:rPr>
              <w:t>2,538.8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510.3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3,049.1</w:t>
            </w:r>
          </w:p>
        </w:tc>
      </w:tr>
      <w:tr>
        <w:trPr>
          <w:trHeight w:val="27"/>
        </w:trPr>
        <w:tc>
          <w:tcPr>
            <w:tcW w:w="5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3"/>
        </w:trPr>
        <w:tc>
          <w:tcPr>
            <w:tcW w:w="5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at the time of assignment (3)</w:t>
            </w:r>
          </w:p>
        </w:tc>
        <w:tc>
          <w:tcPr>
            <w:tcW w:w="32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1,795.1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371.9</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2,167.0</w:t>
            </w:r>
          </w:p>
        </w:tc>
      </w:tr>
      <w:tr>
        <w:trPr>
          <w:trHeight w:val="27"/>
        </w:trPr>
        <w:tc>
          <w:tcPr>
            <w:tcW w:w="57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197" w:lineRule="exact"/>
        <w:rPr>
          <w:sz w:val="20"/>
          <w:szCs w:val="20"/>
          <w:color w:val="auto"/>
        </w:rPr>
      </w:pPr>
    </w:p>
    <w:p>
      <w:pPr>
        <w:jc w:val="both"/>
        <w:ind w:left="500" w:hanging="330"/>
        <w:spacing w:after="0" w:line="247" w:lineRule="auto"/>
        <w:tabs>
          <w:tab w:leader="none" w:pos="5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Dealer Loans amount represents the repayments that we were contractually owed at the time of assignment on Consumer Loans assigned under our Portfolio Program, less the related Dealer Holdback payments that we would be required to make if we collected all of the contractual repayments. The Purchased Loans amount represents the repayments that we were contractually owed at the time of assignment on Consumer Loans assigned under our Purchase Program.</w:t>
      </w:r>
    </w:p>
    <w:p>
      <w:pPr>
        <w:spacing w:after="0" w:line="1" w:lineRule="exact"/>
        <w:rPr>
          <w:rFonts w:ascii="Arial" w:cs="Arial" w:eastAsia="Arial" w:hAnsi="Arial"/>
          <w:sz w:val="14"/>
          <w:szCs w:val="14"/>
          <w:color w:val="auto"/>
        </w:rPr>
      </w:pPr>
    </w:p>
    <w:p>
      <w:pPr>
        <w:jc w:val="both"/>
        <w:ind w:left="500" w:hanging="330"/>
        <w:spacing w:after="0" w:line="241" w:lineRule="auto"/>
        <w:tabs>
          <w:tab w:leader="none" w:pos="5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Dealer Loans amount represents the repayments that we expected to collect at the time of assignment on Consumer Loans assigned under our Portfolio Program, less the related Dealer Holdback payments that we expected to make. The Purchased Loans amount represents the repayments that we expected to collect at the time of assignment on Consumer Loans assigned under our Purchase Program.</w:t>
      </w:r>
    </w:p>
    <w:p>
      <w:pPr>
        <w:spacing w:after="0" w:line="1" w:lineRule="exact"/>
        <w:rPr>
          <w:rFonts w:ascii="Arial" w:cs="Arial" w:eastAsia="Arial" w:hAnsi="Arial"/>
          <w:sz w:val="14"/>
          <w:szCs w:val="14"/>
          <w:color w:val="auto"/>
        </w:rPr>
      </w:pPr>
    </w:p>
    <w:p>
      <w:pPr>
        <w:ind w:left="500" w:right="20" w:hanging="330"/>
        <w:spacing w:after="0" w:line="255" w:lineRule="auto"/>
        <w:tabs>
          <w:tab w:leader="none" w:pos="5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Dealer Loans amount represents advances paid to Dealers on Consumer Loans assigned under our Portfolio Program. The Purchased Loans amount represents one-time payments made to Dealers to purchase Consumer Loans assigned under our Purchase Program.</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337"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Quality</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monitor and evaluate the credit quality of Consumer Loans assigned under our Portfolio and Purchase Programs on a monthly basis by comparing our current forecasted collection rates to our initial expectations. For additional information regarding credit quality, see Note 2 to the consolidated financial statements. The following table compares our forecast of Consumer Loan collection rates as of December 31, 2017, with the forecasts as of December 31, 2016, as of December 31, 2015, and at the time of assignment, segmented by year of assignment: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5"/>
              </w:rPr>
              <w:t>Forecasted Collection Percentage as of (1)</w:t>
            </w:r>
          </w:p>
        </w:tc>
        <w:tc>
          <w:tcPr>
            <w:tcW w:w="12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180" w:type="dxa"/>
            <w:vAlign w:val="bottom"/>
            <w:tcBorders>
              <w:bottom w:val="single" w:sz="8" w:color="auto"/>
            </w:tcBorders>
            <w:gridSpan w:val="5"/>
          </w:tcPr>
          <w:p>
            <w:pPr>
              <w:jc w:val="center"/>
              <w:ind w:left="953"/>
              <w:spacing w:after="0"/>
              <w:rPr>
                <w:sz w:val="20"/>
                <w:szCs w:val="20"/>
                <w:color w:val="auto"/>
              </w:rPr>
            </w:pPr>
            <w:r>
              <w:rPr>
                <w:rFonts w:ascii="Arial" w:cs="Arial" w:eastAsia="Arial" w:hAnsi="Arial"/>
                <w:sz w:val="14"/>
                <w:szCs w:val="14"/>
                <w:b w:val="1"/>
                <w:bCs w:val="1"/>
                <w:color w:val="auto"/>
                <w:w w:val="94"/>
              </w:rPr>
              <w:t>Current Forecast Variance from</w:t>
            </w: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Consumer Loan</w:t>
            </w:r>
          </w:p>
        </w:tc>
        <w:tc>
          <w:tcPr>
            <w:tcW w:w="13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December 31, 2017</w:t>
            </w:r>
          </w:p>
        </w:tc>
        <w:tc>
          <w:tcPr>
            <w:tcW w:w="13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December 31, 2016</w:t>
            </w:r>
          </w:p>
        </w:tc>
        <w:tc>
          <w:tcPr>
            <w:tcW w:w="14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December 31, 2015</w:t>
            </w:r>
          </w:p>
        </w:tc>
        <w:tc>
          <w:tcPr>
            <w:tcW w:w="13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Initial</w:t>
            </w:r>
          </w:p>
        </w:tc>
        <w:tc>
          <w:tcPr>
            <w:tcW w:w="14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December 31, 2016</w:t>
            </w:r>
          </w:p>
        </w:tc>
        <w:tc>
          <w:tcPr>
            <w:tcW w:w="1740" w:type="dxa"/>
            <w:vAlign w:val="bottom"/>
            <w:gridSpan w:val="3"/>
            <w:vMerge w:val="restart"/>
          </w:tcPr>
          <w:p>
            <w:pPr>
              <w:jc w:val="center"/>
              <w:ind w:right="420"/>
              <w:spacing w:after="0"/>
              <w:rPr>
                <w:sz w:val="20"/>
                <w:szCs w:val="20"/>
                <w:color w:val="auto"/>
              </w:rPr>
            </w:pPr>
            <w:r>
              <w:rPr>
                <w:rFonts w:ascii="Arial" w:cs="Arial" w:eastAsia="Arial" w:hAnsi="Arial"/>
                <w:sz w:val="14"/>
                <w:szCs w:val="14"/>
                <w:b w:val="1"/>
                <w:bCs w:val="1"/>
                <w:color w:val="auto"/>
                <w:w w:val="91"/>
              </w:rPr>
              <w:t>December 31, 2015</w:t>
            </w:r>
          </w:p>
        </w:tc>
        <w:tc>
          <w:tcPr>
            <w:tcW w:w="980" w:type="dxa"/>
            <w:vAlign w:val="bottom"/>
          </w:tcPr>
          <w:p>
            <w:pPr>
              <w:jc w:val="right"/>
              <w:ind w:right="373"/>
              <w:spacing w:after="0" w:line="153" w:lineRule="exact"/>
              <w:rPr>
                <w:sz w:val="20"/>
                <w:szCs w:val="20"/>
                <w:color w:val="auto"/>
              </w:rPr>
            </w:pPr>
            <w:r>
              <w:rPr>
                <w:rFonts w:ascii="Arial" w:cs="Arial" w:eastAsia="Arial" w:hAnsi="Arial"/>
                <w:sz w:val="14"/>
                <w:szCs w:val="14"/>
                <w:b w:val="1"/>
                <w:bCs w:val="1"/>
                <w:color w:val="auto"/>
              </w:rPr>
              <w:t>Initial</w:t>
            </w:r>
          </w:p>
        </w:tc>
        <w:tc>
          <w:tcPr>
            <w:tcW w:w="0" w:type="dxa"/>
            <w:vAlign w:val="bottom"/>
          </w:tcPr>
          <w:p>
            <w:pPr>
              <w:spacing w:after="0"/>
              <w:rPr>
                <w:sz w:val="1"/>
                <w:szCs w:val="1"/>
                <w:color w:val="auto"/>
              </w:rPr>
            </w:pPr>
          </w:p>
        </w:tc>
      </w:tr>
      <w:tr>
        <w:trPr>
          <w:trHeight w:val="205"/>
        </w:trPr>
        <w:tc>
          <w:tcPr>
            <w:tcW w:w="1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Assignment Year</w:t>
            </w:r>
          </w:p>
        </w:tc>
        <w:tc>
          <w:tcPr>
            <w:tcW w:w="1360" w:type="dxa"/>
            <w:vAlign w:val="bottom"/>
            <w:gridSpan w:val="2"/>
            <w:vMerge w:val="continue"/>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Forecast</w:t>
            </w:r>
          </w:p>
        </w:tc>
        <w:tc>
          <w:tcPr>
            <w:tcW w:w="1440" w:type="dxa"/>
            <w:vAlign w:val="bottom"/>
            <w:gridSpan w:val="2"/>
            <w:vMerge w:val="continue"/>
          </w:tcPr>
          <w:p>
            <w:pPr>
              <w:spacing w:after="0"/>
              <w:rPr>
                <w:sz w:val="17"/>
                <w:szCs w:val="17"/>
                <w:color w:val="auto"/>
              </w:rPr>
            </w:pPr>
          </w:p>
        </w:tc>
        <w:tc>
          <w:tcPr>
            <w:tcW w:w="1740" w:type="dxa"/>
            <w:vAlign w:val="bottom"/>
            <w:gridSpan w:val="3"/>
            <w:vMerge w:val="continue"/>
          </w:tcPr>
          <w:p>
            <w:pPr>
              <w:spacing w:after="0"/>
              <w:rPr>
                <w:sz w:val="17"/>
                <w:szCs w:val="17"/>
                <w:color w:val="auto"/>
              </w:rPr>
            </w:pPr>
          </w:p>
        </w:tc>
        <w:tc>
          <w:tcPr>
            <w:tcW w:w="980" w:type="dxa"/>
            <w:vAlign w:val="bottom"/>
          </w:tcPr>
          <w:p>
            <w:pPr>
              <w:jc w:val="right"/>
              <w:ind w:right="293"/>
              <w:spacing w:after="0"/>
              <w:rPr>
                <w:sz w:val="20"/>
                <w:szCs w:val="20"/>
                <w:color w:val="auto"/>
              </w:rPr>
            </w:pPr>
            <w:r>
              <w:rPr>
                <w:rFonts w:ascii="Arial" w:cs="Arial" w:eastAsia="Arial" w:hAnsi="Arial"/>
                <w:sz w:val="14"/>
                <w:szCs w:val="14"/>
                <w:b w:val="1"/>
                <w:bCs w:val="1"/>
                <w:color w:val="auto"/>
                <w:w w:val="99"/>
              </w:rPr>
              <w:t>Forecast</w:t>
            </w:r>
          </w:p>
        </w:tc>
        <w:tc>
          <w:tcPr>
            <w:tcW w:w="0" w:type="dxa"/>
            <w:vAlign w:val="bottom"/>
          </w:tcPr>
          <w:p>
            <w:pPr>
              <w:spacing w:after="0"/>
              <w:rPr>
                <w:sz w:val="1"/>
                <w:szCs w:val="1"/>
                <w:color w:val="auto"/>
              </w:rPr>
            </w:pPr>
          </w:p>
        </w:tc>
      </w:tr>
      <w:tr>
        <w:trPr>
          <w:trHeight w:val="250"/>
        </w:trPr>
        <w:tc>
          <w:tcPr>
            <w:tcW w:w="16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243"/>
        </w:trPr>
        <w:tc>
          <w:tcPr>
            <w:tcW w:w="1640" w:type="dxa"/>
            <w:vAlign w:val="bottom"/>
          </w:tcPr>
          <w:p>
            <w:pPr>
              <w:jc w:val="center"/>
              <w:spacing w:after="0"/>
              <w:rPr>
                <w:sz w:val="20"/>
                <w:szCs w:val="20"/>
                <w:color w:val="auto"/>
              </w:rPr>
            </w:pPr>
            <w:r>
              <w:rPr>
                <w:rFonts w:ascii="Arial" w:cs="Arial" w:eastAsia="Arial" w:hAnsi="Arial"/>
                <w:sz w:val="18"/>
                <w:szCs w:val="18"/>
                <w:color w:val="auto"/>
                <w:w w:val="89"/>
              </w:rPr>
              <w:t>2009</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79.4%</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79.4%</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7.6 %</w:t>
            </w:r>
          </w:p>
        </w:tc>
        <w:tc>
          <w:tcPr>
            <w:tcW w:w="0" w:type="dxa"/>
            <w:vAlign w:val="bottom"/>
          </w:tcPr>
          <w:p>
            <w:pPr>
              <w:spacing w:after="0"/>
              <w:rPr>
                <w:sz w:val="1"/>
                <w:szCs w:val="1"/>
                <w:color w:val="auto"/>
              </w:rPr>
            </w:pPr>
          </w:p>
        </w:tc>
      </w:tr>
      <w:tr>
        <w:trPr>
          <w:trHeight w:val="27"/>
        </w:trPr>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43"/>
        </w:trPr>
        <w:tc>
          <w:tcPr>
            <w:tcW w:w="1640" w:type="dxa"/>
            <w:vAlign w:val="bottom"/>
          </w:tcPr>
          <w:p>
            <w:pPr>
              <w:jc w:val="center"/>
              <w:spacing w:after="0"/>
              <w:rPr>
                <w:sz w:val="20"/>
                <w:szCs w:val="20"/>
                <w:color w:val="auto"/>
              </w:rPr>
            </w:pPr>
            <w:r>
              <w:rPr>
                <w:rFonts w:ascii="Arial" w:cs="Arial" w:eastAsia="Arial" w:hAnsi="Arial"/>
                <w:sz w:val="18"/>
                <w:szCs w:val="18"/>
                <w:color w:val="auto"/>
                <w:w w:val="89"/>
              </w:rPr>
              <w:t>2011</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74.2%</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0.5 %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7"/>
        </w:trPr>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2012</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43"/>
        </w:trPr>
        <w:tc>
          <w:tcPr>
            <w:tcW w:w="164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73.4%</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73.4%</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7"/>
        </w:trPr>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43"/>
        </w:trPr>
        <w:tc>
          <w:tcPr>
            <w:tcW w:w="164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67.8%</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-0.6 %</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7"/>
        </w:trPr>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0" w:type="dxa"/>
            <w:vAlign w:val="bottom"/>
          </w:tcPr>
          <w:p>
            <w:pPr>
              <w:spacing w:after="0"/>
              <w:rPr>
                <w:sz w:val="1"/>
                <w:szCs w:val="1"/>
                <w:color w:val="auto"/>
              </w:rPr>
            </w:pPr>
          </w:p>
        </w:tc>
      </w:tr>
      <w:tr>
        <w:trPr>
          <w:trHeight w:val="243"/>
        </w:trPr>
        <w:tc>
          <w:tcPr>
            <w:tcW w:w="164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1"/>
                <w:szCs w:val="21"/>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21"/>
                <w:szCs w:val="21"/>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74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ind w:left="500" w:hanging="330"/>
        <w:spacing w:after="0" w:line="257" w:lineRule="auto"/>
        <w:tabs>
          <w:tab w:leader="none" w:pos="5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Represents the total forecasted collections we expect to collect on the Consumer Loans as a percentage of the repayments that we were contractually owed on the Consumer Loans at the time of assignment. Contractual repayments include both principal and interest. Forecasted collection rates are negatively impacted by canceled Consumer Loans as the contractual amount owed is not removed from the denominator for purposes of computing forecasted collection rates in the table.</w:t>
      </w:r>
    </w:p>
    <w:p>
      <w:pPr>
        <w:spacing w:after="0" w:line="18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Consumer Loans assigned in 2009 through 2013 and 2017 have yielded forecasted collection results materially better than our initial estimates, while Consumer Loans assigned in 2015 have yielded forecasted collection results materially worse than our initial estimates. For Consumer Loans assigned in 2008, 2014 and 2016, actual results have been very close to our initial estimates.</w:t>
      </w:r>
    </w:p>
    <w:p>
      <w:pPr>
        <w:spacing w:after="0" w:line="18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For the year ended December 31, 2017, forecasted collection rates improved for Consumer Loans assigned in 2017, declined for Consumer Loans assigned in 2015 and 2016 and were generally consistent with expectations at the start of the period for all other assignment years presented.</w:t>
      </w:r>
    </w:p>
    <w:p>
      <w:pPr>
        <w:spacing w:after="0" w:line="147"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For the year ended December 31, 2016, forecasted collection rates improved for Consumer Loans assigned in 2010 through 2012, declined for Consumer Loans assigned in 2014 and 2015 and were generally consistent with expectations at the start of the period for all other assignment years presented.</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to the statistical model used to forecast collection rates, we use a model to forecast the timing of future net cash flows. During the fourth quarter of 2017, we updated our net cash flow timing model to incorporate more recent data. The revised forecast resulted in an expected cash flow stream with a lower net present value as compared to the prior forecast, as less cash flows are expected in earlier periods and more cash flows are expected in later periods.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reduction in net present value was primarily the result of a change in the expected timing of cash flows from longer-term Consumer Loans. Due to our limited historical experience with longer-term Consumer Loans, our prior model relied on extrapolations from the historical performance of shorter-term Consumer Loans to predict the timing of future net cash flows on longer-term Consumer Loans. We now have additional historical experience on these longer-term loans which we used to refine our estimate.</w:t>
      </w:r>
    </w:p>
    <w:p>
      <w:pPr>
        <w:spacing w:after="0" w:line="18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revision to our net cash flow timing forecast does not impact the amount of undiscounted net cash flows we expect to receive. As a result, the dollar amount of future net portfolio revenue (finance charges less provision for credit losses) is not impacted by the revision. However, the revision does impact the period in which those net revenues will be recorded as a portion of the impact of the revised timing estimate was recorded as a current period expense and a portion was recorded as a yield adjustment. For the fourth quarter of 2017, the revision increased provision for credit losses by $41.6 million, reduced finance charge revenue by $7.3 million and reduced net income by $30.8 million. The revision reduced the yield on our loan portfolio by 90 basis points, which will impact the timing of revenue recognition in future periods.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337"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fourth quarter of 2016, we enhanced our methodology for forecasting the amount and timing of future collections on Consumer Loans through the utilization of more recent data and new forecast variables. Implementation of the enhanced forecasting methodology as of October 31, 2016 did not have a material impact on provision for credit losses or net income, however it did reduce forecasted net cash flows by $1.8 million, all of which related to Dealer Loans. The implementation also decreased the forecasted collection rates for Consumer Loans assigned in 2015 and 2016 and increased the forecasted collection rates for Consumer Loans assigned in 2011 through 2013.</w:t>
      </w:r>
    </w:p>
    <w:p>
      <w:pPr>
        <w:spacing w:after="0" w:line="18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Advances paid to Dealers on Consumer Loans assigned under our Portfolio Program and one-time payments made to Dealers to purchase Consumer Loans assigned under our Purchase Program are aggregated into pools for purposes of recognizing revenue and evaluating impairment. As a result of this aggregation, we are not able to segment the carrying amounts of the majority of our Loan portfolio by year of assignment. We are able to segment our Loan portfolio by the performance of the Loan pools. Performance considers both the amount and timing of expected net cash flows and is measured by comparing the balance of the Loan pool to the discounted value of the expected future net cash flows of each Loan pool using the yield established at the time of assignment. The following table segments our Loan portfolio by the performance of the Loan pools: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62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4"/>
          </w:tcPr>
          <w:p>
            <w:pPr>
              <w:jc w:val="right"/>
              <w:ind w:right="557"/>
              <w:spacing w:after="0"/>
              <w:rPr>
                <w:sz w:val="20"/>
                <w:szCs w:val="20"/>
                <w:color w:val="auto"/>
              </w:rPr>
            </w:pPr>
            <w:r>
              <w:rPr>
                <w:rFonts w:ascii="Arial" w:cs="Arial" w:eastAsia="Arial" w:hAnsi="Arial"/>
                <w:sz w:val="14"/>
                <w:szCs w:val="14"/>
                <w:b w:val="1"/>
                <w:bCs w:val="1"/>
                <w:color w:val="auto"/>
              </w:rPr>
              <w:t>As of December 31, 2017</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0" w:type="dxa"/>
            <w:vAlign w:val="bottom"/>
            <w:gridSpan w:val="4"/>
          </w:tcPr>
          <w:p>
            <w:pPr>
              <w:jc w:val="center"/>
              <w:ind w:right="20"/>
              <w:spacing w:after="0" w:line="153" w:lineRule="exact"/>
              <w:rPr>
                <w:sz w:val="20"/>
                <w:szCs w:val="20"/>
                <w:color w:val="auto"/>
              </w:rPr>
            </w:pPr>
            <w:r>
              <w:rPr>
                <w:rFonts w:ascii="Arial" w:cs="Arial" w:eastAsia="Arial" w:hAnsi="Arial"/>
                <w:sz w:val="14"/>
                <w:szCs w:val="14"/>
                <w:b w:val="1"/>
                <w:bCs w:val="1"/>
                <w:color w:val="auto"/>
                <w:w w:val="92"/>
              </w:rPr>
              <w:t>Loan Pool Performance</w:t>
            </w: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gridSpan w:val="4"/>
          </w:tcPr>
          <w:p>
            <w:pPr>
              <w:jc w:val="center"/>
              <w:spacing w:after="0" w:line="153" w:lineRule="exact"/>
              <w:rPr>
                <w:sz w:val="20"/>
                <w:szCs w:val="20"/>
                <w:color w:val="auto"/>
              </w:rPr>
            </w:pPr>
            <w:r>
              <w:rPr>
                <w:rFonts w:ascii="Arial" w:cs="Arial" w:eastAsia="Arial" w:hAnsi="Arial"/>
                <w:sz w:val="14"/>
                <w:szCs w:val="14"/>
                <w:b w:val="1"/>
                <w:bCs w:val="1"/>
                <w:color w:val="auto"/>
                <w:w w:val="92"/>
              </w:rPr>
              <w:t>Loan Pool Performance</w:t>
            </w: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6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6"/>
          </w:tcPr>
          <w:p>
            <w:pPr>
              <w:jc w:val="center"/>
              <w:ind w:left="639"/>
              <w:spacing w:after="0"/>
              <w:rPr>
                <w:sz w:val="20"/>
                <w:szCs w:val="20"/>
                <w:color w:val="auto"/>
              </w:rPr>
            </w:pPr>
            <w:r>
              <w:rPr>
                <w:rFonts w:ascii="Arial" w:cs="Arial" w:eastAsia="Arial" w:hAnsi="Arial"/>
                <w:sz w:val="14"/>
                <w:szCs w:val="14"/>
                <w:b w:val="1"/>
                <w:bCs w:val="1"/>
                <w:color w:val="auto"/>
                <w:w w:val="92"/>
              </w:rPr>
              <w:t>Meets or Exceeds Initial Estimates</w:t>
            </w:r>
          </w:p>
        </w:tc>
        <w:tc>
          <w:tcPr>
            <w:tcW w:w="9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6"/>
          </w:tcPr>
          <w:p>
            <w:pPr>
              <w:jc w:val="center"/>
              <w:ind w:right="190"/>
              <w:spacing w:after="0"/>
              <w:rPr>
                <w:sz w:val="20"/>
                <w:szCs w:val="20"/>
                <w:color w:val="auto"/>
              </w:rPr>
            </w:pPr>
            <w:r>
              <w:rPr>
                <w:rFonts w:ascii="Arial" w:cs="Arial" w:eastAsia="Arial" w:hAnsi="Arial"/>
                <w:sz w:val="14"/>
                <w:szCs w:val="14"/>
                <w:b w:val="1"/>
                <w:bCs w:val="1"/>
                <w:color w:val="auto"/>
                <w:w w:val="93"/>
              </w:rPr>
              <w:t>Less than Initial Estimates</w:t>
            </w: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jc w:val="right"/>
              <w:ind w:right="419"/>
              <w:spacing w:after="0" w:line="153" w:lineRule="exact"/>
              <w:rPr>
                <w:sz w:val="20"/>
                <w:szCs w:val="20"/>
                <w:color w:val="auto"/>
              </w:rPr>
            </w:pPr>
            <w:r>
              <w:rPr>
                <w:rFonts w:ascii="Arial" w:cs="Arial" w:eastAsia="Arial" w:hAnsi="Arial"/>
                <w:sz w:val="14"/>
                <w:szCs w:val="14"/>
                <w:b w:val="1"/>
                <w:bCs w:val="1"/>
                <w:color w:val="auto"/>
              </w:rPr>
              <w:t>Dealer</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vMerge w:val="restart"/>
          </w:tcPr>
          <w:p>
            <w:pPr>
              <w:jc w:val="center"/>
              <w:ind w:right="54"/>
              <w:spacing w:after="0"/>
              <w:rPr>
                <w:sz w:val="20"/>
                <w:szCs w:val="20"/>
                <w:color w:val="auto"/>
              </w:rPr>
            </w:pPr>
            <w:r>
              <w:rPr>
                <w:rFonts w:ascii="Arial" w:cs="Arial" w:eastAsia="Arial" w:hAnsi="Arial"/>
                <w:sz w:val="14"/>
                <w:szCs w:val="14"/>
                <w:b w:val="1"/>
                <w:bCs w:val="1"/>
                <w:color w:val="auto"/>
                <w:w w:val="90"/>
              </w:rPr>
              <w:t>Purchased Loans</w:t>
            </w:r>
          </w:p>
        </w:tc>
        <w:tc>
          <w:tcPr>
            <w:tcW w:w="100" w:type="dxa"/>
            <w:vAlign w:val="bottom"/>
            <w:vMerge w:val="restart"/>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vMerge w:val="restart"/>
          </w:tcPr>
          <w:p>
            <w:pPr>
              <w:jc w:val="right"/>
              <w:ind w:right="417"/>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jc w:val="right"/>
              <w:ind w:right="377"/>
              <w:spacing w:after="0" w:line="153" w:lineRule="exact"/>
              <w:rPr>
                <w:sz w:val="20"/>
                <w:szCs w:val="20"/>
                <w:color w:val="auto"/>
              </w:rPr>
            </w:pPr>
            <w:r>
              <w:rPr>
                <w:rFonts w:ascii="Arial" w:cs="Arial" w:eastAsia="Arial" w:hAnsi="Arial"/>
                <w:sz w:val="14"/>
                <w:szCs w:val="14"/>
                <w:b w:val="1"/>
                <w:bCs w:val="1"/>
                <w:color w:val="auto"/>
              </w:rPr>
              <w:t>Dealer</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vMerge w:val="restart"/>
          </w:tcPr>
          <w:p>
            <w:pPr>
              <w:jc w:val="center"/>
              <w:ind w:right="34"/>
              <w:spacing w:after="0"/>
              <w:rPr>
                <w:sz w:val="20"/>
                <w:szCs w:val="20"/>
                <w:color w:val="auto"/>
              </w:rPr>
            </w:pPr>
            <w:r>
              <w:rPr>
                <w:rFonts w:ascii="Arial" w:cs="Arial" w:eastAsia="Arial" w:hAnsi="Arial"/>
                <w:sz w:val="14"/>
                <w:szCs w:val="14"/>
                <w:b w:val="1"/>
                <w:bCs w:val="1"/>
                <w:color w:val="auto"/>
                <w:w w:val="90"/>
              </w:rPr>
              <w:t>Purchased Loans</w:t>
            </w:r>
          </w:p>
        </w:tc>
        <w:tc>
          <w:tcPr>
            <w:tcW w:w="120" w:type="dxa"/>
            <w:vAlign w:val="bottom"/>
            <w:vMerge w:val="restart"/>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5"/>
        </w:trPr>
        <w:tc>
          <w:tcPr>
            <w:tcW w:w="26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Loans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Loans</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Loans receivable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755.2</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1,227.9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2,762.9</w:t>
            </w: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1,058.2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3,821.1</w:t>
            </w:r>
          </w:p>
        </w:tc>
        <w:tc>
          <w:tcPr>
            <w:tcW w:w="0" w:type="dxa"/>
            <w:vAlign w:val="bottom"/>
          </w:tcPr>
          <w:p>
            <w:pPr>
              <w:spacing w:after="0"/>
              <w:rPr>
                <w:sz w:val="1"/>
                <w:szCs w:val="1"/>
                <w:color w:val="auto"/>
              </w:rPr>
            </w:pPr>
          </w:p>
        </w:tc>
      </w:tr>
      <w:tr>
        <w:trPr>
          <w:trHeight w:val="284"/>
        </w:trPr>
        <w:tc>
          <w:tcPr>
            <w:tcW w:w="2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Allowance for credit losses</w:t>
            </w: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(366.0)</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(429.4)</w:t>
            </w:r>
          </w:p>
        </w:tc>
        <w:tc>
          <w:tcPr>
            <w:tcW w:w="0" w:type="dxa"/>
            <w:vAlign w:val="bottom"/>
          </w:tcPr>
          <w:p>
            <w:pPr>
              <w:spacing w:after="0"/>
              <w:rPr>
                <w:sz w:val="1"/>
                <w:szCs w:val="1"/>
                <w:color w:val="auto"/>
              </w:rPr>
            </w:pPr>
          </w:p>
        </w:tc>
      </w:tr>
      <w:tr>
        <w:trPr>
          <w:trHeight w:val="257"/>
        </w:trPr>
        <w:tc>
          <w:tcPr>
            <w:tcW w:w="2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Loans receivable, net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755.2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472.7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1,227.9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2,396.9</w:t>
            </w:r>
          </w:p>
        </w:tc>
        <w:tc>
          <w:tcPr>
            <w:tcW w:w="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994.8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3,391.7</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262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4"/>
          </w:tcPr>
          <w:p>
            <w:pPr>
              <w:jc w:val="right"/>
              <w:ind w:right="557"/>
              <w:spacing w:after="0"/>
              <w:rPr>
                <w:sz w:val="20"/>
                <w:szCs w:val="20"/>
                <w:color w:val="auto"/>
              </w:rPr>
            </w:pPr>
            <w:r>
              <w:rPr>
                <w:rFonts w:ascii="Arial" w:cs="Arial" w:eastAsia="Arial" w:hAnsi="Arial"/>
                <w:sz w:val="14"/>
                <w:szCs w:val="14"/>
                <w:b w:val="1"/>
                <w:bCs w:val="1"/>
                <w:color w:val="auto"/>
              </w:rPr>
              <w:t>As of December 31, 2016</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0" w:type="dxa"/>
            <w:vAlign w:val="bottom"/>
            <w:gridSpan w:val="4"/>
          </w:tcPr>
          <w:p>
            <w:pPr>
              <w:jc w:val="center"/>
              <w:ind w:right="20"/>
              <w:spacing w:after="0" w:line="153" w:lineRule="exact"/>
              <w:rPr>
                <w:sz w:val="20"/>
                <w:szCs w:val="20"/>
                <w:color w:val="auto"/>
              </w:rPr>
            </w:pPr>
            <w:r>
              <w:rPr>
                <w:rFonts w:ascii="Arial" w:cs="Arial" w:eastAsia="Arial" w:hAnsi="Arial"/>
                <w:sz w:val="14"/>
                <w:szCs w:val="14"/>
                <w:b w:val="1"/>
                <w:bCs w:val="1"/>
                <w:color w:val="auto"/>
                <w:w w:val="92"/>
              </w:rPr>
              <w:t>Loan Pool Performance</w:t>
            </w: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gridSpan w:val="4"/>
          </w:tcPr>
          <w:p>
            <w:pPr>
              <w:jc w:val="center"/>
              <w:spacing w:after="0" w:line="153" w:lineRule="exact"/>
              <w:rPr>
                <w:sz w:val="20"/>
                <w:szCs w:val="20"/>
                <w:color w:val="auto"/>
              </w:rPr>
            </w:pPr>
            <w:r>
              <w:rPr>
                <w:rFonts w:ascii="Arial" w:cs="Arial" w:eastAsia="Arial" w:hAnsi="Arial"/>
                <w:sz w:val="14"/>
                <w:szCs w:val="14"/>
                <w:b w:val="1"/>
                <w:bCs w:val="1"/>
                <w:color w:val="auto"/>
                <w:w w:val="92"/>
              </w:rPr>
              <w:t>Loan Pool Performance</w:t>
            </w: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6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6"/>
          </w:tcPr>
          <w:p>
            <w:pPr>
              <w:jc w:val="center"/>
              <w:ind w:left="639"/>
              <w:spacing w:after="0"/>
              <w:rPr>
                <w:sz w:val="20"/>
                <w:szCs w:val="20"/>
                <w:color w:val="auto"/>
              </w:rPr>
            </w:pPr>
            <w:r>
              <w:rPr>
                <w:rFonts w:ascii="Arial" w:cs="Arial" w:eastAsia="Arial" w:hAnsi="Arial"/>
                <w:sz w:val="14"/>
                <w:szCs w:val="14"/>
                <w:b w:val="1"/>
                <w:bCs w:val="1"/>
                <w:color w:val="auto"/>
                <w:w w:val="92"/>
              </w:rPr>
              <w:t>Meets or Exceeds Initial Estimates</w:t>
            </w:r>
          </w:p>
        </w:tc>
        <w:tc>
          <w:tcPr>
            <w:tcW w:w="9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6"/>
          </w:tcPr>
          <w:p>
            <w:pPr>
              <w:jc w:val="center"/>
              <w:ind w:right="190"/>
              <w:spacing w:after="0"/>
              <w:rPr>
                <w:sz w:val="20"/>
                <w:szCs w:val="20"/>
                <w:color w:val="auto"/>
              </w:rPr>
            </w:pPr>
            <w:r>
              <w:rPr>
                <w:rFonts w:ascii="Arial" w:cs="Arial" w:eastAsia="Arial" w:hAnsi="Arial"/>
                <w:sz w:val="14"/>
                <w:szCs w:val="14"/>
                <w:b w:val="1"/>
                <w:bCs w:val="1"/>
                <w:color w:val="auto"/>
                <w:w w:val="93"/>
              </w:rPr>
              <w:t>Less than Initial Estimates</w:t>
            </w: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jc w:val="right"/>
              <w:ind w:right="419"/>
              <w:spacing w:after="0" w:line="153" w:lineRule="exact"/>
              <w:rPr>
                <w:sz w:val="20"/>
                <w:szCs w:val="20"/>
                <w:color w:val="auto"/>
              </w:rPr>
            </w:pPr>
            <w:r>
              <w:rPr>
                <w:rFonts w:ascii="Arial" w:cs="Arial" w:eastAsia="Arial" w:hAnsi="Arial"/>
                <w:sz w:val="14"/>
                <w:szCs w:val="14"/>
                <w:b w:val="1"/>
                <w:bCs w:val="1"/>
                <w:color w:val="auto"/>
              </w:rPr>
              <w:t>Dealer</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vMerge w:val="restart"/>
          </w:tcPr>
          <w:p>
            <w:pPr>
              <w:jc w:val="center"/>
              <w:ind w:right="54"/>
              <w:spacing w:after="0"/>
              <w:rPr>
                <w:sz w:val="20"/>
                <w:szCs w:val="20"/>
                <w:color w:val="auto"/>
              </w:rPr>
            </w:pPr>
            <w:r>
              <w:rPr>
                <w:rFonts w:ascii="Arial" w:cs="Arial" w:eastAsia="Arial" w:hAnsi="Arial"/>
                <w:sz w:val="14"/>
                <w:szCs w:val="14"/>
                <w:b w:val="1"/>
                <w:bCs w:val="1"/>
                <w:color w:val="auto"/>
                <w:w w:val="90"/>
              </w:rPr>
              <w:t>Purchased Loans</w:t>
            </w:r>
          </w:p>
        </w:tc>
        <w:tc>
          <w:tcPr>
            <w:tcW w:w="100" w:type="dxa"/>
            <w:vAlign w:val="bottom"/>
            <w:vMerge w:val="restart"/>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vMerge w:val="restart"/>
          </w:tcPr>
          <w:p>
            <w:pPr>
              <w:jc w:val="right"/>
              <w:ind w:right="417"/>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jc w:val="right"/>
              <w:ind w:right="377"/>
              <w:spacing w:after="0" w:line="153" w:lineRule="exact"/>
              <w:rPr>
                <w:sz w:val="20"/>
                <w:szCs w:val="20"/>
                <w:color w:val="auto"/>
              </w:rPr>
            </w:pPr>
            <w:r>
              <w:rPr>
                <w:rFonts w:ascii="Arial" w:cs="Arial" w:eastAsia="Arial" w:hAnsi="Arial"/>
                <w:sz w:val="14"/>
                <w:szCs w:val="14"/>
                <w:b w:val="1"/>
                <w:bCs w:val="1"/>
                <w:color w:val="auto"/>
              </w:rPr>
              <w:t>Dealer</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vMerge w:val="restart"/>
          </w:tcPr>
          <w:p>
            <w:pPr>
              <w:jc w:val="center"/>
              <w:ind w:right="34"/>
              <w:spacing w:after="0"/>
              <w:rPr>
                <w:sz w:val="20"/>
                <w:szCs w:val="20"/>
                <w:color w:val="auto"/>
              </w:rPr>
            </w:pPr>
            <w:r>
              <w:rPr>
                <w:rFonts w:ascii="Arial" w:cs="Arial" w:eastAsia="Arial" w:hAnsi="Arial"/>
                <w:sz w:val="14"/>
                <w:szCs w:val="14"/>
                <w:b w:val="1"/>
                <w:bCs w:val="1"/>
                <w:color w:val="auto"/>
                <w:w w:val="90"/>
              </w:rPr>
              <w:t>Purchased Loans</w:t>
            </w:r>
          </w:p>
        </w:tc>
        <w:tc>
          <w:tcPr>
            <w:tcW w:w="120" w:type="dxa"/>
            <w:vAlign w:val="bottom"/>
            <w:vMerge w:val="restart"/>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5"/>
        </w:trPr>
        <w:tc>
          <w:tcPr>
            <w:tcW w:w="26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Loans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Loans</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Loans receivable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1,002.2</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705.8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1,708.0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2,206.8</w:t>
            </w: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2,499.0</w:t>
            </w:r>
          </w:p>
        </w:tc>
        <w:tc>
          <w:tcPr>
            <w:tcW w:w="0" w:type="dxa"/>
            <w:vAlign w:val="bottom"/>
          </w:tcPr>
          <w:p>
            <w:pPr>
              <w:spacing w:after="0"/>
              <w:rPr>
                <w:sz w:val="1"/>
                <w:szCs w:val="1"/>
                <w:color w:val="auto"/>
              </w:rPr>
            </w:pPr>
          </w:p>
        </w:tc>
      </w:tr>
      <w:tr>
        <w:trPr>
          <w:trHeight w:val="284"/>
        </w:trPr>
        <w:tc>
          <w:tcPr>
            <w:tcW w:w="2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Allowance for credit losses</w:t>
            </w: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(309.3)</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(320.4)</w:t>
            </w:r>
          </w:p>
        </w:tc>
        <w:tc>
          <w:tcPr>
            <w:tcW w:w="0" w:type="dxa"/>
            <w:vAlign w:val="bottom"/>
          </w:tcPr>
          <w:p>
            <w:pPr>
              <w:spacing w:after="0"/>
              <w:rPr>
                <w:sz w:val="1"/>
                <w:szCs w:val="1"/>
                <w:color w:val="auto"/>
              </w:rPr>
            </w:pPr>
          </w:p>
        </w:tc>
      </w:tr>
      <w:tr>
        <w:trPr>
          <w:trHeight w:val="257"/>
        </w:trPr>
        <w:tc>
          <w:tcPr>
            <w:tcW w:w="26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Loans receivable, net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1,002.2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705.8</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1,708.0</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1,897.5</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281.1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2,178.6</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2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rPr>
              <w:t>67</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changes in the allowance for credit losses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72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7"/>
                <w:szCs w:val="17"/>
                <w:color w:val="auto"/>
              </w:rPr>
            </w:pPr>
          </w:p>
        </w:tc>
        <w:tc>
          <w:tcPr>
            <w:tcW w:w="4040" w:type="dxa"/>
            <w:vAlign w:val="bottom"/>
            <w:tcBorders>
              <w:bottom w:val="single" w:sz="8" w:color="auto"/>
            </w:tcBorders>
            <w:gridSpan w:val="6"/>
          </w:tcPr>
          <w:p>
            <w:pPr>
              <w:jc w:val="center"/>
              <w:ind w:left="954"/>
              <w:spacing w:after="0"/>
              <w:rPr>
                <w:sz w:val="20"/>
                <w:szCs w:val="20"/>
                <w:color w:val="auto"/>
              </w:rPr>
            </w:pPr>
            <w:r>
              <w:rPr>
                <w:rFonts w:ascii="Arial" w:cs="Arial" w:eastAsia="Arial" w:hAnsi="Arial"/>
                <w:sz w:val="14"/>
                <w:szCs w:val="14"/>
                <w:b w:val="1"/>
                <w:bCs w:val="1"/>
                <w:color w:val="auto"/>
                <w:w w:val="92"/>
              </w:rPr>
              <w:t>For the Year Ended December 31, 2017</w:t>
            </w:r>
          </w:p>
        </w:tc>
        <w:tc>
          <w:tcPr>
            <w:tcW w:w="1340" w:type="dxa"/>
            <w:vAlign w:val="bottom"/>
            <w:tcBorders>
              <w:bottom w:val="single" w:sz="8" w:color="auto"/>
            </w:tcBorders>
          </w:tcPr>
          <w:p>
            <w:pPr>
              <w:spacing w:after="0"/>
              <w:rPr>
                <w:sz w:val="17"/>
                <w:szCs w:val="17"/>
                <w:color w:val="auto"/>
              </w:rPr>
            </w:pPr>
          </w:p>
        </w:tc>
      </w:tr>
      <w:tr>
        <w:trPr>
          <w:trHeight w:val="264"/>
        </w:trPr>
        <w:tc>
          <w:tcPr>
            <w:tcW w:w="5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20" w:type="dxa"/>
            <w:vAlign w:val="bottom"/>
            <w:gridSpan w:val="2"/>
          </w:tcPr>
          <w:p>
            <w:pPr>
              <w:ind w:left="180"/>
              <w:spacing w:after="0"/>
              <w:rPr>
                <w:sz w:val="20"/>
                <w:szCs w:val="20"/>
                <w:color w:val="auto"/>
              </w:rPr>
            </w:pPr>
            <w:r>
              <w:rPr>
                <w:rFonts w:ascii="Arial" w:cs="Arial" w:eastAsia="Arial" w:hAnsi="Arial"/>
                <w:sz w:val="14"/>
                <w:szCs w:val="14"/>
                <w:b w:val="1"/>
                <w:bCs w:val="1"/>
                <w:color w:val="auto"/>
              </w:rPr>
              <w:t>Dealer Loans</w:t>
            </w:r>
          </w:p>
        </w:tc>
        <w:tc>
          <w:tcPr>
            <w:tcW w:w="260" w:type="dxa"/>
            <w:vAlign w:val="bottom"/>
          </w:tcPr>
          <w:p>
            <w:pPr>
              <w:spacing w:after="0"/>
              <w:rPr>
                <w:sz w:val="22"/>
                <w:szCs w:val="22"/>
                <w:color w:val="auto"/>
              </w:rPr>
            </w:pPr>
          </w:p>
        </w:tc>
        <w:tc>
          <w:tcPr>
            <w:tcW w:w="16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Purchased Loans</w:t>
            </w:r>
          </w:p>
        </w:tc>
        <w:tc>
          <w:tcPr>
            <w:tcW w:w="480" w:type="dxa"/>
            <w:vAlign w:val="bottom"/>
          </w:tcPr>
          <w:p>
            <w:pPr>
              <w:spacing w:after="0"/>
              <w:rPr>
                <w:sz w:val="22"/>
                <w:szCs w:val="22"/>
                <w:color w:val="auto"/>
              </w:rPr>
            </w:pPr>
          </w:p>
        </w:tc>
        <w:tc>
          <w:tcPr>
            <w:tcW w:w="1340" w:type="dxa"/>
            <w:vAlign w:val="bottom"/>
          </w:tcPr>
          <w:p>
            <w:pPr>
              <w:jc w:val="right"/>
              <w:ind w:right="673"/>
              <w:spacing w:after="0"/>
              <w:rPr>
                <w:sz w:val="20"/>
                <w:szCs w:val="20"/>
                <w:color w:val="auto"/>
              </w:rPr>
            </w:pPr>
            <w:r>
              <w:rPr>
                <w:rFonts w:ascii="Arial" w:cs="Arial" w:eastAsia="Arial" w:hAnsi="Arial"/>
                <w:sz w:val="14"/>
                <w:szCs w:val="14"/>
                <w:b w:val="1"/>
                <w:bCs w:val="1"/>
                <w:color w:val="auto"/>
              </w:rPr>
              <w:t>Total</w:t>
            </w:r>
          </w:p>
        </w:tc>
      </w:tr>
      <w:tr>
        <w:trPr>
          <w:trHeight w:val="250"/>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beginning of period</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320.4</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Provision for credit losses</w:t>
            </w:r>
          </w:p>
        </w:tc>
        <w:tc>
          <w:tcPr>
            <w:tcW w:w="32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103.4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129.3</w:t>
            </w:r>
          </w:p>
        </w:tc>
      </w:tr>
      <w:tr>
        <w:trPr>
          <w:trHeight w:val="27"/>
        </w:trPr>
        <w:tc>
          <w:tcPr>
            <w:tcW w:w="5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Transfers (1)</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Write-offs</w:t>
            </w:r>
          </w:p>
        </w:tc>
        <w:tc>
          <w:tcPr>
            <w:tcW w:w="3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(22.1)</w:t>
            </w:r>
          </w:p>
        </w:tc>
      </w:tr>
      <w:tr>
        <w:trPr>
          <w:trHeight w:val="27"/>
        </w:trPr>
        <w:tc>
          <w:tcPr>
            <w:tcW w:w="5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7"/>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Recoveries (2)</w:t>
            </w:r>
          </w:p>
        </w:tc>
        <w:tc>
          <w:tcPr>
            <w:tcW w:w="320" w:type="dxa"/>
            <w:vAlign w:val="bottom"/>
            <w:tcBorders>
              <w:bottom w:val="single" w:sz="8" w:color="auto"/>
            </w:tcBorders>
            <w:shd w:val="clear" w:color="auto" w:fill="CCEEFF"/>
          </w:tcPr>
          <w:p>
            <w:pPr>
              <w:spacing w:after="0"/>
              <w:rPr>
                <w:sz w:val="24"/>
                <w:szCs w:val="24"/>
                <w:color w:val="auto"/>
              </w:rPr>
            </w:pPr>
          </w:p>
        </w:tc>
        <w:tc>
          <w:tcPr>
            <w:tcW w:w="15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w:t>
            </w:r>
          </w:p>
        </w:tc>
      </w:tr>
      <w:tr>
        <w:trPr>
          <w:trHeight w:val="264"/>
        </w:trPr>
        <w:tc>
          <w:tcPr>
            <w:tcW w:w="5720" w:type="dxa"/>
            <w:vAlign w:val="bottom"/>
          </w:tcPr>
          <w:p>
            <w:pPr>
              <w:ind w:left="40"/>
              <w:spacing w:after="0"/>
              <w:rPr>
                <w:sz w:val="20"/>
                <w:szCs w:val="20"/>
                <w:color w:val="auto"/>
              </w:rPr>
            </w:pPr>
            <w:r>
              <w:rPr>
                <w:rFonts w:ascii="Arial" w:cs="Arial" w:eastAsia="Arial" w:hAnsi="Arial"/>
                <w:sz w:val="18"/>
                <w:szCs w:val="18"/>
                <w:color w:val="auto"/>
              </w:rPr>
              <w:t>Balance, end of period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366.0</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63.4</w:t>
            </w:r>
          </w:p>
        </w:tc>
        <w:tc>
          <w:tcPr>
            <w:tcW w:w="120" w:type="dxa"/>
            <w:vAlign w:val="bottom"/>
          </w:tcPr>
          <w:p>
            <w:pPr>
              <w:spacing w:after="0"/>
              <w:rPr>
                <w:sz w:val="22"/>
                <w:szCs w:val="22"/>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429.4</w:t>
            </w:r>
          </w:p>
        </w:tc>
      </w:tr>
      <w:tr>
        <w:trPr>
          <w:trHeight w:val="20"/>
        </w:trPr>
        <w:tc>
          <w:tcPr>
            <w:tcW w:w="5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1440" w:gutter="0" w:footer="0" w:header="0"/>
        </w:sectPr>
      </w:pPr>
    </w:p>
    <w:p>
      <w:pPr>
        <w:spacing w:after="0" w:line="146"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millions)</w:t>
      </w:r>
    </w:p>
    <w:p>
      <w:pPr>
        <w:spacing w:after="0" w:line="343" w:lineRule="exact"/>
        <w:rPr>
          <w:sz w:val="20"/>
          <w:szCs w:val="20"/>
          <w:color w:val="auto"/>
        </w:rPr>
      </w:pPr>
    </w:p>
    <w:p>
      <w:pPr>
        <w:ind w:left="40"/>
        <w:spacing w:after="0"/>
        <w:rPr>
          <w:sz w:val="20"/>
          <w:szCs w:val="20"/>
          <w:color w:val="auto"/>
        </w:rPr>
      </w:pPr>
      <w:r>
        <w:rPr>
          <w:rFonts w:ascii="Arial" w:cs="Arial" w:eastAsia="Arial" w:hAnsi="Arial"/>
          <w:sz w:val="17"/>
          <w:szCs w:val="17"/>
          <w:color w:val="auto"/>
        </w:rPr>
        <w:t>Balance, beginning of period</w:t>
      </w:r>
    </w:p>
    <w:p>
      <w:pPr>
        <w:spacing w:after="0" w:line="7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Provision for credit losses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Write-offs</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Recoveries (2)</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end of period</w:t>
      </w:r>
    </w:p>
    <w:p>
      <w:pPr>
        <w:spacing w:after="0" w:line="200" w:lineRule="exact"/>
        <w:rPr>
          <w:sz w:val="20"/>
          <w:szCs w:val="20"/>
          <w:color w:val="auto"/>
        </w:rPr>
      </w:pPr>
    </w:p>
    <w:p>
      <w:pPr>
        <w:spacing w:after="0" w:line="223"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ind w:left="1660"/>
        <w:spacing w:after="0"/>
        <w:rPr>
          <w:sz w:val="20"/>
          <w:szCs w:val="20"/>
          <w:color w:val="auto"/>
        </w:rPr>
      </w:pPr>
      <w:r>
        <w:rPr>
          <w:rFonts w:ascii="Arial" w:cs="Arial" w:eastAsia="Arial" w:hAnsi="Arial"/>
          <w:sz w:val="14"/>
          <w:szCs w:val="14"/>
          <w:b w:val="1"/>
          <w:bCs w:val="1"/>
          <w:color w:val="auto"/>
        </w:rPr>
        <w:t>For the Year Ended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23495</wp:posOffset>
            </wp:positionV>
            <wp:extent cx="361886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20" w:type="dxa"/>
            <w:vAlign w:val="bottom"/>
          </w:tcPr>
          <w:p>
            <w:pPr>
              <w:spacing w:after="0"/>
              <w:rPr>
                <w:sz w:val="17"/>
                <w:szCs w:val="17"/>
                <w:color w:val="auto"/>
              </w:rPr>
            </w:pPr>
          </w:p>
        </w:tc>
        <w:tc>
          <w:tcPr>
            <w:tcW w:w="1620" w:type="dxa"/>
            <w:vAlign w:val="bottom"/>
            <w:gridSpan w:val="2"/>
          </w:tcPr>
          <w:p>
            <w:pPr>
              <w:ind w:left="180"/>
              <w:spacing w:after="0"/>
              <w:rPr>
                <w:sz w:val="20"/>
                <w:szCs w:val="20"/>
                <w:color w:val="auto"/>
              </w:rPr>
            </w:pPr>
            <w:r>
              <w:rPr>
                <w:rFonts w:ascii="Arial" w:cs="Arial" w:eastAsia="Arial" w:hAnsi="Arial"/>
                <w:sz w:val="14"/>
                <w:szCs w:val="14"/>
                <w:b w:val="1"/>
                <w:bCs w:val="1"/>
                <w:color w:val="auto"/>
              </w:rPr>
              <w:t>Dealer Loans</w:t>
            </w:r>
          </w:p>
        </w:tc>
        <w:tc>
          <w:tcPr>
            <w:tcW w:w="260" w:type="dxa"/>
            <w:vAlign w:val="bottom"/>
          </w:tcPr>
          <w:p>
            <w:pPr>
              <w:spacing w:after="0"/>
              <w:rPr>
                <w:sz w:val="17"/>
                <w:szCs w:val="17"/>
                <w:color w:val="auto"/>
              </w:rPr>
            </w:pPr>
          </w:p>
        </w:tc>
        <w:tc>
          <w:tcPr>
            <w:tcW w:w="16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Purchased Loans</w:t>
            </w:r>
          </w:p>
        </w:tc>
        <w:tc>
          <w:tcPr>
            <w:tcW w:w="480" w:type="dxa"/>
            <w:vAlign w:val="bottom"/>
          </w:tcPr>
          <w:p>
            <w:pPr>
              <w:spacing w:after="0"/>
              <w:rPr>
                <w:sz w:val="17"/>
                <w:szCs w:val="17"/>
                <w:color w:val="auto"/>
              </w:rPr>
            </w:pPr>
          </w:p>
        </w:tc>
        <w:tc>
          <w:tcPr>
            <w:tcW w:w="1340" w:type="dxa"/>
            <w:vAlign w:val="bottom"/>
          </w:tcPr>
          <w:p>
            <w:pPr>
              <w:jc w:val="right"/>
              <w:ind w:right="675"/>
              <w:spacing w:after="0"/>
              <w:rPr>
                <w:sz w:val="20"/>
                <w:szCs w:val="20"/>
                <w:color w:val="auto"/>
              </w:rPr>
            </w:pPr>
            <w:r>
              <w:rPr>
                <w:rFonts w:ascii="Arial" w:cs="Arial" w:eastAsia="Arial" w:hAnsi="Arial"/>
                <w:sz w:val="14"/>
                <w:szCs w:val="14"/>
                <w:b w:val="1"/>
                <w:bCs w:val="1"/>
                <w:color w:val="auto"/>
              </w:rPr>
              <w:t>Total</w:t>
            </w:r>
          </w:p>
        </w:tc>
      </w:tr>
      <w:tr>
        <w:trPr>
          <w:trHeight w:val="243"/>
        </w:trPr>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235.1</w:t>
            </w:r>
          </w:p>
        </w:tc>
        <w:tc>
          <w:tcPr>
            <w:tcW w:w="100" w:type="dxa"/>
            <w:vAlign w:val="bottom"/>
          </w:tcPr>
          <w:p>
            <w:pPr>
              <w:spacing w:after="0"/>
              <w:rPr>
                <w:sz w:val="21"/>
                <w:szCs w:val="21"/>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243.6</w:t>
            </w:r>
          </w:p>
        </w:tc>
      </w:tr>
      <w:tr>
        <w:trPr>
          <w:trHeight w:val="270"/>
        </w:trPr>
        <w:tc>
          <w:tcPr>
            <w:tcW w:w="320" w:type="dxa"/>
            <w:vAlign w:val="bottom"/>
          </w:tcPr>
          <w:p>
            <w:pPr>
              <w:spacing w:after="0"/>
              <w:rPr>
                <w:sz w:val="23"/>
                <w:szCs w:val="23"/>
                <w:color w:val="auto"/>
              </w:rPr>
            </w:pPr>
          </w:p>
        </w:tc>
        <w:tc>
          <w:tcPr>
            <w:tcW w:w="1520" w:type="dxa"/>
            <w:vAlign w:val="bottom"/>
          </w:tcPr>
          <w:p>
            <w:pPr>
              <w:jc w:val="right"/>
              <w:ind w:right="37"/>
              <w:spacing w:after="0"/>
              <w:rPr>
                <w:sz w:val="20"/>
                <w:szCs w:val="20"/>
                <w:color w:val="auto"/>
              </w:rPr>
            </w:pPr>
            <w:r>
              <w:rPr>
                <w:rFonts w:ascii="Arial" w:cs="Arial" w:eastAsia="Arial" w:hAnsi="Arial"/>
                <w:sz w:val="18"/>
                <w:szCs w:val="18"/>
                <w:color w:val="auto"/>
              </w:rPr>
              <w:t>87.3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60" w:type="dxa"/>
            <w:vAlign w:val="bottom"/>
          </w:tcPr>
          <w:p>
            <w:pPr>
              <w:jc w:val="right"/>
              <w:ind w:right="15"/>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90.2</w:t>
            </w:r>
          </w:p>
        </w:tc>
      </w:tr>
      <w:tr>
        <w:trPr>
          <w:trHeight w:val="270"/>
        </w:trPr>
        <w:tc>
          <w:tcPr>
            <w:tcW w:w="3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70"/>
        </w:trPr>
        <w:tc>
          <w:tcPr>
            <w:tcW w:w="320" w:type="dxa"/>
            <w:vAlign w:val="bottom"/>
          </w:tcPr>
          <w:p>
            <w:pPr>
              <w:spacing w:after="0"/>
              <w:rPr>
                <w:sz w:val="23"/>
                <w:szCs w:val="23"/>
                <w:color w:val="auto"/>
              </w:rPr>
            </w:pPr>
          </w:p>
        </w:tc>
        <w:tc>
          <w:tcPr>
            <w:tcW w:w="1520" w:type="dxa"/>
            <w:vAlign w:val="bottom"/>
          </w:tcPr>
          <w:p>
            <w:pPr>
              <w:jc w:val="right"/>
              <w:ind w:right="37"/>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60" w:type="dxa"/>
            <w:vAlign w:val="bottom"/>
          </w:tcPr>
          <w:p>
            <w:pPr>
              <w:jc w:val="right"/>
              <w:ind w:right="15"/>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1.4</w:t>
            </w:r>
          </w:p>
        </w:tc>
      </w:tr>
      <w:tr>
        <w:trPr>
          <w:trHeight w:val="34"/>
        </w:trPr>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3"/>
        </w:trPr>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7"/>
              <w:spacing w:after="0"/>
              <w:rPr>
                <w:sz w:val="20"/>
                <w:szCs w:val="20"/>
                <w:color w:val="auto"/>
              </w:rPr>
            </w:pPr>
            <w:r>
              <w:rPr>
                <w:rFonts w:ascii="Arial" w:cs="Arial" w:eastAsia="Arial" w:hAnsi="Arial"/>
                <w:sz w:val="18"/>
                <w:szCs w:val="18"/>
                <w:color w:val="auto"/>
              </w:rPr>
              <w:t>309.3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5"/>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320.4</w:t>
            </w:r>
          </w:p>
        </w:tc>
      </w:tr>
      <w:tr>
        <w:trPr>
          <w:trHeight w:val="27"/>
        </w:trPr>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514"/>
        </w:trPr>
        <w:tc>
          <w:tcPr>
            <w:tcW w:w="3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6"/>
          </w:tcPr>
          <w:p>
            <w:pPr>
              <w:jc w:val="center"/>
              <w:ind w:left="957"/>
              <w:spacing w:after="0"/>
              <w:rPr>
                <w:sz w:val="20"/>
                <w:szCs w:val="20"/>
                <w:color w:val="auto"/>
              </w:rPr>
            </w:pPr>
            <w:r>
              <w:rPr>
                <w:rFonts w:ascii="Arial" w:cs="Arial" w:eastAsia="Arial" w:hAnsi="Arial"/>
                <w:sz w:val="14"/>
                <w:szCs w:val="14"/>
                <w:b w:val="1"/>
                <w:bCs w:val="1"/>
                <w:color w:val="auto"/>
                <w:w w:val="92"/>
              </w:rPr>
              <w:t>For the Year Ended December 31, 2015</w:t>
            </w:r>
          </w:p>
        </w:tc>
        <w:tc>
          <w:tcPr>
            <w:tcW w:w="1340" w:type="dxa"/>
            <w:vAlign w:val="bottom"/>
            <w:tcBorders>
              <w:bottom w:val="single" w:sz="8" w:color="auto"/>
            </w:tcBorders>
          </w:tcPr>
          <w:p>
            <w:pPr>
              <w:spacing w:after="0"/>
              <w:rPr>
                <w:sz w:val="24"/>
                <w:szCs w:val="24"/>
                <w:color w:val="auto"/>
              </w:rPr>
            </w:pPr>
          </w:p>
        </w:tc>
      </w:tr>
      <w:tr>
        <w:trPr>
          <w:trHeight w:val="264"/>
        </w:trPr>
        <w:tc>
          <w:tcPr>
            <w:tcW w:w="3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Dealer Loans</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0"/>
              </w:rPr>
              <w:t>Purchased Loans</w:t>
            </w:r>
          </w:p>
        </w:tc>
        <w:tc>
          <w:tcPr>
            <w:tcW w:w="12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Total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-1440180</wp:posOffset>
            </wp:positionV>
            <wp:extent cx="7246620"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-1088390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-736600</wp:posOffset>
            </wp:positionV>
            <wp:extent cx="7246620" cy="188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5000" w:space="720"/>
            <w:col w:w="5700"/>
          </w:cols>
          <w:pgMar w:left="240" w:top="337" w:right="23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5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beginning of period</w:t>
            </w: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198.1</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206.9</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Provision for credit losses</w:t>
            </w:r>
          </w:p>
        </w:tc>
        <w:tc>
          <w:tcPr>
            <w:tcW w:w="7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41.5</w:t>
            </w:r>
          </w:p>
        </w:tc>
      </w:tr>
      <w:tr>
        <w:trPr>
          <w:trHeight w:val="27"/>
        </w:trPr>
        <w:tc>
          <w:tcPr>
            <w:tcW w:w="5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Write-offs</w:t>
            </w:r>
          </w:p>
        </w:tc>
        <w:tc>
          <w:tcPr>
            <w:tcW w:w="7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84"/>
        </w:trPr>
        <w:tc>
          <w:tcPr>
            <w:tcW w:w="57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Recoveries (2)</w:t>
            </w:r>
          </w:p>
        </w:tc>
        <w:tc>
          <w:tcPr>
            <w:tcW w:w="7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w:t>
            </w:r>
          </w:p>
        </w:tc>
      </w:tr>
      <w:tr>
        <w:trPr>
          <w:trHeight w:val="25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end of period</w:t>
            </w: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235.1</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243.6</w:t>
            </w:r>
          </w:p>
        </w:tc>
      </w:tr>
      <w:tr>
        <w:trPr>
          <w:trHeight w:val="20"/>
        </w:trPr>
        <w:tc>
          <w:tcPr>
            <w:tcW w:w="57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both"/>
        <w:ind w:left="500" w:hanging="330"/>
        <w:spacing w:after="0" w:line="247" w:lineRule="auto"/>
        <w:tabs>
          <w:tab w:leader="none" w:pos="500" w:val="left"/>
        </w:tabs>
        <w:numPr>
          <w:ilvl w:val="1"/>
          <w:numId w:val="56"/>
        </w:numPr>
        <w:rPr>
          <w:rFonts w:ascii="Arial" w:cs="Arial" w:eastAsia="Arial" w:hAnsi="Arial"/>
          <w:sz w:val="14"/>
          <w:szCs w:val="14"/>
          <w:color w:val="auto"/>
        </w:rPr>
      </w:pPr>
      <w:r>
        <w:rPr>
          <w:rFonts w:ascii="Arial" w:cs="Arial" w:eastAsia="Arial" w:hAnsi="Arial"/>
          <w:sz w:val="14"/>
          <w:szCs w:val="14"/>
          <w:color w:val="auto"/>
        </w:rPr>
        <w:t>Under our Portfolio Program, certain events may result in Dealers forfeiting their rights to Dealer Holdback. We transfer the Dealer’s outstanding Dealer Loan balance to Purchased Loans in the period this forfeiture occurs. Beginning in the fourth quarter of 2017, we also transfer the related allowance for credit losses balance to Purchased Loans in the period this forfeiture occurs.</w:t>
      </w:r>
    </w:p>
    <w:p>
      <w:pPr>
        <w:spacing w:after="0" w:line="1" w:lineRule="exact"/>
        <w:rPr>
          <w:rFonts w:ascii="Arial" w:cs="Arial" w:eastAsia="Arial" w:hAnsi="Arial"/>
          <w:sz w:val="14"/>
          <w:szCs w:val="14"/>
          <w:color w:val="auto"/>
        </w:rPr>
      </w:pPr>
    </w:p>
    <w:p>
      <w:pPr>
        <w:ind w:left="500" w:hanging="330"/>
        <w:spacing w:after="0"/>
        <w:tabs>
          <w:tab w:leader="none" w:pos="500" w:val="left"/>
        </w:tabs>
        <w:numPr>
          <w:ilvl w:val="1"/>
          <w:numId w:val="56"/>
        </w:numPr>
        <w:rPr>
          <w:rFonts w:ascii="Arial" w:cs="Arial" w:eastAsia="Arial" w:hAnsi="Arial"/>
          <w:sz w:val="14"/>
          <w:szCs w:val="14"/>
          <w:color w:val="auto"/>
        </w:rPr>
      </w:pPr>
      <w:r>
        <w:rPr>
          <w:rFonts w:ascii="Arial" w:cs="Arial" w:eastAsia="Arial" w:hAnsi="Arial"/>
          <w:sz w:val="14"/>
          <w:szCs w:val="14"/>
          <w:color w:val="auto"/>
        </w:rPr>
        <w:t>Represents collections received on previously written off Loans.</w:t>
      </w:r>
    </w:p>
    <w:p>
      <w:pPr>
        <w:spacing w:after="0" w:line="205" w:lineRule="exact"/>
        <w:rPr>
          <w:rFonts w:ascii="Arial" w:cs="Arial" w:eastAsia="Arial" w:hAnsi="Arial"/>
          <w:sz w:val="14"/>
          <w:szCs w:val="14"/>
          <w:color w:val="auto"/>
        </w:rPr>
      </w:pPr>
    </w:p>
    <w:p>
      <w:pPr>
        <w:ind w:left="320" w:hanging="312"/>
        <w:spacing w:after="0"/>
        <w:tabs>
          <w:tab w:leader="none" w:pos="32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consists of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6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1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 December 31,</w:t>
            </w:r>
          </w:p>
        </w:tc>
        <w:tc>
          <w:tcPr>
            <w:tcW w:w="1160" w:type="dxa"/>
            <w:vAlign w:val="bottom"/>
            <w:tcBorders>
              <w:bottom w:val="single" w:sz="8" w:color="auto"/>
            </w:tcBorders>
          </w:tcPr>
          <w:p>
            <w:pPr>
              <w:spacing w:after="0"/>
              <w:rPr>
                <w:sz w:val="17"/>
                <w:szCs w:val="17"/>
                <w:color w:val="auto"/>
              </w:rPr>
            </w:pPr>
          </w:p>
        </w:tc>
      </w:tr>
      <w:tr>
        <w:trPr>
          <w:trHeight w:val="264"/>
        </w:trPr>
        <w:tc>
          <w:tcPr>
            <w:tcW w:w="766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2017</w:t>
            </w: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2016</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land improvements</w:t>
            </w:r>
          </w:p>
        </w:tc>
        <w:tc>
          <w:tcPr>
            <w:tcW w:w="1180" w:type="dxa"/>
            <w:vAlign w:val="bottom"/>
            <w:tcBorders>
              <w:bottom w:val="single" w:sz="8" w:color="CCEEFF"/>
            </w:tcBorders>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Building and improvements</w:t>
            </w:r>
          </w:p>
        </w:tc>
        <w:tc>
          <w:tcPr>
            <w:tcW w:w="118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14.5</w:t>
            </w:r>
          </w:p>
        </w:tc>
      </w:tr>
      <w:tr>
        <w:trPr>
          <w:trHeight w:val="27"/>
        </w:trPr>
        <w:tc>
          <w:tcPr>
            <w:tcW w:w="7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Data processing equipment and software</w:t>
            </w:r>
          </w:p>
        </w:tc>
        <w:tc>
          <w:tcPr>
            <w:tcW w:w="1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31.3</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29.5</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Office furniture and equipment</w:t>
            </w:r>
          </w:p>
        </w:tc>
        <w:tc>
          <w:tcPr>
            <w:tcW w:w="118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3.9</w:t>
            </w:r>
          </w:p>
        </w:tc>
      </w:tr>
      <w:tr>
        <w:trPr>
          <w:trHeight w:val="27"/>
        </w:trPr>
        <w:tc>
          <w:tcPr>
            <w:tcW w:w="7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118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r>
      <w:tr>
        <w:trPr>
          <w:trHeight w:val="284"/>
        </w:trPr>
        <w:tc>
          <w:tcPr>
            <w:tcW w:w="766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property and equipment</w:t>
            </w:r>
          </w:p>
        </w:tc>
        <w:tc>
          <w:tcPr>
            <w:tcW w:w="1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55.4</w:t>
            </w:r>
          </w:p>
        </w:tc>
        <w:tc>
          <w:tcPr>
            <w:tcW w:w="12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52.4</w:t>
            </w:r>
          </w:p>
        </w:tc>
      </w:tr>
      <w:tr>
        <w:trPr>
          <w:trHeight w:val="271"/>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 on property and equipment</w:t>
            </w:r>
          </w:p>
        </w:tc>
        <w:tc>
          <w:tcPr>
            <w:tcW w:w="11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r>
      <w:tr>
        <w:trPr>
          <w:trHeight w:val="264"/>
        </w:trPr>
        <w:tc>
          <w:tcPr>
            <w:tcW w:w="7660" w:type="dxa"/>
            <w:vAlign w:val="bottom"/>
          </w:tcPr>
          <w:p>
            <w:pPr>
              <w:ind w:left="500"/>
              <w:spacing w:after="0"/>
              <w:rPr>
                <w:sz w:val="20"/>
                <w:szCs w:val="20"/>
                <w:color w:val="auto"/>
              </w:rPr>
            </w:pPr>
            <w:r>
              <w:rPr>
                <w:rFonts w:ascii="Arial" w:cs="Arial" w:eastAsia="Arial" w:hAnsi="Arial"/>
                <w:sz w:val="18"/>
                <w:szCs w:val="18"/>
                <w:color w:val="auto"/>
              </w:rPr>
              <w:t>Total property and equipment, net</w:t>
            </w:r>
          </w:p>
        </w:tc>
        <w:tc>
          <w:tcPr>
            <w:tcW w:w="1180" w:type="dxa"/>
            <w:vAlign w:val="bottom"/>
            <w:tcBorders>
              <w:bottom w:val="single" w:sz="8" w:color="auto"/>
            </w:tcBorders>
          </w:tcPr>
          <w:p>
            <w:pPr>
              <w:jc w:val="right"/>
              <w:ind w:right="97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22"/>
                <w:szCs w:val="22"/>
                <w:color w:val="auto"/>
              </w:rPr>
            </w:pPr>
          </w:p>
        </w:tc>
        <w:tc>
          <w:tcPr>
            <w:tcW w:w="6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18.2</w:t>
            </w:r>
          </w:p>
        </w:tc>
      </w:tr>
      <w:tr>
        <w:trPr>
          <w:trHeight w:val="20"/>
        </w:trPr>
        <w:tc>
          <w:tcPr>
            <w:tcW w:w="76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Depreciation expense on property and equipment was $6.0 million, $6.1 million and $5.7 million for the years ended December 31, 2017, 2016 and 2015, respectively.</w:t>
      </w:r>
    </w:p>
    <w:p>
      <w:pPr>
        <w:sectPr>
          <w:pgSz w:w="11900" w:h="16838" w:orient="portrait"/>
          <w:cols w:equalWidth="0" w:num="1">
            <w:col w:w="11420"/>
          </w:cols>
          <w:pgMar w:left="240" w:top="337" w:right="239" w:bottom="1440" w:gutter="0" w:footer="0" w:header="0"/>
          <w:type w:val="continuous"/>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337" w:right="239" w:bottom="1440" w:gutter="0" w:footer="0" w:header="0"/>
          <w:type w:val="continuous"/>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tab/>
        <w:t>REINSURANCE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reinsurance activity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88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284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6"/>
          </w:tcPr>
          <w:p>
            <w:pPr>
              <w:jc w:val="right"/>
              <w:ind w:right="510"/>
              <w:spacing w:after="0"/>
              <w:rPr>
                <w:sz w:val="20"/>
                <w:szCs w:val="20"/>
                <w:color w:val="auto"/>
              </w:rPr>
            </w:pPr>
            <w:r>
              <w:rPr>
                <w:rFonts w:ascii="Arial" w:cs="Arial" w:eastAsia="Arial" w:hAnsi="Arial"/>
                <w:sz w:val="14"/>
                <w:szCs w:val="14"/>
                <w:b w:val="1"/>
                <w:bCs w:val="1"/>
                <w:color w:val="auto"/>
                <w:w w:val="92"/>
              </w:rPr>
              <w:t>For the Years Ended December 31,</w:t>
            </w:r>
          </w:p>
        </w:tc>
        <w:tc>
          <w:tcPr>
            <w:tcW w:w="1160" w:type="dxa"/>
            <w:vAlign w:val="bottom"/>
            <w:tcBorders>
              <w:bottom w:val="single" w:sz="8" w:color="auto"/>
            </w:tcBorders>
          </w:tcPr>
          <w:p>
            <w:pPr>
              <w:spacing w:after="0"/>
              <w:rPr>
                <w:sz w:val="17"/>
                <w:szCs w:val="17"/>
                <w:color w:val="auto"/>
              </w:rPr>
            </w:pPr>
          </w:p>
        </w:tc>
      </w:tr>
      <w:tr>
        <w:trPr>
          <w:trHeight w:val="264"/>
        </w:trPr>
        <w:tc>
          <w:tcPr>
            <w:tcW w:w="2880" w:type="dxa"/>
            <w:vAlign w:val="bottom"/>
            <w:tcBorders>
              <w:bottom w:val="single" w:sz="8" w:color="CCEEFF"/>
            </w:tcBorders>
          </w:tcPr>
          <w:p>
            <w:pPr>
              <w:spacing w:after="0"/>
              <w:rPr>
                <w:sz w:val="22"/>
                <w:szCs w:val="22"/>
                <w:color w:val="auto"/>
              </w:rPr>
            </w:pPr>
          </w:p>
        </w:tc>
        <w:tc>
          <w:tcPr>
            <w:tcW w:w="284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2015</w:t>
            </w: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assumed written premiums</w:t>
            </w:r>
          </w:p>
        </w:tc>
        <w:tc>
          <w:tcPr>
            <w:tcW w:w="4060" w:type="dxa"/>
            <w:vAlign w:val="bottom"/>
            <w:tcBorders>
              <w:bottom w:val="single" w:sz="8" w:color="CCEEFF"/>
            </w:tcBorders>
            <w:gridSpan w:val="2"/>
            <w:shd w:val="clear" w:color="auto" w:fill="CCEEFF"/>
          </w:tcPr>
          <w:p>
            <w:pPr>
              <w:ind w:left="286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62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45.0</w:t>
            </w: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Net premiums earned</w:t>
            </w:r>
          </w:p>
        </w:tc>
        <w:tc>
          <w:tcPr>
            <w:tcW w:w="28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41.1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48.2</w:t>
            </w:r>
          </w:p>
        </w:tc>
      </w:tr>
      <w:tr>
        <w:trPr>
          <w:trHeight w:val="27"/>
        </w:trPr>
        <w:tc>
          <w:tcPr>
            <w:tcW w:w="28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claims</w:t>
            </w:r>
          </w:p>
        </w:tc>
        <w:tc>
          <w:tcPr>
            <w:tcW w:w="28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33.2</w:t>
            </w:r>
          </w:p>
        </w:tc>
      </w:tr>
      <w:tr>
        <w:trPr>
          <w:trHeight w:val="243"/>
        </w:trPr>
        <w:tc>
          <w:tcPr>
            <w:tcW w:w="6940" w:type="dxa"/>
            <w:vAlign w:val="bottom"/>
            <w:gridSpan w:val="3"/>
          </w:tcPr>
          <w:p>
            <w:pPr>
              <w:ind w:left="40"/>
              <w:spacing w:after="0"/>
              <w:rPr>
                <w:sz w:val="20"/>
                <w:szCs w:val="20"/>
                <w:color w:val="auto"/>
              </w:rPr>
            </w:pPr>
            <w:r>
              <w:rPr>
                <w:rFonts w:ascii="Arial" w:cs="Arial" w:eastAsia="Arial" w:hAnsi="Arial"/>
                <w:sz w:val="18"/>
                <w:szCs w:val="18"/>
                <w:color w:val="auto"/>
              </w:rPr>
              <w:t>Amortization of capitalized acquisition costs</w:t>
            </w:r>
          </w:p>
        </w:tc>
        <w:tc>
          <w:tcPr>
            <w:tcW w:w="54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1.2</w:t>
            </w:r>
          </w:p>
        </w:tc>
      </w:tr>
      <w:tr>
        <w:trPr>
          <w:trHeight w:val="459"/>
        </w:trPr>
        <w:tc>
          <w:tcPr>
            <w:tcW w:w="6940" w:type="dxa"/>
            <w:vAlign w:val="bottom"/>
            <w:gridSpan w:val="3"/>
          </w:tcPr>
          <w:p>
            <w:pPr>
              <w:ind w:left="340"/>
              <w:spacing w:after="0"/>
              <w:rPr>
                <w:sz w:val="20"/>
                <w:szCs w:val="20"/>
                <w:color w:val="auto"/>
              </w:rPr>
            </w:pPr>
            <w:r>
              <w:rPr>
                <w:rFonts w:ascii="Arial" w:cs="Arial" w:eastAsia="Arial" w:hAnsi="Arial"/>
                <w:sz w:val="18"/>
                <w:szCs w:val="18"/>
                <w:color w:val="auto"/>
              </w:rPr>
              <w:t>The trust assets and related reinsurance liabilities are as follows:</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99"/>
        </w:trPr>
        <w:tc>
          <w:tcPr>
            <w:tcW w:w="288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2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 December 31,</w:t>
            </w:r>
          </w:p>
        </w:tc>
        <w:tc>
          <w:tcPr>
            <w:tcW w:w="1160" w:type="dxa"/>
            <w:vAlign w:val="bottom"/>
            <w:tcBorders>
              <w:bottom w:val="single" w:sz="8" w:color="auto"/>
            </w:tcBorders>
          </w:tcPr>
          <w:p>
            <w:pPr>
              <w:spacing w:after="0"/>
              <w:rPr>
                <w:sz w:val="24"/>
                <w:szCs w:val="24"/>
                <w:color w:val="auto"/>
              </w:rPr>
            </w:pPr>
          </w:p>
        </w:tc>
      </w:tr>
      <w:tr>
        <w:trPr>
          <w:trHeight w:val="264"/>
        </w:trPr>
        <w:tc>
          <w:tcPr>
            <w:tcW w:w="2880" w:type="dxa"/>
            <w:vAlign w:val="bottom"/>
            <w:tcBorders>
              <w:bottom w:val="single" w:sz="8" w:color="CCEEFF"/>
            </w:tcBorders>
          </w:tcPr>
          <w:p>
            <w:pPr>
              <w:spacing w:after="0"/>
              <w:rPr>
                <w:sz w:val="22"/>
                <w:szCs w:val="22"/>
                <w:color w:val="auto"/>
              </w:rPr>
            </w:pPr>
          </w:p>
        </w:tc>
        <w:tc>
          <w:tcPr>
            <w:tcW w:w="4060" w:type="dxa"/>
            <w:vAlign w:val="bottom"/>
            <w:tcBorders>
              <w:bottom w:val="single" w:sz="8" w:color="auto"/>
            </w:tcBorders>
            <w:gridSpan w:val="2"/>
          </w:tcPr>
          <w:p>
            <w:pPr>
              <w:ind w:left="1640"/>
              <w:spacing w:after="0"/>
              <w:rPr>
                <w:sz w:val="20"/>
                <w:szCs w:val="20"/>
                <w:color w:val="auto"/>
              </w:rPr>
            </w:pPr>
            <w:r>
              <w:rPr>
                <w:rFonts w:ascii="Arial" w:cs="Arial" w:eastAsia="Arial" w:hAnsi="Arial"/>
                <w:sz w:val="14"/>
                <w:szCs w:val="14"/>
                <w:b w:val="1"/>
                <w:bCs w:val="1"/>
                <w:color w:val="auto"/>
              </w:rPr>
              <w:t>Balance Sheet location</w:t>
            </w:r>
          </w:p>
        </w:tc>
        <w:tc>
          <w:tcPr>
            <w:tcW w:w="5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2016</w:t>
            </w: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Trust assets</w:t>
            </w:r>
          </w:p>
        </w:tc>
        <w:tc>
          <w:tcPr>
            <w:tcW w:w="4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Restricted cash and cash equivalents</w:t>
            </w:r>
          </w:p>
        </w:tc>
        <w:tc>
          <w:tcPr>
            <w:tcW w:w="5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w:t>
            </w: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Trust assets</w:t>
            </w:r>
          </w:p>
        </w:tc>
        <w:tc>
          <w:tcPr>
            <w:tcW w:w="4060" w:type="dxa"/>
            <w:vAlign w:val="bottom"/>
            <w:gridSpan w:val="2"/>
          </w:tcPr>
          <w:p>
            <w:pPr>
              <w:ind w:left="20"/>
              <w:spacing w:after="0"/>
              <w:rPr>
                <w:sz w:val="20"/>
                <w:szCs w:val="20"/>
                <w:color w:val="auto"/>
              </w:rPr>
            </w:pPr>
            <w:r>
              <w:rPr>
                <w:rFonts w:ascii="Arial" w:cs="Arial" w:eastAsia="Arial" w:hAnsi="Arial"/>
                <w:sz w:val="18"/>
                <w:szCs w:val="18"/>
                <w:color w:val="auto"/>
              </w:rPr>
              <w:t>Restricted securities available for sale</w:t>
            </w: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45.3</w:t>
            </w:r>
          </w:p>
        </w:tc>
      </w:tr>
      <w:tr>
        <w:trPr>
          <w:trHeight w:val="27"/>
        </w:trPr>
        <w:tc>
          <w:tcPr>
            <w:tcW w:w="2880" w:type="dxa"/>
            <w:vAlign w:val="bottom"/>
          </w:tcPr>
          <w:p>
            <w:pPr>
              <w:spacing w:after="0"/>
              <w:rPr>
                <w:sz w:val="2"/>
                <w:szCs w:val="2"/>
                <w:color w:val="auto"/>
              </w:rPr>
            </w:pPr>
          </w:p>
        </w:tc>
        <w:tc>
          <w:tcPr>
            <w:tcW w:w="406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Unearned premium</w:t>
            </w:r>
          </w:p>
        </w:tc>
        <w:tc>
          <w:tcPr>
            <w:tcW w:w="4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Accounts payable and accrued liabilities</w:t>
            </w:r>
          </w:p>
        </w:tc>
        <w:tc>
          <w:tcPr>
            <w:tcW w:w="5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32.8</w:t>
            </w: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Claims reserve (1)</w:t>
            </w:r>
          </w:p>
        </w:tc>
        <w:tc>
          <w:tcPr>
            <w:tcW w:w="4060" w:type="dxa"/>
            <w:vAlign w:val="bottom"/>
            <w:gridSpan w:val="2"/>
          </w:tcPr>
          <w:p>
            <w:pPr>
              <w:ind w:left="20"/>
              <w:spacing w:after="0"/>
              <w:rPr>
                <w:sz w:val="20"/>
                <w:szCs w:val="20"/>
                <w:color w:val="auto"/>
              </w:rPr>
            </w:pPr>
            <w:r>
              <w:rPr>
                <w:rFonts w:ascii="Arial" w:cs="Arial" w:eastAsia="Arial" w:hAnsi="Arial"/>
                <w:sz w:val="18"/>
                <w:szCs w:val="18"/>
                <w:color w:val="auto"/>
              </w:rPr>
              <w:t>Accounts payable and accrued liabilities</w:t>
            </w: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1.0</w:t>
            </w:r>
          </w:p>
        </w:tc>
      </w:tr>
    </w:tbl>
    <w:p>
      <w:pPr>
        <w:spacing w:after="0" w:line="224" w:lineRule="exact"/>
        <w:rPr>
          <w:sz w:val="20"/>
          <w:szCs w:val="20"/>
          <w:color w:val="auto"/>
        </w:rPr>
      </w:pPr>
    </w:p>
    <w:p>
      <w:pPr>
        <w:ind w:left="500" w:hanging="330"/>
        <w:spacing w:after="0"/>
        <w:tabs>
          <w:tab w:leader="none" w:pos="50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claims reserve represents our liability for incurred-but-not-reported claims and is estimated based on historical claims experience.</w:t>
      </w:r>
    </w:p>
    <w:p>
      <w:pPr>
        <w:spacing w:after="0" w:line="2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present information about incurred and paid claims development for the five-year period ended December 31, 2017:</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520" w:type="dxa"/>
            <w:vAlign w:val="bottom"/>
            <w:gridSpan w:val="3"/>
          </w:tcPr>
          <w:p>
            <w:pPr>
              <w:ind w:left="20"/>
              <w:spacing w:after="0"/>
              <w:rPr>
                <w:sz w:val="20"/>
                <w:szCs w:val="20"/>
                <w:color w:val="auto"/>
              </w:rPr>
            </w:pPr>
            <w:r>
              <w:rPr>
                <w:rFonts w:ascii="Arial" w:cs="Arial" w:eastAsia="Arial" w:hAnsi="Arial"/>
                <w:sz w:val="14"/>
                <w:szCs w:val="14"/>
                <w:color w:val="auto"/>
              </w:rPr>
              <w:t>(Dollars in millions)</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2120" w:type="dxa"/>
            <w:vAlign w:val="bottom"/>
            <w:tcBorders>
              <w:bottom w:val="single" w:sz="8" w:color="auto"/>
            </w:tcBorders>
            <w:gridSpan w:val="12"/>
          </w:tcPr>
          <w:p>
            <w:pPr>
              <w:jc w:val="center"/>
              <w:ind w:right="160"/>
              <w:spacing w:after="0"/>
              <w:rPr>
                <w:sz w:val="20"/>
                <w:szCs w:val="20"/>
                <w:color w:val="auto"/>
              </w:rPr>
            </w:pPr>
            <w:r>
              <w:rPr>
                <w:rFonts w:ascii="Arial" w:cs="Arial" w:eastAsia="Arial" w:hAnsi="Arial"/>
                <w:sz w:val="14"/>
                <w:szCs w:val="14"/>
                <w:b w:val="1"/>
                <w:bCs w:val="1"/>
                <w:color w:val="auto"/>
                <w:w w:val="95"/>
              </w:rPr>
              <w:t>Cumulative Incurred Claims</w:t>
            </w:r>
          </w:p>
        </w:tc>
        <w:tc>
          <w:tcPr>
            <w:tcW w:w="9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660" w:type="dxa"/>
            <w:vAlign w:val="bottom"/>
            <w:tcBorders>
              <w:bottom w:val="single" w:sz="8" w:color="auto"/>
            </w:tcBorders>
            <w:gridSpan w:val="7"/>
          </w:tcPr>
          <w:p>
            <w:pPr>
              <w:jc w:val="right"/>
              <w:ind w:right="552"/>
              <w:spacing w:after="0"/>
              <w:rPr>
                <w:sz w:val="20"/>
                <w:szCs w:val="20"/>
                <w:color w:val="auto"/>
              </w:rPr>
            </w:pPr>
            <w:r>
              <w:rPr>
                <w:rFonts w:ascii="Arial" w:cs="Arial" w:eastAsia="Arial" w:hAnsi="Arial"/>
                <w:sz w:val="14"/>
                <w:szCs w:val="14"/>
                <w:b w:val="1"/>
                <w:bCs w:val="1"/>
                <w:color w:val="auto"/>
              </w:rPr>
              <w:t>As of December 31, 2017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5"/>
              </w:rPr>
              <w:t>As of December 31,</w:t>
            </w: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Cumulative Number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Incident Year</w:t>
            </w:r>
          </w:p>
        </w:tc>
        <w:tc>
          <w:tcPr>
            <w:tcW w:w="120" w:type="dxa"/>
            <w:vAlign w:val="bottom"/>
            <w:vMerge w:val="restart"/>
          </w:tcPr>
          <w:p>
            <w:pPr>
              <w:spacing w:after="0"/>
              <w:rPr>
                <w:sz w:val="5"/>
                <w:szCs w:val="5"/>
                <w:color w:val="auto"/>
              </w:rPr>
            </w:pPr>
          </w:p>
        </w:tc>
        <w:tc>
          <w:tcPr>
            <w:tcW w:w="380" w:type="dxa"/>
            <w:vAlign w:val="bottom"/>
          </w:tcPr>
          <w:p>
            <w:pPr>
              <w:spacing w:after="0"/>
              <w:rPr>
                <w:sz w:val="5"/>
                <w:szCs w:val="5"/>
                <w:color w:val="auto"/>
              </w:rPr>
            </w:pPr>
          </w:p>
        </w:tc>
        <w:tc>
          <w:tcPr>
            <w:tcW w:w="1040" w:type="dxa"/>
            <w:vAlign w:val="bottom"/>
            <w:vMerge w:val="restart"/>
          </w:tcPr>
          <w:p>
            <w:pPr>
              <w:jc w:val="right"/>
              <w:ind w:right="499"/>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4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900" w:type="dxa"/>
            <w:vAlign w:val="bottom"/>
            <w:vMerge w:val="restart"/>
          </w:tcPr>
          <w:p>
            <w:pPr>
              <w:jc w:val="center"/>
              <w:ind w:right="17"/>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90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Claims Reserve</w:t>
            </w:r>
          </w:p>
        </w:tc>
        <w:tc>
          <w:tcPr>
            <w:tcW w:w="100" w:type="dxa"/>
            <w:vAlign w:val="bottom"/>
            <w:gridSpan w:val="2"/>
            <w:vMerge w:val="restart"/>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vMerge w:val="continue"/>
          </w:tcPr>
          <w:p>
            <w:pPr>
              <w:spacing w:after="0"/>
              <w:rPr>
                <w:sz w:val="17"/>
                <w:szCs w:val="17"/>
                <w:color w:val="auto"/>
              </w:rPr>
            </w:pPr>
          </w:p>
        </w:tc>
        <w:tc>
          <w:tcPr>
            <w:tcW w:w="100" w:type="dxa"/>
            <w:vAlign w:val="bottom"/>
            <w:tcBorders>
              <w:bottom w:val="single" w:sz="8" w:color="CCEEFF"/>
            </w:tcBorders>
            <w:gridSpan w:val="2"/>
            <w:vMerge w:val="continue"/>
          </w:tcPr>
          <w:p>
            <w:pPr>
              <w:spacing w:after="0"/>
              <w:rPr>
                <w:sz w:val="17"/>
                <w:szCs w:val="17"/>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of Reported Claims</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40.6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40.8</w:t>
            </w:r>
          </w:p>
        </w:tc>
        <w:tc>
          <w:tcPr>
            <w:tcW w:w="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w:t>
            </w:r>
          </w:p>
        </w:tc>
        <w:tc>
          <w:tcPr>
            <w:tcW w:w="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40,350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39.8</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39.9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39.9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5"/>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40,908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32,907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5"/>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25,212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1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8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19,762</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140" w:type="dxa"/>
            <w:vAlign w:val="bottom"/>
            <w:gridSpan w:val="2"/>
          </w:tcPr>
          <w:p>
            <w:pPr>
              <w:ind w:left="260"/>
              <w:spacing w:after="0"/>
              <w:rPr>
                <w:sz w:val="20"/>
                <w:szCs w:val="20"/>
                <w:color w:val="auto"/>
              </w:rPr>
            </w:pPr>
            <w:r>
              <w:rPr>
                <w:rFonts w:ascii="Arial" w:cs="Arial" w:eastAsia="Arial" w:hAnsi="Arial"/>
                <w:sz w:val="18"/>
                <w:szCs w:val="18"/>
                <w:color w:val="auto"/>
              </w:rPr>
              <w:t>Total</w:t>
            </w:r>
          </w:p>
        </w:tc>
        <w:tc>
          <w:tcPr>
            <w:tcW w:w="3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gridSpan w:val="2"/>
          </w:tcPr>
          <w:p>
            <w:pPr>
              <w:jc w:val="right"/>
              <w:ind w:right="328"/>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162.4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159,139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color w:val="auto"/>
              </w:rPr>
              <w:t>(In millions)</w:t>
            </w: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7"/>
          </w:tcPr>
          <w:p>
            <w:pPr>
              <w:jc w:val="center"/>
              <w:ind w:right="40"/>
              <w:spacing w:after="0"/>
              <w:rPr>
                <w:sz w:val="20"/>
                <w:szCs w:val="20"/>
                <w:color w:val="auto"/>
              </w:rPr>
            </w:pPr>
            <w:r>
              <w:rPr>
                <w:rFonts w:ascii="Arial" w:cs="Arial" w:eastAsia="Arial" w:hAnsi="Arial"/>
                <w:sz w:val="14"/>
                <w:szCs w:val="14"/>
                <w:b w:val="1"/>
                <w:bCs w:val="1"/>
                <w:color w:val="auto"/>
                <w:w w:val="94"/>
              </w:rPr>
              <w:t>Cumulative Paid Claims</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6"/>
          </w:tcPr>
          <w:p>
            <w:pPr>
              <w:jc w:val="center"/>
              <w:ind w:right="140"/>
              <w:spacing w:after="0"/>
              <w:rPr>
                <w:sz w:val="20"/>
                <w:szCs w:val="20"/>
                <w:color w:val="auto"/>
              </w:rPr>
            </w:pPr>
            <w:r>
              <w:rPr>
                <w:rFonts w:ascii="Arial" w:cs="Arial" w:eastAsia="Arial" w:hAnsi="Arial"/>
                <w:sz w:val="14"/>
                <w:szCs w:val="14"/>
                <w:b w:val="1"/>
                <w:bCs w:val="1"/>
                <w:color w:val="auto"/>
                <w:w w:val="90"/>
              </w:rPr>
              <w:t>As of December 31,</w:t>
            </w: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Incident Year</w:t>
            </w:r>
          </w:p>
        </w:tc>
        <w:tc>
          <w:tcPr>
            <w:tcW w:w="3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2013</w:t>
            </w:r>
          </w:p>
        </w:tc>
        <w:tc>
          <w:tcPr>
            <w:tcW w:w="1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center"/>
              <w:ind w:right="374"/>
              <w:spacing w:after="0"/>
              <w:rPr>
                <w:sz w:val="20"/>
                <w:szCs w:val="20"/>
                <w:color w:val="auto"/>
              </w:rPr>
            </w:pPr>
            <w:r>
              <w:rPr>
                <w:rFonts w:ascii="Arial" w:cs="Arial" w:eastAsia="Arial" w:hAnsi="Arial"/>
                <w:sz w:val="14"/>
                <w:szCs w:val="14"/>
                <w:b w:val="1"/>
                <w:bCs w:val="1"/>
                <w:color w:val="auto"/>
                <w:w w:val="96"/>
              </w:rPr>
              <w:t>2015</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252"/>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38.9</w:t>
            </w:r>
          </w:p>
        </w:tc>
        <w:tc>
          <w:tcPr>
            <w:tcW w:w="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40.8</w:t>
            </w:r>
          </w:p>
        </w:tc>
        <w:tc>
          <w:tcPr>
            <w:tcW w:w="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40.8</w:t>
            </w: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38.3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ind w:left="760"/>
              <w:spacing w:after="0"/>
              <w:rPr>
                <w:sz w:val="20"/>
                <w:szCs w:val="20"/>
                <w:color w:val="auto"/>
              </w:rPr>
            </w:pPr>
            <w:r>
              <w:rPr>
                <w:rFonts w:ascii="Arial" w:cs="Arial" w:eastAsia="Arial" w:hAnsi="Arial"/>
                <w:sz w:val="18"/>
                <w:szCs w:val="18"/>
                <w:color w:val="auto"/>
              </w:rPr>
              <w:t>39.9</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33.4</w:t>
            </w: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ind w:left="760"/>
              <w:spacing w:after="0"/>
              <w:rPr>
                <w:sz w:val="20"/>
                <w:szCs w:val="20"/>
                <w:color w:val="auto"/>
              </w:rPr>
            </w:pPr>
            <w:r>
              <w:rPr>
                <w:rFonts w:ascii="Arial" w:cs="Arial" w:eastAsia="Arial" w:hAnsi="Arial"/>
                <w:sz w:val="18"/>
                <w:szCs w:val="18"/>
                <w:color w:val="auto"/>
              </w:rPr>
              <w:t>24.7</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1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140" w:type="dxa"/>
            <w:vAlign w:val="bottom"/>
            <w:gridSpan w:val="2"/>
          </w:tcPr>
          <w:p>
            <w:pPr>
              <w:ind w:left="260"/>
              <w:spacing w:after="0"/>
              <w:rPr>
                <w:sz w:val="20"/>
                <w:szCs w:val="20"/>
                <w:color w:val="auto"/>
              </w:rPr>
            </w:pPr>
            <w:r>
              <w:rPr>
                <w:rFonts w:ascii="Arial" w:cs="Arial" w:eastAsia="Arial" w:hAnsi="Arial"/>
                <w:sz w:val="18"/>
                <w:szCs w:val="18"/>
                <w:color w:val="auto"/>
              </w:rPr>
              <w:t>Total</w:t>
            </w:r>
          </w:p>
        </w:tc>
        <w:tc>
          <w:tcPr>
            <w:tcW w:w="3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161.4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20" w:type="dxa"/>
            <w:vAlign w:val="bottom"/>
            <w:gridSpan w:val="18"/>
            <w:vMerge w:val="restart"/>
          </w:tcPr>
          <w:p>
            <w:pPr>
              <w:jc w:val="center"/>
              <w:ind w:left="699"/>
              <w:spacing w:after="0"/>
              <w:rPr>
                <w:sz w:val="20"/>
                <w:szCs w:val="20"/>
                <w:color w:val="auto"/>
              </w:rPr>
            </w:pPr>
            <w:r>
              <w:rPr>
                <w:rFonts w:ascii="Arial" w:cs="Arial" w:eastAsia="Arial" w:hAnsi="Arial"/>
                <w:sz w:val="14"/>
                <w:szCs w:val="14"/>
                <w:b w:val="1"/>
                <w:bCs w:val="1"/>
                <w:color w:val="auto"/>
                <w:w w:val="92"/>
              </w:rPr>
              <w:t>Average Annual Percentage Payout of Incurred Claims by Age</w:t>
            </w: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gridSpan w:val="18"/>
            <w:vMerge w:val="continue"/>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1"/>
              </w:rPr>
              <w:t>Claim Age (Years)</w:t>
            </w:r>
          </w:p>
        </w:tc>
        <w:tc>
          <w:tcPr>
            <w:tcW w:w="3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1</w:t>
            </w:r>
          </w:p>
        </w:tc>
        <w:tc>
          <w:tcPr>
            <w:tcW w:w="12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3</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4</w:t>
            </w:r>
          </w:p>
        </w:tc>
        <w:tc>
          <w:tcPr>
            <w:tcW w:w="4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272"/>
              <w:spacing w:after="0"/>
              <w:rPr>
                <w:sz w:val="20"/>
                <w:szCs w:val="20"/>
                <w:color w:val="auto"/>
              </w:rPr>
            </w:pPr>
            <w:r>
              <w:rPr>
                <w:rFonts w:ascii="Arial" w:cs="Arial" w:eastAsia="Arial" w:hAnsi="Arial"/>
                <w:sz w:val="14"/>
                <w:szCs w:val="14"/>
                <w:b w:val="1"/>
                <w:bCs w:val="1"/>
                <w:color w:val="auto"/>
              </w:rPr>
              <w:t>5</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w w:val="96"/>
              </w:rPr>
              <w:t>Payout Percentage</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5"/>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69</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tab/>
        <w:t>DEBT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Debt consists of the following:</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5700" w:type="dxa"/>
            <w:vAlign w:val="bottom"/>
            <w:gridSpan w:val="3"/>
          </w:tcPr>
          <w:p>
            <w:pPr>
              <w:spacing w:after="0"/>
              <w:rPr>
                <w:sz w:val="20"/>
                <w:szCs w:val="20"/>
                <w:color w:val="auto"/>
              </w:rPr>
            </w:pPr>
            <w:r>
              <w:rPr>
                <w:rFonts w:ascii="Arial" w:cs="Arial" w:eastAsia="Arial" w:hAnsi="Arial"/>
                <w:sz w:val="14"/>
                <w:szCs w:val="14"/>
                <w:color w:val="auto"/>
              </w:rPr>
              <w:t>(In millions)</w:t>
            </w:r>
          </w:p>
        </w:tc>
        <w:tc>
          <w:tcPr>
            <w:tcW w:w="1100" w:type="dxa"/>
            <w:vAlign w:val="bottom"/>
          </w:tcPr>
          <w:p>
            <w:pPr>
              <w:spacing w:after="0"/>
              <w:rPr>
                <w:sz w:val="17"/>
                <w:szCs w:val="17"/>
                <w:color w:val="auto"/>
              </w:rPr>
            </w:pPr>
          </w:p>
        </w:tc>
        <w:tc>
          <w:tcPr>
            <w:tcW w:w="2760" w:type="dxa"/>
            <w:vAlign w:val="bottom"/>
            <w:gridSpan w:val="4"/>
          </w:tcPr>
          <w:p>
            <w:pPr>
              <w:ind w:left="20"/>
              <w:spacing w:after="0"/>
              <w:rPr>
                <w:sz w:val="20"/>
                <w:szCs w:val="20"/>
                <w:color w:val="auto"/>
              </w:rPr>
            </w:pPr>
            <w:r>
              <w:rPr>
                <w:rFonts w:ascii="Arial" w:cs="Arial" w:eastAsia="Arial" w:hAnsi="Arial"/>
                <w:sz w:val="14"/>
                <w:szCs w:val="14"/>
                <w:b w:val="1"/>
                <w:bCs w:val="1"/>
                <w:color w:val="auto"/>
              </w:rPr>
              <w:t>As of December 31, 2017</w:t>
            </w: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740" w:type="dxa"/>
            <w:vAlign w:val="bottom"/>
          </w:tcPr>
          <w:p>
            <w:pPr>
              <w:spacing w:after="0"/>
              <w:rPr>
                <w:sz w:val="13"/>
                <w:szCs w:val="13"/>
                <w:color w:val="auto"/>
              </w:rPr>
            </w:pPr>
          </w:p>
        </w:tc>
        <w:tc>
          <w:tcPr>
            <w:tcW w:w="1840" w:type="dxa"/>
            <w:vAlign w:val="bottom"/>
            <w:tcBorders>
              <w:top w:val="single" w:sz="8" w:color="auto"/>
            </w:tcBorders>
            <w:vMerge w:val="restart"/>
          </w:tcPr>
          <w:p>
            <w:pPr>
              <w:ind w:left="240"/>
              <w:spacing w:after="0"/>
              <w:rPr>
                <w:sz w:val="20"/>
                <w:szCs w:val="20"/>
                <w:color w:val="auto"/>
              </w:rPr>
            </w:pPr>
            <w:r>
              <w:rPr>
                <w:rFonts w:ascii="Arial" w:cs="Arial" w:eastAsia="Arial" w:hAnsi="Arial"/>
                <w:sz w:val="14"/>
                <w:szCs w:val="14"/>
                <w:b w:val="1"/>
                <w:bCs w:val="1"/>
                <w:color w:val="auto"/>
              </w:rPr>
              <w:t>Principal Outstanding</w:t>
            </w:r>
          </w:p>
        </w:tc>
        <w:tc>
          <w:tcPr>
            <w:tcW w:w="120" w:type="dxa"/>
            <w:vAlign w:val="bottom"/>
            <w:tcBorders>
              <w:top w:val="single" w:sz="8" w:color="auto"/>
            </w:tcBorders>
            <w:vMerge w:val="restart"/>
          </w:tcPr>
          <w:p>
            <w:pPr>
              <w:spacing w:after="0"/>
              <w:rPr>
                <w:sz w:val="13"/>
                <w:szCs w:val="13"/>
                <w:color w:val="auto"/>
              </w:rPr>
            </w:pPr>
          </w:p>
        </w:tc>
        <w:tc>
          <w:tcPr>
            <w:tcW w:w="3860" w:type="dxa"/>
            <w:vAlign w:val="bottom"/>
            <w:tcBorders>
              <w:top w:val="single" w:sz="8" w:color="auto"/>
            </w:tcBorders>
            <w:gridSpan w:val="5"/>
          </w:tcPr>
          <w:p>
            <w:pPr>
              <w:jc w:val="center"/>
              <w:ind w:right="2040"/>
              <w:spacing w:after="0" w:line="153" w:lineRule="exact"/>
              <w:rPr>
                <w:sz w:val="20"/>
                <w:szCs w:val="20"/>
                <w:color w:val="auto"/>
              </w:rPr>
            </w:pPr>
            <w:r>
              <w:rPr>
                <w:rFonts w:ascii="Arial" w:cs="Arial" w:eastAsia="Arial" w:hAnsi="Arial"/>
                <w:sz w:val="14"/>
                <w:szCs w:val="14"/>
                <w:b w:val="1"/>
                <w:bCs w:val="1"/>
                <w:color w:val="auto"/>
                <w:w w:val="92"/>
              </w:rPr>
              <w:t>Unamortized Debt Issuance</w:t>
            </w:r>
          </w:p>
        </w:tc>
        <w:tc>
          <w:tcPr>
            <w:tcW w:w="1820" w:type="dxa"/>
            <w:vAlign w:val="bottom"/>
            <w:tcBorders>
              <w:top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205"/>
        </w:trPr>
        <w:tc>
          <w:tcPr>
            <w:tcW w:w="3740" w:type="dxa"/>
            <w:vAlign w:val="bottom"/>
          </w:tcPr>
          <w:p>
            <w:pPr>
              <w:spacing w:after="0"/>
              <w:rPr>
                <w:sz w:val="17"/>
                <w:szCs w:val="17"/>
                <w:color w:val="auto"/>
              </w:rPr>
            </w:pPr>
          </w:p>
        </w:tc>
        <w:tc>
          <w:tcPr>
            <w:tcW w:w="184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100" w:type="dxa"/>
            <w:vAlign w:val="bottom"/>
            <w:tcBorders>
              <w:bottom w:val="single" w:sz="8" w:color="auto"/>
            </w:tcBorders>
          </w:tcPr>
          <w:p>
            <w:pPr>
              <w:jc w:val="center"/>
              <w:ind w:left="648"/>
              <w:spacing w:after="0"/>
              <w:rPr>
                <w:sz w:val="20"/>
                <w:szCs w:val="20"/>
                <w:color w:val="auto"/>
              </w:rPr>
            </w:pPr>
            <w:r>
              <w:rPr>
                <w:rFonts w:ascii="Arial" w:cs="Arial" w:eastAsia="Arial" w:hAnsi="Arial"/>
                <w:sz w:val="14"/>
                <w:szCs w:val="14"/>
                <w:b w:val="1"/>
                <w:bCs w:val="1"/>
                <w:color w:val="auto"/>
                <w:w w:val="87"/>
              </w:rPr>
              <w:t>Costs</w:t>
            </w: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Unamortized Discount</w:t>
            </w:r>
          </w:p>
        </w:tc>
        <w:tc>
          <w:tcPr>
            <w:tcW w:w="120" w:type="dxa"/>
            <w:vAlign w:val="bottom"/>
          </w:tcPr>
          <w:p>
            <w:pPr>
              <w:spacing w:after="0"/>
              <w:rPr>
                <w:sz w:val="17"/>
                <w:szCs w:val="17"/>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3780" w:type="dxa"/>
            <w:vAlign w:val="bottom"/>
          </w:tcPr>
          <w:p>
            <w:pPr>
              <w:ind w:left="1080"/>
              <w:spacing w:after="0"/>
              <w:rPr>
                <w:sz w:val="20"/>
                <w:szCs w:val="20"/>
                <w:color w:val="auto"/>
              </w:rPr>
            </w:pPr>
            <w:r>
              <w:rPr>
                <w:rFonts w:ascii="Arial" w:cs="Arial" w:eastAsia="Arial" w:hAnsi="Arial"/>
                <w:sz w:val="18"/>
                <w:szCs w:val="18"/>
                <w:color w:val="auto"/>
                <w:w w:val="96"/>
              </w:rPr>
              <w:t>Revolving secured line of credit (1)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0"/>
                <w:szCs w:val="20"/>
                <w:color w:val="auto"/>
              </w:rPr>
            </w:pPr>
          </w:p>
        </w:tc>
        <w:tc>
          <w:tcPr>
            <w:tcW w:w="420" w:type="dxa"/>
            <w:vAlign w:val="bottom"/>
          </w:tcPr>
          <w:p>
            <w:pPr>
              <w:jc w:val="right"/>
              <w:ind w:right="214"/>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0"/>
        </w:trPr>
        <w:tc>
          <w:tcPr>
            <w:tcW w:w="3780" w:type="dxa"/>
            <w:vAlign w:val="bottom"/>
          </w:tcPr>
          <w:p>
            <w:pPr>
              <w:ind w:left="40"/>
              <w:spacing w:after="0"/>
              <w:rPr>
                <w:sz w:val="20"/>
                <w:szCs w:val="20"/>
                <w:color w:val="auto"/>
              </w:rPr>
            </w:pPr>
            <w:r>
              <w:rPr>
                <w:rFonts w:ascii="Arial" w:cs="Arial" w:eastAsia="Arial" w:hAnsi="Arial"/>
                <w:sz w:val="18"/>
                <w:szCs w:val="18"/>
                <w:color w:val="auto"/>
              </w:rPr>
              <w:t>Secured financing (2)</w:t>
            </w:r>
          </w:p>
        </w:tc>
        <w:tc>
          <w:tcPr>
            <w:tcW w:w="180" w:type="dxa"/>
            <w:vAlign w:val="bottom"/>
          </w:tcPr>
          <w:p>
            <w:pPr>
              <w:spacing w:after="0"/>
              <w:rPr>
                <w:sz w:val="23"/>
                <w:szCs w:val="23"/>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2,529.1</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2,514.1</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w:t>
            </w:r>
          </w:p>
        </w:tc>
        <w:tc>
          <w:tcPr>
            <w:tcW w:w="180" w:type="dxa"/>
            <w:vAlign w:val="bottom"/>
            <w:tcBorders>
              <w:bottom w:val="single" w:sz="8" w:color="auto"/>
            </w:tcBorders>
            <w:shd w:val="clear" w:color="auto" w:fill="CCEEFF"/>
          </w:tcPr>
          <w:p>
            <w:pPr>
              <w:spacing w:after="0"/>
              <w:rPr>
                <w:sz w:val="24"/>
                <w:szCs w:val="24"/>
                <w:color w:val="auto"/>
              </w:rPr>
            </w:pPr>
          </w:p>
        </w:tc>
        <w:tc>
          <w:tcPr>
            <w:tcW w:w="1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550.0</w:t>
            </w: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542.8</w:t>
            </w:r>
          </w:p>
        </w:tc>
        <w:tc>
          <w:tcPr>
            <w:tcW w:w="0" w:type="dxa"/>
            <w:vAlign w:val="bottom"/>
          </w:tcPr>
          <w:p>
            <w:pPr>
              <w:spacing w:after="0"/>
              <w:rPr>
                <w:sz w:val="1"/>
                <w:szCs w:val="1"/>
                <w:color w:val="auto"/>
              </w:rPr>
            </w:pPr>
          </w:p>
        </w:tc>
      </w:tr>
      <w:tr>
        <w:trPr>
          <w:trHeight w:val="264"/>
        </w:trPr>
        <w:tc>
          <w:tcPr>
            <w:tcW w:w="3780" w:type="dxa"/>
            <w:vAlign w:val="bottom"/>
          </w:tcPr>
          <w:p>
            <w:pPr>
              <w:ind w:left="380"/>
              <w:spacing w:after="0"/>
              <w:rPr>
                <w:sz w:val="20"/>
                <w:szCs w:val="20"/>
                <w:color w:val="auto"/>
              </w:rPr>
            </w:pPr>
            <w:r>
              <w:rPr>
                <w:rFonts w:ascii="Arial" w:cs="Arial" w:eastAsia="Arial" w:hAnsi="Arial"/>
                <w:sz w:val="18"/>
                <w:szCs w:val="18"/>
                <w:color w:val="auto"/>
              </w:rPr>
              <w:t>Total debt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3,093.0</w:t>
            </w:r>
          </w:p>
        </w:tc>
        <w:tc>
          <w:tcPr>
            <w:tcW w:w="120" w:type="dxa"/>
            <w:vAlign w:val="bottom"/>
          </w:tcPr>
          <w:p>
            <w:pPr>
              <w:spacing w:after="0"/>
              <w:rPr>
                <w:sz w:val="22"/>
                <w:szCs w:val="22"/>
                <w:color w:val="auto"/>
              </w:rPr>
            </w:pPr>
          </w:p>
        </w:tc>
        <w:tc>
          <w:tcPr>
            <w:tcW w:w="42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3,070.8</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378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5"/>
          </w:tcPr>
          <w:p>
            <w:pPr>
              <w:ind w:left="700"/>
              <w:spacing w:after="0"/>
              <w:rPr>
                <w:sz w:val="20"/>
                <w:szCs w:val="20"/>
                <w:color w:val="auto"/>
              </w:rPr>
            </w:pPr>
            <w:r>
              <w:rPr>
                <w:rFonts w:ascii="Arial" w:cs="Arial" w:eastAsia="Arial" w:hAnsi="Arial"/>
                <w:sz w:val="14"/>
                <w:szCs w:val="14"/>
                <w:b w:val="1"/>
                <w:bCs w:val="1"/>
                <w:color w:val="auto"/>
              </w:rPr>
              <w:t>As of December 31, 2016</w:t>
            </w:r>
          </w:p>
        </w:tc>
        <w:tc>
          <w:tcPr>
            <w:tcW w:w="3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3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7"/>
              </w:rPr>
              <w:t>Principal Outstanding</w:t>
            </w:r>
          </w:p>
        </w:tc>
        <w:tc>
          <w:tcPr>
            <w:tcW w:w="120" w:type="dxa"/>
            <w:vAlign w:val="bottom"/>
            <w:vMerge w:val="restart"/>
          </w:tcPr>
          <w:p>
            <w:pPr>
              <w:spacing w:after="0"/>
              <w:rPr>
                <w:sz w:val="13"/>
                <w:szCs w:val="13"/>
                <w:color w:val="auto"/>
              </w:rPr>
            </w:pPr>
          </w:p>
        </w:tc>
        <w:tc>
          <w:tcPr>
            <w:tcW w:w="1920" w:type="dxa"/>
            <w:vAlign w:val="bottom"/>
            <w:gridSpan w:val="3"/>
          </w:tcPr>
          <w:p>
            <w:pPr>
              <w:ind w:left="60"/>
              <w:spacing w:after="0" w:line="153" w:lineRule="exact"/>
              <w:rPr>
                <w:sz w:val="20"/>
                <w:szCs w:val="20"/>
                <w:color w:val="auto"/>
              </w:rPr>
            </w:pPr>
            <w:r>
              <w:rPr>
                <w:rFonts w:ascii="Arial" w:cs="Arial" w:eastAsia="Arial" w:hAnsi="Arial"/>
                <w:sz w:val="14"/>
                <w:szCs w:val="14"/>
                <w:b w:val="1"/>
                <w:bCs w:val="1"/>
                <w:color w:val="auto"/>
              </w:rPr>
              <w:t>Unamortized Debt Issuance</w:t>
            </w:r>
          </w:p>
        </w:tc>
        <w:tc>
          <w:tcPr>
            <w:tcW w:w="180" w:type="dxa"/>
            <w:vAlign w:val="bottom"/>
          </w:tcPr>
          <w:p>
            <w:pPr>
              <w:spacing w:after="0"/>
              <w:rPr>
                <w:sz w:val="13"/>
                <w:szCs w:val="13"/>
                <w:color w:val="auto"/>
              </w:rPr>
            </w:pPr>
          </w:p>
        </w:tc>
        <w:tc>
          <w:tcPr>
            <w:tcW w:w="164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w w:val="95"/>
              </w:rPr>
              <w:t>Unamortized Discount</w:t>
            </w:r>
          </w:p>
        </w:tc>
        <w:tc>
          <w:tcPr>
            <w:tcW w:w="120" w:type="dxa"/>
            <w:vAlign w:val="bottom"/>
            <w:vMerge w:val="restart"/>
          </w:tcPr>
          <w:p>
            <w:pPr>
              <w:spacing w:after="0"/>
              <w:rPr>
                <w:sz w:val="13"/>
                <w:szCs w:val="13"/>
                <w:color w:val="auto"/>
              </w:rPr>
            </w:pPr>
          </w:p>
        </w:tc>
        <w:tc>
          <w:tcPr>
            <w:tcW w:w="360" w:type="dxa"/>
            <w:vAlign w:val="bottom"/>
          </w:tcPr>
          <w:p>
            <w:pPr>
              <w:spacing w:after="0"/>
              <w:rPr>
                <w:sz w:val="13"/>
                <w:szCs w:val="13"/>
                <w:color w:val="auto"/>
              </w:rPr>
            </w:pPr>
          </w:p>
        </w:tc>
        <w:tc>
          <w:tcPr>
            <w:tcW w:w="1460" w:type="dxa"/>
            <w:vAlign w:val="bottom"/>
          </w:tcPr>
          <w:p>
            <w:pPr>
              <w:jc w:val="right"/>
              <w:ind w:right="534"/>
              <w:spacing w:after="0" w:line="153"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205"/>
        </w:trPr>
        <w:tc>
          <w:tcPr>
            <w:tcW w:w="37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Costs</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w w:val="96"/>
              </w:rPr>
              <w:t>Revolving secured line of credit (1)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214"/>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Secured financing (2)</w:t>
            </w:r>
          </w:p>
        </w:tc>
        <w:tc>
          <w:tcPr>
            <w:tcW w:w="180" w:type="dxa"/>
            <w:vAlign w:val="bottom"/>
          </w:tcPr>
          <w:p>
            <w:pPr>
              <w:spacing w:after="0"/>
              <w:rPr>
                <w:sz w:val="21"/>
                <w:szCs w:val="21"/>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2,072.1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2,062.4</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w:t>
            </w:r>
          </w:p>
        </w:tc>
        <w:tc>
          <w:tcPr>
            <w:tcW w:w="180" w:type="dxa"/>
            <w:vAlign w:val="bottom"/>
            <w:tcBorders>
              <w:bottom w:val="single" w:sz="8" w:color="auto"/>
            </w:tcBorders>
            <w:shd w:val="clear" w:color="auto" w:fill="CCEEFF"/>
          </w:tcPr>
          <w:p>
            <w:pPr>
              <w:spacing w:after="0"/>
              <w:rPr>
                <w:sz w:val="24"/>
                <w:szCs w:val="24"/>
                <w:color w:val="auto"/>
              </w:rPr>
            </w:pPr>
          </w:p>
        </w:tc>
        <w:tc>
          <w:tcPr>
            <w:tcW w:w="1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550.0</w:t>
            </w: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541.3</w:t>
            </w:r>
          </w:p>
        </w:tc>
        <w:tc>
          <w:tcPr>
            <w:tcW w:w="0" w:type="dxa"/>
            <w:vAlign w:val="bottom"/>
          </w:tcPr>
          <w:p>
            <w:pPr>
              <w:spacing w:after="0"/>
              <w:rPr>
                <w:sz w:val="1"/>
                <w:szCs w:val="1"/>
                <w:color w:val="auto"/>
              </w:rPr>
            </w:pPr>
          </w:p>
        </w:tc>
      </w:tr>
      <w:tr>
        <w:trPr>
          <w:trHeight w:val="264"/>
        </w:trPr>
        <w:tc>
          <w:tcPr>
            <w:tcW w:w="3780" w:type="dxa"/>
            <w:vAlign w:val="bottom"/>
          </w:tcPr>
          <w:p>
            <w:pPr>
              <w:ind w:left="380"/>
              <w:spacing w:after="0"/>
              <w:rPr>
                <w:sz w:val="20"/>
                <w:szCs w:val="20"/>
                <w:color w:val="auto"/>
              </w:rPr>
            </w:pPr>
            <w:r>
              <w:rPr>
                <w:rFonts w:ascii="Arial" w:cs="Arial" w:eastAsia="Arial" w:hAnsi="Arial"/>
                <w:sz w:val="18"/>
                <w:szCs w:val="18"/>
                <w:color w:val="auto"/>
              </w:rPr>
              <w:t>Total debt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2,622.1</w:t>
            </w:r>
          </w:p>
        </w:tc>
        <w:tc>
          <w:tcPr>
            <w:tcW w:w="120" w:type="dxa"/>
            <w:vAlign w:val="bottom"/>
          </w:tcPr>
          <w:p>
            <w:pPr>
              <w:spacing w:after="0"/>
              <w:rPr>
                <w:sz w:val="22"/>
                <w:szCs w:val="22"/>
                <w:color w:val="auto"/>
              </w:rPr>
            </w:pPr>
          </w:p>
        </w:tc>
        <w:tc>
          <w:tcPr>
            <w:tcW w:w="42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2,603.7</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500" w:hanging="330"/>
        <w:spacing w:after="0"/>
        <w:tabs>
          <w:tab w:leader="none" w:pos="5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Excludes deferred debt issuance costs of $2.8 million and $2.4 million as of December 31, 2017 and December 31, 2016, respectively, which are included in other assets.</w:t>
      </w:r>
    </w:p>
    <w:p>
      <w:pPr>
        <w:spacing w:after="0" w:line="13" w:lineRule="exact"/>
        <w:rPr>
          <w:rFonts w:ascii="Arial" w:cs="Arial" w:eastAsia="Arial" w:hAnsi="Arial"/>
          <w:sz w:val="14"/>
          <w:szCs w:val="14"/>
          <w:color w:val="auto"/>
        </w:rPr>
      </w:pPr>
    </w:p>
    <w:p>
      <w:pPr>
        <w:ind w:left="500" w:hanging="330"/>
        <w:spacing w:after="0"/>
        <w:tabs>
          <w:tab w:leader="none" w:pos="5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Warehouse facilities and Term ABS financings.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337" w:right="23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General information for each of our financing transactions in place as of December 31, 2017 is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540" w:type="dxa"/>
            <w:vAlign w:val="bottom"/>
            <w:gridSpan w:val="2"/>
          </w:tcPr>
          <w:p>
            <w:pPr>
              <w:ind w:left="80"/>
              <w:spacing w:after="0"/>
              <w:rPr>
                <w:sz w:val="20"/>
                <w:szCs w:val="20"/>
                <w:color w:val="auto"/>
              </w:rPr>
            </w:pPr>
            <w:r>
              <w:rPr>
                <w:rFonts w:ascii="Arial" w:cs="Arial" w:eastAsia="Arial" w:hAnsi="Arial"/>
                <w:sz w:val="14"/>
                <w:szCs w:val="14"/>
                <w:color w:val="auto"/>
              </w:rPr>
              <w:t>(Dollars in millions)</w:t>
            </w:r>
          </w:p>
        </w:tc>
        <w:tc>
          <w:tcPr>
            <w:tcW w:w="2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5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Financings</w:t>
            </w:r>
          </w:p>
        </w:tc>
        <w:tc>
          <w:tcPr>
            <w:tcW w:w="26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Wholly-owned Subsidiary</w:t>
            </w:r>
          </w:p>
        </w:tc>
        <w:tc>
          <w:tcPr>
            <w:tcW w:w="170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rPr>
              <w:t>Maturity Date</w:t>
            </w:r>
          </w:p>
        </w:tc>
        <w:tc>
          <w:tcPr>
            <w:tcW w:w="140" w:type="dxa"/>
            <w:vAlign w:val="bottom"/>
          </w:tcPr>
          <w:p>
            <w:pPr>
              <w:spacing w:after="0"/>
              <w:rPr>
                <w:sz w:val="14"/>
                <w:szCs w:val="14"/>
                <w:color w:val="auto"/>
              </w:rPr>
            </w:pPr>
          </w:p>
        </w:tc>
        <w:tc>
          <w:tcPr>
            <w:tcW w:w="13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0"/>
              </w:rPr>
              <w:t>Financing</w:t>
            </w:r>
          </w:p>
        </w:tc>
        <w:tc>
          <w:tcPr>
            <w:tcW w:w="308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Interest Rate as of December 31, 2017</w:t>
            </w:r>
          </w:p>
        </w:tc>
        <w:tc>
          <w:tcPr>
            <w:tcW w:w="0" w:type="dxa"/>
            <w:vAlign w:val="bottom"/>
          </w:tcPr>
          <w:p>
            <w:pPr>
              <w:spacing w:after="0"/>
              <w:rPr>
                <w:sz w:val="1"/>
                <w:szCs w:val="1"/>
                <w:color w:val="auto"/>
              </w:rPr>
            </w:pPr>
          </w:p>
        </w:tc>
      </w:tr>
      <w:tr>
        <w:trPr>
          <w:trHeight w:val="205"/>
        </w:trPr>
        <w:tc>
          <w:tcPr>
            <w:tcW w:w="2540" w:type="dxa"/>
            <w:vAlign w:val="bottom"/>
            <w:gridSpan w:val="2"/>
            <w:vMerge w:val="continue"/>
          </w:tcPr>
          <w:p>
            <w:pPr>
              <w:spacing w:after="0"/>
              <w:rPr>
                <w:sz w:val="17"/>
                <w:szCs w:val="17"/>
                <w:color w:val="auto"/>
              </w:rPr>
            </w:pPr>
          </w:p>
        </w:tc>
        <w:tc>
          <w:tcPr>
            <w:tcW w:w="2620" w:type="dxa"/>
            <w:vAlign w:val="bottom"/>
            <w:gridSpan w:val="2"/>
            <w:vMerge w:val="continue"/>
          </w:tcPr>
          <w:p>
            <w:pPr>
              <w:spacing w:after="0"/>
              <w:rPr>
                <w:sz w:val="17"/>
                <w:szCs w:val="17"/>
                <w:color w:val="auto"/>
              </w:rPr>
            </w:pPr>
          </w:p>
        </w:tc>
        <w:tc>
          <w:tcPr>
            <w:tcW w:w="170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8"/>
              </w:rPr>
              <w:t>Amount</w:t>
            </w:r>
          </w:p>
        </w:tc>
        <w:tc>
          <w:tcPr>
            <w:tcW w:w="3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4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5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9"/>
              </w:rPr>
              <w:t>At our option, either LIBOR plus 187.5</w:t>
            </w:r>
          </w:p>
        </w:tc>
        <w:tc>
          <w:tcPr>
            <w:tcW w:w="0" w:type="dxa"/>
            <w:vAlign w:val="bottom"/>
          </w:tcPr>
          <w:p>
            <w:pPr>
              <w:spacing w:after="0"/>
              <w:rPr>
                <w:sz w:val="1"/>
                <w:szCs w:val="1"/>
                <w:color w:val="auto"/>
              </w:rPr>
            </w:pPr>
          </w:p>
        </w:tc>
      </w:tr>
      <w:tr>
        <w:trPr>
          <w:trHeight w:val="216"/>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Revolving Secured</w:t>
            </w:r>
          </w:p>
        </w:tc>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basis points or the prime rate plus 87.5</w:t>
            </w:r>
          </w:p>
        </w:tc>
        <w:tc>
          <w:tcPr>
            <w:tcW w:w="0" w:type="dxa"/>
            <w:vAlign w:val="bottom"/>
          </w:tcPr>
          <w:p>
            <w:pPr>
              <w:spacing w:after="0"/>
              <w:rPr>
                <w:sz w:val="1"/>
                <w:szCs w:val="1"/>
                <w:color w:val="auto"/>
              </w:rPr>
            </w:pPr>
          </w:p>
        </w:tc>
      </w:tr>
      <w:tr>
        <w:trPr>
          <w:trHeight w:val="237"/>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Line of Credit</w:t>
            </w:r>
          </w:p>
        </w:tc>
        <w:tc>
          <w:tcPr>
            <w:tcW w:w="26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n/a</w:t>
            </w:r>
          </w:p>
        </w:tc>
        <w:tc>
          <w:tcPr>
            <w:tcW w:w="1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06/22/20</w:t>
            </w: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350.0  (1)</w:t>
            </w:r>
          </w:p>
        </w:tc>
        <w:tc>
          <w:tcPr>
            <w:tcW w:w="10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basis points</w:t>
            </w:r>
          </w:p>
        </w:tc>
        <w:tc>
          <w:tcPr>
            <w:tcW w:w="0" w:type="dxa"/>
            <w:vAlign w:val="bottom"/>
          </w:tcPr>
          <w:p>
            <w:pPr>
              <w:spacing w:after="0"/>
              <w:rPr>
                <w:sz w:val="1"/>
                <w:szCs w:val="1"/>
                <w:color w:val="auto"/>
              </w:rPr>
            </w:pPr>
          </w:p>
        </w:tc>
      </w:tr>
      <w:tr>
        <w:trPr>
          <w:trHeight w:val="229"/>
        </w:trPr>
        <w:tc>
          <w:tcPr>
            <w:tcW w:w="2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CAC Warehouse Funding Corp.</w:t>
            </w: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Warehouse Facility II (2)</w:t>
            </w:r>
          </w:p>
        </w:tc>
        <w:tc>
          <w:tcPr>
            <w:tcW w:w="2620" w:type="dxa"/>
            <w:vAlign w:val="bottom"/>
            <w:gridSpan w:val="2"/>
          </w:tcPr>
          <w:p>
            <w:pPr>
              <w:jc w:val="center"/>
              <w:ind w:right="140"/>
              <w:spacing w:after="0"/>
              <w:rPr>
                <w:sz w:val="20"/>
                <w:szCs w:val="20"/>
                <w:color w:val="auto"/>
              </w:rPr>
            </w:pPr>
            <w:r>
              <w:rPr>
                <w:rFonts w:ascii="Arial" w:cs="Arial" w:eastAsia="Arial" w:hAnsi="Arial"/>
                <w:sz w:val="18"/>
                <w:szCs w:val="18"/>
                <w:color w:val="auto"/>
              </w:rPr>
              <w:t>II</w:t>
            </w:r>
          </w:p>
        </w:tc>
        <w:tc>
          <w:tcPr>
            <w:tcW w:w="1100" w:type="dxa"/>
            <w:vAlign w:val="bottom"/>
          </w:tcPr>
          <w:p>
            <w:pPr>
              <w:ind w:left="360"/>
              <w:spacing w:after="0"/>
              <w:rPr>
                <w:sz w:val="20"/>
                <w:szCs w:val="20"/>
                <w:color w:val="auto"/>
              </w:rPr>
            </w:pPr>
            <w:r>
              <w:rPr>
                <w:rFonts w:ascii="Arial" w:cs="Arial" w:eastAsia="Arial" w:hAnsi="Arial"/>
                <w:sz w:val="18"/>
                <w:szCs w:val="18"/>
                <w:color w:val="auto"/>
              </w:rPr>
              <w:t>12/20/20</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472"/>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20"/>
                <w:szCs w:val="20"/>
                <w:color w:val="auto"/>
              </w:rPr>
            </w:pPr>
          </w:p>
        </w:tc>
        <w:tc>
          <w:tcPr>
            <w:tcW w:w="3080" w:type="dxa"/>
            <w:vAlign w:val="bottom"/>
          </w:tcPr>
          <w:p>
            <w:pPr>
              <w:ind w:left="40"/>
              <w:spacing w:after="0"/>
              <w:rPr>
                <w:sz w:val="20"/>
                <w:szCs w:val="20"/>
                <w:color w:val="auto"/>
              </w:rPr>
            </w:pPr>
            <w:r>
              <w:rPr>
                <w:rFonts w:ascii="Arial" w:cs="Arial" w:eastAsia="Arial" w:hAnsi="Arial"/>
                <w:sz w:val="18"/>
                <w:szCs w:val="18"/>
                <w:color w:val="auto"/>
              </w:rPr>
              <w:t>LIBOR plus 175 basis points (4)</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2"/>
              </w:rPr>
              <w:t>CAC Warehouse Funding LLC</w:t>
            </w:r>
          </w:p>
        </w:tc>
        <w:tc>
          <w:tcPr>
            <w:tcW w:w="1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Warehouse Facility IV (2)</w:t>
            </w:r>
          </w:p>
        </w:tc>
        <w:tc>
          <w:tcPr>
            <w:tcW w:w="26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IV</w:t>
            </w:r>
          </w:p>
        </w:tc>
        <w:tc>
          <w:tcPr>
            <w:tcW w:w="1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04/30/20</w:t>
            </w:r>
          </w:p>
        </w:tc>
        <w:tc>
          <w:tcPr>
            <w:tcW w:w="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472"/>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LIBOR plus 225 basis points (4)</w:t>
            </w:r>
          </w:p>
        </w:tc>
        <w:tc>
          <w:tcPr>
            <w:tcW w:w="0" w:type="dxa"/>
            <w:vAlign w:val="bottom"/>
          </w:tcPr>
          <w:p>
            <w:pPr>
              <w:spacing w:after="0"/>
              <w:rPr>
                <w:sz w:val="1"/>
                <w:szCs w:val="1"/>
                <w:color w:val="auto"/>
              </w:rPr>
            </w:pPr>
          </w:p>
        </w:tc>
      </w:tr>
      <w:tr>
        <w:trPr>
          <w:trHeight w:val="243"/>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Warehouse Facility V (2)</w:t>
            </w:r>
          </w:p>
        </w:tc>
        <w:tc>
          <w:tcPr>
            <w:tcW w:w="26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CAC Warehouse Funding LLC V</w:t>
            </w:r>
          </w:p>
        </w:tc>
        <w:tc>
          <w:tcPr>
            <w:tcW w:w="1100" w:type="dxa"/>
            <w:vAlign w:val="bottom"/>
          </w:tcPr>
          <w:p>
            <w:pPr>
              <w:ind w:left="360"/>
              <w:spacing w:after="0"/>
              <w:rPr>
                <w:sz w:val="20"/>
                <w:szCs w:val="20"/>
                <w:color w:val="auto"/>
              </w:rPr>
            </w:pPr>
            <w:r>
              <w:rPr>
                <w:rFonts w:ascii="Arial" w:cs="Arial" w:eastAsia="Arial" w:hAnsi="Arial"/>
                <w:sz w:val="18"/>
                <w:szCs w:val="18"/>
                <w:color w:val="auto"/>
              </w:rPr>
              <w:t>08/18/19</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472"/>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3080" w:type="dxa"/>
            <w:vAlign w:val="bottom"/>
          </w:tcPr>
          <w:p>
            <w:pPr>
              <w:ind w:left="40"/>
              <w:spacing w:after="0"/>
              <w:rPr>
                <w:sz w:val="20"/>
                <w:szCs w:val="20"/>
                <w:color w:val="auto"/>
              </w:rPr>
            </w:pPr>
            <w:r>
              <w:rPr>
                <w:rFonts w:ascii="Arial" w:cs="Arial" w:eastAsia="Arial" w:hAnsi="Arial"/>
                <w:sz w:val="18"/>
                <w:szCs w:val="18"/>
                <w:color w:val="auto"/>
              </w:rPr>
              <w:t>LIBOR plus 225 basis points (4)</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2"/>
              </w:rPr>
              <w:t>CAC Warehouse Funding LLC</w:t>
            </w:r>
          </w:p>
        </w:tc>
        <w:tc>
          <w:tcPr>
            <w:tcW w:w="1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Warehouse Facility VI (2)</w:t>
            </w:r>
          </w:p>
        </w:tc>
        <w:tc>
          <w:tcPr>
            <w:tcW w:w="26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VI</w:t>
            </w:r>
          </w:p>
        </w:tc>
        <w:tc>
          <w:tcPr>
            <w:tcW w:w="1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09/30/20</w:t>
            </w:r>
          </w:p>
        </w:tc>
        <w:tc>
          <w:tcPr>
            <w:tcW w:w="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472"/>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LIBOR plus 200 basis points</w:t>
            </w:r>
          </w:p>
        </w:tc>
        <w:tc>
          <w:tcPr>
            <w:tcW w:w="0" w:type="dxa"/>
            <w:vAlign w:val="bottom"/>
          </w:tcPr>
          <w:p>
            <w:pPr>
              <w:spacing w:after="0"/>
              <w:rPr>
                <w:sz w:val="1"/>
                <w:szCs w:val="1"/>
                <w:color w:val="auto"/>
              </w:rPr>
            </w:pPr>
          </w:p>
        </w:tc>
      </w:tr>
      <w:tr>
        <w:trPr>
          <w:trHeight w:val="229"/>
        </w:trPr>
        <w:tc>
          <w:tcPr>
            <w:tcW w:w="2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80" w:type="dxa"/>
            <w:vAlign w:val="bottom"/>
          </w:tcPr>
          <w:p>
            <w:pPr>
              <w:ind w:left="40"/>
              <w:spacing w:after="0"/>
              <w:rPr>
                <w:sz w:val="20"/>
                <w:szCs w:val="20"/>
                <w:color w:val="auto"/>
              </w:rPr>
            </w:pPr>
            <w:r>
              <w:rPr>
                <w:rFonts w:ascii="Arial" w:cs="Arial" w:eastAsia="Arial" w:hAnsi="Arial"/>
                <w:sz w:val="18"/>
                <w:szCs w:val="18"/>
                <w:color w:val="auto"/>
                <w:w w:val="99"/>
              </w:rPr>
              <w:t>Commercial paper rate plus 190 basis</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CAC Warehouse Funding LLC</w:t>
            </w: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ind w:left="40"/>
              <w:spacing w:after="0"/>
              <w:rPr>
                <w:sz w:val="20"/>
                <w:szCs w:val="20"/>
                <w:color w:val="auto"/>
              </w:rPr>
            </w:pPr>
            <w:r>
              <w:rPr>
                <w:rFonts w:ascii="Arial" w:cs="Arial" w:eastAsia="Arial" w:hAnsi="Arial"/>
                <w:sz w:val="18"/>
                <w:szCs w:val="18"/>
                <w:color w:val="auto"/>
              </w:rPr>
              <w:t>points for class A and plus 220 basis</w:t>
            </w:r>
          </w:p>
        </w:tc>
        <w:tc>
          <w:tcPr>
            <w:tcW w:w="0" w:type="dxa"/>
            <w:vAlign w:val="bottom"/>
          </w:tcPr>
          <w:p>
            <w:pPr>
              <w:spacing w:after="0"/>
              <w:rPr>
                <w:sz w:val="1"/>
                <w:szCs w:val="1"/>
                <w:color w:val="auto"/>
              </w:rPr>
            </w:pPr>
          </w:p>
        </w:tc>
      </w:tr>
      <w:tr>
        <w:trPr>
          <w:trHeight w:val="230"/>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Warehouse Facility VII (2)</w:t>
            </w:r>
          </w:p>
        </w:tc>
        <w:tc>
          <w:tcPr>
            <w:tcW w:w="2620" w:type="dxa"/>
            <w:vAlign w:val="bottom"/>
            <w:gridSpan w:val="2"/>
          </w:tcPr>
          <w:p>
            <w:pPr>
              <w:jc w:val="center"/>
              <w:ind w:right="120"/>
              <w:spacing w:after="0"/>
              <w:rPr>
                <w:sz w:val="20"/>
                <w:szCs w:val="20"/>
                <w:color w:val="auto"/>
              </w:rPr>
            </w:pPr>
            <w:r>
              <w:rPr>
                <w:rFonts w:ascii="Arial" w:cs="Arial" w:eastAsia="Arial" w:hAnsi="Arial"/>
                <w:sz w:val="18"/>
                <w:szCs w:val="18"/>
                <w:color w:val="auto"/>
              </w:rPr>
              <w:t>VII</w:t>
            </w:r>
          </w:p>
        </w:tc>
        <w:tc>
          <w:tcPr>
            <w:tcW w:w="1100" w:type="dxa"/>
            <w:vAlign w:val="bottom"/>
          </w:tcPr>
          <w:p>
            <w:pPr>
              <w:ind w:left="360"/>
              <w:spacing w:after="0"/>
              <w:rPr>
                <w:sz w:val="20"/>
                <w:szCs w:val="20"/>
                <w:color w:val="auto"/>
              </w:rPr>
            </w:pPr>
            <w:r>
              <w:rPr>
                <w:rFonts w:ascii="Arial" w:cs="Arial" w:eastAsia="Arial" w:hAnsi="Arial"/>
                <w:sz w:val="18"/>
                <w:szCs w:val="18"/>
                <w:color w:val="auto"/>
              </w:rPr>
              <w:t>12/01/19</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472"/>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20"/>
                <w:szCs w:val="20"/>
                <w:color w:val="auto"/>
              </w:rPr>
            </w:pPr>
          </w:p>
        </w:tc>
        <w:tc>
          <w:tcPr>
            <w:tcW w:w="3080" w:type="dxa"/>
            <w:vAlign w:val="bottom"/>
          </w:tcPr>
          <w:p>
            <w:pPr>
              <w:ind w:left="40"/>
              <w:spacing w:after="0"/>
              <w:rPr>
                <w:sz w:val="20"/>
                <w:szCs w:val="20"/>
                <w:color w:val="auto"/>
              </w:rPr>
            </w:pPr>
            <w:r>
              <w:rPr>
                <w:rFonts w:ascii="Arial" w:cs="Arial" w:eastAsia="Arial" w:hAnsi="Arial"/>
                <w:sz w:val="18"/>
                <w:szCs w:val="18"/>
                <w:color w:val="auto"/>
              </w:rPr>
              <w:t>points for class B (4)</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Credit Acceptance Funding LLC</w:t>
            </w:r>
          </w:p>
        </w:tc>
        <w:tc>
          <w:tcPr>
            <w:tcW w:w="1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Term ABS 2015-1 (2)</w:t>
            </w:r>
          </w:p>
        </w:tc>
        <w:tc>
          <w:tcPr>
            <w:tcW w:w="2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2015-1</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01/16/17</w:t>
            </w:r>
          </w:p>
        </w:tc>
        <w:tc>
          <w:tcPr>
            <w:tcW w:w="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472"/>
              <w:spacing w:after="0"/>
              <w:rPr>
                <w:sz w:val="20"/>
                <w:szCs w:val="20"/>
                <w:color w:val="auto"/>
              </w:rPr>
            </w:pPr>
            <w:r>
              <w:rPr>
                <w:rFonts w:ascii="Arial" w:cs="Arial" w:eastAsia="Arial" w:hAnsi="Arial"/>
                <w:sz w:val="18"/>
                <w:szCs w:val="18"/>
                <w:color w:val="auto"/>
              </w:rPr>
              <w:t>300.6</w:t>
            </w:r>
          </w:p>
        </w:tc>
        <w:tc>
          <w:tcPr>
            <w:tcW w:w="10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rate</w:t>
            </w:r>
          </w:p>
        </w:tc>
        <w:tc>
          <w:tcPr>
            <w:tcW w:w="0" w:type="dxa"/>
            <w:vAlign w:val="bottom"/>
          </w:tcPr>
          <w:p>
            <w:pPr>
              <w:spacing w:after="0"/>
              <w:rPr>
                <w:sz w:val="1"/>
                <w:szCs w:val="1"/>
                <w:color w:val="auto"/>
              </w:rPr>
            </w:pPr>
          </w:p>
        </w:tc>
      </w:tr>
      <w:tr>
        <w:trPr>
          <w:trHeight w:val="229"/>
        </w:trPr>
        <w:tc>
          <w:tcPr>
            <w:tcW w:w="2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Credit Acceptance Funding LLC</w:t>
            </w: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Term ABS 2015-2 (2)</w:t>
            </w:r>
          </w:p>
        </w:tc>
        <w:tc>
          <w:tcPr>
            <w:tcW w:w="2500" w:type="dxa"/>
            <w:vAlign w:val="bottom"/>
          </w:tcPr>
          <w:p>
            <w:pPr>
              <w:jc w:val="center"/>
              <w:spacing w:after="0"/>
              <w:rPr>
                <w:sz w:val="20"/>
                <w:szCs w:val="20"/>
                <w:color w:val="auto"/>
              </w:rPr>
            </w:pPr>
            <w:r>
              <w:rPr>
                <w:rFonts w:ascii="Arial" w:cs="Arial" w:eastAsia="Arial" w:hAnsi="Arial"/>
                <w:sz w:val="18"/>
                <w:szCs w:val="18"/>
                <w:color w:val="auto"/>
                <w:w w:val="89"/>
              </w:rPr>
              <w:t>2015-2</w:t>
            </w:r>
          </w:p>
        </w:tc>
        <w:tc>
          <w:tcPr>
            <w:tcW w:w="120" w:type="dxa"/>
            <w:vAlign w:val="bottom"/>
          </w:tcPr>
          <w:p>
            <w:pPr>
              <w:spacing w:after="0"/>
              <w:rPr>
                <w:sz w:val="20"/>
                <w:szCs w:val="20"/>
                <w:color w:val="auto"/>
              </w:rPr>
            </w:pPr>
          </w:p>
        </w:tc>
        <w:tc>
          <w:tcPr>
            <w:tcW w:w="1100" w:type="dxa"/>
            <w:vAlign w:val="bottom"/>
          </w:tcPr>
          <w:p>
            <w:pPr>
              <w:ind w:left="360"/>
              <w:spacing w:after="0"/>
              <w:rPr>
                <w:sz w:val="20"/>
                <w:szCs w:val="20"/>
                <w:color w:val="auto"/>
              </w:rPr>
            </w:pPr>
            <w:r>
              <w:rPr>
                <w:rFonts w:ascii="Arial" w:cs="Arial" w:eastAsia="Arial" w:hAnsi="Arial"/>
                <w:sz w:val="18"/>
                <w:szCs w:val="18"/>
                <w:color w:val="auto"/>
              </w:rPr>
              <w:t>08/15/17</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472"/>
              <w:spacing w:after="0"/>
              <w:rPr>
                <w:sz w:val="20"/>
                <w:szCs w:val="20"/>
                <w:color w:val="auto"/>
              </w:rPr>
            </w:pPr>
            <w:r>
              <w:rPr>
                <w:rFonts w:ascii="Arial" w:cs="Arial" w:eastAsia="Arial" w:hAnsi="Arial"/>
                <w:sz w:val="18"/>
                <w:szCs w:val="18"/>
                <w:color w:val="auto"/>
              </w:rPr>
              <w:t>300.2</w:t>
            </w:r>
          </w:p>
        </w:tc>
        <w:tc>
          <w:tcPr>
            <w:tcW w:w="100" w:type="dxa"/>
            <w:vAlign w:val="bottom"/>
          </w:tcPr>
          <w:p>
            <w:pPr>
              <w:spacing w:after="0"/>
              <w:rPr>
                <w:sz w:val="20"/>
                <w:szCs w:val="20"/>
                <w:color w:val="auto"/>
              </w:rPr>
            </w:pPr>
          </w:p>
        </w:tc>
        <w:tc>
          <w:tcPr>
            <w:tcW w:w="3080" w:type="dxa"/>
            <w:vAlign w:val="bottom"/>
          </w:tcPr>
          <w:p>
            <w:pPr>
              <w:ind w:left="40"/>
              <w:spacing w:after="0"/>
              <w:rPr>
                <w:sz w:val="20"/>
                <w:szCs w:val="20"/>
                <w:color w:val="auto"/>
              </w:rPr>
            </w:pPr>
            <w:r>
              <w:rPr>
                <w:rFonts w:ascii="Arial" w:cs="Arial" w:eastAsia="Arial" w:hAnsi="Arial"/>
                <w:sz w:val="18"/>
                <w:szCs w:val="18"/>
                <w:color w:val="auto"/>
              </w:rPr>
              <w:t>Fixed rate</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Credit Acceptance Funding LLC</w:t>
            </w:r>
          </w:p>
        </w:tc>
        <w:tc>
          <w:tcPr>
            <w:tcW w:w="1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Term ABS 2016-1 (2)</w:t>
            </w:r>
          </w:p>
        </w:tc>
        <w:tc>
          <w:tcPr>
            <w:tcW w:w="2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2016-1</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02/15/18</w:t>
            </w:r>
          </w:p>
        </w:tc>
        <w:tc>
          <w:tcPr>
            <w:tcW w:w="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472"/>
              <w:spacing w:after="0"/>
              <w:rPr>
                <w:sz w:val="20"/>
                <w:szCs w:val="20"/>
                <w:color w:val="auto"/>
              </w:rPr>
            </w:pPr>
            <w:r>
              <w:rPr>
                <w:rFonts w:ascii="Arial" w:cs="Arial" w:eastAsia="Arial" w:hAnsi="Arial"/>
                <w:sz w:val="18"/>
                <w:szCs w:val="18"/>
                <w:color w:val="auto"/>
              </w:rPr>
              <w:t>385.0</w:t>
            </w:r>
          </w:p>
        </w:tc>
        <w:tc>
          <w:tcPr>
            <w:tcW w:w="10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LIBOR plus 195 basis points (4)</w:t>
            </w:r>
          </w:p>
        </w:tc>
        <w:tc>
          <w:tcPr>
            <w:tcW w:w="0" w:type="dxa"/>
            <w:vAlign w:val="bottom"/>
          </w:tcPr>
          <w:p>
            <w:pPr>
              <w:spacing w:after="0"/>
              <w:rPr>
                <w:sz w:val="1"/>
                <w:szCs w:val="1"/>
                <w:color w:val="auto"/>
              </w:rPr>
            </w:pPr>
          </w:p>
        </w:tc>
      </w:tr>
      <w:tr>
        <w:trPr>
          <w:trHeight w:val="229"/>
        </w:trPr>
        <w:tc>
          <w:tcPr>
            <w:tcW w:w="2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Credit Acceptance Funding LLC</w:t>
            </w: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Term ABS 2016-2 (2)</w:t>
            </w:r>
          </w:p>
        </w:tc>
        <w:tc>
          <w:tcPr>
            <w:tcW w:w="2500" w:type="dxa"/>
            <w:vAlign w:val="bottom"/>
          </w:tcPr>
          <w:p>
            <w:pPr>
              <w:jc w:val="center"/>
              <w:spacing w:after="0"/>
              <w:rPr>
                <w:sz w:val="20"/>
                <w:szCs w:val="20"/>
                <w:color w:val="auto"/>
              </w:rPr>
            </w:pPr>
            <w:r>
              <w:rPr>
                <w:rFonts w:ascii="Arial" w:cs="Arial" w:eastAsia="Arial" w:hAnsi="Arial"/>
                <w:sz w:val="18"/>
                <w:szCs w:val="18"/>
                <w:color w:val="auto"/>
                <w:w w:val="89"/>
              </w:rPr>
              <w:t>2016-2</w:t>
            </w:r>
          </w:p>
        </w:tc>
        <w:tc>
          <w:tcPr>
            <w:tcW w:w="120" w:type="dxa"/>
            <w:vAlign w:val="bottom"/>
          </w:tcPr>
          <w:p>
            <w:pPr>
              <w:spacing w:after="0"/>
              <w:rPr>
                <w:sz w:val="20"/>
                <w:szCs w:val="20"/>
                <w:color w:val="auto"/>
              </w:rPr>
            </w:pPr>
          </w:p>
        </w:tc>
        <w:tc>
          <w:tcPr>
            <w:tcW w:w="1100" w:type="dxa"/>
            <w:vAlign w:val="bottom"/>
          </w:tcPr>
          <w:p>
            <w:pPr>
              <w:ind w:left="360"/>
              <w:spacing w:after="0"/>
              <w:rPr>
                <w:sz w:val="20"/>
                <w:szCs w:val="20"/>
                <w:color w:val="auto"/>
              </w:rPr>
            </w:pPr>
            <w:r>
              <w:rPr>
                <w:rFonts w:ascii="Arial" w:cs="Arial" w:eastAsia="Arial" w:hAnsi="Arial"/>
                <w:sz w:val="18"/>
                <w:szCs w:val="18"/>
                <w:color w:val="auto"/>
              </w:rPr>
              <w:t>05/15/18</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472"/>
              <w:spacing w:after="0"/>
              <w:rPr>
                <w:sz w:val="20"/>
                <w:szCs w:val="20"/>
                <w:color w:val="auto"/>
              </w:rPr>
            </w:pPr>
            <w:r>
              <w:rPr>
                <w:rFonts w:ascii="Arial" w:cs="Arial" w:eastAsia="Arial" w:hAnsi="Arial"/>
                <w:sz w:val="18"/>
                <w:szCs w:val="18"/>
                <w:color w:val="auto"/>
              </w:rPr>
              <w:t>350.2</w:t>
            </w:r>
          </w:p>
        </w:tc>
        <w:tc>
          <w:tcPr>
            <w:tcW w:w="100" w:type="dxa"/>
            <w:vAlign w:val="bottom"/>
          </w:tcPr>
          <w:p>
            <w:pPr>
              <w:spacing w:after="0"/>
              <w:rPr>
                <w:sz w:val="20"/>
                <w:szCs w:val="20"/>
                <w:color w:val="auto"/>
              </w:rPr>
            </w:pPr>
          </w:p>
        </w:tc>
        <w:tc>
          <w:tcPr>
            <w:tcW w:w="3080" w:type="dxa"/>
            <w:vAlign w:val="bottom"/>
          </w:tcPr>
          <w:p>
            <w:pPr>
              <w:ind w:left="40"/>
              <w:spacing w:after="0"/>
              <w:rPr>
                <w:sz w:val="20"/>
                <w:szCs w:val="20"/>
                <w:color w:val="auto"/>
              </w:rPr>
            </w:pPr>
            <w:r>
              <w:rPr>
                <w:rFonts w:ascii="Arial" w:cs="Arial" w:eastAsia="Arial" w:hAnsi="Arial"/>
                <w:sz w:val="18"/>
                <w:szCs w:val="18"/>
                <w:color w:val="auto"/>
              </w:rPr>
              <w:t>Fixed rate</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Credit Acceptance Funding LLC</w:t>
            </w:r>
          </w:p>
        </w:tc>
        <w:tc>
          <w:tcPr>
            <w:tcW w:w="1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Term ABS 2016-3 (2)</w:t>
            </w:r>
          </w:p>
        </w:tc>
        <w:tc>
          <w:tcPr>
            <w:tcW w:w="2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2016-3</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10/15/18</w:t>
            </w:r>
          </w:p>
        </w:tc>
        <w:tc>
          <w:tcPr>
            <w:tcW w:w="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472"/>
              <w:spacing w:after="0"/>
              <w:rPr>
                <w:sz w:val="20"/>
                <w:szCs w:val="20"/>
                <w:color w:val="auto"/>
              </w:rPr>
            </w:pPr>
            <w:r>
              <w:rPr>
                <w:rFonts w:ascii="Arial" w:cs="Arial" w:eastAsia="Arial" w:hAnsi="Arial"/>
                <w:sz w:val="18"/>
                <w:szCs w:val="18"/>
                <w:color w:val="auto"/>
              </w:rPr>
              <w:t>350.0</w:t>
            </w:r>
          </w:p>
        </w:tc>
        <w:tc>
          <w:tcPr>
            <w:tcW w:w="10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rate</w:t>
            </w:r>
          </w:p>
        </w:tc>
        <w:tc>
          <w:tcPr>
            <w:tcW w:w="0" w:type="dxa"/>
            <w:vAlign w:val="bottom"/>
          </w:tcPr>
          <w:p>
            <w:pPr>
              <w:spacing w:after="0"/>
              <w:rPr>
                <w:sz w:val="1"/>
                <w:szCs w:val="1"/>
                <w:color w:val="auto"/>
              </w:rPr>
            </w:pPr>
          </w:p>
        </w:tc>
      </w:tr>
      <w:tr>
        <w:trPr>
          <w:trHeight w:val="229"/>
        </w:trPr>
        <w:tc>
          <w:tcPr>
            <w:tcW w:w="2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Credit Acceptance Funding LLC</w:t>
            </w: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Term ABS 2017-1 (2)</w:t>
            </w:r>
          </w:p>
        </w:tc>
        <w:tc>
          <w:tcPr>
            <w:tcW w:w="2500" w:type="dxa"/>
            <w:vAlign w:val="bottom"/>
          </w:tcPr>
          <w:p>
            <w:pPr>
              <w:jc w:val="center"/>
              <w:spacing w:after="0"/>
              <w:rPr>
                <w:sz w:val="20"/>
                <w:szCs w:val="20"/>
                <w:color w:val="auto"/>
              </w:rPr>
            </w:pPr>
            <w:r>
              <w:rPr>
                <w:rFonts w:ascii="Arial" w:cs="Arial" w:eastAsia="Arial" w:hAnsi="Arial"/>
                <w:sz w:val="18"/>
                <w:szCs w:val="18"/>
                <w:color w:val="auto"/>
                <w:w w:val="89"/>
              </w:rPr>
              <w:t>2017-1</w:t>
            </w:r>
          </w:p>
        </w:tc>
        <w:tc>
          <w:tcPr>
            <w:tcW w:w="120" w:type="dxa"/>
            <w:vAlign w:val="bottom"/>
          </w:tcPr>
          <w:p>
            <w:pPr>
              <w:spacing w:after="0"/>
              <w:rPr>
                <w:sz w:val="20"/>
                <w:szCs w:val="20"/>
                <w:color w:val="auto"/>
              </w:rPr>
            </w:pPr>
          </w:p>
        </w:tc>
        <w:tc>
          <w:tcPr>
            <w:tcW w:w="1100" w:type="dxa"/>
            <w:vAlign w:val="bottom"/>
          </w:tcPr>
          <w:p>
            <w:pPr>
              <w:ind w:left="360"/>
              <w:spacing w:after="0"/>
              <w:rPr>
                <w:sz w:val="20"/>
                <w:szCs w:val="20"/>
                <w:color w:val="auto"/>
              </w:rPr>
            </w:pPr>
            <w:r>
              <w:rPr>
                <w:rFonts w:ascii="Arial" w:cs="Arial" w:eastAsia="Arial" w:hAnsi="Arial"/>
                <w:sz w:val="18"/>
                <w:szCs w:val="18"/>
                <w:color w:val="auto"/>
              </w:rPr>
              <w:t>02/15/19</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472"/>
              <w:spacing w:after="0"/>
              <w:rPr>
                <w:sz w:val="20"/>
                <w:szCs w:val="20"/>
                <w:color w:val="auto"/>
              </w:rPr>
            </w:pPr>
            <w:r>
              <w:rPr>
                <w:rFonts w:ascii="Arial" w:cs="Arial" w:eastAsia="Arial" w:hAnsi="Arial"/>
                <w:sz w:val="18"/>
                <w:szCs w:val="18"/>
                <w:color w:val="auto"/>
              </w:rPr>
              <w:t>350.0</w:t>
            </w:r>
          </w:p>
        </w:tc>
        <w:tc>
          <w:tcPr>
            <w:tcW w:w="100" w:type="dxa"/>
            <w:vAlign w:val="bottom"/>
          </w:tcPr>
          <w:p>
            <w:pPr>
              <w:spacing w:after="0"/>
              <w:rPr>
                <w:sz w:val="20"/>
                <w:szCs w:val="20"/>
                <w:color w:val="auto"/>
              </w:rPr>
            </w:pPr>
          </w:p>
        </w:tc>
        <w:tc>
          <w:tcPr>
            <w:tcW w:w="3080" w:type="dxa"/>
            <w:vAlign w:val="bottom"/>
          </w:tcPr>
          <w:p>
            <w:pPr>
              <w:ind w:left="40"/>
              <w:spacing w:after="0"/>
              <w:rPr>
                <w:sz w:val="20"/>
                <w:szCs w:val="20"/>
                <w:color w:val="auto"/>
              </w:rPr>
            </w:pPr>
            <w:r>
              <w:rPr>
                <w:rFonts w:ascii="Arial" w:cs="Arial" w:eastAsia="Arial" w:hAnsi="Arial"/>
                <w:sz w:val="18"/>
                <w:szCs w:val="18"/>
                <w:color w:val="auto"/>
              </w:rPr>
              <w:t>Fixed rate</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Credit Acceptance Funding LLC</w:t>
            </w:r>
          </w:p>
        </w:tc>
        <w:tc>
          <w:tcPr>
            <w:tcW w:w="1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Term ABS 2017-2 (2)</w:t>
            </w:r>
          </w:p>
        </w:tc>
        <w:tc>
          <w:tcPr>
            <w:tcW w:w="2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2017-2</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06/17/19</w:t>
            </w:r>
          </w:p>
        </w:tc>
        <w:tc>
          <w:tcPr>
            <w:tcW w:w="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472"/>
              <w:spacing w:after="0"/>
              <w:rPr>
                <w:sz w:val="20"/>
                <w:szCs w:val="20"/>
                <w:color w:val="auto"/>
              </w:rPr>
            </w:pPr>
            <w:r>
              <w:rPr>
                <w:rFonts w:ascii="Arial" w:cs="Arial" w:eastAsia="Arial" w:hAnsi="Arial"/>
                <w:sz w:val="18"/>
                <w:szCs w:val="18"/>
                <w:color w:val="auto"/>
              </w:rPr>
              <w:t>450.0</w:t>
            </w:r>
          </w:p>
        </w:tc>
        <w:tc>
          <w:tcPr>
            <w:tcW w:w="10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rate</w:t>
            </w:r>
          </w:p>
        </w:tc>
        <w:tc>
          <w:tcPr>
            <w:tcW w:w="0" w:type="dxa"/>
            <w:vAlign w:val="bottom"/>
          </w:tcPr>
          <w:p>
            <w:pPr>
              <w:spacing w:after="0"/>
              <w:rPr>
                <w:sz w:val="1"/>
                <w:szCs w:val="1"/>
                <w:color w:val="auto"/>
              </w:rPr>
            </w:pPr>
          </w:p>
        </w:tc>
      </w:tr>
      <w:tr>
        <w:trPr>
          <w:trHeight w:val="229"/>
        </w:trPr>
        <w:tc>
          <w:tcPr>
            <w:tcW w:w="2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Credit Acceptance Funding LLC</w:t>
            </w: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Term ABS 2017-3 (2)</w:t>
            </w:r>
          </w:p>
        </w:tc>
        <w:tc>
          <w:tcPr>
            <w:tcW w:w="2500" w:type="dxa"/>
            <w:vAlign w:val="bottom"/>
          </w:tcPr>
          <w:p>
            <w:pPr>
              <w:jc w:val="center"/>
              <w:spacing w:after="0"/>
              <w:rPr>
                <w:sz w:val="20"/>
                <w:szCs w:val="20"/>
                <w:color w:val="auto"/>
              </w:rPr>
            </w:pPr>
            <w:r>
              <w:rPr>
                <w:rFonts w:ascii="Arial" w:cs="Arial" w:eastAsia="Arial" w:hAnsi="Arial"/>
                <w:sz w:val="18"/>
                <w:szCs w:val="18"/>
                <w:color w:val="auto"/>
                <w:w w:val="89"/>
              </w:rPr>
              <w:t>2017-3</w:t>
            </w:r>
          </w:p>
        </w:tc>
        <w:tc>
          <w:tcPr>
            <w:tcW w:w="120" w:type="dxa"/>
            <w:vAlign w:val="bottom"/>
          </w:tcPr>
          <w:p>
            <w:pPr>
              <w:spacing w:after="0"/>
              <w:rPr>
                <w:sz w:val="20"/>
                <w:szCs w:val="20"/>
                <w:color w:val="auto"/>
              </w:rPr>
            </w:pPr>
          </w:p>
        </w:tc>
        <w:tc>
          <w:tcPr>
            <w:tcW w:w="1100" w:type="dxa"/>
            <w:vAlign w:val="bottom"/>
          </w:tcPr>
          <w:p>
            <w:pPr>
              <w:ind w:left="360"/>
              <w:spacing w:after="0"/>
              <w:rPr>
                <w:sz w:val="20"/>
                <w:szCs w:val="20"/>
                <w:color w:val="auto"/>
              </w:rPr>
            </w:pPr>
            <w:r>
              <w:rPr>
                <w:rFonts w:ascii="Arial" w:cs="Arial" w:eastAsia="Arial" w:hAnsi="Arial"/>
                <w:sz w:val="18"/>
                <w:szCs w:val="18"/>
                <w:color w:val="auto"/>
              </w:rPr>
              <w:t>10/15/19</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472"/>
              <w:spacing w:after="0"/>
              <w:rPr>
                <w:sz w:val="20"/>
                <w:szCs w:val="20"/>
                <w:color w:val="auto"/>
              </w:rPr>
            </w:pPr>
            <w:r>
              <w:rPr>
                <w:rFonts w:ascii="Arial" w:cs="Arial" w:eastAsia="Arial" w:hAnsi="Arial"/>
                <w:sz w:val="18"/>
                <w:szCs w:val="18"/>
                <w:color w:val="auto"/>
              </w:rPr>
              <w:t>350.0</w:t>
            </w:r>
          </w:p>
        </w:tc>
        <w:tc>
          <w:tcPr>
            <w:tcW w:w="100" w:type="dxa"/>
            <w:vAlign w:val="bottom"/>
          </w:tcPr>
          <w:p>
            <w:pPr>
              <w:spacing w:after="0"/>
              <w:rPr>
                <w:sz w:val="20"/>
                <w:szCs w:val="20"/>
                <w:color w:val="auto"/>
              </w:rPr>
            </w:pPr>
          </w:p>
        </w:tc>
        <w:tc>
          <w:tcPr>
            <w:tcW w:w="3080" w:type="dxa"/>
            <w:vAlign w:val="bottom"/>
          </w:tcPr>
          <w:p>
            <w:pPr>
              <w:ind w:left="40"/>
              <w:spacing w:after="0"/>
              <w:rPr>
                <w:sz w:val="20"/>
                <w:szCs w:val="20"/>
                <w:color w:val="auto"/>
              </w:rPr>
            </w:pPr>
            <w:r>
              <w:rPr>
                <w:rFonts w:ascii="Arial" w:cs="Arial" w:eastAsia="Arial" w:hAnsi="Arial"/>
                <w:sz w:val="18"/>
                <w:szCs w:val="18"/>
                <w:color w:val="auto"/>
              </w:rPr>
              <w:t>Fixed rate</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2021 Senior Notes</w:t>
            </w:r>
          </w:p>
        </w:tc>
        <w:tc>
          <w:tcPr>
            <w:tcW w:w="26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n/a</w:t>
            </w:r>
          </w:p>
        </w:tc>
        <w:tc>
          <w:tcPr>
            <w:tcW w:w="1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02/15/21</w:t>
            </w: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472"/>
              <w:spacing w:after="0"/>
              <w:rPr>
                <w:sz w:val="20"/>
                <w:szCs w:val="20"/>
                <w:color w:val="auto"/>
              </w:rPr>
            </w:pPr>
            <w:r>
              <w:rPr>
                <w:rFonts w:ascii="Arial" w:cs="Arial" w:eastAsia="Arial" w:hAnsi="Arial"/>
                <w:sz w:val="18"/>
                <w:szCs w:val="18"/>
                <w:color w:val="auto"/>
              </w:rPr>
              <w:t>300.0</w:t>
            </w:r>
          </w:p>
        </w:tc>
        <w:tc>
          <w:tcPr>
            <w:tcW w:w="10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rate</w:t>
            </w:r>
          </w:p>
        </w:tc>
        <w:tc>
          <w:tcPr>
            <w:tcW w:w="0" w:type="dxa"/>
            <w:vAlign w:val="bottom"/>
          </w:tcPr>
          <w:p>
            <w:pPr>
              <w:spacing w:after="0"/>
              <w:rPr>
                <w:sz w:val="1"/>
                <w:szCs w:val="1"/>
                <w:color w:val="auto"/>
              </w:rPr>
            </w:pPr>
          </w:p>
        </w:tc>
      </w:tr>
      <w:tr>
        <w:trPr>
          <w:trHeight w:val="243"/>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2023 Senior Notes</w:t>
            </w:r>
          </w:p>
        </w:tc>
        <w:tc>
          <w:tcPr>
            <w:tcW w:w="262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n/a</w:t>
            </w:r>
          </w:p>
        </w:tc>
        <w:tc>
          <w:tcPr>
            <w:tcW w:w="1100" w:type="dxa"/>
            <w:vAlign w:val="bottom"/>
          </w:tcPr>
          <w:p>
            <w:pPr>
              <w:ind w:left="360"/>
              <w:spacing w:after="0"/>
              <w:rPr>
                <w:sz w:val="20"/>
                <w:szCs w:val="20"/>
                <w:color w:val="auto"/>
              </w:rPr>
            </w:pPr>
            <w:r>
              <w:rPr>
                <w:rFonts w:ascii="Arial" w:cs="Arial" w:eastAsia="Arial" w:hAnsi="Arial"/>
                <w:sz w:val="18"/>
                <w:szCs w:val="18"/>
                <w:color w:val="auto"/>
              </w:rPr>
              <w:t>03/15/23</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472"/>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21"/>
                <w:szCs w:val="21"/>
                <w:color w:val="auto"/>
              </w:rPr>
            </w:pPr>
          </w:p>
        </w:tc>
        <w:tc>
          <w:tcPr>
            <w:tcW w:w="3080" w:type="dxa"/>
            <w:vAlign w:val="bottom"/>
          </w:tcPr>
          <w:p>
            <w:pPr>
              <w:ind w:left="40"/>
              <w:spacing w:after="0"/>
              <w:rPr>
                <w:sz w:val="20"/>
                <w:szCs w:val="20"/>
                <w:color w:val="auto"/>
              </w:rPr>
            </w:pPr>
            <w:r>
              <w:rPr>
                <w:rFonts w:ascii="Arial" w:cs="Arial" w:eastAsia="Arial" w:hAnsi="Arial"/>
                <w:sz w:val="18"/>
                <w:szCs w:val="18"/>
                <w:color w:val="auto"/>
              </w:rPr>
              <w:t>Fixed rate</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500" w:hanging="330"/>
        <w:spacing w:after="0"/>
        <w:tabs>
          <w:tab w:leader="none" w:pos="50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amount of the facility will decrease to $315.0 million on June 22, 2019.</w:t>
      </w:r>
    </w:p>
    <w:p>
      <w:pPr>
        <w:spacing w:after="0" w:line="13" w:lineRule="exact"/>
        <w:rPr>
          <w:rFonts w:ascii="Arial" w:cs="Arial" w:eastAsia="Arial" w:hAnsi="Arial"/>
          <w:sz w:val="14"/>
          <w:szCs w:val="14"/>
          <w:color w:val="auto"/>
        </w:rPr>
      </w:pPr>
    </w:p>
    <w:p>
      <w:pPr>
        <w:ind w:left="500" w:hanging="330"/>
        <w:spacing w:after="0"/>
        <w:tabs>
          <w:tab w:leader="none" w:pos="500" w:val="left"/>
        </w:tabs>
        <w:numPr>
          <w:ilvl w:val="0"/>
          <w:numId w:val="60"/>
        </w:numPr>
        <w:rPr>
          <w:rFonts w:ascii="Arial" w:cs="Arial" w:eastAsia="Arial" w:hAnsi="Arial"/>
          <w:sz w:val="14"/>
          <w:szCs w:val="14"/>
          <w:color w:val="auto"/>
        </w:rPr>
      </w:pPr>
      <w:r>
        <w:rPr>
          <w:rFonts w:ascii="Arial" w:cs="Arial" w:eastAsia="Arial" w:hAnsi="Arial"/>
          <w:sz w:val="14"/>
          <w:szCs w:val="14"/>
          <w:color w:val="auto"/>
        </w:rPr>
        <w:t>Financing made available only to a specified subsidiary of the Company.</w:t>
      </w:r>
    </w:p>
    <w:p>
      <w:pPr>
        <w:spacing w:after="0" w:line="1" w:lineRule="exact"/>
        <w:rPr>
          <w:rFonts w:ascii="Arial" w:cs="Arial" w:eastAsia="Arial" w:hAnsi="Arial"/>
          <w:sz w:val="14"/>
          <w:szCs w:val="14"/>
          <w:color w:val="auto"/>
        </w:rPr>
      </w:pPr>
    </w:p>
    <w:p>
      <w:pPr>
        <w:ind w:left="500" w:hanging="330"/>
        <w:spacing w:after="0"/>
        <w:tabs>
          <w:tab w:leader="none" w:pos="500" w:val="left"/>
        </w:tabs>
        <w:numPr>
          <w:ilvl w:val="0"/>
          <w:numId w:val="60"/>
        </w:numPr>
        <w:rPr>
          <w:rFonts w:ascii="Arial" w:cs="Arial" w:eastAsia="Arial" w:hAnsi="Arial"/>
          <w:sz w:val="14"/>
          <w:szCs w:val="14"/>
          <w:color w:val="auto"/>
        </w:rPr>
      </w:pPr>
      <w:r>
        <w:rPr>
          <w:rFonts w:ascii="Arial" w:cs="Arial" w:eastAsia="Arial" w:hAnsi="Arial"/>
          <w:sz w:val="14"/>
          <w:szCs w:val="14"/>
          <w:color w:val="auto"/>
        </w:rPr>
        <w:t>Represents the revolving maturity date. The outstanding balance will amortize after the revolving maturity date based on the cash flows of the pledged assets.</w:t>
      </w:r>
    </w:p>
    <w:p>
      <w:pPr>
        <w:spacing w:after="0" w:line="1" w:lineRule="exact"/>
        <w:rPr>
          <w:rFonts w:ascii="Arial" w:cs="Arial" w:eastAsia="Arial" w:hAnsi="Arial"/>
          <w:sz w:val="14"/>
          <w:szCs w:val="14"/>
          <w:color w:val="auto"/>
        </w:rPr>
      </w:pPr>
    </w:p>
    <w:p>
      <w:pPr>
        <w:ind w:left="500" w:hanging="330"/>
        <w:spacing w:after="0"/>
        <w:tabs>
          <w:tab w:leader="none" w:pos="500" w:val="left"/>
        </w:tabs>
        <w:numPr>
          <w:ilvl w:val="0"/>
          <w:numId w:val="60"/>
        </w:numPr>
        <w:rPr>
          <w:rFonts w:ascii="Arial" w:cs="Arial" w:eastAsia="Arial" w:hAnsi="Arial"/>
          <w:sz w:val="14"/>
          <w:szCs w:val="14"/>
          <w:color w:val="auto"/>
        </w:rPr>
      </w:pPr>
      <w:r>
        <w:rPr>
          <w:rFonts w:ascii="Arial" w:cs="Arial" w:eastAsia="Arial" w:hAnsi="Arial"/>
          <w:sz w:val="14"/>
          <w:szCs w:val="14"/>
          <w:color w:val="auto"/>
        </w:rPr>
        <w:t>Interest rate cap agreements are in place to limit the exposure to increasing interest rates.</w:t>
      </w:r>
    </w:p>
    <w:p>
      <w:pPr>
        <w:spacing w:after="0" w:line="1" w:lineRule="exact"/>
        <w:rPr>
          <w:rFonts w:ascii="Arial" w:cs="Arial" w:eastAsia="Arial" w:hAnsi="Arial"/>
          <w:sz w:val="14"/>
          <w:szCs w:val="14"/>
          <w:color w:val="auto"/>
        </w:rPr>
      </w:pPr>
    </w:p>
    <w:p>
      <w:pPr>
        <w:ind w:left="500" w:hanging="330"/>
        <w:spacing w:after="0"/>
        <w:tabs>
          <w:tab w:leader="none" w:pos="500" w:val="left"/>
        </w:tabs>
        <w:numPr>
          <w:ilvl w:val="0"/>
          <w:numId w:val="60"/>
        </w:numPr>
        <w:rPr>
          <w:rFonts w:ascii="Arial" w:cs="Arial" w:eastAsia="Arial" w:hAnsi="Arial"/>
          <w:sz w:val="13"/>
          <w:szCs w:val="13"/>
          <w:color w:val="auto"/>
        </w:rPr>
      </w:pPr>
      <w:r>
        <w:rPr>
          <w:rFonts w:ascii="Arial" w:cs="Arial" w:eastAsia="Arial" w:hAnsi="Arial"/>
          <w:sz w:val="13"/>
          <w:szCs w:val="13"/>
          <w:color w:val="auto"/>
        </w:rPr>
        <w:t>Represents the revolving maturity date. The outstanding balance will amortize after the revolving maturity date and any amounts remaining on August 18, 2021 will be due on that date.</w:t>
      </w:r>
    </w:p>
    <w:p>
      <w:pPr>
        <w:spacing w:after="0" w:line="12" w:lineRule="exact"/>
        <w:rPr>
          <w:rFonts w:ascii="Arial" w:cs="Arial" w:eastAsia="Arial" w:hAnsi="Arial"/>
          <w:sz w:val="13"/>
          <w:szCs w:val="13"/>
          <w:color w:val="auto"/>
        </w:rPr>
      </w:pPr>
    </w:p>
    <w:p>
      <w:pPr>
        <w:ind w:left="500" w:hanging="330"/>
        <w:spacing w:after="0"/>
        <w:tabs>
          <w:tab w:leader="none" w:pos="500" w:val="left"/>
        </w:tabs>
        <w:numPr>
          <w:ilvl w:val="0"/>
          <w:numId w:val="60"/>
        </w:numPr>
        <w:rPr>
          <w:rFonts w:ascii="Arial" w:cs="Arial" w:eastAsia="Arial" w:hAnsi="Arial"/>
          <w:sz w:val="13"/>
          <w:szCs w:val="13"/>
          <w:color w:val="auto"/>
        </w:rPr>
      </w:pPr>
      <w:r>
        <w:rPr>
          <w:rFonts w:ascii="Arial" w:cs="Arial" w:eastAsia="Arial" w:hAnsi="Arial"/>
          <w:sz w:val="13"/>
          <w:szCs w:val="13"/>
          <w:color w:val="auto"/>
        </w:rPr>
        <w:t>Represents the revolving maturity date. The outstanding balance will amortize after the revolving maturity date and any amounts remaining on November 30, 2021 will be due on that date.</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337" w:right="25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 information related to the amounts outstanding on each facility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46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32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gridSpan w:val="4"/>
          </w:tcPr>
          <w:p>
            <w:pPr>
              <w:jc w:val="right"/>
              <w:ind w:right="711"/>
              <w:spacing w:after="0"/>
              <w:rPr>
                <w:sz w:val="20"/>
                <w:szCs w:val="20"/>
                <w:color w:val="auto"/>
              </w:rPr>
            </w:pPr>
            <w:r>
              <w:rPr>
                <w:rFonts w:ascii="Arial" w:cs="Arial" w:eastAsia="Arial" w:hAnsi="Arial"/>
                <w:sz w:val="14"/>
                <w:szCs w:val="14"/>
                <w:b w:val="1"/>
                <w:bCs w:val="1"/>
                <w:color w:val="auto"/>
              </w:rPr>
              <w:t>For the Years Ended December 31,</w:t>
            </w:r>
          </w:p>
        </w:tc>
      </w:tr>
      <w:tr>
        <w:trPr>
          <w:trHeight w:val="264"/>
        </w:trPr>
        <w:tc>
          <w:tcPr>
            <w:tcW w:w="446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2016</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Revolving Secured Line of Credit</w:t>
            </w:r>
          </w:p>
        </w:tc>
        <w:tc>
          <w:tcPr>
            <w:tcW w:w="3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3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Maximum outstanding principal balance</w:t>
            </w:r>
          </w:p>
        </w:tc>
        <w:tc>
          <w:tcPr>
            <w:tcW w:w="36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276.7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186.4</w:t>
            </w:r>
          </w:p>
        </w:tc>
      </w:tr>
      <w:tr>
        <w:trPr>
          <w:trHeight w:val="243"/>
        </w:trPr>
        <w:tc>
          <w:tcPr>
            <w:tcW w:w="4460" w:type="dxa"/>
            <w:vAlign w:val="bottom"/>
          </w:tcPr>
          <w:p>
            <w:pPr>
              <w:ind w:left="380"/>
              <w:spacing w:after="0"/>
              <w:rPr>
                <w:sz w:val="20"/>
                <w:szCs w:val="20"/>
                <w:color w:val="auto"/>
              </w:rPr>
            </w:pPr>
            <w:r>
              <w:rPr>
                <w:rFonts w:ascii="Arial" w:cs="Arial" w:eastAsia="Arial" w:hAnsi="Arial"/>
                <w:sz w:val="18"/>
                <w:szCs w:val="18"/>
                <w:color w:val="auto"/>
              </w:rPr>
              <w:t>Average outstanding principal balance</w:t>
            </w:r>
          </w:p>
        </w:tc>
        <w:tc>
          <w:tcPr>
            <w:tcW w:w="3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80.3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30.8</w:t>
            </w:r>
          </w:p>
        </w:tc>
      </w:tr>
      <w:tr>
        <w:trPr>
          <w:trHeight w:val="27"/>
        </w:trPr>
        <w:tc>
          <w:tcPr>
            <w:tcW w:w="4460" w:type="dxa"/>
            <w:vAlign w:val="bottom"/>
          </w:tcPr>
          <w:p>
            <w:pPr>
              <w:spacing w:after="0"/>
              <w:rPr>
                <w:sz w:val="2"/>
                <w:szCs w:val="2"/>
                <w:color w:val="auto"/>
              </w:rPr>
            </w:pPr>
          </w:p>
        </w:tc>
        <w:tc>
          <w:tcPr>
            <w:tcW w:w="3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Warehouse Facility II</w:t>
            </w:r>
          </w:p>
        </w:tc>
        <w:tc>
          <w:tcPr>
            <w:tcW w:w="3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tcPr>
          <w:p>
            <w:pPr>
              <w:ind w:left="380"/>
              <w:spacing w:after="0"/>
              <w:rPr>
                <w:sz w:val="20"/>
                <w:szCs w:val="20"/>
                <w:color w:val="auto"/>
              </w:rPr>
            </w:pPr>
            <w:r>
              <w:rPr>
                <w:rFonts w:ascii="Arial" w:cs="Arial" w:eastAsia="Arial" w:hAnsi="Arial"/>
                <w:sz w:val="18"/>
                <w:szCs w:val="18"/>
                <w:color w:val="auto"/>
              </w:rPr>
              <w:t>Maximum outstanding principal balance</w:t>
            </w:r>
          </w:p>
        </w:tc>
        <w:tc>
          <w:tcPr>
            <w:tcW w:w="3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275.0</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200.1</w:t>
            </w:r>
          </w:p>
        </w:tc>
      </w:tr>
      <w:tr>
        <w:trPr>
          <w:trHeight w:val="27"/>
        </w:trPr>
        <w:tc>
          <w:tcPr>
            <w:tcW w:w="4460" w:type="dxa"/>
            <w:vAlign w:val="bottom"/>
          </w:tcPr>
          <w:p>
            <w:pPr>
              <w:spacing w:after="0"/>
              <w:rPr>
                <w:sz w:val="2"/>
                <w:szCs w:val="2"/>
                <w:color w:val="auto"/>
              </w:rPr>
            </w:pPr>
          </w:p>
        </w:tc>
        <w:tc>
          <w:tcPr>
            <w:tcW w:w="3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Average outstanding principal balance</w:t>
            </w:r>
          </w:p>
        </w:tc>
        <w:tc>
          <w:tcPr>
            <w:tcW w:w="3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Warehouse Facility IV</w:t>
            </w:r>
          </w:p>
        </w:tc>
        <w:tc>
          <w:tcPr>
            <w:tcW w:w="3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3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Maximum outstanding principal balance</w:t>
            </w:r>
          </w:p>
        </w:tc>
        <w:tc>
          <w:tcPr>
            <w:tcW w:w="36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w:t>
            </w:r>
          </w:p>
        </w:tc>
      </w:tr>
      <w:tr>
        <w:trPr>
          <w:trHeight w:val="243"/>
        </w:trPr>
        <w:tc>
          <w:tcPr>
            <w:tcW w:w="4460" w:type="dxa"/>
            <w:vAlign w:val="bottom"/>
          </w:tcPr>
          <w:p>
            <w:pPr>
              <w:ind w:left="380"/>
              <w:spacing w:after="0"/>
              <w:rPr>
                <w:sz w:val="20"/>
                <w:szCs w:val="20"/>
                <w:color w:val="auto"/>
              </w:rPr>
            </w:pPr>
            <w:r>
              <w:rPr>
                <w:rFonts w:ascii="Arial" w:cs="Arial" w:eastAsia="Arial" w:hAnsi="Arial"/>
                <w:sz w:val="18"/>
                <w:szCs w:val="18"/>
                <w:color w:val="auto"/>
              </w:rPr>
              <w:t>Average outstanding principal balance</w:t>
            </w:r>
          </w:p>
        </w:tc>
        <w:tc>
          <w:tcPr>
            <w:tcW w:w="3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12.0</w:t>
            </w:r>
          </w:p>
        </w:tc>
      </w:tr>
      <w:tr>
        <w:trPr>
          <w:trHeight w:val="27"/>
        </w:trPr>
        <w:tc>
          <w:tcPr>
            <w:tcW w:w="4460" w:type="dxa"/>
            <w:vAlign w:val="bottom"/>
          </w:tcPr>
          <w:p>
            <w:pPr>
              <w:spacing w:after="0"/>
              <w:rPr>
                <w:sz w:val="2"/>
                <w:szCs w:val="2"/>
                <w:color w:val="auto"/>
              </w:rPr>
            </w:pPr>
          </w:p>
        </w:tc>
        <w:tc>
          <w:tcPr>
            <w:tcW w:w="3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Warehouse Facility V</w:t>
            </w:r>
          </w:p>
        </w:tc>
        <w:tc>
          <w:tcPr>
            <w:tcW w:w="3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tcPr>
          <w:p>
            <w:pPr>
              <w:ind w:left="380"/>
              <w:spacing w:after="0"/>
              <w:rPr>
                <w:sz w:val="20"/>
                <w:szCs w:val="20"/>
                <w:color w:val="auto"/>
              </w:rPr>
            </w:pPr>
            <w:r>
              <w:rPr>
                <w:rFonts w:ascii="Arial" w:cs="Arial" w:eastAsia="Arial" w:hAnsi="Arial"/>
                <w:sz w:val="18"/>
                <w:szCs w:val="18"/>
                <w:color w:val="auto"/>
              </w:rPr>
              <w:t>Maximum outstanding principal balance</w:t>
            </w:r>
          </w:p>
        </w:tc>
        <w:tc>
          <w:tcPr>
            <w:tcW w:w="3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100.0</w:t>
            </w:r>
          </w:p>
        </w:tc>
      </w:tr>
      <w:tr>
        <w:trPr>
          <w:trHeight w:val="27"/>
        </w:trPr>
        <w:tc>
          <w:tcPr>
            <w:tcW w:w="4460" w:type="dxa"/>
            <w:vAlign w:val="bottom"/>
          </w:tcPr>
          <w:p>
            <w:pPr>
              <w:spacing w:after="0"/>
              <w:rPr>
                <w:sz w:val="2"/>
                <w:szCs w:val="2"/>
                <w:color w:val="auto"/>
              </w:rPr>
            </w:pPr>
          </w:p>
        </w:tc>
        <w:tc>
          <w:tcPr>
            <w:tcW w:w="3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Average outstanding principal balance</w:t>
            </w:r>
          </w:p>
        </w:tc>
        <w:tc>
          <w:tcPr>
            <w:tcW w:w="3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Warehouse Facility VI</w:t>
            </w:r>
          </w:p>
        </w:tc>
        <w:tc>
          <w:tcPr>
            <w:tcW w:w="3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3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Maximum outstanding principal balance</w:t>
            </w:r>
          </w:p>
        </w:tc>
        <w:tc>
          <w:tcPr>
            <w:tcW w:w="36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49.9</w:t>
            </w:r>
          </w:p>
        </w:tc>
      </w:tr>
      <w:tr>
        <w:trPr>
          <w:trHeight w:val="243"/>
        </w:trPr>
        <w:tc>
          <w:tcPr>
            <w:tcW w:w="4460" w:type="dxa"/>
            <w:vAlign w:val="bottom"/>
          </w:tcPr>
          <w:p>
            <w:pPr>
              <w:ind w:left="380"/>
              <w:spacing w:after="0"/>
              <w:rPr>
                <w:sz w:val="20"/>
                <w:szCs w:val="20"/>
                <w:color w:val="auto"/>
              </w:rPr>
            </w:pPr>
            <w:r>
              <w:rPr>
                <w:rFonts w:ascii="Arial" w:cs="Arial" w:eastAsia="Arial" w:hAnsi="Arial"/>
                <w:sz w:val="18"/>
                <w:szCs w:val="18"/>
                <w:color w:val="auto"/>
              </w:rPr>
              <w:t>Average outstanding principal balance</w:t>
            </w:r>
          </w:p>
        </w:tc>
        <w:tc>
          <w:tcPr>
            <w:tcW w:w="3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3.3</w:t>
            </w:r>
          </w:p>
        </w:tc>
      </w:tr>
      <w:tr>
        <w:trPr>
          <w:trHeight w:val="27"/>
        </w:trPr>
        <w:tc>
          <w:tcPr>
            <w:tcW w:w="4460" w:type="dxa"/>
            <w:vAlign w:val="bottom"/>
          </w:tcPr>
          <w:p>
            <w:pPr>
              <w:spacing w:after="0"/>
              <w:rPr>
                <w:sz w:val="2"/>
                <w:szCs w:val="2"/>
                <w:color w:val="auto"/>
              </w:rPr>
            </w:pPr>
          </w:p>
        </w:tc>
        <w:tc>
          <w:tcPr>
            <w:tcW w:w="3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Warehouse Facility VII</w:t>
            </w:r>
          </w:p>
        </w:tc>
        <w:tc>
          <w:tcPr>
            <w:tcW w:w="3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tcPr>
          <w:p>
            <w:pPr>
              <w:ind w:left="380"/>
              <w:spacing w:after="0"/>
              <w:rPr>
                <w:sz w:val="20"/>
                <w:szCs w:val="20"/>
                <w:color w:val="auto"/>
              </w:rPr>
            </w:pPr>
            <w:r>
              <w:rPr>
                <w:rFonts w:ascii="Arial" w:cs="Arial" w:eastAsia="Arial" w:hAnsi="Arial"/>
                <w:sz w:val="18"/>
                <w:szCs w:val="18"/>
                <w:color w:val="auto"/>
              </w:rPr>
              <w:t>Maximum outstanding principal balance</w:t>
            </w:r>
          </w:p>
        </w:tc>
        <w:tc>
          <w:tcPr>
            <w:tcW w:w="3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460" w:type="dxa"/>
            <w:vAlign w:val="bottom"/>
          </w:tcPr>
          <w:p>
            <w:pPr>
              <w:spacing w:after="0"/>
              <w:rPr>
                <w:sz w:val="2"/>
                <w:szCs w:val="2"/>
                <w:color w:val="auto"/>
              </w:rPr>
            </w:pPr>
          </w:p>
        </w:tc>
        <w:tc>
          <w:tcPr>
            <w:tcW w:w="3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Average outstanding principal balance</w:t>
            </w:r>
          </w:p>
        </w:tc>
        <w:tc>
          <w:tcPr>
            <w:tcW w:w="3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459"/>
        </w:trPr>
        <w:tc>
          <w:tcPr>
            <w:tcW w:w="4460" w:type="dxa"/>
            <w:vAlign w:val="bottom"/>
          </w:tcPr>
          <w:p>
            <w:pPr>
              <w:spacing w:after="0"/>
              <w:rPr>
                <w:sz w:val="24"/>
                <w:szCs w:val="24"/>
                <w:color w:val="auto"/>
              </w:rPr>
            </w:pPr>
          </w:p>
        </w:tc>
        <w:tc>
          <w:tcPr>
            <w:tcW w:w="3200" w:type="dxa"/>
            <w:vAlign w:val="bottom"/>
          </w:tcPr>
          <w:p>
            <w:pPr>
              <w:jc w:val="right"/>
              <w:ind w:right="1770"/>
              <w:spacing w:after="0"/>
              <w:rPr>
                <w:sz w:val="20"/>
                <w:szCs w:val="20"/>
                <w:color w:val="auto"/>
              </w:rPr>
            </w:pPr>
            <w:r>
              <w:rPr>
                <w:rFonts w:ascii="Arial" w:cs="Arial" w:eastAsia="Arial" w:hAnsi="Arial"/>
                <w:sz w:val="18"/>
                <w:szCs w:val="18"/>
                <w:color w:val="auto"/>
              </w:rPr>
              <w:t>72</w:t>
            </w: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660" w:type="dxa"/>
            <w:vAlign w:val="bottom"/>
          </w:tcPr>
          <w:p>
            <w:pPr>
              <w:ind w:left="40"/>
              <w:spacing w:after="0"/>
              <w:rPr>
                <w:sz w:val="20"/>
                <w:szCs w:val="20"/>
                <w:color w:val="auto"/>
              </w:rPr>
            </w:pPr>
            <w:r>
              <w:rPr>
                <w:rFonts w:ascii="Arial" w:cs="Arial" w:eastAsia="Arial" w:hAnsi="Arial"/>
                <w:sz w:val="14"/>
                <w:szCs w:val="14"/>
                <w:color w:val="auto"/>
              </w:rPr>
              <w:t>(Dollars in millions)</w:t>
            </w:r>
          </w:p>
        </w:tc>
        <w:tc>
          <w:tcPr>
            <w:tcW w:w="488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As of December 31,</w:t>
            </w:r>
          </w:p>
        </w:tc>
        <w:tc>
          <w:tcPr>
            <w:tcW w:w="1220" w:type="dxa"/>
            <w:vAlign w:val="bottom"/>
            <w:tcBorders>
              <w:bottom w:val="single" w:sz="8" w:color="auto"/>
            </w:tcBorders>
          </w:tcPr>
          <w:p>
            <w:pPr>
              <w:spacing w:after="0"/>
              <w:rPr>
                <w:sz w:val="17"/>
                <w:szCs w:val="17"/>
                <w:color w:val="auto"/>
              </w:rPr>
            </w:pPr>
          </w:p>
        </w:tc>
      </w:tr>
      <w:tr>
        <w:trPr>
          <w:trHeight w:val="264"/>
        </w:trPr>
        <w:tc>
          <w:tcPr>
            <w:tcW w:w="2660" w:type="dxa"/>
            <w:vAlign w:val="bottom"/>
          </w:tcPr>
          <w:p>
            <w:pPr>
              <w:spacing w:after="0"/>
              <w:rPr>
                <w:sz w:val="22"/>
                <w:szCs w:val="22"/>
                <w:color w:val="auto"/>
              </w:rPr>
            </w:pPr>
          </w:p>
        </w:tc>
        <w:tc>
          <w:tcPr>
            <w:tcW w:w="60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2017</w:t>
            </w: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20" w:type="dxa"/>
            <w:vAlign w:val="bottom"/>
          </w:tcPr>
          <w:p>
            <w:pPr>
              <w:jc w:val="right"/>
              <w:ind w:right="710"/>
              <w:spacing w:after="0"/>
              <w:rPr>
                <w:sz w:val="20"/>
                <w:szCs w:val="20"/>
                <w:color w:val="auto"/>
              </w:rPr>
            </w:pPr>
            <w:r>
              <w:rPr>
                <w:rFonts w:ascii="Arial" w:cs="Arial" w:eastAsia="Arial" w:hAnsi="Arial"/>
                <w:sz w:val="14"/>
                <w:szCs w:val="14"/>
                <w:b w:val="1"/>
                <w:bCs w:val="1"/>
                <w:color w:val="auto"/>
              </w:rPr>
              <w:t>2016</w:t>
            </w: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b w:val="1"/>
                <w:bCs w:val="1"/>
                <w:color w:val="auto"/>
                <w:w w:val="91"/>
              </w:rPr>
              <w:t>Revolving Secured Line of Credit</w:t>
            </w:r>
          </w:p>
        </w:tc>
        <w:tc>
          <w:tcPr>
            <w:tcW w:w="4880" w:type="dxa"/>
            <w:vAlign w:val="bottom"/>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r>
      <w:tr>
        <w:trPr>
          <w:trHeight w:val="27"/>
        </w:trPr>
        <w:tc>
          <w:tcPr>
            <w:tcW w:w="26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Principal balance outstanding</w:t>
            </w:r>
          </w:p>
        </w:tc>
        <w:tc>
          <w:tcPr>
            <w:tcW w:w="6060" w:type="dxa"/>
            <w:vAlign w:val="bottom"/>
            <w:tcBorders>
              <w:bottom w:val="single" w:sz="8" w:color="CCEEFF"/>
            </w:tcBorders>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8720" w:type="dxa"/>
            <w:vAlign w:val="bottom"/>
            <w:gridSpan w:val="3"/>
          </w:tcPr>
          <w:p>
            <w:pPr>
              <w:ind w:left="280"/>
              <w:spacing w:after="0"/>
              <w:rPr>
                <w:sz w:val="20"/>
                <w:szCs w:val="20"/>
                <w:color w:val="auto"/>
              </w:rPr>
            </w:pPr>
            <w:r>
              <w:rPr>
                <w:rFonts w:ascii="Arial" w:cs="Arial" w:eastAsia="Arial" w:hAnsi="Arial"/>
                <w:sz w:val="18"/>
                <w:szCs w:val="18"/>
                <w:color w:val="auto"/>
              </w:rPr>
              <w:t>Amount available for borrowing (1)</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336.1</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310.0</w:t>
            </w:r>
          </w:p>
        </w:tc>
      </w:tr>
      <w:tr>
        <w:trPr>
          <w:trHeight w:val="27"/>
        </w:trPr>
        <w:tc>
          <w:tcPr>
            <w:tcW w:w="26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rate</w:t>
            </w:r>
          </w:p>
        </w:tc>
        <w:tc>
          <w:tcPr>
            <w:tcW w:w="48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b w:val="1"/>
                <w:bCs w:val="1"/>
                <w:color w:val="auto"/>
              </w:rPr>
              <w:t>Warehouse Facility II</w:t>
            </w:r>
          </w:p>
        </w:tc>
        <w:tc>
          <w:tcPr>
            <w:tcW w:w="48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26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Principal balance outstanding</w:t>
            </w:r>
          </w:p>
        </w:tc>
        <w:tc>
          <w:tcPr>
            <w:tcW w:w="6060" w:type="dxa"/>
            <w:vAlign w:val="bottom"/>
            <w:tcBorders>
              <w:bottom w:val="single" w:sz="8" w:color="CCEEFF"/>
            </w:tcBorders>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2660" w:type="dxa"/>
            <w:vAlign w:val="bottom"/>
          </w:tcPr>
          <w:p>
            <w:pPr>
              <w:ind w:left="280"/>
              <w:spacing w:after="0"/>
              <w:rPr>
                <w:sz w:val="20"/>
                <w:szCs w:val="20"/>
                <w:color w:val="auto"/>
              </w:rPr>
            </w:pPr>
            <w:r>
              <w:rPr>
                <w:rFonts w:ascii="Arial" w:cs="Arial" w:eastAsia="Arial" w:hAnsi="Arial"/>
                <w:sz w:val="18"/>
                <w:szCs w:val="18"/>
                <w:color w:val="auto"/>
                <w:w w:val="95"/>
              </w:rPr>
              <w:t>Amount available for borrowing</w:t>
            </w:r>
          </w:p>
        </w:tc>
        <w:tc>
          <w:tcPr>
            <w:tcW w:w="4880" w:type="dxa"/>
            <w:vAlign w:val="bottom"/>
          </w:tcPr>
          <w:p>
            <w:pPr>
              <w:jc w:val="right"/>
              <w:ind w:right="4532"/>
              <w:spacing w:after="0"/>
              <w:rPr>
                <w:sz w:val="20"/>
                <w:szCs w:val="20"/>
                <w:color w:val="auto"/>
              </w:rPr>
            </w:pPr>
            <w:r>
              <w:rPr>
                <w:rFonts w:ascii="Arial" w:cs="Arial" w:eastAsia="Arial" w:hAnsi="Arial"/>
                <w:sz w:val="18"/>
                <w:szCs w:val="18"/>
                <w:color w:val="auto"/>
              </w:rPr>
              <w:t>(1)</w:t>
            </w:r>
          </w:p>
        </w:tc>
        <w:tc>
          <w:tcPr>
            <w:tcW w:w="1180" w:type="dxa"/>
            <w:vAlign w:val="bottom"/>
          </w:tcPr>
          <w:p>
            <w:pPr>
              <w:spacing w:after="0"/>
              <w:rPr>
                <w:sz w:val="21"/>
                <w:szCs w:val="21"/>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400.0</w:t>
            </w:r>
          </w:p>
        </w:tc>
      </w:tr>
      <w:tr>
        <w:trPr>
          <w:trHeight w:val="27"/>
        </w:trPr>
        <w:tc>
          <w:tcPr>
            <w:tcW w:w="26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Loans pledged as collateral</w:t>
            </w:r>
          </w:p>
        </w:tc>
        <w:tc>
          <w:tcPr>
            <w:tcW w:w="48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8720" w:type="dxa"/>
            <w:vAlign w:val="bottom"/>
            <w:gridSpan w:val="3"/>
          </w:tcPr>
          <w:p>
            <w:pPr>
              <w:ind w:left="280"/>
              <w:spacing w:after="0"/>
              <w:rPr>
                <w:sz w:val="20"/>
                <w:szCs w:val="20"/>
                <w:color w:val="auto"/>
              </w:rPr>
            </w:pPr>
            <w:r>
              <w:rPr>
                <w:rFonts w:ascii="Arial" w:cs="Arial" w:eastAsia="Arial" w:hAnsi="Arial"/>
                <w:sz w:val="18"/>
                <w:szCs w:val="18"/>
                <w:color w:val="auto"/>
              </w:rPr>
              <w:t>Restricted cash and cash equivalents pledged as collateral</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1.5</w:t>
            </w:r>
          </w:p>
        </w:tc>
      </w:tr>
      <w:tr>
        <w:trPr>
          <w:trHeight w:val="27"/>
        </w:trPr>
        <w:tc>
          <w:tcPr>
            <w:tcW w:w="26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rate</w:t>
            </w:r>
          </w:p>
        </w:tc>
        <w:tc>
          <w:tcPr>
            <w:tcW w:w="48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b w:val="1"/>
                <w:bCs w:val="1"/>
                <w:color w:val="auto"/>
              </w:rPr>
              <w:t>Warehouse Facility IV</w:t>
            </w:r>
          </w:p>
        </w:tc>
        <w:tc>
          <w:tcPr>
            <w:tcW w:w="48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26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Principal balance outstanding</w:t>
            </w:r>
          </w:p>
        </w:tc>
        <w:tc>
          <w:tcPr>
            <w:tcW w:w="6060" w:type="dxa"/>
            <w:vAlign w:val="bottom"/>
            <w:tcBorders>
              <w:bottom w:val="single" w:sz="8" w:color="CCEEFF"/>
            </w:tcBorders>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12.0</w:t>
            </w:r>
          </w:p>
        </w:tc>
      </w:tr>
      <w:tr>
        <w:trPr>
          <w:trHeight w:val="243"/>
        </w:trPr>
        <w:tc>
          <w:tcPr>
            <w:tcW w:w="8720" w:type="dxa"/>
            <w:vAlign w:val="bottom"/>
            <w:gridSpan w:val="3"/>
          </w:tcPr>
          <w:p>
            <w:pPr>
              <w:ind w:left="280"/>
              <w:spacing w:after="0"/>
              <w:rPr>
                <w:sz w:val="20"/>
                <w:szCs w:val="20"/>
                <w:color w:val="auto"/>
              </w:rPr>
            </w:pPr>
            <w:r>
              <w:rPr>
                <w:rFonts w:ascii="Arial" w:cs="Arial" w:eastAsia="Arial" w:hAnsi="Arial"/>
                <w:sz w:val="18"/>
                <w:szCs w:val="18"/>
                <w:color w:val="auto"/>
              </w:rPr>
              <w:t>Amount available for borrowing (1)</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63.0</w:t>
            </w:r>
          </w:p>
        </w:tc>
      </w:tr>
      <w:tr>
        <w:trPr>
          <w:trHeight w:val="27"/>
        </w:trPr>
        <w:tc>
          <w:tcPr>
            <w:tcW w:w="26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Loans pledged as collateral</w:t>
            </w:r>
          </w:p>
        </w:tc>
        <w:tc>
          <w:tcPr>
            <w:tcW w:w="48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23.0</w:t>
            </w:r>
          </w:p>
        </w:tc>
      </w:tr>
      <w:tr>
        <w:trPr>
          <w:trHeight w:val="243"/>
        </w:trPr>
        <w:tc>
          <w:tcPr>
            <w:tcW w:w="8720" w:type="dxa"/>
            <w:vAlign w:val="bottom"/>
            <w:gridSpan w:val="3"/>
          </w:tcPr>
          <w:p>
            <w:pPr>
              <w:ind w:left="280"/>
              <w:spacing w:after="0"/>
              <w:rPr>
                <w:sz w:val="20"/>
                <w:szCs w:val="20"/>
                <w:color w:val="auto"/>
              </w:rPr>
            </w:pPr>
            <w:r>
              <w:rPr>
                <w:rFonts w:ascii="Arial" w:cs="Arial" w:eastAsia="Arial" w:hAnsi="Arial"/>
                <w:sz w:val="18"/>
                <w:szCs w:val="18"/>
                <w:color w:val="auto"/>
              </w:rPr>
              <w:t>Restricted cash and cash equivalents pledged as collateral</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0.9</w:t>
            </w:r>
          </w:p>
        </w:tc>
      </w:tr>
      <w:tr>
        <w:trPr>
          <w:trHeight w:val="27"/>
        </w:trPr>
        <w:tc>
          <w:tcPr>
            <w:tcW w:w="26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rate</w:t>
            </w:r>
          </w:p>
        </w:tc>
        <w:tc>
          <w:tcPr>
            <w:tcW w:w="48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b w:val="1"/>
                <w:bCs w:val="1"/>
                <w:color w:val="auto"/>
              </w:rPr>
              <w:t>Warehouse Facility V</w:t>
            </w:r>
          </w:p>
        </w:tc>
        <w:tc>
          <w:tcPr>
            <w:tcW w:w="48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26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Principal balance outstanding</w:t>
            </w:r>
          </w:p>
        </w:tc>
        <w:tc>
          <w:tcPr>
            <w:tcW w:w="6060" w:type="dxa"/>
            <w:vAlign w:val="bottom"/>
            <w:tcBorders>
              <w:bottom w:val="single" w:sz="8" w:color="CCEEFF"/>
            </w:tcBorders>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8720" w:type="dxa"/>
            <w:vAlign w:val="bottom"/>
            <w:gridSpan w:val="3"/>
          </w:tcPr>
          <w:p>
            <w:pPr>
              <w:ind w:left="280"/>
              <w:spacing w:after="0"/>
              <w:rPr>
                <w:sz w:val="20"/>
                <w:szCs w:val="20"/>
                <w:color w:val="auto"/>
              </w:rPr>
            </w:pPr>
            <w:r>
              <w:rPr>
                <w:rFonts w:ascii="Arial" w:cs="Arial" w:eastAsia="Arial" w:hAnsi="Arial"/>
                <w:sz w:val="18"/>
                <w:szCs w:val="18"/>
                <w:color w:val="auto"/>
              </w:rPr>
              <w:t>Amount available for borrowing (1)</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100.0</w:t>
            </w:r>
          </w:p>
        </w:tc>
      </w:tr>
      <w:tr>
        <w:trPr>
          <w:trHeight w:val="27"/>
        </w:trPr>
        <w:tc>
          <w:tcPr>
            <w:tcW w:w="26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Loans pledged as collateral</w:t>
            </w:r>
          </w:p>
        </w:tc>
        <w:tc>
          <w:tcPr>
            <w:tcW w:w="48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8720" w:type="dxa"/>
            <w:vAlign w:val="bottom"/>
            <w:gridSpan w:val="3"/>
          </w:tcPr>
          <w:p>
            <w:pPr>
              <w:ind w:left="280"/>
              <w:spacing w:after="0"/>
              <w:rPr>
                <w:sz w:val="20"/>
                <w:szCs w:val="20"/>
                <w:color w:val="auto"/>
              </w:rPr>
            </w:pPr>
            <w:r>
              <w:rPr>
                <w:rFonts w:ascii="Arial" w:cs="Arial" w:eastAsia="Arial" w:hAnsi="Arial"/>
                <w:sz w:val="18"/>
                <w:szCs w:val="18"/>
                <w:color w:val="auto"/>
              </w:rPr>
              <w:t>Restricted cash and cash equivalents pledged as collateral</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1.0</w:t>
            </w:r>
          </w:p>
        </w:tc>
      </w:tr>
      <w:tr>
        <w:trPr>
          <w:trHeight w:val="27"/>
        </w:trPr>
        <w:tc>
          <w:tcPr>
            <w:tcW w:w="26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rate</w:t>
            </w:r>
          </w:p>
        </w:tc>
        <w:tc>
          <w:tcPr>
            <w:tcW w:w="48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b w:val="1"/>
                <w:bCs w:val="1"/>
                <w:color w:val="auto"/>
              </w:rPr>
              <w:t>Warehouse Facility VI</w:t>
            </w:r>
          </w:p>
        </w:tc>
        <w:tc>
          <w:tcPr>
            <w:tcW w:w="48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26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Principal balance outstanding</w:t>
            </w:r>
          </w:p>
        </w:tc>
        <w:tc>
          <w:tcPr>
            <w:tcW w:w="6060" w:type="dxa"/>
            <w:vAlign w:val="bottom"/>
            <w:tcBorders>
              <w:bottom w:val="single" w:sz="8" w:color="CCEEFF"/>
            </w:tcBorders>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8720" w:type="dxa"/>
            <w:vAlign w:val="bottom"/>
            <w:gridSpan w:val="3"/>
          </w:tcPr>
          <w:p>
            <w:pPr>
              <w:ind w:left="280"/>
              <w:spacing w:after="0"/>
              <w:rPr>
                <w:sz w:val="20"/>
                <w:szCs w:val="20"/>
                <w:color w:val="auto"/>
              </w:rPr>
            </w:pPr>
            <w:r>
              <w:rPr>
                <w:rFonts w:ascii="Arial" w:cs="Arial" w:eastAsia="Arial" w:hAnsi="Arial"/>
                <w:sz w:val="18"/>
                <w:szCs w:val="18"/>
                <w:color w:val="auto"/>
              </w:rPr>
              <w:t>Amount available for borrowing (1)</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75.0</w:t>
            </w:r>
          </w:p>
        </w:tc>
      </w:tr>
      <w:tr>
        <w:trPr>
          <w:trHeight w:val="27"/>
        </w:trPr>
        <w:tc>
          <w:tcPr>
            <w:tcW w:w="26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Loans pledged as collateral</w:t>
            </w:r>
          </w:p>
        </w:tc>
        <w:tc>
          <w:tcPr>
            <w:tcW w:w="48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8720" w:type="dxa"/>
            <w:vAlign w:val="bottom"/>
            <w:gridSpan w:val="3"/>
          </w:tcPr>
          <w:p>
            <w:pPr>
              <w:ind w:left="280"/>
              <w:spacing w:after="0"/>
              <w:rPr>
                <w:sz w:val="20"/>
                <w:szCs w:val="20"/>
                <w:color w:val="auto"/>
              </w:rPr>
            </w:pPr>
            <w:r>
              <w:rPr>
                <w:rFonts w:ascii="Arial" w:cs="Arial" w:eastAsia="Arial" w:hAnsi="Arial"/>
                <w:sz w:val="18"/>
                <w:szCs w:val="18"/>
                <w:color w:val="auto"/>
              </w:rPr>
              <w:t>Restricted cash and cash equivalents pledged as collateral</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0.1</w:t>
            </w:r>
          </w:p>
        </w:tc>
      </w:tr>
      <w:tr>
        <w:trPr>
          <w:trHeight w:val="27"/>
        </w:trPr>
        <w:tc>
          <w:tcPr>
            <w:tcW w:w="26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rate</w:t>
            </w:r>
          </w:p>
        </w:tc>
        <w:tc>
          <w:tcPr>
            <w:tcW w:w="48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b w:val="1"/>
                <w:bCs w:val="1"/>
                <w:color w:val="auto"/>
              </w:rPr>
              <w:t>Warehouse Facility VII</w:t>
            </w:r>
          </w:p>
        </w:tc>
        <w:tc>
          <w:tcPr>
            <w:tcW w:w="48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26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Principal balance outstanding</w:t>
            </w:r>
          </w:p>
        </w:tc>
        <w:tc>
          <w:tcPr>
            <w:tcW w:w="6060" w:type="dxa"/>
            <w:vAlign w:val="bottom"/>
            <w:tcBorders>
              <w:bottom w:val="single" w:sz="8" w:color="CCEEFF"/>
            </w:tcBorders>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8720" w:type="dxa"/>
            <w:vAlign w:val="bottom"/>
            <w:gridSpan w:val="3"/>
          </w:tcPr>
          <w:p>
            <w:pPr>
              <w:ind w:left="280"/>
              <w:spacing w:after="0"/>
              <w:rPr>
                <w:sz w:val="20"/>
                <w:szCs w:val="20"/>
                <w:color w:val="auto"/>
              </w:rPr>
            </w:pPr>
            <w:r>
              <w:rPr>
                <w:rFonts w:ascii="Arial" w:cs="Arial" w:eastAsia="Arial" w:hAnsi="Arial"/>
                <w:sz w:val="18"/>
                <w:szCs w:val="18"/>
                <w:color w:val="auto"/>
              </w:rPr>
              <w:t>Amount available for borrowing (1)</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26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Loans pledged as collateral</w:t>
            </w:r>
          </w:p>
        </w:tc>
        <w:tc>
          <w:tcPr>
            <w:tcW w:w="48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8720" w:type="dxa"/>
            <w:vAlign w:val="bottom"/>
            <w:gridSpan w:val="3"/>
          </w:tcPr>
          <w:p>
            <w:pPr>
              <w:ind w:left="280"/>
              <w:spacing w:after="0"/>
              <w:rPr>
                <w:sz w:val="20"/>
                <w:szCs w:val="20"/>
                <w:color w:val="auto"/>
              </w:rPr>
            </w:pPr>
            <w:r>
              <w:rPr>
                <w:rFonts w:ascii="Arial" w:cs="Arial" w:eastAsia="Arial" w:hAnsi="Arial"/>
                <w:sz w:val="18"/>
                <w:szCs w:val="18"/>
                <w:color w:val="auto"/>
              </w:rPr>
              <w:t>Restricted cash and cash equivalents pledged as collateral</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26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rate</w:t>
            </w:r>
          </w:p>
        </w:tc>
        <w:tc>
          <w:tcPr>
            <w:tcW w:w="48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b w:val="1"/>
                <w:bCs w:val="1"/>
                <w:color w:val="auto"/>
              </w:rPr>
              <w:t>Term ABS 2014-1</w:t>
            </w:r>
          </w:p>
        </w:tc>
        <w:tc>
          <w:tcPr>
            <w:tcW w:w="48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26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Principal balance outstanding</w:t>
            </w:r>
          </w:p>
        </w:tc>
        <w:tc>
          <w:tcPr>
            <w:tcW w:w="6060" w:type="dxa"/>
            <w:vAlign w:val="bottom"/>
            <w:tcBorders>
              <w:bottom w:val="single" w:sz="8" w:color="CCEEFF"/>
            </w:tcBorders>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106.5</w:t>
            </w:r>
          </w:p>
        </w:tc>
      </w:tr>
      <w:tr>
        <w:trPr>
          <w:trHeight w:val="243"/>
        </w:trPr>
        <w:tc>
          <w:tcPr>
            <w:tcW w:w="2660" w:type="dxa"/>
            <w:vAlign w:val="bottom"/>
          </w:tcPr>
          <w:p>
            <w:pPr>
              <w:ind w:left="280"/>
              <w:spacing w:after="0"/>
              <w:rPr>
                <w:sz w:val="20"/>
                <w:szCs w:val="20"/>
                <w:color w:val="auto"/>
              </w:rPr>
            </w:pPr>
            <w:r>
              <w:rPr>
                <w:rFonts w:ascii="Arial" w:cs="Arial" w:eastAsia="Arial" w:hAnsi="Arial"/>
                <w:sz w:val="18"/>
                <w:szCs w:val="18"/>
                <w:color w:val="auto"/>
              </w:rPr>
              <w:t>Loans pledged as collateral</w:t>
            </w:r>
          </w:p>
        </w:tc>
        <w:tc>
          <w:tcPr>
            <w:tcW w:w="48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307.2</w:t>
            </w:r>
          </w:p>
        </w:tc>
      </w:tr>
      <w:tr>
        <w:trPr>
          <w:trHeight w:val="27"/>
        </w:trPr>
        <w:tc>
          <w:tcPr>
            <w:tcW w:w="754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7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Restricted cash and cash equivalents pledged as collateral</w:t>
            </w:r>
          </w:p>
        </w:tc>
        <w:tc>
          <w:tcPr>
            <w:tcW w:w="8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28.3</w:t>
            </w:r>
          </w:p>
        </w:tc>
      </w:tr>
      <w:tr>
        <w:trPr>
          <w:trHeight w:val="243"/>
        </w:trPr>
        <w:tc>
          <w:tcPr>
            <w:tcW w:w="2660" w:type="dxa"/>
            <w:vAlign w:val="bottom"/>
          </w:tcPr>
          <w:p>
            <w:pPr>
              <w:ind w:left="280"/>
              <w:spacing w:after="0"/>
              <w:rPr>
                <w:sz w:val="20"/>
                <w:szCs w:val="20"/>
                <w:color w:val="auto"/>
              </w:rPr>
            </w:pPr>
            <w:r>
              <w:rPr>
                <w:rFonts w:ascii="Arial" w:cs="Arial" w:eastAsia="Arial" w:hAnsi="Arial"/>
                <w:sz w:val="18"/>
                <w:szCs w:val="18"/>
                <w:color w:val="auto"/>
              </w:rPr>
              <w:t>Interest rate</w:t>
            </w:r>
          </w:p>
        </w:tc>
        <w:tc>
          <w:tcPr>
            <w:tcW w:w="48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7"/>
        </w:trPr>
        <w:tc>
          <w:tcPr>
            <w:tcW w:w="26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Term ABS 2014-2</w:t>
            </w:r>
          </w:p>
        </w:tc>
        <w:tc>
          <w:tcPr>
            <w:tcW w:w="48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2660" w:type="dxa"/>
            <w:vAlign w:val="bottom"/>
          </w:tcPr>
          <w:p>
            <w:pPr>
              <w:ind w:left="280"/>
              <w:spacing w:after="0"/>
              <w:rPr>
                <w:sz w:val="20"/>
                <w:szCs w:val="20"/>
                <w:color w:val="auto"/>
              </w:rPr>
            </w:pPr>
            <w:r>
              <w:rPr>
                <w:rFonts w:ascii="Arial" w:cs="Arial" w:eastAsia="Arial" w:hAnsi="Arial"/>
                <w:sz w:val="18"/>
                <w:szCs w:val="18"/>
                <w:color w:val="auto"/>
              </w:rPr>
              <w:t>Principal balance outstanding</w:t>
            </w:r>
          </w:p>
        </w:tc>
        <w:tc>
          <w:tcPr>
            <w:tcW w:w="6060" w:type="dxa"/>
            <w:vAlign w:val="bottom"/>
            <w:gridSpan w:val="2"/>
          </w:tcPr>
          <w:p>
            <w:pPr>
              <w:jc w:val="right"/>
              <w:ind w:right="10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267.6</w:t>
            </w:r>
          </w:p>
        </w:tc>
      </w:tr>
      <w:tr>
        <w:trPr>
          <w:trHeight w:val="27"/>
        </w:trPr>
        <w:tc>
          <w:tcPr>
            <w:tcW w:w="26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Loans pledged as collateral</w:t>
            </w:r>
          </w:p>
        </w:tc>
        <w:tc>
          <w:tcPr>
            <w:tcW w:w="48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413.9</w:t>
            </w:r>
          </w:p>
        </w:tc>
      </w:tr>
      <w:tr>
        <w:trPr>
          <w:trHeight w:val="243"/>
        </w:trPr>
        <w:tc>
          <w:tcPr>
            <w:tcW w:w="8720" w:type="dxa"/>
            <w:vAlign w:val="bottom"/>
            <w:gridSpan w:val="3"/>
          </w:tcPr>
          <w:p>
            <w:pPr>
              <w:ind w:left="280"/>
              <w:spacing w:after="0"/>
              <w:rPr>
                <w:sz w:val="20"/>
                <w:szCs w:val="20"/>
                <w:color w:val="auto"/>
              </w:rPr>
            </w:pPr>
            <w:r>
              <w:rPr>
                <w:rFonts w:ascii="Arial" w:cs="Arial" w:eastAsia="Arial" w:hAnsi="Arial"/>
                <w:sz w:val="18"/>
                <w:szCs w:val="18"/>
                <w:color w:val="auto"/>
              </w:rPr>
              <w:t>Restricted cash and cash equivalents pledged as collateral</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34.9</w:t>
            </w:r>
          </w:p>
        </w:tc>
      </w:tr>
      <w:tr>
        <w:trPr>
          <w:trHeight w:val="27"/>
        </w:trPr>
        <w:tc>
          <w:tcPr>
            <w:tcW w:w="26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2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rate</w:t>
            </w:r>
          </w:p>
        </w:tc>
        <w:tc>
          <w:tcPr>
            <w:tcW w:w="48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7"/>
        </w:trPr>
        <w:tc>
          <w:tcPr>
            <w:tcW w:w="2660" w:type="dxa"/>
            <w:vAlign w:val="bottom"/>
            <w:shd w:val="clear" w:color="auto" w:fill="CCEEFF"/>
          </w:tcPr>
          <w:p>
            <w:pPr>
              <w:spacing w:after="0"/>
              <w:rPr>
                <w:sz w:val="2"/>
                <w:szCs w:val="2"/>
                <w:color w:val="auto"/>
              </w:rPr>
            </w:pPr>
          </w:p>
        </w:tc>
        <w:tc>
          <w:tcPr>
            <w:tcW w:w="48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20"/>
          </w:cols>
          <w:pgMar w:left="240" w:top="337" w:right="239" w:bottom="1440" w:gutter="0" w:footer="0" w:header="0"/>
          <w:type w:val="continuous"/>
        </w:sectPr>
      </w:pPr>
    </w:p>
    <w:bookmarkStart w:id="73" w:name="page74"/>
    <w:bookmarkEnd w:id="73"/>
    <w:tbl>
      <w:tblPr>
        <w:tblLayout w:type="fixed"/>
        <w:tblInd w:w="0" w:type="dxa"/>
        <w:tblCellMar>
          <w:top w:w="0" w:type="dxa"/>
          <w:left w:w="0" w:type="dxa"/>
          <w:bottom w:w="0" w:type="dxa"/>
          <w:right w:w="0" w:type="dxa"/>
        </w:tblCellMar>
      </w:tblPr>
      <w:tr>
        <w:trPr>
          <w:trHeight w:val="234"/>
        </w:trPr>
        <w:tc>
          <w:tcPr>
            <w:tcW w:w="8800" w:type="dxa"/>
            <w:vAlign w:val="bottom"/>
            <w:gridSpan w:val="2"/>
          </w:tcPr>
          <w:p>
            <w:pPr>
              <w:ind w:left="2660"/>
              <w:spacing w:after="0"/>
              <w:rPr>
                <w:sz w:val="20"/>
                <w:szCs w:val="20"/>
                <w:color w:val="auto"/>
              </w:rPr>
            </w:pPr>
            <w:r>
              <w:rPr>
                <w:rFonts w:ascii="Arial" w:cs="Arial" w:eastAsia="Arial" w:hAnsi="Arial"/>
                <w:sz w:val="18"/>
                <w:szCs w:val="18"/>
                <w:b w:val="1"/>
                <w:bCs w:val="1"/>
                <w:color w:val="auto"/>
              </w:rPr>
              <w:t>NOTES TO CONSOLIDATED FINANCIAL STATEMENTS – (CONTINUED)</w:t>
            </w: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837"/>
        </w:trPr>
        <w:tc>
          <w:tcPr>
            <w:tcW w:w="6000" w:type="dxa"/>
            <w:vAlign w:val="bottom"/>
          </w:tcPr>
          <w:p>
            <w:pPr>
              <w:ind w:left="40"/>
              <w:spacing w:after="0"/>
              <w:rPr>
                <w:sz w:val="20"/>
                <w:szCs w:val="20"/>
                <w:color w:val="auto"/>
              </w:rPr>
            </w:pPr>
            <w:r>
              <w:rPr>
                <w:rFonts w:ascii="Arial" w:cs="Arial" w:eastAsia="Arial" w:hAnsi="Arial"/>
                <w:sz w:val="18"/>
                <w:szCs w:val="18"/>
                <w:b w:val="1"/>
                <w:bCs w:val="1"/>
                <w:color w:val="auto"/>
              </w:rPr>
              <w:t>Term ABS 2015-1</w:t>
            </w:r>
          </w:p>
        </w:tc>
        <w:tc>
          <w:tcPr>
            <w:tcW w:w="2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7"/>
        </w:trPr>
        <w:tc>
          <w:tcPr>
            <w:tcW w:w="60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Principal balance outstanding</w:t>
            </w:r>
          </w:p>
        </w:tc>
        <w:tc>
          <w:tcPr>
            <w:tcW w:w="280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78.0</w:t>
            </w:r>
          </w:p>
        </w:tc>
        <w:tc>
          <w:tcPr>
            <w:tcW w:w="78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300.6</w:t>
            </w:r>
          </w:p>
        </w:tc>
      </w:tr>
      <w:tr>
        <w:trPr>
          <w:trHeight w:val="243"/>
        </w:trPr>
        <w:tc>
          <w:tcPr>
            <w:tcW w:w="6000" w:type="dxa"/>
            <w:vAlign w:val="bottom"/>
          </w:tcPr>
          <w:p>
            <w:pPr>
              <w:ind w:left="280"/>
              <w:spacing w:after="0"/>
              <w:rPr>
                <w:sz w:val="20"/>
                <w:szCs w:val="20"/>
                <w:color w:val="auto"/>
              </w:rPr>
            </w:pPr>
            <w:r>
              <w:rPr>
                <w:rFonts w:ascii="Arial" w:cs="Arial" w:eastAsia="Arial" w:hAnsi="Arial"/>
                <w:sz w:val="18"/>
                <w:szCs w:val="18"/>
                <w:color w:val="auto"/>
              </w:rPr>
              <w:t>Loans pledged as collateral</w:t>
            </w:r>
          </w:p>
        </w:tc>
        <w:tc>
          <w:tcPr>
            <w:tcW w:w="2800" w:type="dxa"/>
            <w:vAlign w:val="bottom"/>
          </w:tcPr>
          <w:p>
            <w:pPr>
              <w:spacing w:after="0"/>
              <w:rPr>
                <w:sz w:val="21"/>
                <w:szCs w:val="21"/>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color w:val="auto"/>
                <w:w w:val="93"/>
              </w:rPr>
              <w:t>238.4</w:t>
            </w:r>
          </w:p>
        </w:tc>
        <w:tc>
          <w:tcPr>
            <w:tcW w:w="78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374.5</w:t>
            </w:r>
          </w:p>
        </w:tc>
      </w:tr>
      <w:tr>
        <w:trPr>
          <w:trHeight w:val="27"/>
        </w:trPr>
        <w:tc>
          <w:tcPr>
            <w:tcW w:w="60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Restricted cash and cash equivalents pledged as collateral</w:t>
            </w:r>
          </w:p>
        </w:tc>
        <w:tc>
          <w:tcPr>
            <w:tcW w:w="28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23.3</w:t>
            </w:r>
          </w:p>
        </w:tc>
        <w:tc>
          <w:tcPr>
            <w:tcW w:w="7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29.6</w:t>
            </w:r>
          </w:p>
        </w:tc>
      </w:tr>
      <w:tr>
        <w:trPr>
          <w:trHeight w:val="243"/>
        </w:trPr>
        <w:tc>
          <w:tcPr>
            <w:tcW w:w="6000" w:type="dxa"/>
            <w:vAlign w:val="bottom"/>
          </w:tcPr>
          <w:p>
            <w:pPr>
              <w:ind w:left="280"/>
              <w:spacing w:after="0"/>
              <w:rPr>
                <w:sz w:val="20"/>
                <w:szCs w:val="20"/>
                <w:color w:val="auto"/>
              </w:rPr>
            </w:pPr>
            <w:r>
              <w:rPr>
                <w:rFonts w:ascii="Arial" w:cs="Arial" w:eastAsia="Arial" w:hAnsi="Arial"/>
                <w:sz w:val="18"/>
                <w:szCs w:val="18"/>
                <w:color w:val="auto"/>
              </w:rPr>
              <w:t>Interest rate</w:t>
            </w:r>
          </w:p>
        </w:tc>
        <w:tc>
          <w:tcPr>
            <w:tcW w:w="28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2.88%</w:t>
            </w:r>
          </w:p>
        </w:tc>
        <w:tc>
          <w:tcPr>
            <w:tcW w:w="7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2.26%</w:t>
            </w:r>
          </w:p>
        </w:tc>
      </w:tr>
      <w:tr>
        <w:trPr>
          <w:trHeight w:val="27"/>
        </w:trPr>
        <w:tc>
          <w:tcPr>
            <w:tcW w:w="60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Term ABS 2015-2</w:t>
            </w:r>
          </w:p>
        </w:tc>
        <w:tc>
          <w:tcPr>
            <w:tcW w:w="28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000" w:type="dxa"/>
            <w:vAlign w:val="bottom"/>
          </w:tcPr>
          <w:p>
            <w:pPr>
              <w:ind w:left="280"/>
              <w:spacing w:after="0"/>
              <w:rPr>
                <w:sz w:val="20"/>
                <w:szCs w:val="20"/>
                <w:color w:val="auto"/>
              </w:rPr>
            </w:pPr>
            <w:r>
              <w:rPr>
                <w:rFonts w:ascii="Arial" w:cs="Arial" w:eastAsia="Arial" w:hAnsi="Arial"/>
                <w:sz w:val="18"/>
                <w:szCs w:val="18"/>
                <w:color w:val="auto"/>
              </w:rPr>
              <w:t>Principal balance outstanding</w:t>
            </w:r>
          </w:p>
        </w:tc>
        <w:tc>
          <w:tcPr>
            <w:tcW w:w="2800" w:type="dxa"/>
            <w:vAlign w:val="bottom"/>
          </w:tcPr>
          <w:p>
            <w:pPr>
              <w:jc w:val="right"/>
              <w:ind w:right="107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30"/>
              <w:spacing w:after="0"/>
              <w:rPr>
                <w:sz w:val="20"/>
                <w:szCs w:val="20"/>
                <w:color w:val="auto"/>
              </w:rPr>
            </w:pPr>
            <w:r>
              <w:rPr>
                <w:rFonts w:ascii="Arial" w:cs="Arial" w:eastAsia="Arial" w:hAnsi="Arial"/>
                <w:sz w:val="18"/>
                <w:szCs w:val="18"/>
                <w:color w:val="auto"/>
                <w:w w:val="93"/>
              </w:rPr>
              <w:t>215.9</w:t>
            </w:r>
          </w:p>
        </w:tc>
        <w:tc>
          <w:tcPr>
            <w:tcW w:w="7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300.2</w:t>
            </w:r>
          </w:p>
        </w:tc>
      </w:tr>
      <w:tr>
        <w:trPr>
          <w:trHeight w:val="27"/>
        </w:trPr>
        <w:tc>
          <w:tcPr>
            <w:tcW w:w="60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Loans pledged as collateral</w:t>
            </w:r>
          </w:p>
        </w:tc>
        <w:tc>
          <w:tcPr>
            <w:tcW w:w="28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3"/>
              </w:rPr>
              <w:t>313.3</w:t>
            </w:r>
          </w:p>
        </w:tc>
        <w:tc>
          <w:tcPr>
            <w:tcW w:w="7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372.6</w:t>
            </w:r>
          </w:p>
        </w:tc>
      </w:tr>
      <w:tr>
        <w:trPr>
          <w:trHeight w:val="243"/>
        </w:trPr>
        <w:tc>
          <w:tcPr>
            <w:tcW w:w="6000" w:type="dxa"/>
            <w:vAlign w:val="bottom"/>
          </w:tcPr>
          <w:p>
            <w:pPr>
              <w:ind w:left="280"/>
              <w:spacing w:after="0"/>
              <w:rPr>
                <w:sz w:val="20"/>
                <w:szCs w:val="20"/>
                <w:color w:val="auto"/>
              </w:rPr>
            </w:pPr>
            <w:r>
              <w:rPr>
                <w:rFonts w:ascii="Arial" w:cs="Arial" w:eastAsia="Arial" w:hAnsi="Arial"/>
                <w:sz w:val="18"/>
                <w:szCs w:val="18"/>
                <w:color w:val="auto"/>
              </w:rPr>
              <w:t>Restricted cash and cash equivalents pledged as collateral</w:t>
            </w:r>
          </w:p>
        </w:tc>
        <w:tc>
          <w:tcPr>
            <w:tcW w:w="2800" w:type="dxa"/>
            <w:vAlign w:val="bottom"/>
          </w:tcPr>
          <w:p>
            <w:pPr>
              <w:spacing w:after="0"/>
              <w:rPr>
                <w:sz w:val="21"/>
                <w:szCs w:val="21"/>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26.4</w:t>
            </w:r>
          </w:p>
        </w:tc>
        <w:tc>
          <w:tcPr>
            <w:tcW w:w="78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28.1</w:t>
            </w:r>
          </w:p>
        </w:tc>
      </w:tr>
      <w:tr>
        <w:trPr>
          <w:trHeight w:val="27"/>
        </w:trPr>
        <w:tc>
          <w:tcPr>
            <w:tcW w:w="60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rate</w:t>
            </w:r>
          </w:p>
        </w:tc>
        <w:tc>
          <w:tcPr>
            <w:tcW w:w="28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7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r>
      <w:tr>
        <w:trPr>
          <w:trHeight w:val="243"/>
        </w:trPr>
        <w:tc>
          <w:tcPr>
            <w:tcW w:w="6000" w:type="dxa"/>
            <w:vAlign w:val="bottom"/>
          </w:tcPr>
          <w:p>
            <w:pPr>
              <w:ind w:left="40"/>
              <w:spacing w:after="0"/>
              <w:rPr>
                <w:sz w:val="20"/>
                <w:szCs w:val="20"/>
                <w:color w:val="auto"/>
              </w:rPr>
            </w:pPr>
            <w:r>
              <w:rPr>
                <w:rFonts w:ascii="Arial" w:cs="Arial" w:eastAsia="Arial" w:hAnsi="Arial"/>
                <w:sz w:val="18"/>
                <w:szCs w:val="18"/>
                <w:b w:val="1"/>
                <w:bCs w:val="1"/>
                <w:color w:val="auto"/>
              </w:rPr>
              <w:t>Term ABS 2016-1</w:t>
            </w:r>
          </w:p>
        </w:tc>
        <w:tc>
          <w:tcPr>
            <w:tcW w:w="28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60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Principal balance outstanding</w:t>
            </w:r>
          </w:p>
        </w:tc>
        <w:tc>
          <w:tcPr>
            <w:tcW w:w="280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3"/>
              </w:rPr>
              <w:t>385.0</w:t>
            </w:r>
          </w:p>
        </w:tc>
        <w:tc>
          <w:tcPr>
            <w:tcW w:w="78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385.0</w:t>
            </w:r>
          </w:p>
        </w:tc>
      </w:tr>
      <w:tr>
        <w:trPr>
          <w:trHeight w:val="243"/>
        </w:trPr>
        <w:tc>
          <w:tcPr>
            <w:tcW w:w="6000" w:type="dxa"/>
            <w:vAlign w:val="bottom"/>
          </w:tcPr>
          <w:p>
            <w:pPr>
              <w:ind w:left="280"/>
              <w:spacing w:after="0"/>
              <w:rPr>
                <w:sz w:val="20"/>
                <w:szCs w:val="20"/>
                <w:color w:val="auto"/>
              </w:rPr>
            </w:pPr>
            <w:r>
              <w:rPr>
                <w:rFonts w:ascii="Arial" w:cs="Arial" w:eastAsia="Arial" w:hAnsi="Arial"/>
                <w:sz w:val="18"/>
                <w:szCs w:val="18"/>
                <w:color w:val="auto"/>
              </w:rPr>
              <w:t>Loans pledged as collateral</w:t>
            </w:r>
          </w:p>
        </w:tc>
        <w:tc>
          <w:tcPr>
            <w:tcW w:w="2800" w:type="dxa"/>
            <w:vAlign w:val="bottom"/>
          </w:tcPr>
          <w:p>
            <w:pPr>
              <w:spacing w:after="0"/>
              <w:rPr>
                <w:sz w:val="21"/>
                <w:szCs w:val="21"/>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color w:val="auto"/>
                <w:w w:val="93"/>
              </w:rPr>
              <w:t>467.2</w:t>
            </w:r>
          </w:p>
        </w:tc>
        <w:tc>
          <w:tcPr>
            <w:tcW w:w="78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474.0</w:t>
            </w:r>
          </w:p>
        </w:tc>
      </w:tr>
      <w:tr>
        <w:trPr>
          <w:trHeight w:val="27"/>
        </w:trPr>
        <w:tc>
          <w:tcPr>
            <w:tcW w:w="60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Restricted cash and cash equivalents pledged as collateral</w:t>
            </w:r>
          </w:p>
        </w:tc>
        <w:tc>
          <w:tcPr>
            <w:tcW w:w="28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36.6</w:t>
            </w:r>
          </w:p>
        </w:tc>
        <w:tc>
          <w:tcPr>
            <w:tcW w:w="7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34.8</w:t>
            </w:r>
          </w:p>
        </w:tc>
      </w:tr>
      <w:tr>
        <w:trPr>
          <w:trHeight w:val="243"/>
        </w:trPr>
        <w:tc>
          <w:tcPr>
            <w:tcW w:w="6000" w:type="dxa"/>
            <w:vAlign w:val="bottom"/>
          </w:tcPr>
          <w:p>
            <w:pPr>
              <w:ind w:left="280"/>
              <w:spacing w:after="0"/>
              <w:rPr>
                <w:sz w:val="20"/>
                <w:szCs w:val="20"/>
                <w:color w:val="auto"/>
              </w:rPr>
            </w:pPr>
            <w:r>
              <w:rPr>
                <w:rFonts w:ascii="Arial" w:cs="Arial" w:eastAsia="Arial" w:hAnsi="Arial"/>
                <w:sz w:val="18"/>
                <w:szCs w:val="18"/>
                <w:color w:val="auto"/>
              </w:rPr>
              <w:t>Interest rate</w:t>
            </w:r>
          </w:p>
        </w:tc>
        <w:tc>
          <w:tcPr>
            <w:tcW w:w="28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3.18%</w:t>
            </w:r>
          </w:p>
        </w:tc>
        <w:tc>
          <w:tcPr>
            <w:tcW w:w="7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2.65%</w:t>
            </w:r>
          </w:p>
        </w:tc>
      </w:tr>
      <w:tr>
        <w:trPr>
          <w:trHeight w:val="27"/>
        </w:trPr>
        <w:tc>
          <w:tcPr>
            <w:tcW w:w="60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Term ABS 2016-2</w:t>
            </w:r>
          </w:p>
        </w:tc>
        <w:tc>
          <w:tcPr>
            <w:tcW w:w="28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000" w:type="dxa"/>
            <w:vAlign w:val="bottom"/>
          </w:tcPr>
          <w:p>
            <w:pPr>
              <w:ind w:left="280"/>
              <w:spacing w:after="0"/>
              <w:rPr>
                <w:sz w:val="20"/>
                <w:szCs w:val="20"/>
                <w:color w:val="auto"/>
              </w:rPr>
            </w:pPr>
            <w:r>
              <w:rPr>
                <w:rFonts w:ascii="Arial" w:cs="Arial" w:eastAsia="Arial" w:hAnsi="Arial"/>
                <w:sz w:val="18"/>
                <w:szCs w:val="18"/>
                <w:color w:val="auto"/>
              </w:rPr>
              <w:t>Principal balance outstanding</w:t>
            </w:r>
          </w:p>
        </w:tc>
        <w:tc>
          <w:tcPr>
            <w:tcW w:w="2800" w:type="dxa"/>
            <w:vAlign w:val="bottom"/>
          </w:tcPr>
          <w:p>
            <w:pPr>
              <w:jc w:val="right"/>
              <w:ind w:right="107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30"/>
              <w:spacing w:after="0"/>
              <w:rPr>
                <w:sz w:val="20"/>
                <w:szCs w:val="20"/>
                <w:color w:val="auto"/>
              </w:rPr>
            </w:pPr>
            <w:r>
              <w:rPr>
                <w:rFonts w:ascii="Arial" w:cs="Arial" w:eastAsia="Arial" w:hAnsi="Arial"/>
                <w:sz w:val="18"/>
                <w:szCs w:val="18"/>
                <w:color w:val="auto"/>
                <w:w w:val="93"/>
              </w:rPr>
              <w:t>350.2</w:t>
            </w:r>
          </w:p>
        </w:tc>
        <w:tc>
          <w:tcPr>
            <w:tcW w:w="7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350.2</w:t>
            </w:r>
          </w:p>
        </w:tc>
      </w:tr>
      <w:tr>
        <w:trPr>
          <w:trHeight w:val="27"/>
        </w:trPr>
        <w:tc>
          <w:tcPr>
            <w:tcW w:w="60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Loans pledged as collateral</w:t>
            </w:r>
          </w:p>
        </w:tc>
        <w:tc>
          <w:tcPr>
            <w:tcW w:w="28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3"/>
              </w:rPr>
              <w:t>428.0</w:t>
            </w:r>
          </w:p>
        </w:tc>
        <w:tc>
          <w:tcPr>
            <w:tcW w:w="7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490.7</w:t>
            </w:r>
          </w:p>
        </w:tc>
      </w:tr>
      <w:tr>
        <w:trPr>
          <w:trHeight w:val="243"/>
        </w:trPr>
        <w:tc>
          <w:tcPr>
            <w:tcW w:w="6000" w:type="dxa"/>
            <w:vAlign w:val="bottom"/>
          </w:tcPr>
          <w:p>
            <w:pPr>
              <w:ind w:left="280"/>
              <w:spacing w:after="0"/>
              <w:rPr>
                <w:sz w:val="20"/>
                <w:szCs w:val="20"/>
                <w:color w:val="auto"/>
              </w:rPr>
            </w:pPr>
            <w:r>
              <w:rPr>
                <w:rFonts w:ascii="Arial" w:cs="Arial" w:eastAsia="Arial" w:hAnsi="Arial"/>
                <w:sz w:val="18"/>
                <w:szCs w:val="18"/>
                <w:color w:val="auto"/>
              </w:rPr>
              <w:t>Restricted cash and cash equivalents pledged as collateral</w:t>
            </w:r>
          </w:p>
        </w:tc>
        <w:tc>
          <w:tcPr>
            <w:tcW w:w="2800" w:type="dxa"/>
            <w:vAlign w:val="bottom"/>
          </w:tcPr>
          <w:p>
            <w:pPr>
              <w:spacing w:after="0"/>
              <w:rPr>
                <w:sz w:val="21"/>
                <w:szCs w:val="21"/>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33.2</w:t>
            </w:r>
          </w:p>
        </w:tc>
        <w:tc>
          <w:tcPr>
            <w:tcW w:w="78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34.4</w:t>
            </w:r>
          </w:p>
        </w:tc>
      </w:tr>
      <w:tr>
        <w:trPr>
          <w:trHeight w:val="27"/>
        </w:trPr>
        <w:tc>
          <w:tcPr>
            <w:tcW w:w="60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rate</w:t>
            </w:r>
          </w:p>
        </w:tc>
        <w:tc>
          <w:tcPr>
            <w:tcW w:w="28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7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r>
      <w:tr>
        <w:trPr>
          <w:trHeight w:val="243"/>
        </w:trPr>
        <w:tc>
          <w:tcPr>
            <w:tcW w:w="6000" w:type="dxa"/>
            <w:vAlign w:val="bottom"/>
          </w:tcPr>
          <w:p>
            <w:pPr>
              <w:ind w:left="40"/>
              <w:spacing w:after="0"/>
              <w:rPr>
                <w:sz w:val="20"/>
                <w:szCs w:val="20"/>
                <w:color w:val="auto"/>
              </w:rPr>
            </w:pPr>
            <w:r>
              <w:rPr>
                <w:rFonts w:ascii="Arial" w:cs="Arial" w:eastAsia="Arial" w:hAnsi="Arial"/>
                <w:sz w:val="18"/>
                <w:szCs w:val="18"/>
                <w:b w:val="1"/>
                <w:bCs w:val="1"/>
                <w:color w:val="auto"/>
              </w:rPr>
              <w:t>Term ABS 2016-3</w:t>
            </w:r>
          </w:p>
        </w:tc>
        <w:tc>
          <w:tcPr>
            <w:tcW w:w="28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60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Principal balance outstanding</w:t>
            </w:r>
          </w:p>
        </w:tc>
        <w:tc>
          <w:tcPr>
            <w:tcW w:w="280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3"/>
              </w:rPr>
              <w:t>350.0</w:t>
            </w:r>
          </w:p>
        </w:tc>
        <w:tc>
          <w:tcPr>
            <w:tcW w:w="78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350.0</w:t>
            </w:r>
          </w:p>
        </w:tc>
      </w:tr>
      <w:tr>
        <w:trPr>
          <w:trHeight w:val="243"/>
        </w:trPr>
        <w:tc>
          <w:tcPr>
            <w:tcW w:w="6000" w:type="dxa"/>
            <w:vAlign w:val="bottom"/>
          </w:tcPr>
          <w:p>
            <w:pPr>
              <w:ind w:left="280"/>
              <w:spacing w:after="0"/>
              <w:rPr>
                <w:sz w:val="20"/>
                <w:szCs w:val="20"/>
                <w:color w:val="auto"/>
              </w:rPr>
            </w:pPr>
            <w:r>
              <w:rPr>
                <w:rFonts w:ascii="Arial" w:cs="Arial" w:eastAsia="Arial" w:hAnsi="Arial"/>
                <w:sz w:val="18"/>
                <w:szCs w:val="18"/>
                <w:color w:val="auto"/>
              </w:rPr>
              <w:t>Loans pledged as collateral</w:t>
            </w:r>
          </w:p>
        </w:tc>
        <w:tc>
          <w:tcPr>
            <w:tcW w:w="2800" w:type="dxa"/>
            <w:vAlign w:val="bottom"/>
          </w:tcPr>
          <w:p>
            <w:pPr>
              <w:spacing w:after="0"/>
              <w:rPr>
                <w:sz w:val="21"/>
                <w:szCs w:val="21"/>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color w:val="auto"/>
                <w:w w:val="93"/>
              </w:rPr>
              <w:t>425.7</w:t>
            </w:r>
          </w:p>
        </w:tc>
        <w:tc>
          <w:tcPr>
            <w:tcW w:w="78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489.6</w:t>
            </w:r>
          </w:p>
        </w:tc>
      </w:tr>
      <w:tr>
        <w:trPr>
          <w:trHeight w:val="27"/>
        </w:trPr>
        <w:tc>
          <w:tcPr>
            <w:tcW w:w="60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Restricted cash and cash equivalents pledged as collateral</w:t>
            </w:r>
          </w:p>
        </w:tc>
        <w:tc>
          <w:tcPr>
            <w:tcW w:w="28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31.1</w:t>
            </w:r>
          </w:p>
        </w:tc>
        <w:tc>
          <w:tcPr>
            <w:tcW w:w="7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30.6</w:t>
            </w:r>
          </w:p>
        </w:tc>
      </w:tr>
      <w:tr>
        <w:trPr>
          <w:trHeight w:val="243"/>
        </w:trPr>
        <w:tc>
          <w:tcPr>
            <w:tcW w:w="6000" w:type="dxa"/>
            <w:vAlign w:val="bottom"/>
          </w:tcPr>
          <w:p>
            <w:pPr>
              <w:ind w:left="280"/>
              <w:spacing w:after="0"/>
              <w:rPr>
                <w:sz w:val="20"/>
                <w:szCs w:val="20"/>
                <w:color w:val="auto"/>
              </w:rPr>
            </w:pPr>
            <w:r>
              <w:rPr>
                <w:rFonts w:ascii="Arial" w:cs="Arial" w:eastAsia="Arial" w:hAnsi="Arial"/>
                <w:sz w:val="18"/>
                <w:szCs w:val="18"/>
                <w:color w:val="auto"/>
              </w:rPr>
              <w:t>Interest rate</w:t>
            </w:r>
          </w:p>
        </w:tc>
        <w:tc>
          <w:tcPr>
            <w:tcW w:w="28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2.53%</w:t>
            </w:r>
          </w:p>
        </w:tc>
        <w:tc>
          <w:tcPr>
            <w:tcW w:w="7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2.53%</w:t>
            </w:r>
          </w:p>
        </w:tc>
      </w:tr>
      <w:tr>
        <w:trPr>
          <w:trHeight w:val="27"/>
        </w:trPr>
        <w:tc>
          <w:tcPr>
            <w:tcW w:w="60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Term ABS 2017-1</w:t>
            </w:r>
          </w:p>
        </w:tc>
        <w:tc>
          <w:tcPr>
            <w:tcW w:w="28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000" w:type="dxa"/>
            <w:vAlign w:val="bottom"/>
          </w:tcPr>
          <w:p>
            <w:pPr>
              <w:ind w:left="280"/>
              <w:spacing w:after="0"/>
              <w:rPr>
                <w:sz w:val="20"/>
                <w:szCs w:val="20"/>
                <w:color w:val="auto"/>
              </w:rPr>
            </w:pPr>
            <w:r>
              <w:rPr>
                <w:rFonts w:ascii="Arial" w:cs="Arial" w:eastAsia="Arial" w:hAnsi="Arial"/>
                <w:sz w:val="18"/>
                <w:szCs w:val="18"/>
                <w:color w:val="auto"/>
              </w:rPr>
              <w:t>Principal balance outstanding</w:t>
            </w:r>
          </w:p>
        </w:tc>
        <w:tc>
          <w:tcPr>
            <w:tcW w:w="2800" w:type="dxa"/>
            <w:vAlign w:val="bottom"/>
          </w:tcPr>
          <w:p>
            <w:pPr>
              <w:jc w:val="right"/>
              <w:ind w:right="107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30"/>
              <w:spacing w:after="0"/>
              <w:rPr>
                <w:sz w:val="20"/>
                <w:szCs w:val="20"/>
                <w:color w:val="auto"/>
              </w:rPr>
            </w:pPr>
            <w:r>
              <w:rPr>
                <w:rFonts w:ascii="Arial" w:cs="Arial" w:eastAsia="Arial" w:hAnsi="Arial"/>
                <w:sz w:val="18"/>
                <w:szCs w:val="18"/>
                <w:color w:val="auto"/>
                <w:w w:val="93"/>
              </w:rPr>
              <w:t>350.0</w:t>
            </w:r>
          </w:p>
        </w:tc>
        <w:tc>
          <w:tcPr>
            <w:tcW w:w="7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60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Loans pledged as collateral</w:t>
            </w:r>
          </w:p>
        </w:tc>
        <w:tc>
          <w:tcPr>
            <w:tcW w:w="28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3"/>
              </w:rPr>
              <w:t>425.9</w:t>
            </w:r>
          </w:p>
        </w:tc>
        <w:tc>
          <w:tcPr>
            <w:tcW w:w="7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6000" w:type="dxa"/>
            <w:vAlign w:val="bottom"/>
          </w:tcPr>
          <w:p>
            <w:pPr>
              <w:ind w:left="280"/>
              <w:spacing w:after="0"/>
              <w:rPr>
                <w:sz w:val="20"/>
                <w:szCs w:val="20"/>
                <w:color w:val="auto"/>
              </w:rPr>
            </w:pPr>
            <w:r>
              <w:rPr>
                <w:rFonts w:ascii="Arial" w:cs="Arial" w:eastAsia="Arial" w:hAnsi="Arial"/>
                <w:sz w:val="18"/>
                <w:szCs w:val="18"/>
                <w:color w:val="auto"/>
              </w:rPr>
              <w:t>Restricted cash and cash equivalents pledged as collateral</w:t>
            </w:r>
          </w:p>
        </w:tc>
        <w:tc>
          <w:tcPr>
            <w:tcW w:w="2800" w:type="dxa"/>
            <w:vAlign w:val="bottom"/>
          </w:tcPr>
          <w:p>
            <w:pPr>
              <w:spacing w:after="0"/>
              <w:rPr>
                <w:sz w:val="21"/>
                <w:szCs w:val="21"/>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30.8</w:t>
            </w:r>
          </w:p>
        </w:tc>
        <w:tc>
          <w:tcPr>
            <w:tcW w:w="78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60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rate</w:t>
            </w:r>
          </w:p>
        </w:tc>
        <w:tc>
          <w:tcPr>
            <w:tcW w:w="28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7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000" w:type="dxa"/>
            <w:vAlign w:val="bottom"/>
          </w:tcPr>
          <w:p>
            <w:pPr>
              <w:ind w:left="40"/>
              <w:spacing w:after="0"/>
              <w:rPr>
                <w:sz w:val="20"/>
                <w:szCs w:val="20"/>
                <w:color w:val="auto"/>
              </w:rPr>
            </w:pPr>
            <w:r>
              <w:rPr>
                <w:rFonts w:ascii="Arial" w:cs="Arial" w:eastAsia="Arial" w:hAnsi="Arial"/>
                <w:sz w:val="18"/>
                <w:szCs w:val="18"/>
                <w:b w:val="1"/>
                <w:bCs w:val="1"/>
                <w:color w:val="auto"/>
              </w:rPr>
              <w:t>Term ABS 2017-2</w:t>
            </w:r>
          </w:p>
        </w:tc>
        <w:tc>
          <w:tcPr>
            <w:tcW w:w="28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60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Principal balance outstanding</w:t>
            </w:r>
          </w:p>
        </w:tc>
        <w:tc>
          <w:tcPr>
            <w:tcW w:w="280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3"/>
              </w:rPr>
              <w:t>450.0</w:t>
            </w:r>
          </w:p>
        </w:tc>
        <w:tc>
          <w:tcPr>
            <w:tcW w:w="78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6000" w:type="dxa"/>
            <w:vAlign w:val="bottom"/>
          </w:tcPr>
          <w:p>
            <w:pPr>
              <w:ind w:left="280"/>
              <w:spacing w:after="0"/>
              <w:rPr>
                <w:sz w:val="20"/>
                <w:szCs w:val="20"/>
                <w:color w:val="auto"/>
              </w:rPr>
            </w:pPr>
            <w:r>
              <w:rPr>
                <w:rFonts w:ascii="Arial" w:cs="Arial" w:eastAsia="Arial" w:hAnsi="Arial"/>
                <w:sz w:val="18"/>
                <w:szCs w:val="18"/>
                <w:color w:val="auto"/>
              </w:rPr>
              <w:t>Loans pledged as collateral</w:t>
            </w:r>
          </w:p>
        </w:tc>
        <w:tc>
          <w:tcPr>
            <w:tcW w:w="2800" w:type="dxa"/>
            <w:vAlign w:val="bottom"/>
          </w:tcPr>
          <w:p>
            <w:pPr>
              <w:spacing w:after="0"/>
              <w:rPr>
                <w:sz w:val="21"/>
                <w:szCs w:val="21"/>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color w:val="auto"/>
                <w:w w:val="93"/>
              </w:rPr>
              <w:t>545.8</w:t>
            </w:r>
          </w:p>
        </w:tc>
        <w:tc>
          <w:tcPr>
            <w:tcW w:w="78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60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Restricted cash and cash equivalents pledged as collateral</w:t>
            </w:r>
          </w:p>
        </w:tc>
        <w:tc>
          <w:tcPr>
            <w:tcW w:w="28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39.8</w:t>
            </w:r>
          </w:p>
        </w:tc>
        <w:tc>
          <w:tcPr>
            <w:tcW w:w="7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6000" w:type="dxa"/>
            <w:vAlign w:val="bottom"/>
          </w:tcPr>
          <w:p>
            <w:pPr>
              <w:ind w:left="280"/>
              <w:spacing w:after="0"/>
              <w:rPr>
                <w:sz w:val="20"/>
                <w:szCs w:val="20"/>
                <w:color w:val="auto"/>
              </w:rPr>
            </w:pPr>
            <w:r>
              <w:rPr>
                <w:rFonts w:ascii="Arial" w:cs="Arial" w:eastAsia="Arial" w:hAnsi="Arial"/>
                <w:sz w:val="18"/>
                <w:szCs w:val="18"/>
                <w:color w:val="auto"/>
              </w:rPr>
              <w:t>Interest rate</w:t>
            </w:r>
          </w:p>
        </w:tc>
        <w:tc>
          <w:tcPr>
            <w:tcW w:w="28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2.72%</w:t>
            </w:r>
          </w:p>
        </w:tc>
        <w:tc>
          <w:tcPr>
            <w:tcW w:w="7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0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Term ABS 2017-3</w:t>
            </w:r>
          </w:p>
        </w:tc>
        <w:tc>
          <w:tcPr>
            <w:tcW w:w="28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000" w:type="dxa"/>
            <w:vAlign w:val="bottom"/>
          </w:tcPr>
          <w:p>
            <w:pPr>
              <w:ind w:left="280"/>
              <w:spacing w:after="0"/>
              <w:rPr>
                <w:sz w:val="20"/>
                <w:szCs w:val="20"/>
                <w:color w:val="auto"/>
              </w:rPr>
            </w:pPr>
            <w:r>
              <w:rPr>
                <w:rFonts w:ascii="Arial" w:cs="Arial" w:eastAsia="Arial" w:hAnsi="Arial"/>
                <w:sz w:val="18"/>
                <w:szCs w:val="18"/>
                <w:color w:val="auto"/>
              </w:rPr>
              <w:t>Principal balance outstanding</w:t>
            </w:r>
          </w:p>
        </w:tc>
        <w:tc>
          <w:tcPr>
            <w:tcW w:w="2800" w:type="dxa"/>
            <w:vAlign w:val="bottom"/>
          </w:tcPr>
          <w:p>
            <w:pPr>
              <w:jc w:val="right"/>
              <w:ind w:right="107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30"/>
              <w:spacing w:after="0"/>
              <w:rPr>
                <w:sz w:val="20"/>
                <w:szCs w:val="20"/>
                <w:color w:val="auto"/>
              </w:rPr>
            </w:pPr>
            <w:r>
              <w:rPr>
                <w:rFonts w:ascii="Arial" w:cs="Arial" w:eastAsia="Arial" w:hAnsi="Arial"/>
                <w:sz w:val="18"/>
                <w:szCs w:val="18"/>
                <w:color w:val="auto"/>
                <w:w w:val="93"/>
              </w:rPr>
              <w:t>350.0</w:t>
            </w:r>
          </w:p>
        </w:tc>
        <w:tc>
          <w:tcPr>
            <w:tcW w:w="7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60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Loans pledged as collateral</w:t>
            </w:r>
          </w:p>
        </w:tc>
        <w:tc>
          <w:tcPr>
            <w:tcW w:w="28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3"/>
              </w:rPr>
              <w:t>482.6</w:t>
            </w:r>
          </w:p>
        </w:tc>
        <w:tc>
          <w:tcPr>
            <w:tcW w:w="7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6000" w:type="dxa"/>
            <w:vAlign w:val="bottom"/>
          </w:tcPr>
          <w:p>
            <w:pPr>
              <w:ind w:left="280"/>
              <w:spacing w:after="0"/>
              <w:rPr>
                <w:sz w:val="20"/>
                <w:szCs w:val="20"/>
                <w:color w:val="auto"/>
              </w:rPr>
            </w:pPr>
            <w:r>
              <w:rPr>
                <w:rFonts w:ascii="Arial" w:cs="Arial" w:eastAsia="Arial" w:hAnsi="Arial"/>
                <w:sz w:val="18"/>
                <w:szCs w:val="18"/>
                <w:color w:val="auto"/>
              </w:rPr>
              <w:t>Restricted cash and cash equivalents pledged as collateral</w:t>
            </w:r>
          </w:p>
        </w:tc>
        <w:tc>
          <w:tcPr>
            <w:tcW w:w="2800" w:type="dxa"/>
            <w:vAlign w:val="bottom"/>
          </w:tcPr>
          <w:p>
            <w:pPr>
              <w:spacing w:after="0"/>
              <w:rPr>
                <w:sz w:val="21"/>
                <w:szCs w:val="21"/>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29.6</w:t>
            </w:r>
          </w:p>
        </w:tc>
        <w:tc>
          <w:tcPr>
            <w:tcW w:w="78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60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rate</w:t>
            </w:r>
          </w:p>
        </w:tc>
        <w:tc>
          <w:tcPr>
            <w:tcW w:w="28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7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000" w:type="dxa"/>
            <w:vAlign w:val="bottom"/>
          </w:tcPr>
          <w:p>
            <w:pPr>
              <w:ind w:left="40"/>
              <w:spacing w:after="0"/>
              <w:rPr>
                <w:sz w:val="20"/>
                <w:szCs w:val="20"/>
                <w:color w:val="auto"/>
              </w:rPr>
            </w:pPr>
            <w:r>
              <w:rPr>
                <w:rFonts w:ascii="Arial" w:cs="Arial" w:eastAsia="Arial" w:hAnsi="Arial"/>
                <w:sz w:val="18"/>
                <w:szCs w:val="18"/>
                <w:b w:val="1"/>
                <w:bCs w:val="1"/>
                <w:color w:val="auto"/>
              </w:rPr>
              <w:t>2021 Senior Notes</w:t>
            </w:r>
          </w:p>
        </w:tc>
        <w:tc>
          <w:tcPr>
            <w:tcW w:w="28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60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Principal balance outstanding</w:t>
            </w:r>
          </w:p>
        </w:tc>
        <w:tc>
          <w:tcPr>
            <w:tcW w:w="280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3"/>
              </w:rPr>
              <w:t>300.0</w:t>
            </w:r>
          </w:p>
        </w:tc>
        <w:tc>
          <w:tcPr>
            <w:tcW w:w="78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300.0</w:t>
            </w:r>
          </w:p>
        </w:tc>
      </w:tr>
      <w:tr>
        <w:trPr>
          <w:trHeight w:val="243"/>
        </w:trPr>
        <w:tc>
          <w:tcPr>
            <w:tcW w:w="6000" w:type="dxa"/>
            <w:vAlign w:val="bottom"/>
          </w:tcPr>
          <w:p>
            <w:pPr>
              <w:ind w:left="280"/>
              <w:spacing w:after="0"/>
              <w:rPr>
                <w:sz w:val="20"/>
                <w:szCs w:val="20"/>
                <w:color w:val="auto"/>
              </w:rPr>
            </w:pPr>
            <w:r>
              <w:rPr>
                <w:rFonts w:ascii="Arial" w:cs="Arial" w:eastAsia="Arial" w:hAnsi="Arial"/>
                <w:sz w:val="18"/>
                <w:szCs w:val="18"/>
                <w:color w:val="auto"/>
              </w:rPr>
              <w:t>Interest rate</w:t>
            </w:r>
          </w:p>
        </w:tc>
        <w:tc>
          <w:tcPr>
            <w:tcW w:w="28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1"/>
              </w:rPr>
              <w:t>6.125%</w:t>
            </w:r>
          </w:p>
        </w:tc>
        <w:tc>
          <w:tcPr>
            <w:tcW w:w="7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6.125%</w:t>
            </w:r>
          </w:p>
        </w:tc>
      </w:tr>
      <w:tr>
        <w:trPr>
          <w:trHeight w:val="27"/>
        </w:trPr>
        <w:tc>
          <w:tcPr>
            <w:tcW w:w="60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2023 Senior Notes</w:t>
            </w:r>
          </w:p>
        </w:tc>
        <w:tc>
          <w:tcPr>
            <w:tcW w:w="28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000" w:type="dxa"/>
            <w:vAlign w:val="bottom"/>
          </w:tcPr>
          <w:p>
            <w:pPr>
              <w:ind w:left="280"/>
              <w:spacing w:after="0"/>
              <w:rPr>
                <w:sz w:val="20"/>
                <w:szCs w:val="20"/>
                <w:color w:val="auto"/>
              </w:rPr>
            </w:pPr>
            <w:r>
              <w:rPr>
                <w:rFonts w:ascii="Arial" w:cs="Arial" w:eastAsia="Arial" w:hAnsi="Arial"/>
                <w:sz w:val="18"/>
                <w:szCs w:val="18"/>
                <w:color w:val="auto"/>
              </w:rPr>
              <w:t>Principal balance outstanding</w:t>
            </w:r>
          </w:p>
        </w:tc>
        <w:tc>
          <w:tcPr>
            <w:tcW w:w="2800" w:type="dxa"/>
            <w:vAlign w:val="bottom"/>
          </w:tcPr>
          <w:p>
            <w:pPr>
              <w:jc w:val="right"/>
              <w:ind w:right="107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30"/>
              <w:spacing w:after="0"/>
              <w:rPr>
                <w:sz w:val="20"/>
                <w:szCs w:val="20"/>
                <w:color w:val="auto"/>
              </w:rPr>
            </w:pPr>
            <w:r>
              <w:rPr>
                <w:rFonts w:ascii="Arial" w:cs="Arial" w:eastAsia="Arial" w:hAnsi="Arial"/>
                <w:sz w:val="18"/>
                <w:szCs w:val="18"/>
                <w:color w:val="auto"/>
                <w:w w:val="93"/>
              </w:rPr>
              <w:t>250.0</w:t>
            </w:r>
          </w:p>
        </w:tc>
        <w:tc>
          <w:tcPr>
            <w:tcW w:w="7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250.0</w:t>
            </w:r>
          </w:p>
        </w:tc>
      </w:tr>
      <w:tr>
        <w:trPr>
          <w:trHeight w:val="270"/>
        </w:trPr>
        <w:tc>
          <w:tcPr>
            <w:tcW w:w="6000" w:type="dxa"/>
            <w:vAlign w:val="bottom"/>
          </w:tcPr>
          <w:p>
            <w:pPr>
              <w:ind w:left="280"/>
              <w:spacing w:after="0"/>
              <w:rPr>
                <w:sz w:val="20"/>
                <w:szCs w:val="20"/>
                <w:color w:val="auto"/>
              </w:rPr>
            </w:pPr>
            <w:r>
              <w:rPr>
                <w:rFonts w:ascii="Arial" w:cs="Arial" w:eastAsia="Arial" w:hAnsi="Arial"/>
                <w:sz w:val="18"/>
                <w:szCs w:val="18"/>
                <w:color w:val="auto"/>
              </w:rPr>
              <w:t>Interest rate</w:t>
            </w:r>
          </w:p>
        </w:tc>
        <w:tc>
          <w:tcPr>
            <w:tcW w:w="28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1"/>
              </w:rPr>
              <w:t>7.375%</w:t>
            </w:r>
          </w:p>
        </w:tc>
        <w:tc>
          <w:tcPr>
            <w:tcW w:w="7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500" w:hanging="330"/>
        <w:spacing w:after="0"/>
        <w:tabs>
          <w:tab w:leader="none" w:pos="500" w:val="left"/>
        </w:tabs>
        <w:numPr>
          <w:ilvl w:val="0"/>
          <w:numId w:val="61"/>
        </w:numPr>
        <w:rPr>
          <w:rFonts w:ascii="Arial" w:cs="Arial" w:eastAsia="Arial" w:hAnsi="Arial"/>
          <w:sz w:val="14"/>
          <w:szCs w:val="14"/>
          <w:color w:val="auto"/>
        </w:rPr>
      </w:pPr>
      <w:r>
        <w:rPr>
          <w:rFonts w:ascii="Arial" w:cs="Arial" w:eastAsia="Arial" w:hAnsi="Arial"/>
          <w:sz w:val="14"/>
          <w:szCs w:val="14"/>
          <w:color w:val="auto"/>
        </w:rPr>
        <w:t>Availability may be limited by the amount of assets pledged as collateral.</w:t>
      </w:r>
    </w:p>
    <w:p>
      <w:pPr>
        <w:sectPr>
          <w:pgSz w:w="11900" w:h="16838" w:orient="portrait"/>
          <w:cols w:equalWidth="0" w:num="1">
            <w:col w:w="11420"/>
          </w:cols>
          <w:pgMar w:left="240" w:top="337" w:right="239" w:bottom="1440" w:gutter="0" w:footer="0" w:header="0"/>
        </w:sect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20"/>
          </w:cols>
          <w:pgMar w:left="240" w:top="337" w:right="239" w:bottom="1440" w:gutter="0" w:footer="0" w:header="0"/>
          <w:type w:val="continuous"/>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Secured Line of Credit Facility</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a $350.0 million revolving secured line of credit facility with a commercial bank syndicate. The amount of the facility will decrease to $315.0 million on June 22, 2019. Borrowings under the revolving secured line of credit facility, including any letters of credit issued under the facility, are subject to a borrowing-base limitation. This limitation equals 80% of the net book value of Loans, less a hedging reserve (not exceeding $1.0 million), and the amount of other debt secured by the collateral which secures the revolving secured line of credit facility. Borrowings under the revolving secured line of credit facility agreement are secured by a lien on most of our assets.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Warehouse Facilities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five Warehouse facilities with total borrowing capacity of $825.0 million. Each of the facilities are with different lenders. Under each Warehouse facility, we can contribute Loans to our wholly-owned subsidiaries in return for cash and equity in each subsidiary. In turn, each subsidiary pledges the Loans as collateral to lenders to secure financing that will fund the cash portion of the purchase price of the Loans. The financing provided to each subsidiary under the applicable facility is generally limited to the lesser of 80% of the net book value of the contributed Loans plus the restricted cash and cash equivalents pledged as collateral on such Loans or the facility limit.</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financings create indebtedness for which the subsidiaries are liable and which is secured by all the assets of each subsidiary. Such indebtedness is non-recourse to us, even though we are consolidated for financial reporting purposes with the subsidiaries. Because the subsidiaries are organized as legal entities separate from us, their assets (including the contributed Loans) are not available to our creditors.</w:t>
      </w:r>
    </w:p>
    <w:p>
      <w:pPr>
        <w:spacing w:after="0" w:line="18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subsidiaries pay us a monthly servicing fee equal to 6% of the collections received with respect to the contributed Loans. The fee is paid out of the collections. Except for the servicing fee and holdback payments due to Dealers, if a facility is amortizing, we do not have any rights in any portion of such collections until all outstanding principal, accrued and unpaid interest, fees and other related costs have been paid in full. If a facility is not amortizing, the applicable subsidiary may be entitled to retain a portion of such collections provided that the borrowing base requirements of the facility are satisfied.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ABS Financings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wholly-owned subsidiaries (the “Funding LLCs”) that have completed secured financing transactions with qualified institutional investors or lenders. In connection with these transactions, we contributed Loans on an arms-length basis to each Funding LLC for cash and the sole membership interest in that Funding LLC. In turn, each Funding LLC, other than that of Term ABS 2016-1, contributed the Loans to a respective trust that issued notes to qualified institutional investors. The Funding LLC for the Term ABS 2016-1 transaction pledged the Loans to lenders. The Term ABS 2015-1, 2015-2, 2016-2, 2016-3, 2017-1, 2017-2 and 2017-3 transactions each consist of three classes of notes.</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Each financing at the time of issuance has a specified revolving period during which we may be required, and are likely, to contribute additional Loans to each Funding LLC. If applicable, each Funding LLC will then contribute the Loans to their respective trust. At the end of the revolving period, the debt outstanding under each financing will begin to amortize.</w:t>
      </w:r>
    </w:p>
    <w:p>
      <w:pPr>
        <w:spacing w:after="0" w:line="18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financings create indebtedness for which the trusts or Funding LLC are liable and which is secured by all the assets of each trust or Funding LLC. Such indebtedness is non-recourse to us, even though we are consolidated for financial reporting purposes with the trusts and the Funding LLCs. Because the Funding LLCs are organized as legal entities separate from us, their assets (including the contributed Loans) are not available to our creditors. We receive a monthly servicing fee on each financing equal to 6% of the collections received with respect to the contributed Loans. The fee is paid out of the collections. Except for the servicing fee and Dealer Holdback payments due to Dealers, if a facility is amortizing, we do not have any rights in any portion of such collections until all outstanding principal, accrued and unpaid interest, fees and other related costs have been paid in full. If a facility is not amortizing, the applicable subsidiary may be entitled to retain a portion of such collections provided that the borrowing base requirements of the facility are satisfied. However, in our capacity as servicer of the Loans, we do have a limited right to exercise a “clean-up call” option to purchase Loans from the Funding LLCs and/or the trusts under certain specified circumstances. For those Funding LLCs with a trust, when the trust’s underlying indebtedness is paid in full, either through collections or through a prepayment of the indebtedness, the trust is to pay any remaining collections over to its Funding LLC as the sole beneficiary of the trust. For all Funding LLCs, after the indebtedness is paid in full, any remaining collections will ultimately be available to be distributed to us as the sole member of the respective Funding LLC.</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337"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sets forth certain additional details regarding the outstanding Term ABS Financings: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300" w:type="dxa"/>
            <w:vAlign w:val="bottom"/>
            <w:gridSpan w:val="2"/>
          </w:tcPr>
          <w:p>
            <w:pPr>
              <w:ind w:left="40"/>
              <w:spacing w:after="0"/>
              <w:rPr>
                <w:sz w:val="20"/>
                <w:szCs w:val="20"/>
                <w:color w:val="auto"/>
              </w:rPr>
            </w:pPr>
            <w:r>
              <w:rPr>
                <w:rFonts w:ascii="Arial" w:cs="Arial" w:eastAsia="Arial" w:hAnsi="Arial"/>
                <w:sz w:val="14"/>
                <w:szCs w:val="14"/>
                <w:color w:val="auto"/>
              </w:rPr>
              <w:t>(Dollars in millions)</w:t>
            </w:r>
          </w:p>
        </w:tc>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1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Term ABS Financings</w:t>
            </w:r>
          </w:p>
        </w:tc>
        <w:tc>
          <w:tcPr>
            <w:tcW w:w="120" w:type="dxa"/>
            <w:vAlign w:val="bottom"/>
            <w:vMerge w:val="restart"/>
          </w:tcPr>
          <w:p>
            <w:pPr>
              <w:spacing w:after="0"/>
              <w:rPr>
                <w:sz w:val="14"/>
                <w:szCs w:val="14"/>
                <w:color w:val="auto"/>
              </w:rPr>
            </w:pPr>
          </w:p>
        </w:tc>
        <w:tc>
          <w:tcPr>
            <w:tcW w:w="2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Close Date</w:t>
            </w:r>
          </w:p>
        </w:tc>
        <w:tc>
          <w:tcPr>
            <w:tcW w:w="120" w:type="dxa"/>
            <w:vAlign w:val="bottom"/>
            <w:vMerge w:val="restart"/>
          </w:tcPr>
          <w:p>
            <w:pPr>
              <w:spacing w:after="0"/>
              <w:rPr>
                <w:sz w:val="14"/>
                <w:szCs w:val="14"/>
                <w:color w:val="auto"/>
              </w:rPr>
            </w:pPr>
          </w:p>
        </w:tc>
        <w:tc>
          <w:tcPr>
            <w:tcW w:w="280" w:type="dxa"/>
            <w:vAlign w:val="bottom"/>
          </w:tcPr>
          <w:p>
            <w:pPr>
              <w:spacing w:after="0"/>
              <w:rPr>
                <w:sz w:val="14"/>
                <w:szCs w:val="14"/>
                <w:color w:val="auto"/>
              </w:rPr>
            </w:pPr>
          </w:p>
        </w:tc>
        <w:tc>
          <w:tcPr>
            <w:tcW w:w="2220" w:type="dxa"/>
            <w:vAlign w:val="bottom"/>
            <w:gridSpan w:val="2"/>
          </w:tcPr>
          <w:p>
            <w:pPr>
              <w:ind w:left="160"/>
              <w:spacing w:after="0"/>
              <w:rPr>
                <w:sz w:val="20"/>
                <w:szCs w:val="20"/>
                <w:color w:val="auto"/>
              </w:rPr>
            </w:pPr>
            <w:r>
              <w:rPr>
                <w:rFonts w:ascii="Arial" w:cs="Arial" w:eastAsia="Arial" w:hAnsi="Arial"/>
                <w:sz w:val="14"/>
                <w:szCs w:val="14"/>
                <w:b w:val="1"/>
                <w:bCs w:val="1"/>
                <w:color w:val="auto"/>
              </w:rPr>
              <w:t>Net Book Value of Loans</w:t>
            </w:r>
          </w:p>
        </w:tc>
        <w:tc>
          <w:tcPr>
            <w:tcW w:w="4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24 Month Revolving Period</w:t>
            </w:r>
          </w:p>
        </w:tc>
        <w:tc>
          <w:tcPr>
            <w:tcW w:w="0" w:type="dxa"/>
            <w:vAlign w:val="bottom"/>
          </w:tcPr>
          <w:p>
            <w:pPr>
              <w:spacing w:after="0"/>
              <w:rPr>
                <w:sz w:val="1"/>
                <w:szCs w:val="1"/>
                <w:color w:val="auto"/>
              </w:rPr>
            </w:pPr>
          </w:p>
        </w:tc>
      </w:tr>
      <w:tr>
        <w:trPr>
          <w:trHeight w:val="205"/>
        </w:trPr>
        <w:tc>
          <w:tcPr>
            <w:tcW w:w="21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4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Contributed at Closing</w:t>
            </w:r>
          </w:p>
        </w:tc>
        <w:tc>
          <w:tcPr>
            <w:tcW w:w="120" w:type="dxa"/>
            <w:vAlign w:val="bottom"/>
            <w:tcBorders>
              <w:bottom w:val="single" w:sz="8" w:color="CCEEFF"/>
            </w:tcBorders>
          </w:tcPr>
          <w:p>
            <w:pPr>
              <w:spacing w:after="0"/>
              <w:rPr>
                <w:sz w:val="17"/>
                <w:szCs w:val="17"/>
                <w:color w:val="auto"/>
              </w:rPr>
            </w:pPr>
          </w:p>
        </w:tc>
        <w:tc>
          <w:tcPr>
            <w:tcW w:w="4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Term ABS 2015-1</w:t>
            </w:r>
          </w:p>
        </w:tc>
        <w:tc>
          <w:tcPr>
            <w:tcW w:w="25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January 29, 2015</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375.9</w:t>
            </w:r>
          </w:p>
        </w:tc>
        <w:tc>
          <w:tcPr>
            <w:tcW w:w="120" w:type="dxa"/>
            <w:vAlign w:val="bottom"/>
            <w:tcBorders>
              <w:bottom w:val="single" w:sz="8" w:color="CCEEFF"/>
            </w:tcBorders>
            <w:shd w:val="clear" w:color="auto" w:fill="CCEEFF"/>
          </w:tcPr>
          <w:p>
            <w:pPr>
              <w:spacing w:after="0"/>
              <w:rPr>
                <w:sz w:val="21"/>
                <w:szCs w:val="21"/>
                <w:color w:val="auto"/>
              </w:rPr>
            </w:pPr>
          </w:p>
        </w:tc>
        <w:tc>
          <w:tcPr>
            <w:tcW w:w="4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Through January 16, 2017</w:t>
            </w:r>
          </w:p>
        </w:tc>
        <w:tc>
          <w:tcPr>
            <w:tcW w:w="0" w:type="dxa"/>
            <w:vAlign w:val="bottom"/>
          </w:tcPr>
          <w:p>
            <w:pPr>
              <w:spacing w:after="0"/>
              <w:rPr>
                <w:sz w:val="1"/>
                <w:szCs w:val="1"/>
                <w:color w:val="auto"/>
              </w:rPr>
            </w:pPr>
          </w:p>
        </w:tc>
      </w:tr>
      <w:tr>
        <w:trPr>
          <w:trHeight w:val="243"/>
        </w:trPr>
        <w:tc>
          <w:tcPr>
            <w:tcW w:w="2300" w:type="dxa"/>
            <w:vAlign w:val="bottom"/>
            <w:gridSpan w:val="2"/>
          </w:tcPr>
          <w:p>
            <w:pPr>
              <w:ind w:left="40"/>
              <w:spacing w:after="0"/>
              <w:rPr>
                <w:sz w:val="20"/>
                <w:szCs w:val="20"/>
                <w:color w:val="auto"/>
              </w:rPr>
            </w:pPr>
            <w:r>
              <w:rPr>
                <w:rFonts w:ascii="Arial" w:cs="Arial" w:eastAsia="Arial" w:hAnsi="Arial"/>
                <w:sz w:val="18"/>
                <w:szCs w:val="18"/>
                <w:color w:val="auto"/>
              </w:rPr>
              <w:t>Term ABS 2015-2</w:t>
            </w:r>
          </w:p>
        </w:tc>
        <w:tc>
          <w:tcPr>
            <w:tcW w:w="25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August 20, 2015</w:t>
            </w:r>
          </w:p>
        </w:tc>
        <w:tc>
          <w:tcPr>
            <w:tcW w:w="280" w:type="dxa"/>
            <w:vAlign w:val="bottom"/>
          </w:tcPr>
          <w:p>
            <w:pPr>
              <w:spacing w:after="0"/>
              <w:rPr>
                <w:sz w:val="21"/>
                <w:szCs w:val="21"/>
                <w:color w:val="auto"/>
              </w:rPr>
            </w:pPr>
          </w:p>
        </w:tc>
        <w:tc>
          <w:tcPr>
            <w:tcW w:w="2100" w:type="dxa"/>
            <w:vAlign w:val="bottom"/>
          </w:tcPr>
          <w:p>
            <w:pPr>
              <w:jc w:val="right"/>
              <w:ind w:right="14"/>
              <w:spacing w:after="0"/>
              <w:rPr>
                <w:sz w:val="20"/>
                <w:szCs w:val="20"/>
                <w:color w:val="auto"/>
              </w:rPr>
            </w:pPr>
            <w:r>
              <w:rPr>
                <w:rFonts w:ascii="Arial" w:cs="Arial" w:eastAsia="Arial" w:hAnsi="Arial"/>
                <w:sz w:val="18"/>
                <w:szCs w:val="18"/>
                <w:color w:val="auto"/>
              </w:rPr>
              <w:t>375.5</w:t>
            </w:r>
          </w:p>
        </w:tc>
        <w:tc>
          <w:tcPr>
            <w:tcW w:w="120" w:type="dxa"/>
            <w:vAlign w:val="bottom"/>
          </w:tcPr>
          <w:p>
            <w:pPr>
              <w:spacing w:after="0"/>
              <w:rPr>
                <w:sz w:val="21"/>
                <w:szCs w:val="21"/>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1"/>
              </w:rPr>
              <w:t>Through August 15, 2017</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Term ABS 2016-1</w:t>
            </w:r>
          </w:p>
        </w:tc>
        <w:tc>
          <w:tcPr>
            <w:tcW w:w="25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February 26, 2016</w:t>
            </w:r>
          </w:p>
        </w:tc>
        <w:tc>
          <w:tcPr>
            <w:tcW w:w="28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481.4</w:t>
            </w:r>
          </w:p>
        </w:tc>
        <w:tc>
          <w:tcPr>
            <w:tcW w:w="120" w:type="dxa"/>
            <w:vAlign w:val="bottom"/>
            <w:tcBorders>
              <w:bottom w:val="single" w:sz="8" w:color="CCEEFF"/>
            </w:tcBorders>
            <w:shd w:val="clear" w:color="auto" w:fill="CCEEFF"/>
          </w:tcPr>
          <w:p>
            <w:pPr>
              <w:spacing w:after="0"/>
              <w:rPr>
                <w:sz w:val="21"/>
                <w:szCs w:val="21"/>
                <w:color w:val="auto"/>
              </w:rPr>
            </w:pPr>
          </w:p>
        </w:tc>
        <w:tc>
          <w:tcPr>
            <w:tcW w:w="4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Through February 15, 2018</w:t>
            </w:r>
          </w:p>
        </w:tc>
        <w:tc>
          <w:tcPr>
            <w:tcW w:w="0" w:type="dxa"/>
            <w:vAlign w:val="bottom"/>
          </w:tcPr>
          <w:p>
            <w:pPr>
              <w:spacing w:after="0"/>
              <w:rPr>
                <w:sz w:val="1"/>
                <w:szCs w:val="1"/>
                <w:color w:val="auto"/>
              </w:rPr>
            </w:pPr>
          </w:p>
        </w:tc>
      </w:tr>
      <w:tr>
        <w:trPr>
          <w:trHeight w:val="243"/>
        </w:trPr>
        <w:tc>
          <w:tcPr>
            <w:tcW w:w="2300" w:type="dxa"/>
            <w:vAlign w:val="bottom"/>
            <w:gridSpan w:val="2"/>
          </w:tcPr>
          <w:p>
            <w:pPr>
              <w:ind w:left="40"/>
              <w:spacing w:after="0"/>
              <w:rPr>
                <w:sz w:val="20"/>
                <w:szCs w:val="20"/>
                <w:color w:val="auto"/>
              </w:rPr>
            </w:pPr>
            <w:r>
              <w:rPr>
                <w:rFonts w:ascii="Arial" w:cs="Arial" w:eastAsia="Arial" w:hAnsi="Arial"/>
                <w:sz w:val="18"/>
                <w:szCs w:val="18"/>
                <w:color w:val="auto"/>
              </w:rPr>
              <w:t>Term ABS 2016-2</w:t>
            </w:r>
          </w:p>
        </w:tc>
        <w:tc>
          <w:tcPr>
            <w:tcW w:w="25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May 12, 2016</w:t>
            </w:r>
          </w:p>
        </w:tc>
        <w:tc>
          <w:tcPr>
            <w:tcW w:w="280" w:type="dxa"/>
            <w:vAlign w:val="bottom"/>
          </w:tcPr>
          <w:p>
            <w:pPr>
              <w:spacing w:after="0"/>
              <w:rPr>
                <w:sz w:val="21"/>
                <w:szCs w:val="21"/>
                <w:color w:val="auto"/>
              </w:rPr>
            </w:pPr>
          </w:p>
        </w:tc>
        <w:tc>
          <w:tcPr>
            <w:tcW w:w="2100" w:type="dxa"/>
            <w:vAlign w:val="bottom"/>
          </w:tcPr>
          <w:p>
            <w:pPr>
              <w:jc w:val="right"/>
              <w:ind w:right="14"/>
              <w:spacing w:after="0"/>
              <w:rPr>
                <w:sz w:val="20"/>
                <w:szCs w:val="20"/>
                <w:color w:val="auto"/>
              </w:rPr>
            </w:pPr>
            <w:r>
              <w:rPr>
                <w:rFonts w:ascii="Arial" w:cs="Arial" w:eastAsia="Arial" w:hAnsi="Arial"/>
                <w:sz w:val="18"/>
                <w:szCs w:val="18"/>
                <w:color w:val="auto"/>
              </w:rPr>
              <w:t>437.8</w:t>
            </w:r>
          </w:p>
        </w:tc>
        <w:tc>
          <w:tcPr>
            <w:tcW w:w="120" w:type="dxa"/>
            <w:vAlign w:val="bottom"/>
          </w:tcPr>
          <w:p>
            <w:pPr>
              <w:spacing w:after="0"/>
              <w:rPr>
                <w:sz w:val="21"/>
                <w:szCs w:val="21"/>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1"/>
              </w:rPr>
              <w:t>Through May 15, 2018</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Term ABS 2016-3</w:t>
            </w:r>
          </w:p>
        </w:tc>
        <w:tc>
          <w:tcPr>
            <w:tcW w:w="25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October 27, 2016</w:t>
            </w:r>
          </w:p>
        </w:tc>
        <w:tc>
          <w:tcPr>
            <w:tcW w:w="28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437.8</w:t>
            </w:r>
          </w:p>
        </w:tc>
        <w:tc>
          <w:tcPr>
            <w:tcW w:w="120" w:type="dxa"/>
            <w:vAlign w:val="bottom"/>
            <w:tcBorders>
              <w:bottom w:val="single" w:sz="8" w:color="CCEEFF"/>
            </w:tcBorders>
            <w:shd w:val="clear" w:color="auto" w:fill="CCEEFF"/>
          </w:tcPr>
          <w:p>
            <w:pPr>
              <w:spacing w:after="0"/>
              <w:rPr>
                <w:sz w:val="21"/>
                <w:szCs w:val="21"/>
                <w:color w:val="auto"/>
              </w:rPr>
            </w:pPr>
          </w:p>
        </w:tc>
        <w:tc>
          <w:tcPr>
            <w:tcW w:w="4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Through October 15, 2018</w:t>
            </w:r>
          </w:p>
        </w:tc>
        <w:tc>
          <w:tcPr>
            <w:tcW w:w="0" w:type="dxa"/>
            <w:vAlign w:val="bottom"/>
          </w:tcPr>
          <w:p>
            <w:pPr>
              <w:spacing w:after="0"/>
              <w:rPr>
                <w:sz w:val="1"/>
                <w:szCs w:val="1"/>
                <w:color w:val="auto"/>
              </w:rPr>
            </w:pPr>
          </w:p>
        </w:tc>
      </w:tr>
      <w:tr>
        <w:trPr>
          <w:trHeight w:val="243"/>
        </w:trPr>
        <w:tc>
          <w:tcPr>
            <w:tcW w:w="2300" w:type="dxa"/>
            <w:vAlign w:val="bottom"/>
            <w:gridSpan w:val="2"/>
          </w:tcPr>
          <w:p>
            <w:pPr>
              <w:ind w:left="40"/>
              <w:spacing w:after="0"/>
              <w:rPr>
                <w:sz w:val="20"/>
                <w:szCs w:val="20"/>
                <w:color w:val="auto"/>
              </w:rPr>
            </w:pPr>
            <w:r>
              <w:rPr>
                <w:rFonts w:ascii="Arial" w:cs="Arial" w:eastAsia="Arial" w:hAnsi="Arial"/>
                <w:sz w:val="18"/>
                <w:szCs w:val="18"/>
                <w:color w:val="auto"/>
              </w:rPr>
              <w:t>Term ABS 2017-1</w:t>
            </w:r>
          </w:p>
        </w:tc>
        <w:tc>
          <w:tcPr>
            <w:tcW w:w="25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February 23, 2017</w:t>
            </w:r>
          </w:p>
        </w:tc>
        <w:tc>
          <w:tcPr>
            <w:tcW w:w="280" w:type="dxa"/>
            <w:vAlign w:val="bottom"/>
          </w:tcPr>
          <w:p>
            <w:pPr>
              <w:spacing w:after="0"/>
              <w:rPr>
                <w:sz w:val="21"/>
                <w:szCs w:val="21"/>
                <w:color w:val="auto"/>
              </w:rPr>
            </w:pPr>
          </w:p>
        </w:tc>
        <w:tc>
          <w:tcPr>
            <w:tcW w:w="2100" w:type="dxa"/>
            <w:vAlign w:val="bottom"/>
          </w:tcPr>
          <w:p>
            <w:pPr>
              <w:jc w:val="right"/>
              <w:ind w:right="14"/>
              <w:spacing w:after="0"/>
              <w:rPr>
                <w:sz w:val="20"/>
                <w:szCs w:val="20"/>
                <w:color w:val="auto"/>
              </w:rPr>
            </w:pPr>
            <w:r>
              <w:rPr>
                <w:rFonts w:ascii="Arial" w:cs="Arial" w:eastAsia="Arial" w:hAnsi="Arial"/>
                <w:sz w:val="18"/>
                <w:szCs w:val="18"/>
                <w:color w:val="auto"/>
              </w:rPr>
              <w:t>437.8</w:t>
            </w:r>
          </w:p>
        </w:tc>
        <w:tc>
          <w:tcPr>
            <w:tcW w:w="120" w:type="dxa"/>
            <w:vAlign w:val="bottom"/>
          </w:tcPr>
          <w:p>
            <w:pPr>
              <w:spacing w:after="0"/>
              <w:rPr>
                <w:sz w:val="21"/>
                <w:szCs w:val="21"/>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0"/>
              </w:rPr>
              <w:t>Through February 15, 2019</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Term ABS 2017-2</w:t>
            </w:r>
          </w:p>
        </w:tc>
        <w:tc>
          <w:tcPr>
            <w:tcW w:w="25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June 29, 2017</w:t>
            </w:r>
          </w:p>
        </w:tc>
        <w:tc>
          <w:tcPr>
            <w:tcW w:w="28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563.2</w:t>
            </w:r>
          </w:p>
        </w:tc>
        <w:tc>
          <w:tcPr>
            <w:tcW w:w="120" w:type="dxa"/>
            <w:vAlign w:val="bottom"/>
            <w:tcBorders>
              <w:bottom w:val="single" w:sz="8" w:color="CCEEFF"/>
            </w:tcBorders>
            <w:shd w:val="clear" w:color="auto" w:fill="CCEEFF"/>
          </w:tcPr>
          <w:p>
            <w:pPr>
              <w:spacing w:after="0"/>
              <w:rPr>
                <w:sz w:val="21"/>
                <w:szCs w:val="21"/>
                <w:color w:val="auto"/>
              </w:rPr>
            </w:pPr>
          </w:p>
        </w:tc>
        <w:tc>
          <w:tcPr>
            <w:tcW w:w="4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Through June 17, 2019</w:t>
            </w:r>
          </w:p>
        </w:tc>
        <w:tc>
          <w:tcPr>
            <w:tcW w:w="0" w:type="dxa"/>
            <w:vAlign w:val="bottom"/>
          </w:tcPr>
          <w:p>
            <w:pPr>
              <w:spacing w:after="0"/>
              <w:rPr>
                <w:sz w:val="1"/>
                <w:szCs w:val="1"/>
                <w:color w:val="auto"/>
              </w:rPr>
            </w:pPr>
          </w:p>
        </w:tc>
      </w:tr>
      <w:tr>
        <w:trPr>
          <w:trHeight w:val="243"/>
        </w:trPr>
        <w:tc>
          <w:tcPr>
            <w:tcW w:w="2300" w:type="dxa"/>
            <w:vAlign w:val="bottom"/>
            <w:gridSpan w:val="2"/>
          </w:tcPr>
          <w:p>
            <w:pPr>
              <w:ind w:left="40"/>
              <w:spacing w:after="0"/>
              <w:rPr>
                <w:sz w:val="20"/>
                <w:szCs w:val="20"/>
                <w:color w:val="auto"/>
              </w:rPr>
            </w:pPr>
            <w:r>
              <w:rPr>
                <w:rFonts w:ascii="Arial" w:cs="Arial" w:eastAsia="Arial" w:hAnsi="Arial"/>
                <w:sz w:val="18"/>
                <w:szCs w:val="18"/>
                <w:color w:val="auto"/>
              </w:rPr>
              <w:t>Term ABS 2017-3</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October 26, 2017</w:t>
            </w:r>
          </w:p>
        </w:tc>
        <w:tc>
          <w:tcPr>
            <w:tcW w:w="280" w:type="dxa"/>
            <w:vAlign w:val="bottom"/>
          </w:tcPr>
          <w:p>
            <w:pPr>
              <w:spacing w:after="0"/>
              <w:rPr>
                <w:sz w:val="21"/>
                <w:szCs w:val="21"/>
                <w:color w:val="auto"/>
              </w:rPr>
            </w:pPr>
          </w:p>
        </w:tc>
        <w:tc>
          <w:tcPr>
            <w:tcW w:w="2100" w:type="dxa"/>
            <w:vAlign w:val="bottom"/>
          </w:tcPr>
          <w:p>
            <w:pPr>
              <w:jc w:val="right"/>
              <w:ind w:right="14"/>
              <w:spacing w:after="0"/>
              <w:rPr>
                <w:sz w:val="20"/>
                <w:szCs w:val="20"/>
                <w:color w:val="auto"/>
              </w:rPr>
            </w:pPr>
            <w:r>
              <w:rPr>
                <w:rFonts w:ascii="Arial" w:cs="Arial" w:eastAsia="Arial" w:hAnsi="Arial"/>
                <w:sz w:val="18"/>
                <w:szCs w:val="18"/>
                <w:color w:val="auto"/>
              </w:rPr>
              <w:t>437.6</w:t>
            </w:r>
          </w:p>
        </w:tc>
        <w:tc>
          <w:tcPr>
            <w:tcW w:w="120" w:type="dxa"/>
            <w:vAlign w:val="bottom"/>
          </w:tcPr>
          <w:p>
            <w:pPr>
              <w:spacing w:after="0"/>
              <w:rPr>
                <w:sz w:val="21"/>
                <w:szCs w:val="21"/>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0"/>
              </w:rPr>
              <w:t>Through October 15, 2019</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w:t>
      </w:r>
    </w:p>
    <w:p>
      <w:pPr>
        <w:spacing w:after="0" w:line="22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On March 30, 2015, we issued $250.0 million aggregate principal amount of 7.375% senior notes due 2023 (the “2023 senior notes”). The 2023 senior notes were issued pursuant to an indenture, dated as of March 30, 2015, among the Company, as issuer, the Company’s subsidiaries Buyers Vehicle Protection Plan, Inc. and Vehicle Remarketing Services, Inc., as guarantors (collectively, the “Guarantors”), and U.S. Bank National Association, as trustee.</w:t>
      </w:r>
    </w:p>
    <w:p>
      <w:pPr>
        <w:spacing w:after="0" w:line="14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2023 senior notes mature on March 15, 2023 and bear interest at a rate of 7.375% per annum, computed on the basis of a 360-day year composed of twelve 30-day months and payable semi-annually on March 15 and September 15 of each year, beginning on September 15, 2015. The 2023 senior notes were issued at a price of 99.266% of their aggregate principal amount, resulting in gross proceeds of $248.2 million, and a yield to maturity of 7.5% per annum. We used the net proceeds from the offering of the notes for general corporate purposes, including repayment of outstanding borrowings under our revolving secured line of credit facility.</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January 22, 2014, we issued $300.0 million aggregate principal amount of 6.125% senior notes due 2021 (the “2021 senior notes”). The 2021 senior notes were issued pursuant to an indenture, dated as of January 22, 2014, among the Company, the Guarantors, and U.S. Bank National Association, as trustee.</w:t>
      </w:r>
    </w:p>
    <w:p>
      <w:pPr>
        <w:spacing w:after="0" w:line="18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2021 senior notes mature on February 15, 2021 and bear interest at a rate of 6.125% per annum, computed on the basis of a 360-day year composed of twelve 30-day months and payable semi-annually on February 15 and August 15 of each year, beginning on August 15, 2014. We used the net proceeds from the 2021 senior notes, together with borrowings under our revolving credit facilities, to redeem in full the $350.0 million aggregate principal amount of our 9.125% first priority senior secured notes due 2017 (the “2017 senior notes”) on February 21, 2014. During the first quarter of 2014, we recognized a pre-tax loss on extinguishment of debt of $21.8 million related to the redemption of the 2017 senior notes.</w:t>
      </w:r>
    </w:p>
    <w:p>
      <w:pPr>
        <w:spacing w:after="0" w:line="1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Both the 2021 senior notes and the 2023 senior notes (the "senior notes") are guaranteed on a senior basis by the Guarantors, which are also guarantors of obligations under our revolving secured line of credit facility. Other existing and future subsidiaries of ours may become guarantors of the senior notes in the future. The indentures for the senior notes provide for a guarantor of the senior notes to be released from its obligations under its guarantee of the senior notes under specified circumstances.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337"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Debt Maturities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scheduled principal maturities of our debt as of December 31, 2017 are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7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Year</w:t>
            </w:r>
          </w:p>
        </w:tc>
        <w:tc>
          <w:tcPr>
            <w:tcW w:w="1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2"/>
          </w:tcPr>
          <w:p>
            <w:pPr>
              <w:spacing w:after="0"/>
              <w:rPr>
                <w:sz w:val="20"/>
                <w:szCs w:val="20"/>
                <w:color w:val="auto"/>
              </w:rPr>
            </w:pPr>
            <w:r>
              <w:rPr>
                <w:rFonts w:ascii="Arial" w:cs="Arial" w:eastAsia="Arial" w:hAnsi="Arial"/>
                <w:sz w:val="14"/>
                <w:szCs w:val="14"/>
                <w:b w:val="1"/>
                <w:bCs w:val="1"/>
                <w:color w:val="auto"/>
              </w:rPr>
              <w:t>Revolving Secured Line of</w:t>
            </w:r>
          </w:p>
        </w:tc>
        <w:tc>
          <w:tcPr>
            <w:tcW w:w="200" w:type="dxa"/>
            <w:vAlign w:val="bottom"/>
          </w:tcPr>
          <w:p>
            <w:pPr>
              <w:spacing w:after="0"/>
              <w:rPr>
                <w:sz w:val="14"/>
                <w:szCs w:val="14"/>
                <w:color w:val="auto"/>
              </w:rPr>
            </w:pPr>
          </w:p>
        </w:tc>
        <w:tc>
          <w:tcPr>
            <w:tcW w:w="16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Warehouse Facilities</w:t>
            </w:r>
          </w:p>
        </w:tc>
        <w:tc>
          <w:tcPr>
            <w:tcW w:w="120" w:type="dxa"/>
            <w:vAlign w:val="bottom"/>
            <w:vMerge w:val="restart"/>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gridSpan w:val="2"/>
          </w:tcPr>
          <w:p>
            <w:pPr>
              <w:ind w:left="300"/>
              <w:spacing w:after="0"/>
              <w:rPr>
                <w:sz w:val="20"/>
                <w:szCs w:val="20"/>
                <w:color w:val="auto"/>
              </w:rPr>
            </w:pPr>
            <w:r>
              <w:rPr>
                <w:rFonts w:ascii="Arial" w:cs="Arial" w:eastAsia="Arial" w:hAnsi="Arial"/>
                <w:sz w:val="14"/>
                <w:szCs w:val="14"/>
                <w:b w:val="1"/>
                <w:bCs w:val="1"/>
                <w:color w:val="auto"/>
              </w:rPr>
              <w:t>Term ABS</w:t>
            </w:r>
          </w:p>
        </w:tc>
        <w:tc>
          <w:tcPr>
            <w:tcW w:w="320" w:type="dxa"/>
            <w:vAlign w:val="bottom"/>
          </w:tcPr>
          <w:p>
            <w:pPr>
              <w:spacing w:after="0"/>
              <w:rPr>
                <w:sz w:val="14"/>
                <w:szCs w:val="14"/>
                <w:color w:val="auto"/>
              </w:rPr>
            </w:pPr>
          </w:p>
        </w:tc>
        <w:tc>
          <w:tcPr>
            <w:tcW w:w="150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Senior Notes</w:t>
            </w:r>
          </w:p>
        </w:tc>
        <w:tc>
          <w:tcPr>
            <w:tcW w:w="120" w:type="dxa"/>
            <w:vAlign w:val="bottom"/>
            <w:vMerge w:val="restart"/>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vMerge w:val="restart"/>
          </w:tcPr>
          <w:p>
            <w:pPr>
              <w:jc w:val="right"/>
              <w:ind w:right="6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5"/>
        </w:trPr>
        <w:tc>
          <w:tcPr>
            <w:tcW w:w="17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Credit Facility</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Financings (1)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800.1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800.1</w:t>
            </w:r>
          </w:p>
        </w:tc>
        <w:tc>
          <w:tcPr>
            <w:tcW w:w="0" w:type="dxa"/>
            <w:vAlign w:val="bottom"/>
          </w:tcPr>
          <w:p>
            <w:pPr>
              <w:spacing w:after="0"/>
              <w:rPr>
                <w:sz w:val="1"/>
                <w:szCs w:val="1"/>
                <w:color w:val="auto"/>
              </w:rPr>
            </w:pPr>
          </w:p>
        </w:tc>
      </w:tr>
      <w:tr>
        <w:trPr>
          <w:trHeight w:val="243"/>
        </w:trPr>
        <w:tc>
          <w:tcPr>
            <w:tcW w:w="1720" w:type="dxa"/>
            <w:vAlign w:val="bottom"/>
          </w:tcPr>
          <w:p>
            <w:pPr>
              <w:ind w:left="4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74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1,015.6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1,015.6</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703.9</w:t>
            </w:r>
          </w:p>
        </w:tc>
        <w:tc>
          <w:tcPr>
            <w:tcW w:w="0" w:type="dxa"/>
            <w:vAlign w:val="bottom"/>
          </w:tcPr>
          <w:p>
            <w:pPr>
              <w:spacing w:after="0"/>
              <w:rPr>
                <w:sz w:val="1"/>
                <w:szCs w:val="1"/>
                <w:color w:val="auto"/>
              </w:rPr>
            </w:pPr>
          </w:p>
        </w:tc>
      </w:tr>
      <w:tr>
        <w:trPr>
          <w:trHeight w:val="243"/>
        </w:trPr>
        <w:tc>
          <w:tcPr>
            <w:tcW w:w="1720" w:type="dxa"/>
            <w:vAlign w:val="bottom"/>
          </w:tcPr>
          <w:p>
            <w:pPr>
              <w:ind w:left="4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74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323.4</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18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ind w:left="13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250.0</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57"/>
        </w:trPr>
        <w:tc>
          <w:tcPr>
            <w:tcW w:w="1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2,529.1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550.0</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3,093.0</w:t>
            </w: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500" w:hanging="330"/>
        <w:spacing w:after="0"/>
        <w:tabs>
          <w:tab w:leader="none" w:pos="50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principal maturities of the Term ABS transactions are estimated based on forecasted collections.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Covenants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of December 31, 2017, we were in compliance with our covenants under the revolving secured line of credit facility, including those that require the maintenance of certain financial ratios and other financial conditions. These covenants require a minimum ratio of (1) our net earnings, adjusted for specified items, before income taxes, depreciation, amortization and fixed charges to (2) our fixed charges. These covenants also limit the maximum ratio of our funded debt less unrestricted cash and cash equivalents to tangible net worth. Additionally, we must maintain consolidated net income of not less than $1 for the two most recently ended fiscal quarters. Some of these covenants may indirectly limit the repurchase of common stock or payment of dividends on common stock.</w:t>
      </w:r>
    </w:p>
    <w:p>
      <w:pPr>
        <w:spacing w:after="0" w:line="1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Warehouse facilities and Term ABS financings also contain covenants that measure the performance of the contributed assets. As of December 31, 2017, we were in compliance with all such covenants. As of the end of the year, we were also in compliance with our covenants under the senior notes indentures.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337" w:right="239"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left="640" w:hanging="632"/>
        <w:spacing w:after="0"/>
        <w:tabs>
          <w:tab w:leader="none" w:pos="64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AND HEDGING INSTRUMENTS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i w:val="1"/>
          <w:iCs w:val="1"/>
          <w:color w:val="auto"/>
        </w:rPr>
        <w:t xml:space="preserve">Interest Rate Caps. </w:t>
      </w:r>
      <w:r>
        <w:rPr>
          <w:rFonts w:ascii="Arial" w:cs="Arial" w:eastAsia="Arial" w:hAnsi="Arial"/>
          <w:sz w:val="18"/>
          <w:szCs w:val="18"/>
          <w:color w:val="auto"/>
        </w:rPr>
        <w:t>We utilize interest rate cap agreements to manage the interest rate risk on certain secured financings. The following tables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the terms of our interest rate cap agreements that were in effect as of December 31, 2017 and 2016:</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(Dollars in millions)</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As of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3773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37730" cy="17145"/>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7"/>
              </w:rPr>
              <w:t>Facility Amount</w:t>
            </w:r>
          </w:p>
        </w:tc>
        <w:tc>
          <w:tcPr>
            <w:tcW w:w="120" w:type="dxa"/>
            <w:vAlign w:val="bottom"/>
            <w:tcBorders>
              <w:bottom w:val="single" w:sz="8" w:color="CCEEFF"/>
            </w:tcBorders>
          </w:tcPr>
          <w:p>
            <w:pPr>
              <w:spacing w:after="0"/>
              <w:rPr>
                <w:sz w:val="17"/>
                <w:szCs w:val="17"/>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Facility Name</w:t>
            </w:r>
          </w:p>
        </w:tc>
        <w:tc>
          <w:tcPr>
            <w:tcW w:w="100" w:type="dxa"/>
            <w:vAlign w:val="bottom"/>
            <w:tcBorders>
              <w:bottom w:val="single" w:sz="8" w:color="CCEEFF"/>
            </w:tcBorders>
          </w:tcPr>
          <w:p>
            <w:pPr>
              <w:spacing w:after="0"/>
              <w:rPr>
                <w:sz w:val="17"/>
                <w:szCs w:val="17"/>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Purpose</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Start</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End</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Notional</w:t>
            </w:r>
          </w:p>
        </w:tc>
        <w:tc>
          <w:tcPr>
            <w:tcW w:w="120" w:type="dxa"/>
            <w:vAlign w:val="bottom"/>
            <w:tcBorders>
              <w:bottom w:val="single" w:sz="8" w:color="CCEEFF"/>
            </w:tcBorders>
          </w:tcPr>
          <w:p>
            <w:pPr>
              <w:spacing w:after="0"/>
              <w:rPr>
                <w:sz w:val="17"/>
                <w:szCs w:val="17"/>
                <w:color w:val="auto"/>
              </w:rPr>
            </w:pPr>
          </w:p>
        </w:tc>
        <w:tc>
          <w:tcPr>
            <w:tcW w:w="18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Cap Interest Rate (1)</w:t>
            </w:r>
          </w:p>
        </w:tc>
      </w:tr>
      <w:tr>
        <w:trPr>
          <w:trHeight w:val="250"/>
        </w:trPr>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400.0</w:t>
            </w:r>
          </w:p>
        </w:tc>
        <w:tc>
          <w:tcPr>
            <w:tcW w:w="1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Warehouse Facility II</w:t>
            </w:r>
          </w:p>
        </w:tc>
        <w:tc>
          <w:tcPr>
            <w:tcW w:w="19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Cap Floating Rate</w:t>
            </w:r>
          </w:p>
        </w:tc>
        <w:tc>
          <w:tcPr>
            <w:tcW w:w="1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shd w:val="clear" w:color="auto" w:fill="CCEEFF"/>
              </w:rPr>
              <w:t>12/2017</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shd w:val="clear" w:color="auto" w:fill="CCEEFF"/>
              </w:rPr>
              <w:t>12/2020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205.0</w:t>
            </w:r>
          </w:p>
        </w:tc>
        <w:tc>
          <w:tcPr>
            <w:tcW w:w="2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5.50%</w:t>
            </w:r>
          </w:p>
        </w:tc>
      </w:tr>
      <w:tr>
        <w:trPr>
          <w:trHeight w:val="270"/>
        </w:trPr>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80" w:type="dxa"/>
            <w:vAlign w:val="bottom"/>
          </w:tcPr>
          <w:p>
            <w:pPr>
              <w:spacing w:after="0"/>
              <w:rPr>
                <w:sz w:val="23"/>
                <w:szCs w:val="23"/>
                <w:color w:val="auto"/>
              </w:rPr>
            </w:pPr>
          </w:p>
        </w:tc>
      </w:tr>
      <w:tr>
        <w:trPr>
          <w:trHeight w:val="250"/>
        </w:trPr>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Warehouse Facility IV</w:t>
            </w:r>
          </w:p>
        </w:tc>
        <w:tc>
          <w:tcPr>
            <w:tcW w:w="19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Cap Floating Rate</w:t>
            </w:r>
          </w:p>
        </w:tc>
        <w:tc>
          <w:tcPr>
            <w:tcW w:w="1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04/2016</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04/2019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75.0</w:t>
            </w:r>
          </w:p>
        </w:tc>
        <w:tc>
          <w:tcPr>
            <w:tcW w:w="2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5.50%</w:t>
            </w:r>
          </w:p>
        </w:tc>
      </w:tr>
      <w:tr>
        <w:trPr>
          <w:trHeight w:val="243"/>
        </w:trPr>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Cap Floating Rate</w:t>
            </w:r>
          </w:p>
        </w:tc>
        <w:tc>
          <w:tcPr>
            <w:tcW w:w="1000" w:type="dxa"/>
            <w:vAlign w:val="bottom"/>
          </w:tcPr>
          <w:p>
            <w:pPr>
              <w:ind w:left="200"/>
              <w:spacing w:after="0"/>
              <w:rPr>
                <w:sz w:val="20"/>
                <w:szCs w:val="20"/>
                <w:color w:val="auto"/>
              </w:rPr>
            </w:pPr>
            <w:r>
              <w:rPr>
                <w:rFonts w:ascii="Arial" w:cs="Arial" w:eastAsia="Arial" w:hAnsi="Arial"/>
                <w:sz w:val="18"/>
                <w:szCs w:val="18"/>
                <w:color w:val="auto"/>
              </w:rPr>
              <w:t>05/2017</w:t>
            </w:r>
          </w:p>
        </w:tc>
        <w:tc>
          <w:tcPr>
            <w:tcW w:w="120" w:type="dxa"/>
            <w:vAlign w:val="bottom"/>
          </w:tcPr>
          <w:p>
            <w:pPr>
              <w:spacing w:after="0"/>
              <w:rPr>
                <w:sz w:val="21"/>
                <w:szCs w:val="21"/>
                <w:color w:val="auto"/>
              </w:rPr>
            </w:pPr>
          </w:p>
        </w:tc>
        <w:tc>
          <w:tcPr>
            <w:tcW w:w="1000" w:type="dxa"/>
            <w:vAlign w:val="bottom"/>
          </w:tcPr>
          <w:p>
            <w:pPr>
              <w:ind w:left="200"/>
              <w:spacing w:after="0"/>
              <w:rPr>
                <w:sz w:val="20"/>
                <w:szCs w:val="20"/>
                <w:color w:val="auto"/>
              </w:rPr>
            </w:pPr>
            <w:r>
              <w:rPr>
                <w:rFonts w:ascii="Arial" w:cs="Arial" w:eastAsia="Arial" w:hAnsi="Arial"/>
                <w:sz w:val="18"/>
                <w:szCs w:val="18"/>
                <w:color w:val="auto"/>
              </w:rPr>
              <w:t>04/2021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25.0</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6.50%</w:t>
            </w:r>
          </w:p>
        </w:tc>
      </w:tr>
      <w:tr>
        <w:trPr>
          <w:trHeight w:val="27"/>
        </w:trPr>
        <w:tc>
          <w:tcPr>
            <w:tcW w:w="1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r>
      <w:tr>
        <w:trPr>
          <w:trHeight w:val="244"/>
        </w:trPr>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r>
      <w:tr>
        <w:trPr>
          <w:trHeight w:val="270"/>
        </w:trPr>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80" w:type="dxa"/>
            <w:vAlign w:val="bottom"/>
          </w:tcPr>
          <w:p>
            <w:pPr>
              <w:spacing w:after="0"/>
              <w:rPr>
                <w:sz w:val="23"/>
                <w:szCs w:val="23"/>
                <w:color w:val="auto"/>
              </w:rPr>
            </w:pPr>
          </w:p>
        </w:tc>
      </w:tr>
      <w:tr>
        <w:trPr>
          <w:trHeight w:val="250"/>
        </w:trPr>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Warehouse Facility V</w:t>
            </w:r>
          </w:p>
        </w:tc>
        <w:tc>
          <w:tcPr>
            <w:tcW w:w="19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Cap Floating Rate</w:t>
            </w:r>
          </w:p>
        </w:tc>
        <w:tc>
          <w:tcPr>
            <w:tcW w:w="1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06/2015</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07/2018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75.0</w:t>
            </w:r>
          </w:p>
        </w:tc>
        <w:tc>
          <w:tcPr>
            <w:tcW w:w="2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5.50%</w:t>
            </w:r>
          </w:p>
        </w:tc>
      </w:tr>
      <w:tr>
        <w:trPr>
          <w:trHeight w:val="243"/>
        </w:trPr>
        <w:tc>
          <w:tcPr>
            <w:tcW w:w="1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385.0</w:t>
            </w:r>
          </w:p>
        </w:tc>
        <w:tc>
          <w:tcPr>
            <w:tcW w:w="120" w:type="dxa"/>
            <w:vAlign w:val="bottom"/>
          </w:tcPr>
          <w:p>
            <w:pPr>
              <w:spacing w:after="0"/>
              <w:rPr>
                <w:sz w:val="21"/>
                <w:szCs w:val="21"/>
                <w:color w:val="auto"/>
              </w:rPr>
            </w:pPr>
          </w:p>
        </w:tc>
        <w:tc>
          <w:tcPr>
            <w:tcW w:w="26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Term ABS 2016-1</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Cap Floating Rate</w:t>
            </w:r>
          </w:p>
        </w:tc>
        <w:tc>
          <w:tcPr>
            <w:tcW w:w="1000" w:type="dxa"/>
            <w:vAlign w:val="bottom"/>
          </w:tcPr>
          <w:p>
            <w:pPr>
              <w:ind w:left="200"/>
              <w:spacing w:after="0"/>
              <w:rPr>
                <w:sz w:val="20"/>
                <w:szCs w:val="20"/>
                <w:color w:val="auto"/>
              </w:rPr>
            </w:pPr>
            <w:r>
              <w:rPr>
                <w:rFonts w:ascii="Arial" w:cs="Arial" w:eastAsia="Arial" w:hAnsi="Arial"/>
                <w:sz w:val="18"/>
                <w:szCs w:val="18"/>
                <w:color w:val="auto"/>
              </w:rPr>
              <w:t>04/2016</w:t>
            </w:r>
          </w:p>
        </w:tc>
        <w:tc>
          <w:tcPr>
            <w:tcW w:w="120" w:type="dxa"/>
            <w:vAlign w:val="bottom"/>
          </w:tcPr>
          <w:p>
            <w:pPr>
              <w:spacing w:after="0"/>
              <w:rPr>
                <w:sz w:val="21"/>
                <w:szCs w:val="21"/>
                <w:color w:val="auto"/>
              </w:rPr>
            </w:pPr>
          </w:p>
        </w:tc>
        <w:tc>
          <w:tcPr>
            <w:tcW w:w="1000" w:type="dxa"/>
            <w:vAlign w:val="bottom"/>
          </w:tcPr>
          <w:p>
            <w:pPr>
              <w:ind w:left="200"/>
              <w:spacing w:after="0"/>
              <w:rPr>
                <w:sz w:val="20"/>
                <w:szCs w:val="20"/>
                <w:color w:val="auto"/>
              </w:rPr>
            </w:pPr>
            <w:r>
              <w:rPr>
                <w:rFonts w:ascii="Arial" w:cs="Arial" w:eastAsia="Arial" w:hAnsi="Arial"/>
                <w:sz w:val="18"/>
                <w:szCs w:val="18"/>
                <w:color w:val="auto"/>
              </w:rPr>
              <w:t>02/2019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385.0</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5.00%</w:t>
            </w:r>
          </w:p>
        </w:tc>
      </w:tr>
      <w:tr>
        <w:trPr>
          <w:trHeight w:val="27"/>
        </w:trPr>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150.0</w:t>
            </w:r>
          </w:p>
        </w:tc>
        <w:tc>
          <w:tcPr>
            <w:tcW w:w="12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shd w:val="clear" w:color="auto" w:fill="CCEEFF"/>
              </w:rPr>
              <w:t>Warehouse Facility VII</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shd w:val="clear" w:color="auto" w:fill="CCEEFF"/>
              </w:rPr>
              <w:t>Cap Floating Rate</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shd w:val="clear" w:color="auto" w:fill="CCEEFF"/>
              </w:rPr>
              <w:t>12/2017</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shd w:val="clear" w:color="auto" w:fill="CCEEFF"/>
              </w:rPr>
              <w:t>11/2021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150.0</w:t>
            </w:r>
          </w:p>
        </w:tc>
        <w:tc>
          <w:tcPr>
            <w:tcW w:w="2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5.50%</w:t>
            </w:r>
          </w:p>
        </w:tc>
      </w:tr>
      <w:tr>
        <w:trPr>
          <w:trHeight w:val="393"/>
        </w:trPr>
        <w:tc>
          <w:tcPr>
            <w:tcW w:w="1500" w:type="dxa"/>
            <w:vAlign w:val="bottom"/>
            <w:gridSpan w:val="3"/>
          </w:tcPr>
          <w:p>
            <w:pPr>
              <w:ind w:left="40"/>
              <w:spacing w:after="0"/>
              <w:rPr>
                <w:sz w:val="20"/>
                <w:szCs w:val="20"/>
                <w:color w:val="auto"/>
              </w:rPr>
            </w:pPr>
            <w:r>
              <w:rPr>
                <w:rFonts w:ascii="Arial" w:cs="Arial" w:eastAsia="Arial" w:hAnsi="Arial"/>
                <w:sz w:val="14"/>
                <w:szCs w:val="14"/>
                <w:color w:val="auto"/>
              </w:rPr>
              <w:t>(Dollars in millions)</w:t>
            </w: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22"/>
        </w:trPr>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4"/>
          </w:tcPr>
          <w:p>
            <w:pPr>
              <w:ind w:left="860"/>
              <w:spacing w:after="0"/>
              <w:rPr>
                <w:sz w:val="20"/>
                <w:szCs w:val="20"/>
                <w:color w:val="auto"/>
              </w:rPr>
            </w:pPr>
            <w:r>
              <w:rPr>
                <w:rFonts w:ascii="Arial" w:cs="Arial" w:eastAsia="Arial" w:hAnsi="Arial"/>
                <w:sz w:val="14"/>
                <w:szCs w:val="14"/>
                <w:b w:val="1"/>
                <w:bCs w:val="1"/>
                <w:color w:val="auto"/>
              </w:rPr>
              <w:t>As of December 31, 2016</w:t>
            </w:r>
          </w:p>
        </w:tc>
        <w:tc>
          <w:tcPr>
            <w:tcW w:w="10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r>
      <w:tr>
        <w:trPr>
          <w:trHeight w:val="264"/>
        </w:trPr>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7"/>
              </w:rPr>
              <w:t>Facility Amount</w:t>
            </w:r>
          </w:p>
        </w:tc>
        <w:tc>
          <w:tcPr>
            <w:tcW w:w="120" w:type="dxa"/>
            <w:vAlign w:val="bottom"/>
            <w:tcBorders>
              <w:bottom w:val="single" w:sz="8" w:color="CCEEFF"/>
            </w:tcBorders>
          </w:tcPr>
          <w:p>
            <w:pPr>
              <w:spacing w:after="0"/>
              <w:rPr>
                <w:sz w:val="22"/>
                <w:szCs w:val="22"/>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Facility Name</w:t>
            </w:r>
          </w:p>
        </w:tc>
        <w:tc>
          <w:tcPr>
            <w:tcW w:w="10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Purpose</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Start</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End</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Notional</w:t>
            </w:r>
          </w:p>
        </w:tc>
        <w:tc>
          <w:tcPr>
            <w:tcW w:w="120" w:type="dxa"/>
            <w:vAlign w:val="bottom"/>
            <w:tcBorders>
              <w:bottom w:val="single" w:sz="8" w:color="CCEEFF"/>
            </w:tcBorders>
          </w:tcPr>
          <w:p>
            <w:pPr>
              <w:spacing w:after="0"/>
              <w:rPr>
                <w:sz w:val="22"/>
                <w:szCs w:val="22"/>
                <w:color w:val="auto"/>
              </w:rPr>
            </w:pPr>
          </w:p>
        </w:tc>
        <w:tc>
          <w:tcPr>
            <w:tcW w:w="18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Cap Interest Rate (1)</w:t>
            </w:r>
          </w:p>
        </w:tc>
      </w:tr>
      <w:tr>
        <w:trPr>
          <w:trHeight w:val="250"/>
        </w:trPr>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400.0</w:t>
            </w:r>
          </w:p>
        </w:tc>
        <w:tc>
          <w:tcPr>
            <w:tcW w:w="1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Warehouse Facility II</w:t>
            </w:r>
          </w:p>
        </w:tc>
        <w:tc>
          <w:tcPr>
            <w:tcW w:w="19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Cap Floating Rate</w:t>
            </w:r>
          </w:p>
        </w:tc>
        <w:tc>
          <w:tcPr>
            <w:tcW w:w="1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06/2016</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12/2017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325.0</w:t>
            </w:r>
          </w:p>
        </w:tc>
        <w:tc>
          <w:tcPr>
            <w:tcW w:w="2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5.50%</w:t>
            </w:r>
          </w:p>
        </w:tc>
      </w:tr>
      <w:tr>
        <w:trPr>
          <w:trHeight w:val="324"/>
        </w:trPr>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0" w:type="dxa"/>
            <w:vAlign w:val="bottom"/>
            <w:gridSpan w:val="2"/>
          </w:tcPr>
          <w:p>
            <w:pPr>
              <w:spacing w:after="0"/>
              <w:rPr>
                <w:sz w:val="24"/>
                <w:szCs w:val="24"/>
                <w:color w:val="auto"/>
              </w:rPr>
            </w:pPr>
          </w:p>
        </w:tc>
      </w:tr>
      <w:tr>
        <w:trPr>
          <w:trHeight w:val="250"/>
        </w:trPr>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75.0</w:t>
            </w:r>
          </w:p>
        </w:tc>
        <w:tc>
          <w:tcPr>
            <w:tcW w:w="1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Warehouse Facility IV</w:t>
            </w:r>
          </w:p>
        </w:tc>
        <w:tc>
          <w:tcPr>
            <w:tcW w:w="19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Cap Floating Rate</w:t>
            </w:r>
          </w:p>
        </w:tc>
        <w:tc>
          <w:tcPr>
            <w:tcW w:w="1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03/2014</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03/2017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w:t>
            </w:r>
          </w:p>
        </w:tc>
        <w:tc>
          <w:tcPr>
            <w:tcW w:w="2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5.50%</w:t>
            </w:r>
          </w:p>
        </w:tc>
      </w:tr>
      <w:tr>
        <w:trPr>
          <w:trHeight w:val="243"/>
        </w:trPr>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Cap Floating Rate</w:t>
            </w:r>
          </w:p>
        </w:tc>
        <w:tc>
          <w:tcPr>
            <w:tcW w:w="1000" w:type="dxa"/>
            <w:vAlign w:val="bottom"/>
          </w:tcPr>
          <w:p>
            <w:pPr>
              <w:ind w:left="200"/>
              <w:spacing w:after="0"/>
              <w:rPr>
                <w:sz w:val="20"/>
                <w:szCs w:val="20"/>
                <w:color w:val="auto"/>
              </w:rPr>
            </w:pPr>
            <w:r>
              <w:rPr>
                <w:rFonts w:ascii="Arial" w:cs="Arial" w:eastAsia="Arial" w:hAnsi="Arial"/>
                <w:sz w:val="18"/>
                <w:szCs w:val="18"/>
                <w:color w:val="auto"/>
              </w:rPr>
              <w:t>04/2016</w:t>
            </w:r>
          </w:p>
        </w:tc>
        <w:tc>
          <w:tcPr>
            <w:tcW w:w="120" w:type="dxa"/>
            <w:vAlign w:val="bottom"/>
          </w:tcPr>
          <w:p>
            <w:pPr>
              <w:spacing w:after="0"/>
              <w:rPr>
                <w:sz w:val="21"/>
                <w:szCs w:val="21"/>
                <w:color w:val="auto"/>
              </w:rPr>
            </w:pPr>
          </w:p>
        </w:tc>
        <w:tc>
          <w:tcPr>
            <w:tcW w:w="1000" w:type="dxa"/>
            <w:vAlign w:val="bottom"/>
          </w:tcPr>
          <w:p>
            <w:pPr>
              <w:ind w:left="200"/>
              <w:spacing w:after="0"/>
              <w:rPr>
                <w:sz w:val="20"/>
                <w:szCs w:val="20"/>
                <w:color w:val="auto"/>
              </w:rPr>
            </w:pPr>
            <w:r>
              <w:rPr>
                <w:rFonts w:ascii="Arial" w:cs="Arial" w:eastAsia="Arial" w:hAnsi="Arial"/>
                <w:sz w:val="18"/>
                <w:szCs w:val="18"/>
                <w:color w:val="auto"/>
              </w:rPr>
              <w:t>04/2019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56.2</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5.50%</w:t>
            </w:r>
          </w:p>
        </w:tc>
      </w:tr>
      <w:tr>
        <w:trPr>
          <w:trHeight w:val="27"/>
        </w:trPr>
        <w:tc>
          <w:tcPr>
            <w:tcW w:w="1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r>
      <w:tr>
        <w:trPr>
          <w:trHeight w:val="244"/>
        </w:trPr>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75.0</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r>
      <w:tr>
        <w:trPr>
          <w:trHeight w:val="324"/>
        </w:trPr>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0" w:type="dxa"/>
            <w:vAlign w:val="bottom"/>
            <w:gridSpan w:val="2"/>
          </w:tcPr>
          <w:p>
            <w:pPr>
              <w:spacing w:after="0"/>
              <w:rPr>
                <w:sz w:val="24"/>
                <w:szCs w:val="24"/>
                <w:color w:val="auto"/>
              </w:rPr>
            </w:pPr>
          </w:p>
        </w:tc>
      </w:tr>
      <w:tr>
        <w:trPr>
          <w:trHeight w:val="250"/>
        </w:trPr>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Warehouse Facility V</w:t>
            </w:r>
          </w:p>
        </w:tc>
        <w:tc>
          <w:tcPr>
            <w:tcW w:w="19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Cap Floating Rate</w:t>
            </w:r>
          </w:p>
        </w:tc>
        <w:tc>
          <w:tcPr>
            <w:tcW w:w="1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06/2015</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07/2018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75.0</w:t>
            </w:r>
          </w:p>
        </w:tc>
        <w:tc>
          <w:tcPr>
            <w:tcW w:w="2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5.50%</w:t>
            </w:r>
          </w:p>
        </w:tc>
      </w:tr>
      <w:tr>
        <w:trPr>
          <w:trHeight w:val="243"/>
        </w:trPr>
        <w:tc>
          <w:tcPr>
            <w:tcW w:w="1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385.0</w:t>
            </w:r>
          </w:p>
        </w:tc>
        <w:tc>
          <w:tcPr>
            <w:tcW w:w="120" w:type="dxa"/>
            <w:vAlign w:val="bottom"/>
          </w:tcPr>
          <w:p>
            <w:pPr>
              <w:spacing w:after="0"/>
              <w:rPr>
                <w:sz w:val="21"/>
                <w:szCs w:val="21"/>
                <w:color w:val="auto"/>
              </w:rPr>
            </w:pPr>
          </w:p>
        </w:tc>
        <w:tc>
          <w:tcPr>
            <w:tcW w:w="26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Term ABS 2016-1</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Cap Floating Rate</w:t>
            </w:r>
          </w:p>
        </w:tc>
        <w:tc>
          <w:tcPr>
            <w:tcW w:w="1000" w:type="dxa"/>
            <w:vAlign w:val="bottom"/>
          </w:tcPr>
          <w:p>
            <w:pPr>
              <w:ind w:left="200"/>
              <w:spacing w:after="0"/>
              <w:rPr>
                <w:sz w:val="20"/>
                <w:szCs w:val="20"/>
                <w:color w:val="auto"/>
              </w:rPr>
            </w:pPr>
            <w:r>
              <w:rPr>
                <w:rFonts w:ascii="Arial" w:cs="Arial" w:eastAsia="Arial" w:hAnsi="Arial"/>
                <w:sz w:val="18"/>
                <w:szCs w:val="18"/>
                <w:color w:val="auto"/>
              </w:rPr>
              <w:t>04/2016</w:t>
            </w:r>
          </w:p>
        </w:tc>
        <w:tc>
          <w:tcPr>
            <w:tcW w:w="120" w:type="dxa"/>
            <w:vAlign w:val="bottom"/>
          </w:tcPr>
          <w:p>
            <w:pPr>
              <w:spacing w:after="0"/>
              <w:rPr>
                <w:sz w:val="21"/>
                <w:szCs w:val="21"/>
                <w:color w:val="auto"/>
              </w:rPr>
            </w:pPr>
          </w:p>
        </w:tc>
        <w:tc>
          <w:tcPr>
            <w:tcW w:w="1000" w:type="dxa"/>
            <w:vAlign w:val="bottom"/>
          </w:tcPr>
          <w:p>
            <w:pPr>
              <w:ind w:left="200"/>
              <w:spacing w:after="0"/>
              <w:rPr>
                <w:sz w:val="20"/>
                <w:szCs w:val="20"/>
                <w:color w:val="auto"/>
              </w:rPr>
            </w:pPr>
            <w:r>
              <w:rPr>
                <w:rFonts w:ascii="Arial" w:cs="Arial" w:eastAsia="Arial" w:hAnsi="Arial"/>
                <w:sz w:val="18"/>
                <w:szCs w:val="18"/>
                <w:color w:val="auto"/>
              </w:rPr>
              <w:t>02/2019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385.0</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5.00%</w:t>
            </w:r>
          </w:p>
        </w:tc>
      </w:tr>
    </w:tbl>
    <w:p>
      <w:pPr>
        <w:spacing w:after="0" w:line="197" w:lineRule="exact"/>
        <w:rPr>
          <w:sz w:val="20"/>
          <w:szCs w:val="20"/>
          <w:color w:val="auto"/>
        </w:rPr>
      </w:pPr>
    </w:p>
    <w:p>
      <w:pPr>
        <w:ind w:left="500" w:hanging="330"/>
        <w:spacing w:after="0"/>
        <w:tabs>
          <w:tab w:leader="none" w:pos="500" w:val="left"/>
        </w:tabs>
        <w:numPr>
          <w:ilvl w:val="0"/>
          <w:numId w:val="64"/>
        </w:numPr>
        <w:rPr>
          <w:rFonts w:ascii="Arial" w:cs="Arial" w:eastAsia="Arial" w:hAnsi="Arial"/>
          <w:sz w:val="14"/>
          <w:szCs w:val="14"/>
          <w:color w:val="auto"/>
        </w:rPr>
      </w:pPr>
      <w:r>
        <w:rPr>
          <w:rFonts w:ascii="Arial" w:cs="Arial" w:eastAsia="Arial" w:hAnsi="Arial"/>
          <w:sz w:val="14"/>
          <w:szCs w:val="14"/>
          <w:color w:val="auto"/>
        </w:rPr>
        <w:t>Rate excludes the spread over the LIBOR rate.</w:t>
      </w:r>
    </w:p>
    <w:p>
      <w:pPr>
        <w:spacing w:after="0" w:line="168" w:lineRule="exact"/>
        <w:rPr>
          <w:sz w:val="20"/>
          <w:szCs w:val="20"/>
          <w:color w:val="auto"/>
        </w:rPr>
      </w:pPr>
    </w:p>
    <w:p>
      <w:pPr>
        <w:ind w:left="60" w:firstLine="324"/>
        <w:spacing w:after="0" w:line="277" w:lineRule="auto"/>
        <w:rPr>
          <w:sz w:val="20"/>
          <w:szCs w:val="20"/>
          <w:color w:val="auto"/>
        </w:rPr>
      </w:pPr>
      <w:r>
        <w:rPr>
          <w:rFonts w:ascii="Arial" w:cs="Arial" w:eastAsia="Arial" w:hAnsi="Arial"/>
          <w:sz w:val="18"/>
          <w:szCs w:val="18"/>
          <w:color w:val="auto"/>
        </w:rPr>
        <w:t>The interest rate caps have not been designated as hedging instruments. As of December 31, 2017 and 2016, the interest rate caps had a fair value of $0.0 million as the capped rates were significantly above market rates.</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Information related to the effect of derivative instruments not designated as hedging instruments on our consolidated statements of income for the years ended December 31, 2017, 2016 and 2015 is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6"/>
          </w:tcPr>
          <w:p>
            <w:pPr>
              <w:jc w:val="center"/>
              <w:ind w:right="250"/>
              <w:spacing w:after="0"/>
              <w:rPr>
                <w:sz w:val="20"/>
                <w:szCs w:val="20"/>
                <w:color w:val="auto"/>
              </w:rPr>
            </w:pPr>
            <w:r>
              <w:rPr>
                <w:rFonts w:ascii="Arial" w:cs="Arial" w:eastAsia="Arial" w:hAnsi="Arial"/>
                <w:sz w:val="14"/>
                <w:szCs w:val="14"/>
                <w:b w:val="1"/>
                <w:bCs w:val="1"/>
                <w:color w:val="auto"/>
                <w:w w:val="94"/>
              </w:rPr>
              <w:t>Amount of (Loss)/ Gain</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400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20" w:type="dxa"/>
            <w:vAlign w:val="bottom"/>
            <w:tcBorders>
              <w:bottom w:val="single" w:sz="8" w:color="auto"/>
            </w:tcBorders>
            <w:gridSpan w:val="9"/>
          </w:tcPr>
          <w:p>
            <w:pPr>
              <w:jc w:val="center"/>
              <w:spacing w:after="0"/>
              <w:rPr>
                <w:sz w:val="20"/>
                <w:szCs w:val="20"/>
                <w:color w:val="auto"/>
              </w:rPr>
            </w:pPr>
            <w:r>
              <w:rPr>
                <w:rFonts w:ascii="Arial" w:cs="Arial" w:eastAsia="Arial" w:hAnsi="Arial"/>
                <w:sz w:val="14"/>
                <w:szCs w:val="14"/>
                <w:b w:val="1"/>
                <w:bCs w:val="1"/>
                <w:color w:val="auto"/>
                <w:w w:val="91"/>
              </w:rPr>
              <w:t>Recognized in Income on Derivatives</w:t>
            </w:r>
          </w:p>
        </w:tc>
        <w:tc>
          <w:tcPr>
            <w:tcW w:w="0" w:type="dxa"/>
            <w:vAlign w:val="bottom"/>
          </w:tcPr>
          <w:p>
            <w:pPr>
              <w:spacing w:after="0"/>
              <w:rPr>
                <w:sz w:val="1"/>
                <w:szCs w:val="1"/>
                <w:color w:val="auto"/>
              </w:rPr>
            </w:pPr>
          </w:p>
        </w:tc>
      </w:tr>
      <w:tr>
        <w:trPr>
          <w:trHeight w:val="250"/>
        </w:trPr>
        <w:tc>
          <w:tcPr>
            <w:tcW w:w="4000" w:type="dxa"/>
            <w:vAlign w:val="bottom"/>
            <w:vMerge w:val="restart"/>
          </w:tcPr>
          <w:p>
            <w:pPr>
              <w:jc w:val="center"/>
              <w:ind w:left="664"/>
              <w:spacing w:after="0"/>
              <w:rPr>
                <w:sz w:val="20"/>
                <w:szCs w:val="20"/>
                <w:color w:val="auto"/>
              </w:rPr>
            </w:pPr>
            <w:r>
              <w:rPr>
                <w:rFonts w:ascii="Arial" w:cs="Arial" w:eastAsia="Arial" w:hAnsi="Arial"/>
                <w:sz w:val="14"/>
                <w:szCs w:val="14"/>
                <w:b w:val="1"/>
                <w:bCs w:val="1"/>
                <w:color w:val="auto"/>
                <w:w w:val="90"/>
              </w:rPr>
              <w:t>Derivatives Not Designated as</w:t>
            </w:r>
          </w:p>
        </w:tc>
        <w:tc>
          <w:tcPr>
            <w:tcW w:w="3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2"/>
              </w:rPr>
              <w:t>For the Years Ended December 31,</w:t>
            </w:r>
          </w:p>
        </w:tc>
        <w:tc>
          <w:tcPr>
            <w:tcW w:w="7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8"/>
        </w:trPr>
        <w:tc>
          <w:tcPr>
            <w:tcW w:w="4000" w:type="dxa"/>
            <w:vAlign w:val="bottom"/>
            <w:vMerge w:val="continue"/>
          </w:tcPr>
          <w:p>
            <w:pPr>
              <w:spacing w:after="0"/>
              <w:rPr>
                <w:sz w:val="5"/>
                <w:szCs w:val="5"/>
                <w:color w:val="auto"/>
              </w:rPr>
            </w:pPr>
          </w:p>
        </w:tc>
        <w:tc>
          <w:tcPr>
            <w:tcW w:w="3660" w:type="dxa"/>
            <w:vAlign w:val="bottom"/>
            <w:vMerge w:val="restart"/>
          </w:tcPr>
          <w:p>
            <w:pPr>
              <w:jc w:val="right"/>
              <w:ind w:right="1116"/>
              <w:spacing w:after="0"/>
              <w:rPr>
                <w:sz w:val="20"/>
                <w:szCs w:val="20"/>
                <w:color w:val="auto"/>
              </w:rPr>
            </w:pPr>
            <w:r>
              <w:rPr>
                <w:rFonts w:ascii="Arial" w:cs="Arial" w:eastAsia="Arial" w:hAnsi="Arial"/>
                <w:sz w:val="14"/>
                <w:szCs w:val="14"/>
                <w:b w:val="1"/>
                <w:bCs w:val="1"/>
                <w:color w:val="auto"/>
              </w:rPr>
              <w:t>Location</w:t>
            </w:r>
          </w:p>
        </w:tc>
        <w:tc>
          <w:tcPr>
            <w:tcW w:w="120" w:type="dxa"/>
            <w:vAlign w:val="bottom"/>
            <w:vMerge w:val="restart"/>
          </w:tcPr>
          <w:p>
            <w:pPr>
              <w:spacing w:after="0"/>
              <w:rPr>
                <w:sz w:val="5"/>
                <w:szCs w:val="5"/>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vMerge w:val="restart"/>
          </w:tcPr>
          <w:p>
            <w:pPr>
              <w:jc w:val="center"/>
              <w:ind w:right="179"/>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205"/>
        </w:trPr>
        <w:tc>
          <w:tcPr>
            <w:tcW w:w="4000" w:type="dxa"/>
            <w:vAlign w:val="bottom"/>
            <w:tcBorders>
              <w:bottom w:val="single" w:sz="8" w:color="auto"/>
            </w:tcBorders>
          </w:tcPr>
          <w:p>
            <w:pPr>
              <w:jc w:val="center"/>
              <w:ind w:left="624"/>
              <w:spacing w:after="0"/>
              <w:rPr>
                <w:sz w:val="20"/>
                <w:szCs w:val="20"/>
                <w:color w:val="auto"/>
              </w:rPr>
            </w:pPr>
            <w:r>
              <w:rPr>
                <w:rFonts w:ascii="Arial" w:cs="Arial" w:eastAsia="Arial" w:hAnsi="Arial"/>
                <w:sz w:val="14"/>
                <w:szCs w:val="14"/>
                <w:b w:val="1"/>
                <w:bCs w:val="1"/>
                <w:color w:val="auto"/>
                <w:w w:val="92"/>
              </w:rPr>
              <w:t>Hedging Instruments</w:t>
            </w:r>
          </w:p>
        </w:tc>
        <w:tc>
          <w:tcPr>
            <w:tcW w:w="36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caps</w:t>
            </w:r>
          </w:p>
        </w:tc>
        <w:tc>
          <w:tcPr>
            <w:tcW w:w="378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Interest expense</w:t>
            </w:r>
          </w:p>
        </w:tc>
        <w:tc>
          <w:tcPr>
            <w:tcW w:w="740" w:type="dxa"/>
            <w:vAlign w:val="bottom"/>
            <w:tcBorders>
              <w:bottom w:val="single" w:sz="8" w:color="CCEEFF"/>
            </w:tcBorders>
            <w:shd w:val="clear" w:color="auto" w:fill="CCEEFF"/>
          </w:tcPr>
          <w:p>
            <w:pPr>
              <w:jc w:val="right"/>
              <w:ind w:right="542"/>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(0.1)</w:t>
            </w:r>
          </w:p>
        </w:tc>
        <w:tc>
          <w:tcPr>
            <w:tcW w:w="4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5"/>
        </w:trPr>
        <w:tc>
          <w:tcPr>
            <w:tcW w:w="4000" w:type="dxa"/>
            <w:vAlign w:val="bottom"/>
          </w:tcPr>
          <w:p>
            <w:pPr>
              <w:spacing w:after="0"/>
              <w:rPr>
                <w:sz w:val="24"/>
                <w:szCs w:val="24"/>
                <w:color w:val="auto"/>
              </w:rPr>
            </w:pPr>
          </w:p>
        </w:tc>
        <w:tc>
          <w:tcPr>
            <w:tcW w:w="3660" w:type="dxa"/>
            <w:vAlign w:val="bottom"/>
          </w:tcPr>
          <w:p>
            <w:pPr>
              <w:jc w:val="right"/>
              <w:ind w:right="1776"/>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left="720" w:hanging="712"/>
        <w:spacing w:after="0"/>
        <w:tabs>
          <w:tab w:leader="none" w:pos="72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In the normal course of our business, affiliated Dealers assigned Consumer Loans to us under the Portfolio and Purchase Programs. Dealer Loans and Purchased Loans with affiliated Dealers were on the same terms as those with non-affiliated Dealers. Affiliated Dealers were comprised of Dealers owned or controlled by: (1) Donald Foss, our founder, significant shareholder and former Chairman of the Board; and (2) a member of Mr. Foss's immediate family.</w:t>
      </w:r>
    </w:p>
    <w:p>
      <w:pPr>
        <w:spacing w:after="0" w:line="14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On January 3, 2017, Mr. Foss retired as officer, director and employee of the Company and entered into a shareholder agreement with the Company. Under the shareholder agreement, Mr. Foss agreed, until the final adjournment of the tenth annual meeting of shareholders held by the Company after the date of the shareholder agreement, to cause all shares of the Company beneficially owned by him or any of his affiliates or associates to be voted in accordance with the recommendation of the Company’s Board of Directors with respect to election and removal of directors, certain routine matters and any other proposal to be submitted to the Company’s shareholders with respect to any extraordinary transaction providing for the acquisition of all of the Company’s outstanding common stock. As a result, we no longer consider the remaining Dealers owned or controlled by Mr. Foss or a member of Mr. Foss’s immediate family to be affiliated with us while Mr. Foss’s voting interests in the Company are subject to the voting restrictions under the shareholder agreement and accordingly, we have excluded these Dealers from the affiliated amounts reported effective January 3, 2017.</w:t>
      </w:r>
    </w:p>
    <w:p>
      <w:pPr>
        <w:spacing w:after="0" w:line="16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On June 7, 2016, Mr. Foss sold certain affiliated Dealers previously owned or controlled by him to a third party. As a result, we no longer consider these Dealers to be affiliated and, accordingly, we have excluded these Dealers from the affiliated amounts reported below effective June 7, 2016.</w:t>
      </w:r>
    </w:p>
    <w:p>
      <w:pPr>
        <w:spacing w:after="0" w:line="14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Affiliated Dealer Loan balances were $0.0 million and $1.4 million as of December 31, 2017 and 2016, respectively. As of December 31, 2017 and 2016, affiliated Dealer Loan balances were 0.0% of total consolidated Dealer Loan balances.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was no related party Loan activity during 2017. The following table summarizes our related party Loan activity for 2016 and 2015: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620" w:type="dxa"/>
            <w:vAlign w:val="bottom"/>
            <w:gridSpan w:val="2"/>
          </w:tcPr>
          <w:p>
            <w:pPr>
              <w:ind w:left="40"/>
              <w:spacing w:after="0"/>
              <w:rPr>
                <w:sz w:val="20"/>
                <w:szCs w:val="20"/>
                <w:color w:val="auto"/>
              </w:rPr>
            </w:pPr>
            <w:r>
              <w:rPr>
                <w:rFonts w:ascii="Arial" w:cs="Arial" w:eastAsia="Arial" w:hAnsi="Arial"/>
                <w:sz w:val="14"/>
                <w:szCs w:val="14"/>
                <w:color w:val="auto"/>
              </w:rPr>
              <w:t>(Dollars in millions)</w:t>
            </w: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980" w:type="dxa"/>
            <w:vAlign w:val="bottom"/>
            <w:gridSpan w:val="4"/>
          </w:tcPr>
          <w:p>
            <w:pPr>
              <w:ind w:left="360"/>
              <w:spacing w:after="0"/>
              <w:rPr>
                <w:sz w:val="20"/>
                <w:szCs w:val="20"/>
                <w:color w:val="auto"/>
              </w:rPr>
            </w:pPr>
            <w:r>
              <w:rPr>
                <w:rFonts w:ascii="Arial" w:cs="Arial" w:eastAsia="Arial" w:hAnsi="Arial"/>
                <w:sz w:val="14"/>
                <w:szCs w:val="14"/>
                <w:b w:val="1"/>
                <w:bCs w:val="1"/>
                <w:color w:val="auto"/>
              </w:rPr>
              <w:t>For the Years Ended December 31,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5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680" w:type="dxa"/>
            <w:vAlign w:val="bottom"/>
            <w:tcBorders>
              <w:top w:val="single" w:sz="8" w:color="auto"/>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2016</w:t>
            </w:r>
          </w:p>
        </w:tc>
        <w:tc>
          <w:tcPr>
            <w:tcW w:w="134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spacing w:after="0"/>
              <w:rPr>
                <w:sz w:val="22"/>
                <w:szCs w:val="22"/>
                <w:color w:val="auto"/>
              </w:rPr>
            </w:pPr>
          </w:p>
        </w:tc>
        <w:tc>
          <w:tcPr>
            <w:tcW w:w="1840" w:type="dxa"/>
            <w:vAlign w:val="bottom"/>
            <w:tcBorders>
              <w:top w:val="single" w:sz="8" w:color="auto"/>
              <w:bottom w:val="single" w:sz="8" w:color="auto"/>
            </w:tcBorders>
            <w:gridSpan w:val="3"/>
          </w:tcPr>
          <w:p>
            <w:pPr>
              <w:jc w:val="right"/>
              <w:ind w:right="1448"/>
              <w:spacing w:after="0"/>
              <w:rPr>
                <w:sz w:val="20"/>
                <w:szCs w:val="20"/>
                <w:color w:val="auto"/>
              </w:rPr>
            </w:pPr>
            <w:r>
              <w:rPr>
                <w:rFonts w:ascii="Arial" w:cs="Arial" w:eastAsia="Arial" w:hAnsi="Arial"/>
                <w:sz w:val="14"/>
                <w:szCs w:val="14"/>
                <w:b w:val="1"/>
                <w:bCs w:val="1"/>
                <w:color w:val="auto"/>
                <w:w w:val="96"/>
              </w:rPr>
              <w:t>2015</w:t>
            </w:r>
          </w:p>
        </w:tc>
        <w:tc>
          <w:tcPr>
            <w:tcW w:w="0" w:type="dxa"/>
            <w:vAlign w:val="bottom"/>
          </w:tcPr>
          <w:p>
            <w:pPr>
              <w:spacing w:after="0"/>
              <w:rPr>
                <w:sz w:val="1"/>
                <w:szCs w:val="1"/>
                <w:color w:val="auto"/>
              </w:rPr>
            </w:pPr>
          </w:p>
        </w:tc>
      </w:tr>
      <w:tr>
        <w:trPr>
          <w:trHeight w:val="153"/>
        </w:trPr>
        <w:tc>
          <w:tcPr>
            <w:tcW w:w="4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gridSpan w:val="3"/>
          </w:tcPr>
          <w:p>
            <w:pPr>
              <w:jc w:val="center"/>
              <w:ind w:right="700"/>
              <w:spacing w:after="0" w:line="153" w:lineRule="exact"/>
              <w:rPr>
                <w:sz w:val="20"/>
                <w:szCs w:val="20"/>
                <w:color w:val="auto"/>
              </w:rPr>
            </w:pPr>
            <w:r>
              <w:rPr>
                <w:rFonts w:ascii="Arial" w:cs="Arial" w:eastAsia="Arial" w:hAnsi="Arial"/>
                <w:sz w:val="14"/>
                <w:szCs w:val="14"/>
                <w:b w:val="1"/>
                <w:bCs w:val="1"/>
                <w:color w:val="auto"/>
                <w:w w:val="96"/>
              </w:rPr>
              <w:t>Affiliated</w:t>
            </w:r>
          </w:p>
        </w:tc>
        <w:tc>
          <w:tcPr>
            <w:tcW w:w="146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 of</w:t>
            </w:r>
          </w:p>
        </w:tc>
        <w:tc>
          <w:tcPr>
            <w:tcW w:w="300" w:type="dxa"/>
            <w:vAlign w:val="bottom"/>
          </w:tcPr>
          <w:p>
            <w:pPr>
              <w:spacing w:after="0"/>
              <w:rPr>
                <w:sz w:val="13"/>
                <w:szCs w:val="13"/>
                <w:color w:val="auto"/>
              </w:rPr>
            </w:pPr>
          </w:p>
        </w:tc>
        <w:tc>
          <w:tcPr>
            <w:tcW w:w="1220" w:type="dxa"/>
            <w:vAlign w:val="bottom"/>
          </w:tcPr>
          <w:p>
            <w:pPr>
              <w:jc w:val="center"/>
              <w:ind w:right="158"/>
              <w:spacing w:after="0" w:line="153" w:lineRule="exact"/>
              <w:rPr>
                <w:sz w:val="20"/>
                <w:szCs w:val="20"/>
                <w:color w:val="auto"/>
              </w:rPr>
            </w:pPr>
            <w:r>
              <w:rPr>
                <w:rFonts w:ascii="Arial" w:cs="Arial" w:eastAsia="Arial" w:hAnsi="Arial"/>
                <w:sz w:val="14"/>
                <w:szCs w:val="14"/>
                <w:b w:val="1"/>
                <w:bCs w:val="1"/>
                <w:color w:val="auto"/>
                <w:w w:val="96"/>
              </w:rPr>
              <w:t>Affiliated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vMerge w:val="restart"/>
          </w:tcPr>
          <w:p>
            <w:pPr>
              <w:jc w:val="right"/>
              <w:ind w:right="608"/>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93"/>
              </w:rPr>
              <w:t>Dealer</w:t>
            </w:r>
          </w:p>
        </w:tc>
        <w:tc>
          <w:tcPr>
            <w:tcW w:w="14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3"/>
              </w:rPr>
              <w:t>Dealer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45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b w:val="1"/>
                <w:bCs w:val="1"/>
                <w:color w:val="auto"/>
                <w:w w:val="95"/>
              </w:rPr>
              <w:t>activity</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consolidated</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5"/>
              </w:rPr>
              <w:t>activity</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Dealer Loan 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8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4620" w:type="dxa"/>
            <w:vAlign w:val="bottom"/>
            <w:gridSpan w:val="2"/>
          </w:tcPr>
          <w:p>
            <w:pPr>
              <w:ind w:left="40"/>
              <w:spacing w:after="0"/>
              <w:rPr>
                <w:sz w:val="20"/>
                <w:szCs w:val="20"/>
                <w:color w:val="auto"/>
              </w:rPr>
            </w:pPr>
            <w:r>
              <w:rPr>
                <w:rFonts w:ascii="Arial" w:cs="Arial" w:eastAsia="Arial" w:hAnsi="Arial"/>
                <w:sz w:val="18"/>
                <w:szCs w:val="18"/>
                <w:color w:val="auto"/>
              </w:rPr>
              <w:t>New Consumer Loan assignments (1)</w:t>
            </w:r>
          </w:p>
        </w:tc>
        <w:tc>
          <w:tcPr>
            <w:tcW w:w="300" w:type="dxa"/>
            <w:vAlign w:val="bottom"/>
          </w:tcPr>
          <w:p>
            <w:pPr>
              <w:spacing w:after="0"/>
              <w:rPr>
                <w:sz w:val="21"/>
                <w:szCs w:val="21"/>
                <w:color w:val="auto"/>
              </w:rPr>
            </w:pPr>
          </w:p>
        </w:tc>
        <w:tc>
          <w:tcPr>
            <w:tcW w:w="1280" w:type="dxa"/>
            <w:vAlign w:val="bottom"/>
          </w:tcPr>
          <w:p>
            <w:pPr>
              <w:jc w:val="right"/>
              <w:ind w:right="39"/>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w:t>
            </w: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Accelerated Dealer Holdback payments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8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4620" w:type="dxa"/>
            <w:vAlign w:val="bottom"/>
            <w:gridSpan w:val="2"/>
          </w:tcPr>
          <w:p>
            <w:pPr>
              <w:ind w:left="40"/>
              <w:spacing w:after="0"/>
              <w:rPr>
                <w:sz w:val="20"/>
                <w:szCs w:val="20"/>
                <w:color w:val="auto"/>
              </w:rPr>
            </w:pPr>
            <w:r>
              <w:rPr>
                <w:rFonts w:ascii="Arial" w:cs="Arial" w:eastAsia="Arial" w:hAnsi="Arial"/>
                <w:sz w:val="18"/>
                <w:szCs w:val="18"/>
                <w:color w:val="auto"/>
              </w:rPr>
              <w:t>Dealer Holdback payments</w:t>
            </w:r>
          </w:p>
        </w:tc>
        <w:tc>
          <w:tcPr>
            <w:tcW w:w="300" w:type="dxa"/>
            <w:vAlign w:val="bottom"/>
          </w:tcPr>
          <w:p>
            <w:pPr>
              <w:spacing w:after="0"/>
              <w:rPr>
                <w:sz w:val="21"/>
                <w:szCs w:val="21"/>
                <w:color w:val="auto"/>
              </w:rPr>
            </w:pPr>
          </w:p>
        </w:tc>
        <w:tc>
          <w:tcPr>
            <w:tcW w:w="1280" w:type="dxa"/>
            <w:vAlign w:val="bottom"/>
          </w:tcPr>
          <w:p>
            <w:pPr>
              <w:jc w:val="right"/>
              <w:ind w:right="39"/>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w:t>
            </w: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500" w:right="20" w:hanging="330"/>
        <w:spacing w:after="0" w:line="273" w:lineRule="auto"/>
        <w:tabs>
          <w:tab w:leader="none" w:pos="500" w:val="left"/>
        </w:tabs>
        <w:numPr>
          <w:ilvl w:val="0"/>
          <w:numId w:val="66"/>
        </w:numPr>
        <w:rPr>
          <w:rFonts w:ascii="Arial" w:cs="Arial" w:eastAsia="Arial" w:hAnsi="Arial"/>
          <w:sz w:val="14"/>
          <w:szCs w:val="14"/>
          <w:color w:val="auto"/>
        </w:rPr>
      </w:pPr>
      <w:r>
        <w:rPr>
          <w:rFonts w:ascii="Arial" w:cs="Arial" w:eastAsia="Arial" w:hAnsi="Arial"/>
          <w:sz w:val="14"/>
          <w:szCs w:val="14"/>
          <w:color w:val="auto"/>
        </w:rPr>
        <w:t>Represents advances paid to Dealers on Consumer Loans assigned under our Portfolio Program and one-time payments made to Dealers to purchase Consumer Loans assigned under our Purchase Program.</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337"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tab/>
        <w:t>INCOME TAXES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income tax provision consists of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36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136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6"/>
          </w:tcPr>
          <w:p>
            <w:pPr>
              <w:jc w:val="right"/>
              <w:ind w:right="290"/>
              <w:spacing w:after="0"/>
              <w:rPr>
                <w:sz w:val="20"/>
                <w:szCs w:val="20"/>
                <w:color w:val="auto"/>
              </w:rPr>
            </w:pPr>
            <w:r>
              <w:rPr>
                <w:rFonts w:ascii="Arial" w:cs="Arial" w:eastAsia="Arial" w:hAnsi="Arial"/>
                <w:sz w:val="14"/>
                <w:szCs w:val="14"/>
                <w:b w:val="1"/>
                <w:bCs w:val="1"/>
                <w:color w:val="auto"/>
                <w:w w:val="91"/>
              </w:rPr>
              <w:t>For the Years Ended December 31,</w:t>
            </w:r>
          </w:p>
        </w:tc>
        <w:tc>
          <w:tcPr>
            <w:tcW w:w="1380" w:type="dxa"/>
            <w:vAlign w:val="bottom"/>
            <w:tcBorders>
              <w:bottom w:val="single" w:sz="8" w:color="auto"/>
            </w:tcBorders>
          </w:tcPr>
          <w:p>
            <w:pPr>
              <w:spacing w:after="0"/>
              <w:rPr>
                <w:sz w:val="17"/>
                <w:szCs w:val="17"/>
                <w:color w:val="auto"/>
              </w:rPr>
            </w:pPr>
          </w:p>
        </w:tc>
      </w:tr>
      <w:tr>
        <w:trPr>
          <w:trHeight w:val="264"/>
        </w:trPr>
        <w:tc>
          <w:tcPr>
            <w:tcW w:w="436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2015</w:t>
            </w: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180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583.8</w:t>
            </w:r>
          </w:p>
        </w:tc>
        <w:tc>
          <w:tcPr>
            <w:tcW w:w="580" w:type="dxa"/>
            <w:vAlign w:val="bottom"/>
            <w:tcBorders>
              <w:bottom w:val="single" w:sz="8" w:color="CCEEFF"/>
            </w:tcBorders>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531.2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474.5</w:t>
            </w: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Current provision for income taxes:</w:t>
            </w:r>
          </w:p>
        </w:tc>
        <w:tc>
          <w:tcPr>
            <w:tcW w:w="1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4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Federal</w:t>
            </w:r>
          </w:p>
        </w:tc>
        <w:tc>
          <w:tcPr>
            <w:tcW w:w="13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127.9</w:t>
            </w:r>
          </w:p>
        </w:tc>
      </w:tr>
      <w:tr>
        <w:trPr>
          <w:trHeight w:val="284"/>
        </w:trPr>
        <w:tc>
          <w:tcPr>
            <w:tcW w:w="43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State</w:t>
            </w:r>
          </w:p>
        </w:tc>
        <w:tc>
          <w:tcPr>
            <w:tcW w:w="136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10.6</w:t>
            </w:r>
          </w:p>
        </w:tc>
      </w:tr>
      <w:tr>
        <w:trPr>
          <w:trHeight w:val="289"/>
        </w:trPr>
        <w:tc>
          <w:tcPr>
            <w:tcW w:w="436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198.1</w:t>
            </w:r>
          </w:p>
        </w:tc>
        <w:tc>
          <w:tcPr>
            <w:tcW w:w="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173.0</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138.5</w:t>
            </w:r>
          </w:p>
        </w:tc>
      </w:tr>
      <w:tr>
        <w:trPr>
          <w:trHeight w:val="230"/>
        </w:trPr>
        <w:tc>
          <w:tcPr>
            <w:tcW w:w="4360" w:type="dxa"/>
            <w:vAlign w:val="bottom"/>
            <w:tcBorders>
              <w:top w:val="single" w:sz="8" w:color="CCEEFF"/>
            </w:tcBorders>
          </w:tcPr>
          <w:p>
            <w:pPr>
              <w:ind w:left="40"/>
              <w:spacing w:after="0"/>
              <w:rPr>
                <w:sz w:val="20"/>
                <w:szCs w:val="20"/>
                <w:color w:val="auto"/>
              </w:rPr>
            </w:pPr>
            <w:r>
              <w:rPr>
                <w:rFonts w:ascii="Arial" w:cs="Arial" w:eastAsia="Arial" w:hAnsi="Arial"/>
                <w:sz w:val="18"/>
                <w:szCs w:val="18"/>
                <w:color w:val="auto"/>
              </w:rPr>
              <w:t>Deferred provision for income taxes:</w:t>
            </w:r>
          </w:p>
        </w:tc>
        <w:tc>
          <w:tcPr>
            <w:tcW w:w="1360" w:type="dxa"/>
            <w:vAlign w:val="bottom"/>
            <w:tcBorders>
              <w:top w:val="single" w:sz="8" w:color="CCEEFF"/>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r>
      <w:tr>
        <w:trPr>
          <w:trHeight w:val="27"/>
        </w:trPr>
        <w:tc>
          <w:tcPr>
            <w:tcW w:w="4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Federal</w:t>
            </w:r>
          </w:p>
        </w:tc>
        <w:tc>
          <w:tcPr>
            <w:tcW w:w="13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w:t>
            </w:r>
          </w:p>
        </w:tc>
      </w:tr>
      <w:tr>
        <w:trPr>
          <w:trHeight w:val="284"/>
        </w:trPr>
        <w:tc>
          <w:tcPr>
            <w:tcW w:w="43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State</w:t>
            </w:r>
          </w:p>
        </w:tc>
        <w:tc>
          <w:tcPr>
            <w:tcW w:w="136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w:t>
            </w:r>
          </w:p>
        </w:tc>
      </w:tr>
      <w:tr>
        <w:trPr>
          <w:trHeight w:val="289"/>
        </w:trPr>
        <w:tc>
          <w:tcPr>
            <w:tcW w:w="436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w:t>
            </w:r>
          </w:p>
        </w:tc>
      </w:tr>
      <w:tr>
        <w:trPr>
          <w:trHeight w:val="230"/>
        </w:trPr>
        <w:tc>
          <w:tcPr>
            <w:tcW w:w="4360" w:type="dxa"/>
            <w:vAlign w:val="bottom"/>
            <w:tcBorders>
              <w:top w:val="single" w:sz="8" w:color="CCEEFF"/>
            </w:tcBorders>
          </w:tcPr>
          <w:p>
            <w:pPr>
              <w:ind w:left="40"/>
              <w:spacing w:after="0"/>
              <w:rPr>
                <w:sz w:val="20"/>
                <w:szCs w:val="20"/>
                <w:color w:val="auto"/>
              </w:rPr>
            </w:pPr>
            <w:r>
              <w:rPr>
                <w:rFonts w:ascii="Arial" w:cs="Arial" w:eastAsia="Arial" w:hAnsi="Arial"/>
                <w:sz w:val="18"/>
                <w:szCs w:val="18"/>
                <w:color w:val="auto"/>
              </w:rPr>
              <w:t>Interest and penalties expense:</w:t>
            </w:r>
          </w:p>
        </w:tc>
        <w:tc>
          <w:tcPr>
            <w:tcW w:w="1360" w:type="dxa"/>
            <w:vAlign w:val="bottom"/>
            <w:tcBorders>
              <w:top w:val="single" w:sz="8" w:color="CCEEFF"/>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r>
      <w:tr>
        <w:trPr>
          <w:trHeight w:val="27"/>
        </w:trPr>
        <w:tc>
          <w:tcPr>
            <w:tcW w:w="4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w:t>
            </w:r>
          </w:p>
        </w:tc>
        <w:tc>
          <w:tcPr>
            <w:tcW w:w="13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w:t>
            </w:r>
          </w:p>
        </w:tc>
      </w:tr>
      <w:tr>
        <w:trPr>
          <w:trHeight w:val="284"/>
        </w:trPr>
        <w:tc>
          <w:tcPr>
            <w:tcW w:w="4360" w:type="dxa"/>
            <w:vAlign w:val="bottom"/>
          </w:tcPr>
          <w:p>
            <w:pPr>
              <w:ind w:left="380"/>
              <w:spacing w:after="0"/>
              <w:rPr>
                <w:sz w:val="20"/>
                <w:szCs w:val="20"/>
                <w:color w:val="auto"/>
              </w:rPr>
            </w:pPr>
            <w:r>
              <w:rPr>
                <w:rFonts w:ascii="Arial" w:cs="Arial" w:eastAsia="Arial" w:hAnsi="Arial"/>
                <w:sz w:val="18"/>
                <w:szCs w:val="18"/>
                <w:color w:val="auto"/>
              </w:rPr>
              <w:t>Penalties</w:t>
            </w:r>
          </w:p>
        </w:tc>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6"/>
        </w:trPr>
        <w:tc>
          <w:tcPr>
            <w:tcW w:w="4360" w:type="dxa"/>
            <w:vAlign w:val="bottom"/>
            <w:tcBorders>
              <w:top w:val="single" w:sz="8" w:color="CCEEFF"/>
              <w:bottom w:val="single" w:sz="8" w:color="CCEEFF"/>
            </w:tcBorders>
            <w:shd w:val="clear" w:color="auto" w:fill="CCEEFF"/>
          </w:tcPr>
          <w:p>
            <w:pPr>
              <w:spacing w:after="0"/>
              <w:rPr>
                <w:sz w:val="23"/>
                <w:szCs w:val="23"/>
                <w:color w:val="auto"/>
              </w:rPr>
            </w:pPr>
          </w:p>
        </w:tc>
        <w:tc>
          <w:tcPr>
            <w:tcW w:w="1360" w:type="dxa"/>
            <w:vAlign w:val="bottom"/>
            <w:tcBorders>
              <w:top w:val="single" w:sz="8" w:color="CCEEFF"/>
              <w:bottom w:val="single" w:sz="8" w:color="CCEEFF"/>
            </w:tcBorders>
            <w:shd w:val="clear" w:color="auto" w:fill="CCEEFF"/>
          </w:tcPr>
          <w:p>
            <w:pPr>
              <w:spacing w:after="0"/>
              <w:rPr>
                <w:sz w:val="23"/>
                <w:szCs w:val="23"/>
                <w:color w:val="auto"/>
              </w:rPr>
            </w:pPr>
          </w:p>
        </w:tc>
        <w:tc>
          <w:tcPr>
            <w:tcW w:w="440" w:type="dxa"/>
            <w:vAlign w:val="bottom"/>
            <w:tcBorders>
              <w:top w:val="single" w:sz="8" w:color="auto"/>
              <w:bottom w:val="single" w:sz="8" w:color="CCEEFF"/>
            </w:tcBorders>
            <w:shd w:val="clear" w:color="auto" w:fill="CCEEFF"/>
          </w:tcPr>
          <w:p>
            <w:pPr>
              <w:spacing w:after="0"/>
              <w:rPr>
                <w:sz w:val="23"/>
                <w:szCs w:val="23"/>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top w:val="single" w:sz="8" w:color="auto"/>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440" w:type="dxa"/>
            <w:vAlign w:val="bottom"/>
            <w:tcBorders>
              <w:top w:val="single" w:sz="8" w:color="auto"/>
              <w:bottom w:val="single" w:sz="8" w:color="CCEEFF"/>
            </w:tcBorders>
            <w:shd w:val="clear" w:color="auto" w:fill="CCEEFF"/>
          </w:tcPr>
          <w:p>
            <w:pPr>
              <w:spacing w:after="0"/>
              <w:rPr>
                <w:sz w:val="23"/>
                <w:szCs w:val="23"/>
                <w:color w:val="auto"/>
              </w:rPr>
            </w:pPr>
          </w:p>
        </w:tc>
        <w:tc>
          <w:tcPr>
            <w:tcW w:w="13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440" w:type="dxa"/>
            <w:vAlign w:val="bottom"/>
            <w:tcBorders>
              <w:top w:val="single" w:sz="8" w:color="auto"/>
              <w:bottom w:val="single" w:sz="8" w:color="CCEEFF"/>
            </w:tcBorders>
            <w:shd w:val="clear" w:color="auto" w:fill="CCEEFF"/>
          </w:tcPr>
          <w:p>
            <w:pPr>
              <w:spacing w:after="0"/>
              <w:rPr>
                <w:sz w:val="23"/>
                <w:szCs w:val="23"/>
                <w:color w:val="auto"/>
              </w:rPr>
            </w:pPr>
          </w:p>
        </w:tc>
        <w:tc>
          <w:tcPr>
            <w:tcW w:w="13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w:t>
            </w:r>
          </w:p>
        </w:tc>
      </w:tr>
      <w:tr>
        <w:trPr>
          <w:trHeight w:val="264"/>
        </w:trPr>
        <w:tc>
          <w:tcPr>
            <w:tcW w:w="4360" w:type="dxa"/>
            <w:vAlign w:val="bottom"/>
            <w:tcBorders>
              <w:top w:val="single" w:sz="8" w:color="CCEEFF"/>
            </w:tcBorders>
          </w:tcPr>
          <w:p>
            <w:pPr>
              <w:ind w:left="40"/>
              <w:spacing w:after="0"/>
              <w:rPr>
                <w:sz w:val="20"/>
                <w:szCs w:val="20"/>
                <w:color w:val="auto"/>
              </w:rPr>
            </w:pPr>
            <w:r>
              <w:rPr>
                <w:rFonts w:ascii="Arial" w:cs="Arial" w:eastAsia="Arial" w:hAnsi="Arial"/>
                <w:sz w:val="18"/>
                <w:szCs w:val="18"/>
                <w:color w:val="auto"/>
              </w:rPr>
              <w:t>Provision for income taxes</w:t>
            </w:r>
          </w:p>
        </w:tc>
        <w:tc>
          <w:tcPr>
            <w:tcW w:w="1360" w:type="dxa"/>
            <w:vAlign w:val="bottom"/>
            <w:tcBorders>
              <w:top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113.6</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198.4</w:t>
            </w:r>
          </w:p>
        </w:tc>
        <w:tc>
          <w:tcPr>
            <w:tcW w:w="120" w:type="dxa"/>
            <w:vAlign w:val="bottom"/>
            <w:tcBorders>
              <w:top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174.8</w:t>
            </w:r>
          </w:p>
        </w:tc>
      </w:tr>
      <w:tr>
        <w:trPr>
          <w:trHeight w:val="20"/>
        </w:trPr>
        <w:tc>
          <w:tcPr>
            <w:tcW w:w="4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662"/>
        </w:trPr>
        <w:tc>
          <w:tcPr>
            <w:tcW w:w="4360" w:type="dxa"/>
            <w:vAlign w:val="bottom"/>
          </w:tcPr>
          <w:p>
            <w:pPr>
              <w:spacing w:after="0"/>
              <w:rPr>
                <w:sz w:val="24"/>
                <w:szCs w:val="24"/>
                <w:color w:val="auto"/>
              </w:rPr>
            </w:pPr>
          </w:p>
        </w:tc>
        <w:tc>
          <w:tcPr>
            <w:tcW w:w="1800" w:type="dxa"/>
            <w:vAlign w:val="bottom"/>
            <w:gridSpan w:val="2"/>
          </w:tcPr>
          <w:p>
            <w:pPr>
              <w:jc w:val="right"/>
              <w:ind w:right="270"/>
              <w:spacing w:after="0"/>
              <w:rPr>
                <w:sz w:val="20"/>
                <w:szCs w:val="20"/>
                <w:color w:val="auto"/>
              </w:rPr>
            </w:pPr>
            <w:r>
              <w:rPr>
                <w:rFonts w:ascii="Arial" w:cs="Arial" w:eastAsia="Arial" w:hAnsi="Arial"/>
                <w:sz w:val="18"/>
                <w:szCs w:val="18"/>
                <w:color w:val="auto"/>
              </w:rPr>
              <w:t>80</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tax effects of temporary differences that give rise to significant portions of the deferred tax assets and deferred tax liabilities consist of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6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1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 December 31,</w:t>
            </w:r>
          </w:p>
        </w:tc>
        <w:tc>
          <w:tcPr>
            <w:tcW w:w="1160" w:type="dxa"/>
            <w:vAlign w:val="bottom"/>
            <w:tcBorders>
              <w:bottom w:val="single" w:sz="8" w:color="auto"/>
            </w:tcBorders>
          </w:tcPr>
          <w:p>
            <w:pPr>
              <w:spacing w:after="0"/>
              <w:rPr>
                <w:sz w:val="17"/>
                <w:szCs w:val="17"/>
                <w:color w:val="auto"/>
              </w:rPr>
            </w:pPr>
          </w:p>
        </w:tc>
      </w:tr>
      <w:tr>
        <w:trPr>
          <w:trHeight w:val="264"/>
        </w:trPr>
        <w:tc>
          <w:tcPr>
            <w:tcW w:w="7660" w:type="dxa"/>
            <w:vAlign w:val="bottom"/>
          </w:tcPr>
          <w:p>
            <w:pPr>
              <w:spacing w:after="0"/>
              <w:rPr>
                <w:sz w:val="22"/>
                <w:szCs w:val="22"/>
                <w:color w:val="auto"/>
              </w:rPr>
            </w:pPr>
          </w:p>
        </w:tc>
        <w:tc>
          <w:tcPr>
            <w:tcW w:w="11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2017</w:t>
            </w:r>
          </w:p>
        </w:tc>
        <w:tc>
          <w:tcPr>
            <w:tcW w:w="6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2016</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1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Allowance for credit losses</w:t>
            </w:r>
          </w:p>
        </w:tc>
        <w:tc>
          <w:tcPr>
            <w:tcW w:w="1180" w:type="dxa"/>
            <w:vAlign w:val="bottom"/>
            <w:tcBorders>
              <w:bottom w:val="single" w:sz="8" w:color="CCEEFF"/>
            </w:tcBorders>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100.4</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118.2</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1180" w:type="dxa"/>
            <w:vAlign w:val="bottom"/>
          </w:tcPr>
          <w:p>
            <w:pPr>
              <w:spacing w:after="0"/>
              <w:rPr>
                <w:sz w:val="21"/>
                <w:szCs w:val="21"/>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18.3</w:t>
            </w:r>
          </w:p>
        </w:tc>
      </w:tr>
      <w:tr>
        <w:trPr>
          <w:trHeight w:val="27"/>
        </w:trPr>
        <w:tc>
          <w:tcPr>
            <w:tcW w:w="7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state net operating loss</w:t>
            </w:r>
          </w:p>
        </w:tc>
        <w:tc>
          <w:tcPr>
            <w:tcW w:w="1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w:t>
            </w:r>
          </w:p>
        </w:tc>
      </w:tr>
      <w:tr>
        <w:trPr>
          <w:trHeight w:val="284"/>
        </w:trPr>
        <w:tc>
          <w:tcPr>
            <w:tcW w:w="76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net</w:t>
            </w:r>
          </w:p>
        </w:tc>
        <w:tc>
          <w:tcPr>
            <w:tcW w:w="1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11.6</w:t>
            </w:r>
          </w:p>
        </w:tc>
      </w:tr>
      <w:tr>
        <w:trPr>
          <w:trHeight w:val="271"/>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Deferred tax assets before valuation allowance</w:t>
            </w:r>
          </w:p>
        </w:tc>
        <w:tc>
          <w:tcPr>
            <w:tcW w:w="11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126.8</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154.6</w:t>
            </w:r>
          </w:p>
        </w:tc>
      </w:tr>
      <w:tr>
        <w:trPr>
          <w:trHeight w:val="284"/>
        </w:trPr>
        <w:tc>
          <w:tcPr>
            <w:tcW w:w="76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Less: valuation allowance</w:t>
            </w:r>
          </w:p>
        </w:tc>
        <w:tc>
          <w:tcPr>
            <w:tcW w:w="1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77"/>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deferred tax assets</w:t>
            </w:r>
          </w:p>
        </w:tc>
        <w:tc>
          <w:tcPr>
            <w:tcW w:w="118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121.3</w:t>
            </w:r>
          </w:p>
        </w:tc>
        <w:tc>
          <w:tcPr>
            <w:tcW w:w="1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154.6</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1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Valuation of Loans receivable</w:t>
            </w:r>
          </w:p>
        </w:tc>
        <w:tc>
          <w:tcPr>
            <w:tcW w:w="1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300.4</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417.8</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Deferred Loan origination costs</w:t>
            </w:r>
          </w:p>
        </w:tc>
        <w:tc>
          <w:tcPr>
            <w:tcW w:w="1180" w:type="dxa"/>
            <w:vAlign w:val="bottom"/>
          </w:tcPr>
          <w:p>
            <w:pPr>
              <w:spacing w:after="0"/>
              <w:rPr>
                <w:sz w:val="21"/>
                <w:szCs w:val="21"/>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2.5</w:t>
            </w:r>
          </w:p>
        </w:tc>
      </w:tr>
      <w:tr>
        <w:trPr>
          <w:trHeight w:val="27"/>
        </w:trPr>
        <w:tc>
          <w:tcPr>
            <w:tcW w:w="7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7"/>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net</w:t>
            </w:r>
          </w:p>
        </w:tc>
        <w:tc>
          <w:tcPr>
            <w:tcW w:w="118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7.4</w:t>
            </w:r>
          </w:p>
        </w:tc>
      </w:tr>
      <w:tr>
        <w:trPr>
          <w:trHeight w:val="284"/>
        </w:trPr>
        <w:tc>
          <w:tcPr>
            <w:tcW w:w="766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deferred tax liabilities</w:t>
            </w:r>
          </w:p>
        </w:tc>
        <w:tc>
          <w:tcPr>
            <w:tcW w:w="1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308.7</w:t>
            </w:r>
          </w:p>
        </w:tc>
        <w:tc>
          <w:tcPr>
            <w:tcW w:w="12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427.7</w:t>
            </w: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liability</w:t>
            </w:r>
          </w:p>
        </w:tc>
        <w:tc>
          <w:tcPr>
            <w:tcW w:w="1180" w:type="dxa"/>
            <w:vAlign w:val="bottom"/>
            <w:tcBorders>
              <w:bottom w:val="single" w:sz="8" w:color="auto"/>
            </w:tcBorders>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187.4</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273.1</w:t>
            </w:r>
          </w:p>
        </w:tc>
      </w:tr>
      <w:tr>
        <w:trPr>
          <w:trHeight w:val="20"/>
        </w:trPr>
        <w:tc>
          <w:tcPr>
            <w:tcW w:w="76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The deferred state net operating loss tax asset arising from the operating loss carry forward for state income tax purposes is expected to expire at various times beginning in 2023, if not utilized. We do not anticipate expiration of the net operating loss carry forwards prior to their utilization.</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Valuation allowance</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a result of the enactment of the 2017 Act, the Company established a $5.5 million valuation allowance related to the executive compensation provisions of the law that limit a public entity's ability to deduct compensation for covered employees in excess of $1.0 million for years after December 31, 2017, regardless of the nature of those payments. In prior years, performance-based compensation was excluded from the $1.0 million limitation. This provision does not apply to compensation paid under written binding contracts that were in effect on November 2, 2017 unless such contracts are subsequently materially modified. Due to the lack of guidance for the new executive compensation provisions, the Company has made a reasonable estimate related to stock-based compensation, in accordance with SAB 118, and recorded a $5.5 million adjustment to income tax expense for the year ended December 31, 2017. This estimate may be refined in future periods as further information becomes available.</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Valuation of Loans receivable</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2017 Act revises the rules associated with the timing of the recognition of income for federal income tax purposes. The 2017 Act requires an accrual method taxpayer to recognize income no later than the taxable year in which such income is recognized as revenue in the financial statements, if the taxpayer is subject to the all events test—a requirement that all the events have occurred that fix the right to receive income, and that the amount can be determined with reasonable accuracy. The Senate Finance Committee intended that the new financial statement conformity requirement not be construed as preventing the use of special methods of accounting provided elsewhere in the Internal Revenue Code. It is unclear if our income recognition method related to the valuation of loans receivable is an allowable exception under the 2017 Act. As the Company is not able to determine a reasonable estimate based on current guidance, we will continue to apply ASC Topic 740, Income Taxes, in accordance with SAB 118 and based on the provisions of the tax laws that were in effect immediately prior to the 2017 Act being enacted. This treatment may change in future periods as further information becomes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337"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U.S. federal statutory income tax rate to our effective income tax rate is as follows:</w:t>
      </w:r>
    </w:p>
    <w:p>
      <w:pPr>
        <w:spacing w:after="0" w:line="163" w:lineRule="exact"/>
        <w:rPr>
          <w:sz w:val="20"/>
          <w:szCs w:val="20"/>
          <w:color w:val="auto"/>
        </w:rPr>
      </w:pPr>
    </w:p>
    <w:p>
      <w:pPr>
        <w:ind w:left="7440"/>
        <w:spacing w:after="0"/>
        <w:rPr>
          <w:sz w:val="20"/>
          <w:szCs w:val="20"/>
          <w:color w:val="auto"/>
        </w:rPr>
      </w:pPr>
      <w:r>
        <w:rPr>
          <w:rFonts w:ascii="Arial" w:cs="Arial" w:eastAsia="Arial" w:hAnsi="Arial"/>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3538220</wp:posOffset>
            </wp:positionH>
            <wp:positionV relativeFrom="paragraph">
              <wp:posOffset>23495</wp:posOffset>
            </wp:positionV>
            <wp:extent cx="371348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713480" cy="17145"/>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58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2017</w:t>
            </w: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6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7"/>
                <w:szCs w:val="17"/>
                <w:color w:val="auto"/>
              </w:rPr>
            </w:pPr>
          </w:p>
        </w:tc>
        <w:tc>
          <w:tcPr>
            <w:tcW w:w="186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2015</w:t>
            </w:r>
          </w:p>
        </w:tc>
      </w:tr>
      <w:tr>
        <w:trPr>
          <w:trHeight w:val="250"/>
        </w:trPr>
        <w:tc>
          <w:tcPr>
            <w:tcW w:w="6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federal statutory income tax rate</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r>
      <w:tr>
        <w:trPr>
          <w:trHeight w:val="243"/>
        </w:trPr>
        <w:tc>
          <w:tcPr>
            <w:tcW w:w="6780" w:type="dxa"/>
            <w:vAlign w:val="bottom"/>
            <w:gridSpan w:val="2"/>
          </w:tcPr>
          <w:p>
            <w:pPr>
              <w:ind w:left="380"/>
              <w:spacing w:after="0"/>
              <w:rPr>
                <w:sz w:val="20"/>
                <w:szCs w:val="20"/>
                <w:color w:val="auto"/>
              </w:rPr>
            </w:pPr>
            <w:r>
              <w:rPr>
                <w:rFonts w:ascii="Arial" w:cs="Arial" w:eastAsia="Arial" w:hAnsi="Arial"/>
                <w:sz w:val="18"/>
                <w:szCs w:val="18"/>
                <w:color w:val="auto"/>
              </w:rPr>
              <w:t>Effect of the 2017 Act</w:t>
            </w:r>
          </w:p>
        </w:tc>
        <w:tc>
          <w:tcPr>
            <w:tcW w:w="700" w:type="dxa"/>
            <w:vAlign w:val="bottom"/>
          </w:tcPr>
          <w:p>
            <w:pPr>
              <w:jc w:val="right"/>
              <w:spacing w:after="0"/>
              <w:rPr>
                <w:sz w:val="20"/>
                <w:szCs w:val="20"/>
                <w:color w:val="auto"/>
              </w:rPr>
            </w:pPr>
            <w:r>
              <w:rPr>
                <w:rFonts w:ascii="Arial" w:cs="Arial" w:eastAsia="Arial" w:hAnsi="Arial"/>
                <w:sz w:val="18"/>
                <w:szCs w:val="18"/>
                <w:color w:val="auto"/>
              </w:rPr>
              <w:t>-17.1 %</w:t>
            </w:r>
          </w:p>
        </w:tc>
        <w:tc>
          <w:tcPr>
            <w:tcW w:w="100" w:type="dxa"/>
            <w:vAlign w:val="bottom"/>
          </w:tcPr>
          <w:p>
            <w:pPr>
              <w:spacing w:after="0"/>
              <w:rPr>
                <w:sz w:val="21"/>
                <w:szCs w:val="21"/>
                <w:color w:val="auto"/>
              </w:rPr>
            </w:pPr>
          </w:p>
        </w:tc>
        <w:tc>
          <w:tcPr>
            <w:tcW w:w="1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6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State income taxes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6780" w:type="dxa"/>
            <w:vAlign w:val="bottom"/>
            <w:gridSpan w:val="2"/>
          </w:tcPr>
          <w:p>
            <w:pPr>
              <w:ind w:left="380"/>
              <w:spacing w:after="0"/>
              <w:rPr>
                <w:sz w:val="20"/>
                <w:szCs w:val="20"/>
                <w:color w:val="auto"/>
              </w:rPr>
            </w:pPr>
            <w:r>
              <w:rPr>
                <w:rFonts w:ascii="Arial" w:cs="Arial" w:eastAsia="Arial" w:hAnsi="Arial"/>
                <w:sz w:val="18"/>
                <w:szCs w:val="18"/>
                <w:color w:val="auto"/>
              </w:rPr>
              <w:t>Excess tax benefits from stock-based compensation plans</w:t>
            </w:r>
          </w:p>
        </w:tc>
        <w:tc>
          <w:tcPr>
            <w:tcW w:w="700" w:type="dxa"/>
            <w:vAlign w:val="bottom"/>
          </w:tcPr>
          <w:p>
            <w:pPr>
              <w:jc w:val="right"/>
              <w:spacing w:after="0"/>
              <w:rPr>
                <w:sz w:val="20"/>
                <w:szCs w:val="20"/>
                <w:color w:val="auto"/>
              </w:rPr>
            </w:pPr>
            <w:r>
              <w:rPr>
                <w:rFonts w:ascii="Arial" w:cs="Arial" w:eastAsia="Arial" w:hAnsi="Arial"/>
                <w:sz w:val="18"/>
                <w:szCs w:val="18"/>
                <w:color w:val="auto"/>
              </w:rPr>
              <w:t>-0.4 %</w:t>
            </w:r>
          </w:p>
        </w:tc>
        <w:tc>
          <w:tcPr>
            <w:tcW w:w="100" w:type="dxa"/>
            <w:vAlign w:val="bottom"/>
          </w:tcPr>
          <w:p>
            <w:pPr>
              <w:spacing w:after="0"/>
              <w:rPr>
                <w:sz w:val="21"/>
                <w:szCs w:val="21"/>
                <w:color w:val="auto"/>
              </w:rPr>
            </w:pPr>
          </w:p>
        </w:tc>
        <w:tc>
          <w:tcPr>
            <w:tcW w:w="1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7"/>
        </w:trPr>
        <w:tc>
          <w:tcPr>
            <w:tcW w:w="5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20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Borders>
              <w:bottom w:val="single" w:sz="8" w:color="CCEEFF"/>
            </w:tcBorders>
            <w:shd w:val="clear" w:color="auto" w:fill="CCEEFF"/>
          </w:tcPr>
          <w:p>
            <w:pPr>
              <w:spacing w:after="0"/>
              <w:rPr>
                <w:sz w:val="24"/>
                <w:szCs w:val="24"/>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4"/>
                <w:szCs w:val="24"/>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64"/>
        </w:trPr>
        <w:tc>
          <w:tcPr>
            <w:tcW w:w="6780" w:type="dxa"/>
            <w:vAlign w:val="bottom"/>
            <w:gridSpan w:val="2"/>
          </w:tcPr>
          <w:p>
            <w:pPr>
              <w:ind w:left="40"/>
              <w:spacing w:after="0"/>
              <w:rPr>
                <w:sz w:val="20"/>
                <w:szCs w:val="20"/>
                <w:color w:val="auto"/>
              </w:rPr>
            </w:pPr>
            <w:r>
              <w:rPr>
                <w:rFonts w:ascii="Arial" w:cs="Arial" w:eastAsia="Arial" w:hAnsi="Arial"/>
                <w:sz w:val="18"/>
                <w:szCs w:val="18"/>
                <w:color w:val="auto"/>
              </w:rPr>
              <w:t>Effective income tax rate</w:t>
            </w:r>
          </w:p>
        </w:tc>
        <w:tc>
          <w:tcPr>
            <w:tcW w:w="700" w:type="dxa"/>
            <w:vAlign w:val="bottom"/>
          </w:tcPr>
          <w:p>
            <w:pPr>
              <w:jc w:val="right"/>
              <w:spacing w:after="0"/>
              <w:rPr>
                <w:sz w:val="20"/>
                <w:szCs w:val="20"/>
                <w:color w:val="auto"/>
              </w:rPr>
            </w:pPr>
            <w:r>
              <w:rPr>
                <w:rFonts w:ascii="Arial" w:cs="Arial" w:eastAsia="Arial" w:hAnsi="Arial"/>
                <w:sz w:val="18"/>
                <w:szCs w:val="18"/>
                <w:color w:val="auto"/>
              </w:rPr>
              <w:t>19.5 %</w:t>
            </w:r>
          </w:p>
        </w:tc>
        <w:tc>
          <w:tcPr>
            <w:tcW w:w="100" w:type="dxa"/>
            <w:vAlign w:val="bottom"/>
          </w:tcPr>
          <w:p>
            <w:pPr>
              <w:spacing w:after="0"/>
              <w:rPr>
                <w:sz w:val="22"/>
                <w:szCs w:val="22"/>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37.3%</w:t>
            </w:r>
          </w:p>
        </w:tc>
        <w:tc>
          <w:tcPr>
            <w:tcW w:w="120" w:type="dxa"/>
            <w:vAlign w:val="bottom"/>
          </w:tcPr>
          <w:p>
            <w:pPr>
              <w:spacing w:after="0"/>
              <w:rPr>
                <w:sz w:val="22"/>
                <w:szCs w:val="22"/>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36.8%</w:t>
            </w:r>
          </w:p>
        </w:tc>
      </w:tr>
      <w:tr>
        <w:trPr>
          <w:trHeight w:val="20"/>
        </w:trPr>
        <w:tc>
          <w:tcPr>
            <w:tcW w:w="55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difference between the U.S. federal statutory income tax rate and our effective income tax rate for 2017 is primarily due to the enactment of the 2017 Act, which resulted in the reversal of $99.8 million of provision for income taxes. While the new federal statutory income tax rate was not effective until January 1, 2018, we were required to revalue deferred taxes and uncertain tax positions as of December 31, 2017 at the new federal statutory income tax rate. Based on currently enacted federal and state statutory income tax rates, we believe our long-term effective income tax rate will decrease from 37% in past years to approximately 23% in 2018 and future years.</w:t>
      </w:r>
    </w:p>
    <w:p>
      <w:pPr>
        <w:spacing w:after="0" w:line="18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effective income tax rate for 2017 was also impacted by the adoption of ASU 2016-09 on January 1, 2017, which changed where we recognize excess tax benefits and deficiencies from stock-based compensation plans in our consolidated financial statements on a prospective basis. We receive a tax deduction upon the vesting of restricted stock and the conversion of restricted stock units to common stock based on the fair value of the shares. The amount that this tax deduction differs from the grant-date fair value that was recognized as stock-based compensation expense is referred to as an excess tax benefit or deficiency. For 2017, excess tax benefits of $2.5 million were recognized in provision for income taxes, thus reducing our effective income tax rate. For 2016 and 2015, excess tax benefits of $27.2 million and $0.3 million, respectively, were recognized in paid-in capital in our consolidated balance sheets, which had no impact on our effective income tax rate.</w:t>
      </w:r>
    </w:p>
    <w:p>
      <w:pPr>
        <w:spacing w:after="0" w:line="178"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differences between the U.S. federal statutory income tax rate and our effective income tax rates for 2016 and 2015 are primarily due to state income taxes. The increase in the effective income tax rate for 2016 was primarily due to higher effective income tax rates in certain state tax jurisdictions.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is a summary of changes in gross unrecognized tax benefits: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72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12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6"/>
          </w:tcPr>
          <w:p>
            <w:pPr>
              <w:jc w:val="right"/>
              <w:ind w:right="290"/>
              <w:spacing w:after="0"/>
              <w:rPr>
                <w:sz w:val="20"/>
                <w:szCs w:val="20"/>
                <w:color w:val="auto"/>
              </w:rPr>
            </w:pPr>
            <w:r>
              <w:rPr>
                <w:rFonts w:ascii="Arial" w:cs="Arial" w:eastAsia="Arial" w:hAnsi="Arial"/>
                <w:sz w:val="14"/>
                <w:szCs w:val="14"/>
                <w:b w:val="1"/>
                <w:bCs w:val="1"/>
                <w:color w:val="auto"/>
                <w:w w:val="91"/>
              </w:rPr>
              <w:t>For the Years Ended December 31,</w:t>
            </w:r>
          </w:p>
        </w:tc>
        <w:tc>
          <w:tcPr>
            <w:tcW w:w="1380" w:type="dxa"/>
            <w:vAlign w:val="bottom"/>
            <w:tcBorders>
              <w:bottom w:val="single" w:sz="8" w:color="auto"/>
            </w:tcBorders>
          </w:tcPr>
          <w:p>
            <w:pPr>
              <w:spacing w:after="0"/>
              <w:rPr>
                <w:sz w:val="17"/>
                <w:szCs w:val="17"/>
                <w:color w:val="auto"/>
              </w:rPr>
            </w:pPr>
          </w:p>
        </w:tc>
      </w:tr>
      <w:tr>
        <w:trPr>
          <w:trHeight w:val="264"/>
        </w:trPr>
        <w:tc>
          <w:tcPr>
            <w:tcW w:w="57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2015</w:t>
            </w: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tax benefits at January 1,</w:t>
            </w:r>
          </w:p>
        </w:tc>
        <w:tc>
          <w:tcPr>
            <w:tcW w:w="1240" w:type="dxa"/>
            <w:vAlign w:val="bottom"/>
            <w:tcBorders>
              <w:bottom w:val="single" w:sz="8" w:color="CCEEFF"/>
            </w:tcBorders>
            <w:shd w:val="clear" w:color="auto" w:fill="CCEEFF"/>
          </w:tcPr>
          <w:p>
            <w:pPr>
              <w:jc w:val="right"/>
              <w:ind w:right="103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58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16.6</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Additions for tax positions of the current year</w:t>
            </w:r>
          </w:p>
        </w:tc>
        <w:tc>
          <w:tcPr>
            <w:tcW w:w="12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7.4</w:t>
            </w:r>
          </w:p>
        </w:tc>
      </w:tr>
      <w:tr>
        <w:trPr>
          <w:trHeight w:val="27"/>
        </w:trPr>
        <w:tc>
          <w:tcPr>
            <w:tcW w:w="57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Additions for tax positions of prior years</w:t>
            </w:r>
          </w:p>
        </w:tc>
        <w:tc>
          <w:tcPr>
            <w:tcW w:w="1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Reductions for tax positions of prior years</w:t>
            </w:r>
          </w:p>
        </w:tc>
        <w:tc>
          <w:tcPr>
            <w:tcW w:w="12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7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7"/>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Reductions as a result of a lapse of the statute of limitations</w:t>
            </w:r>
          </w:p>
        </w:tc>
        <w:tc>
          <w:tcPr>
            <w:tcW w:w="124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64"/>
        </w:trPr>
        <w:tc>
          <w:tcPr>
            <w:tcW w:w="5720" w:type="dxa"/>
            <w:vAlign w:val="bottom"/>
          </w:tcPr>
          <w:p>
            <w:pPr>
              <w:ind w:left="40"/>
              <w:spacing w:after="0"/>
              <w:rPr>
                <w:sz w:val="20"/>
                <w:szCs w:val="20"/>
                <w:color w:val="auto"/>
              </w:rPr>
            </w:pPr>
            <w:r>
              <w:rPr>
                <w:rFonts w:ascii="Arial" w:cs="Arial" w:eastAsia="Arial" w:hAnsi="Arial"/>
                <w:sz w:val="18"/>
                <w:szCs w:val="18"/>
                <w:color w:val="auto"/>
              </w:rPr>
              <w:t>Unrecognized tax benefits at December 31,</w:t>
            </w:r>
          </w:p>
        </w:tc>
        <w:tc>
          <w:tcPr>
            <w:tcW w:w="1240" w:type="dxa"/>
            <w:vAlign w:val="bottom"/>
          </w:tcPr>
          <w:p>
            <w:pPr>
              <w:jc w:val="right"/>
              <w:ind w:right="103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31.9</w:t>
            </w:r>
          </w:p>
        </w:tc>
        <w:tc>
          <w:tcPr>
            <w:tcW w:w="5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22"/>
                <w:szCs w:val="22"/>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21.8</w:t>
            </w:r>
          </w:p>
        </w:tc>
      </w:tr>
      <w:tr>
        <w:trPr>
          <w:trHeight w:val="20"/>
        </w:trPr>
        <w:tc>
          <w:tcPr>
            <w:tcW w:w="57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The total amount of gross unrecognized tax benefit that, if recognized, would favorably affect our effective income tax rate in future periods, was $31.9 million as of December 31, 2017. Accrued interest related to uncertain tax positions was $6.1 million and $4.9 million as of December 31, 2017 and 2016, respectively.</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are subject to income tax in federal and state jurisdictions. The IRS has completed their federal tax examinations for years prior to 2014. With respect to state jurisdictions, we are generally no longer subject to tax examinations on returns filed for years prior to 2010.</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337"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tab/>
        <w:t>NET INCOME PER SHARE</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Basic net income per share has been computed by dividing net income by the basic number of weighted average shares outstanding. Diluted net income per share has been computed by dividing net income by the diluted number of weighted average shares outstanding using the treasury stock method. The share effect is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700" w:type="dxa"/>
            <w:vAlign w:val="bottom"/>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For the Years Ended December 31,</w:t>
            </w:r>
          </w:p>
        </w:tc>
        <w:tc>
          <w:tcPr>
            <w:tcW w:w="1420" w:type="dxa"/>
            <w:vAlign w:val="bottom"/>
            <w:tcBorders>
              <w:bottom w:val="single" w:sz="8" w:color="auto"/>
            </w:tcBorders>
          </w:tcPr>
          <w:p>
            <w:pPr>
              <w:spacing w:after="0"/>
              <w:rPr>
                <w:sz w:val="17"/>
                <w:szCs w:val="17"/>
                <w:color w:val="auto"/>
              </w:rPr>
            </w:pPr>
          </w:p>
        </w:tc>
      </w:tr>
      <w:tr>
        <w:trPr>
          <w:trHeight w:val="264"/>
        </w:trPr>
        <w:tc>
          <w:tcPr>
            <w:tcW w:w="5700" w:type="dxa"/>
            <w:vAlign w:val="bottom"/>
          </w:tcPr>
          <w:p>
            <w:pPr>
              <w:spacing w:after="0"/>
              <w:rPr>
                <w:sz w:val="22"/>
                <w:szCs w:val="22"/>
                <w:color w:val="auto"/>
              </w:rPr>
            </w:pPr>
          </w:p>
        </w:tc>
        <w:tc>
          <w:tcPr>
            <w:tcW w:w="1760" w:type="dxa"/>
            <w:vAlign w:val="bottom"/>
          </w:tcPr>
          <w:p>
            <w:pPr>
              <w:jc w:val="right"/>
              <w:ind w:right="613"/>
              <w:spacing w:after="0"/>
              <w:rPr>
                <w:sz w:val="20"/>
                <w:szCs w:val="20"/>
                <w:color w:val="auto"/>
              </w:rPr>
            </w:pPr>
            <w:r>
              <w:rPr>
                <w:rFonts w:ascii="Arial" w:cs="Arial" w:eastAsia="Arial" w:hAnsi="Arial"/>
                <w:sz w:val="14"/>
                <w:szCs w:val="14"/>
                <w:b w:val="1"/>
                <w:bCs w:val="1"/>
                <w:color w:val="auto"/>
              </w:rPr>
              <w:t>2017</w:t>
            </w:r>
          </w:p>
        </w:tc>
        <w:tc>
          <w:tcPr>
            <w:tcW w:w="2020" w:type="dxa"/>
            <w:vAlign w:val="bottom"/>
            <w:gridSpan w:val="3"/>
          </w:tcPr>
          <w:p>
            <w:pPr>
              <w:jc w:val="right"/>
              <w:ind w:right="670"/>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20" w:type="dxa"/>
            <w:vAlign w:val="bottom"/>
          </w:tcPr>
          <w:p>
            <w:pPr>
              <w:jc w:val="right"/>
              <w:ind w:right="673"/>
              <w:spacing w:after="0"/>
              <w:rPr>
                <w:sz w:val="20"/>
                <w:szCs w:val="20"/>
                <w:color w:val="auto"/>
              </w:rPr>
            </w:pPr>
            <w:r>
              <w:rPr>
                <w:rFonts w:ascii="Arial" w:cs="Arial" w:eastAsia="Arial" w:hAnsi="Arial"/>
                <w:sz w:val="14"/>
                <w:szCs w:val="14"/>
                <w:b w:val="1"/>
                <w:bCs w:val="1"/>
                <w:color w:val="auto"/>
              </w:rPr>
              <w:t>2015</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Weighted average shares outstanding:</w:t>
            </w:r>
          </w:p>
        </w:tc>
        <w:tc>
          <w:tcPr>
            <w:tcW w:w="176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r>
      <w:tr>
        <w:trPr>
          <w:trHeight w:val="27"/>
        </w:trPr>
        <w:tc>
          <w:tcPr>
            <w:tcW w:w="57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shares</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19,245,188</w:t>
            </w:r>
          </w:p>
        </w:tc>
        <w:tc>
          <w:tcPr>
            <w:tcW w:w="202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20,065,423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20,364,435</w:t>
            </w:r>
          </w:p>
        </w:tc>
      </w:tr>
      <w:tr>
        <w:trPr>
          <w:trHeight w:val="284"/>
        </w:trPr>
        <w:tc>
          <w:tcPr>
            <w:tcW w:w="57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Vested restricted stock units</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252,531</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266,346</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527,260</w:t>
            </w:r>
          </w:p>
        </w:tc>
      </w:tr>
      <w:tr>
        <w:trPr>
          <w:trHeight w:val="244"/>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number of weighted average shares outstanding</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19,497,719</w:t>
            </w:r>
          </w:p>
        </w:tc>
        <w:tc>
          <w:tcPr>
            <w:tcW w:w="202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20,331,769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20,891,695</w:t>
            </w:r>
          </w:p>
        </w:tc>
      </w:tr>
      <w:tr>
        <w:trPr>
          <w:trHeight w:val="284"/>
        </w:trPr>
        <w:tc>
          <w:tcPr>
            <w:tcW w:w="57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Dilutive effect of restricted stock and restricted stock units</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61,217</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78,347</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89,058</w:t>
            </w:r>
          </w:p>
        </w:tc>
      </w:tr>
      <w:tr>
        <w:trPr>
          <w:trHeight w:val="257"/>
        </w:trPr>
        <w:tc>
          <w:tcPr>
            <w:tcW w:w="5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Dilutive number of weighted average shares outstanding</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19,558,936</w:t>
            </w:r>
          </w:p>
        </w:tc>
        <w:tc>
          <w:tcPr>
            <w:tcW w:w="202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20,410,116</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20,980,753</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the year ended December 31, 2017, there were 250 shares of restricted stock that were not included in the computation of diluted net income per share because their inclusion would have been anti-dilutive. For the years ended December 31, 2016 and 2015, there were no stock options, restricted stock or restricted stock units that would have been anti-dilutive.</w:t>
      </w:r>
    </w:p>
    <w:p>
      <w:pPr>
        <w:spacing w:after="0" w:line="177" w:lineRule="exact"/>
        <w:rPr>
          <w:sz w:val="20"/>
          <w:szCs w:val="20"/>
          <w:color w:val="auto"/>
        </w:rPr>
      </w:pPr>
    </w:p>
    <w:p>
      <w:pPr>
        <w:ind w:left="720" w:hanging="712"/>
        <w:spacing w:after="0"/>
        <w:tabs>
          <w:tab w:leader="none" w:pos="72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STOCK REPURCHASES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stock repurchases for the years ended December 31, 2017, 2016, and 2015:</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960" w:type="dxa"/>
            <w:vAlign w:val="bottom"/>
            <w:gridSpan w:val="2"/>
          </w:tcPr>
          <w:p>
            <w:pPr>
              <w:ind w:left="40"/>
              <w:spacing w:after="0"/>
              <w:rPr>
                <w:sz w:val="20"/>
                <w:szCs w:val="20"/>
                <w:color w:val="auto"/>
              </w:rPr>
            </w:pPr>
            <w:r>
              <w:rPr>
                <w:rFonts w:ascii="Arial" w:cs="Arial" w:eastAsia="Arial" w:hAnsi="Arial"/>
                <w:sz w:val="14"/>
                <w:szCs w:val="14"/>
                <w:color w:val="auto"/>
              </w:rPr>
              <w:t>(Dollars in millions)</w:t>
            </w:r>
          </w:p>
        </w:tc>
        <w:tc>
          <w:tcPr>
            <w:tcW w:w="14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gridSpan w:val="6"/>
          </w:tcPr>
          <w:p>
            <w:pPr>
              <w:ind w:left="440"/>
              <w:spacing w:after="0"/>
              <w:rPr>
                <w:sz w:val="20"/>
                <w:szCs w:val="20"/>
                <w:color w:val="auto"/>
              </w:rPr>
            </w:pPr>
            <w:r>
              <w:rPr>
                <w:rFonts w:ascii="Arial" w:cs="Arial" w:eastAsia="Arial" w:hAnsi="Arial"/>
                <w:sz w:val="14"/>
                <w:szCs w:val="14"/>
                <w:b w:val="1"/>
                <w:bCs w:val="1"/>
                <w:color w:val="auto"/>
              </w:rPr>
              <w:t>For the Years Ended December 31,</w:t>
            </w:r>
          </w:p>
        </w:tc>
        <w:tc>
          <w:tcPr>
            <w:tcW w:w="13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w w:val="96"/>
              </w:rPr>
              <w:t>2017</w:t>
            </w:r>
          </w:p>
        </w:tc>
        <w:tc>
          <w:tcPr>
            <w:tcW w:w="11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w w:val="96"/>
              </w:rPr>
              <w:t>2016</w:t>
            </w:r>
          </w:p>
        </w:tc>
        <w:tc>
          <w:tcPr>
            <w:tcW w:w="11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w w:val="96"/>
              </w:rPr>
              <w:t>2015</w:t>
            </w: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184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Stock Repurchases</w:t>
            </w:r>
          </w:p>
        </w:tc>
        <w:tc>
          <w:tcPr>
            <w:tcW w:w="120" w:type="dxa"/>
            <w:vAlign w:val="bottom"/>
            <w:vMerge w:val="restart"/>
          </w:tcPr>
          <w:p>
            <w:pPr>
              <w:spacing w:after="0"/>
              <w:rPr>
                <w:sz w:val="13"/>
                <w:szCs w:val="13"/>
                <w:color w:val="auto"/>
              </w:rPr>
            </w:pPr>
          </w:p>
        </w:tc>
        <w:tc>
          <w:tcPr>
            <w:tcW w:w="1420" w:type="dxa"/>
            <w:vAlign w:val="bottom"/>
          </w:tcPr>
          <w:p>
            <w:pPr>
              <w:jc w:val="right"/>
              <w:ind w:right="17"/>
              <w:spacing w:after="0" w:line="153" w:lineRule="exact"/>
              <w:rPr>
                <w:sz w:val="20"/>
                <w:szCs w:val="20"/>
                <w:color w:val="auto"/>
              </w:rPr>
            </w:pPr>
            <w:r>
              <w:rPr>
                <w:rFonts w:ascii="Arial" w:cs="Arial" w:eastAsia="Arial" w:hAnsi="Arial"/>
                <w:sz w:val="14"/>
                <w:szCs w:val="14"/>
                <w:b w:val="1"/>
                <w:bCs w:val="1"/>
                <w:color w:val="auto"/>
              </w:rPr>
              <w:t>Number of Shares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40" w:type="dxa"/>
            <w:vAlign w:val="bottom"/>
            <w:vMerge w:val="restart"/>
          </w:tcPr>
          <w:p>
            <w:pPr>
              <w:jc w:val="right"/>
              <w:ind w:right="534"/>
              <w:spacing w:after="0"/>
              <w:rPr>
                <w:sz w:val="20"/>
                <w:szCs w:val="20"/>
                <w:color w:val="auto"/>
              </w:rPr>
            </w:pPr>
            <w:r>
              <w:rPr>
                <w:rFonts w:ascii="Arial" w:cs="Arial" w:eastAsia="Arial" w:hAnsi="Arial"/>
                <w:sz w:val="14"/>
                <w:szCs w:val="14"/>
                <w:b w:val="1"/>
                <w:bCs w:val="1"/>
                <w:color w:val="auto"/>
              </w:rPr>
              <w:t>Cost</w:t>
            </w:r>
          </w:p>
        </w:tc>
        <w:tc>
          <w:tcPr>
            <w:tcW w:w="100" w:type="dxa"/>
            <w:vAlign w:val="bottom"/>
            <w:vMerge w:val="restart"/>
          </w:tcPr>
          <w:p>
            <w:pPr>
              <w:spacing w:after="0"/>
              <w:rPr>
                <w:sz w:val="13"/>
                <w:szCs w:val="13"/>
                <w:color w:val="auto"/>
              </w:rPr>
            </w:pPr>
          </w:p>
        </w:tc>
        <w:tc>
          <w:tcPr>
            <w:tcW w:w="13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Cost</w:t>
            </w:r>
          </w:p>
        </w:tc>
        <w:tc>
          <w:tcPr>
            <w:tcW w:w="100" w:type="dxa"/>
            <w:vAlign w:val="bottom"/>
            <w:vMerge w:val="restart"/>
          </w:tcPr>
          <w:p>
            <w:pPr>
              <w:spacing w:after="0"/>
              <w:rPr>
                <w:sz w:val="13"/>
                <w:szCs w:val="13"/>
                <w:color w:val="auto"/>
              </w:rPr>
            </w:pPr>
          </w:p>
        </w:tc>
        <w:tc>
          <w:tcPr>
            <w:tcW w:w="13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Cost</w:t>
            </w:r>
          </w:p>
        </w:tc>
        <w:tc>
          <w:tcPr>
            <w:tcW w:w="0" w:type="dxa"/>
            <w:vAlign w:val="bottom"/>
          </w:tcPr>
          <w:p>
            <w:pPr>
              <w:spacing w:after="0"/>
              <w:rPr>
                <w:sz w:val="1"/>
                <w:szCs w:val="1"/>
                <w:color w:val="auto"/>
              </w:rPr>
            </w:pPr>
          </w:p>
        </w:tc>
      </w:tr>
      <w:tr>
        <w:trPr>
          <w:trHeight w:val="205"/>
        </w:trPr>
        <w:tc>
          <w:tcPr>
            <w:tcW w:w="18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4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Repurchased</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38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Repurchased</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38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Repurchased</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Open Market (1)</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588,580</w:t>
            </w:r>
          </w:p>
        </w:tc>
        <w:tc>
          <w:tcPr>
            <w:tcW w:w="5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119.1</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495,662</w:t>
            </w:r>
          </w:p>
        </w:tc>
        <w:tc>
          <w:tcPr>
            <w:tcW w:w="5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88.5</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464,006</w:t>
            </w:r>
          </w:p>
        </w:tc>
        <w:tc>
          <w:tcPr>
            <w:tcW w:w="5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84"/>
        </w:trPr>
        <w:tc>
          <w:tcPr>
            <w:tcW w:w="19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Other (2)</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21,680</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170,668</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6,065</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7"/>
        </w:trPr>
        <w:tc>
          <w:tcPr>
            <w:tcW w:w="1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610,260</w:t>
            </w:r>
          </w:p>
        </w:tc>
        <w:tc>
          <w:tcPr>
            <w:tcW w:w="5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123.5</w:t>
            </w: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666,330</w:t>
            </w:r>
          </w:p>
        </w:tc>
        <w:tc>
          <w:tcPr>
            <w:tcW w:w="5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121.7</w:t>
            </w: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470,071</w:t>
            </w:r>
          </w:p>
        </w:tc>
        <w:tc>
          <w:tcPr>
            <w:tcW w:w="5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left="500" w:hanging="330"/>
        <w:spacing w:after="0" w:line="247" w:lineRule="auto"/>
        <w:tabs>
          <w:tab w:leader="none" w:pos="500" w:val="left"/>
        </w:tabs>
        <w:numPr>
          <w:ilvl w:val="1"/>
          <w:numId w:val="68"/>
        </w:numPr>
        <w:rPr>
          <w:rFonts w:ascii="Arial" w:cs="Arial" w:eastAsia="Arial" w:hAnsi="Arial"/>
          <w:sz w:val="14"/>
          <w:szCs w:val="14"/>
          <w:color w:val="auto"/>
        </w:rPr>
      </w:pPr>
      <w:r>
        <w:rPr>
          <w:rFonts w:ascii="Arial" w:cs="Arial" w:eastAsia="Arial" w:hAnsi="Arial"/>
          <w:sz w:val="14"/>
          <w:szCs w:val="14"/>
          <w:color w:val="auto"/>
        </w:rPr>
        <w:t>Represents repurchases under authorizations by the board of directors for the repurchase of shares by us from time to time in the open market or in privately negotiated transactions. On February 13, 2017, the board of directors authorized the repurchase of up to one million shares of our common stock in addition to the board’s prior authorizations. As of December 31, 2017, we had authorization to repurchase 776,208 shares of our common stock.</w:t>
      </w:r>
    </w:p>
    <w:p>
      <w:pPr>
        <w:spacing w:after="0" w:line="1" w:lineRule="exact"/>
        <w:rPr>
          <w:rFonts w:ascii="Arial" w:cs="Arial" w:eastAsia="Arial" w:hAnsi="Arial"/>
          <w:sz w:val="14"/>
          <w:szCs w:val="14"/>
          <w:color w:val="auto"/>
        </w:rPr>
      </w:pPr>
    </w:p>
    <w:p>
      <w:pPr>
        <w:ind w:left="500" w:hanging="330"/>
        <w:spacing w:after="0"/>
        <w:tabs>
          <w:tab w:leader="none" w:pos="500" w:val="left"/>
        </w:tabs>
        <w:numPr>
          <w:ilvl w:val="1"/>
          <w:numId w:val="68"/>
        </w:numPr>
        <w:rPr>
          <w:rFonts w:ascii="Arial" w:cs="Arial" w:eastAsia="Arial" w:hAnsi="Arial"/>
          <w:sz w:val="14"/>
          <w:szCs w:val="14"/>
          <w:color w:val="auto"/>
        </w:rPr>
      </w:pPr>
      <w:r>
        <w:rPr>
          <w:rFonts w:ascii="Arial" w:cs="Arial" w:eastAsia="Arial" w:hAnsi="Arial"/>
          <w:sz w:val="14"/>
          <w:szCs w:val="14"/>
          <w:color w:val="auto"/>
        </w:rPr>
        <w:t>Represents shares of common stock released to us by team members as payment of tax withholdings upon the vesting of restricted stock and restricted stock units.</w:t>
      </w:r>
    </w:p>
    <w:p>
      <w:pPr>
        <w:spacing w:after="0" w:line="151" w:lineRule="exact"/>
        <w:rPr>
          <w:rFonts w:ascii="Arial" w:cs="Arial" w:eastAsia="Arial" w:hAnsi="Arial"/>
          <w:sz w:val="14"/>
          <w:szCs w:val="14"/>
          <w:color w:val="auto"/>
        </w:rPr>
      </w:pPr>
    </w:p>
    <w:p>
      <w:pPr>
        <w:ind w:left="720" w:hanging="712"/>
        <w:spacing w:after="0"/>
        <w:tabs>
          <w:tab w:leader="none" w:pos="72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 PLANS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Pursuant to our Amended and Restated Incentive Compensation Plan (the “Incentive Plan”), we can grant stock-based awards in the form of restricted stock, restricted stock units and stock options to team members, officers, directors, and contractors at any time prior to March 26, 2022. On March 26, 2012, our board of directors approved an amendment to our Incentive Plan, increasing the number of shares authorized for issuance by 500,000 shares, to 2.0 million shares. The shares available for future grants under the Incentive Plan totaled 125,731 as of December 31, 2017.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grant performance-based and time-based shares of restricted stock to team members in accordance with our Incentive Plan. The grant-date fair value per share is estimated to equal the market price of our common stock on the date of grant. Based on the terms of individual restricted stock grant agreements, shares vest under one of the following methods:</w:t>
      </w:r>
    </w:p>
    <w:p>
      <w:pPr>
        <w:spacing w:after="0" w:line="181" w:lineRule="exact"/>
        <w:rPr>
          <w:sz w:val="20"/>
          <w:szCs w:val="20"/>
          <w:color w:val="auto"/>
        </w:rPr>
      </w:pPr>
    </w:p>
    <w:p>
      <w:pPr>
        <w:ind w:left="820" w:hanging="326"/>
        <w:spacing w:after="0" w:line="258" w:lineRule="auto"/>
        <w:tabs>
          <w:tab w:leader="none" w:pos="8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Over a period of 15 years, based on continuous employment and a combination of the cumulative improvement in our annual adjusted economic profit, a non-GAAP financial measure, and the attainment of annual adjusted economic profit targets.</w:t>
      </w:r>
    </w:p>
    <w:p>
      <w:pPr>
        <w:spacing w:after="0" w:line="1" w:lineRule="exact"/>
        <w:rPr>
          <w:rFonts w:ascii="Arial" w:cs="Arial" w:eastAsia="Arial" w:hAnsi="Arial"/>
          <w:sz w:val="18"/>
          <w:szCs w:val="18"/>
          <w:color w:val="auto"/>
        </w:rPr>
      </w:pPr>
    </w:p>
    <w:p>
      <w:pPr>
        <w:ind w:left="820" w:hanging="326"/>
        <w:spacing w:after="0"/>
        <w:tabs>
          <w:tab w:leader="none" w:pos="8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Over a period of three years, based on continuous employment.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337"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non-vested restricted stock activity under the Incentive Plan for the year ended December 31, 2017 is presented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Restricted Stock</w:t>
            </w:r>
          </w:p>
        </w:tc>
        <w:tc>
          <w:tcPr>
            <w:tcW w:w="120" w:type="dxa"/>
            <w:vAlign w:val="bottom"/>
            <w:vMerge w:val="restart"/>
          </w:tcPr>
          <w:p>
            <w:pPr>
              <w:spacing w:after="0"/>
              <w:rPr>
                <w:sz w:val="14"/>
                <w:szCs w:val="14"/>
                <w:color w:val="auto"/>
              </w:rPr>
            </w:pPr>
          </w:p>
        </w:tc>
        <w:tc>
          <w:tcPr>
            <w:tcW w:w="182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jc w:val="right"/>
              <w:ind w:right="33"/>
              <w:spacing w:after="0"/>
              <w:rPr>
                <w:sz w:val="20"/>
                <w:szCs w:val="20"/>
                <w:color w:val="auto"/>
              </w:rPr>
            </w:pPr>
            <w:r>
              <w:rPr>
                <w:rFonts w:ascii="Arial" w:cs="Arial" w:eastAsia="Arial" w:hAnsi="Arial"/>
                <w:sz w:val="14"/>
                <w:szCs w:val="14"/>
                <w:b w:val="1"/>
                <w:bCs w:val="1"/>
                <w:color w:val="auto"/>
                <w:w w:val="92"/>
              </w:rPr>
              <w:t>Weighted Average Grant-</w:t>
            </w:r>
          </w:p>
        </w:tc>
        <w:tc>
          <w:tcPr>
            <w:tcW w:w="0" w:type="dxa"/>
            <w:vAlign w:val="bottom"/>
          </w:tcPr>
          <w:p>
            <w:pPr>
              <w:spacing w:after="0"/>
              <w:rPr>
                <w:sz w:val="1"/>
                <w:szCs w:val="1"/>
                <w:color w:val="auto"/>
              </w:rPr>
            </w:pPr>
          </w:p>
        </w:tc>
      </w:tr>
      <w:tr>
        <w:trPr>
          <w:trHeight w:val="205"/>
        </w:trPr>
        <w:tc>
          <w:tcPr>
            <w:tcW w:w="75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8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2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b w:val="1"/>
                <w:bCs w:val="1"/>
                <w:color w:val="auto"/>
                <w:w w:val="99"/>
              </w:rPr>
              <w:t>Date Fair Value Per Share</w:t>
            </w: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Non-vested as of December 31, 2016</w:t>
            </w:r>
          </w:p>
        </w:tc>
        <w:tc>
          <w:tcPr>
            <w:tcW w:w="1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168,546</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111.91</w:t>
            </w:r>
          </w:p>
        </w:tc>
        <w:tc>
          <w:tcPr>
            <w:tcW w:w="0" w:type="dxa"/>
            <w:vAlign w:val="bottom"/>
          </w:tcPr>
          <w:p>
            <w:pPr>
              <w:spacing w:after="0"/>
              <w:rPr>
                <w:sz w:val="1"/>
                <w:szCs w:val="1"/>
                <w:color w:val="auto"/>
              </w:rPr>
            </w:pPr>
          </w:p>
        </w:tc>
      </w:tr>
      <w:tr>
        <w:trPr>
          <w:trHeight w:val="243"/>
        </w:trPr>
        <w:tc>
          <w:tcPr>
            <w:tcW w:w="7660" w:type="dxa"/>
            <w:vAlign w:val="bottom"/>
            <w:gridSpan w:val="2"/>
          </w:tcPr>
          <w:p>
            <w:pPr>
              <w:ind w:left="380"/>
              <w:spacing w:after="0"/>
              <w:rPr>
                <w:sz w:val="20"/>
                <w:szCs w:val="20"/>
                <w:color w:val="auto"/>
              </w:rPr>
            </w:pPr>
            <w:r>
              <w:rPr>
                <w:rFonts w:ascii="Arial" w:cs="Arial" w:eastAsia="Arial" w:hAnsi="Arial"/>
                <w:sz w:val="18"/>
                <w:szCs w:val="18"/>
                <w:color w:val="auto"/>
              </w:rPr>
              <w:t>Granted</w:t>
            </w:r>
          </w:p>
        </w:tc>
        <w:tc>
          <w:tcPr>
            <w:tcW w:w="1820" w:type="dxa"/>
            <w:vAlign w:val="bottom"/>
          </w:tcPr>
          <w:p>
            <w:pPr>
              <w:jc w:val="right"/>
              <w:ind w:right="13"/>
              <w:spacing w:after="0"/>
              <w:rPr>
                <w:sz w:val="20"/>
                <w:szCs w:val="20"/>
                <w:color w:val="auto"/>
              </w:rPr>
            </w:pPr>
            <w:r>
              <w:rPr>
                <w:rFonts w:ascii="Arial" w:cs="Arial" w:eastAsia="Arial" w:hAnsi="Arial"/>
                <w:sz w:val="18"/>
                <w:szCs w:val="18"/>
                <w:color w:val="auto"/>
              </w:rPr>
              <w:t>8,543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3"/>
              <w:spacing w:after="0"/>
              <w:rPr>
                <w:sz w:val="20"/>
                <w:szCs w:val="20"/>
                <w:color w:val="auto"/>
              </w:rPr>
            </w:pPr>
            <w:r>
              <w:rPr>
                <w:rFonts w:ascii="Arial" w:cs="Arial" w:eastAsia="Arial" w:hAnsi="Arial"/>
                <w:sz w:val="18"/>
                <w:szCs w:val="18"/>
                <w:color w:val="auto"/>
              </w:rPr>
              <w:t>200.79</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(17,338)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127.83</w:t>
            </w:r>
          </w:p>
        </w:tc>
        <w:tc>
          <w:tcPr>
            <w:tcW w:w="0" w:type="dxa"/>
            <w:vAlign w:val="bottom"/>
          </w:tcPr>
          <w:p>
            <w:pPr>
              <w:spacing w:after="0"/>
              <w:rPr>
                <w:sz w:val="1"/>
                <w:szCs w:val="1"/>
                <w:color w:val="auto"/>
              </w:rPr>
            </w:pPr>
          </w:p>
        </w:tc>
      </w:tr>
      <w:tr>
        <w:trPr>
          <w:trHeight w:val="284"/>
        </w:trPr>
        <w:tc>
          <w:tcPr>
            <w:tcW w:w="766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Forfeited</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700" w:type="dxa"/>
            <w:vAlign w:val="bottom"/>
            <w:tcBorders>
              <w:bottom w:val="single" w:sz="8" w:color="CCEEFF"/>
            </w:tcBorders>
          </w:tcPr>
          <w:p>
            <w:pPr>
              <w:jc w:val="right"/>
              <w:ind w:right="13"/>
              <w:spacing w:after="0"/>
              <w:rPr>
                <w:sz w:val="20"/>
                <w:szCs w:val="20"/>
                <w:color w:val="auto"/>
              </w:rPr>
            </w:pPr>
            <w:r>
              <w:rPr>
                <w:rFonts w:ascii="Arial" w:cs="Arial" w:eastAsia="Arial" w:hAnsi="Arial"/>
                <w:sz w:val="18"/>
                <w:szCs w:val="18"/>
                <w:color w:val="auto"/>
              </w:rPr>
              <w:t>198.81</w:t>
            </w: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Non-vested as of December 31, 2017</w:t>
            </w:r>
          </w:p>
        </w:tc>
        <w:tc>
          <w:tcPr>
            <w:tcW w:w="1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159,300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114.70</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grant-date weighted average fair value of shares granted in 2017, 2016 and 2015 was $200.79, $196.96, and $183.30, respectively. The total fair value of shares vested was $5.6 million in 2017, $4.4 million in 2016 and $2.6 million in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22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grant performance-based restricted stock units to team members and directors in accordance with our Incentive Plan. The grant-date fair value per share is estimated to equal the market price of our common stock on the date of grant. Each restricted stock unit represents and has a value equal to one share of common stock. Based on the terms of individual restricted stock grant agreements, restricted stock unit vest under one of the following methods:</w:t>
      </w:r>
    </w:p>
    <w:p>
      <w:pPr>
        <w:spacing w:after="0" w:line="93" w:lineRule="exact"/>
        <w:rPr>
          <w:sz w:val="20"/>
          <w:szCs w:val="20"/>
          <w:color w:val="auto"/>
        </w:rPr>
      </w:pPr>
    </w:p>
    <w:p>
      <w:pPr>
        <w:ind w:left="820" w:hanging="326"/>
        <w:spacing w:after="0"/>
        <w:tabs>
          <w:tab w:leader="none" w:pos="8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Over a period of ten years, based on continuous employment and the cumulative improvement in our annual adjusted economic profit.</w:t>
      </w:r>
    </w:p>
    <w:p>
      <w:pPr>
        <w:spacing w:after="0" w:line="34" w:lineRule="exact"/>
        <w:rPr>
          <w:rFonts w:ascii="Arial" w:cs="Arial" w:eastAsia="Arial" w:hAnsi="Arial"/>
          <w:sz w:val="17"/>
          <w:szCs w:val="17"/>
          <w:color w:val="auto"/>
        </w:rPr>
      </w:pPr>
    </w:p>
    <w:p>
      <w:pPr>
        <w:ind w:left="820" w:hanging="326"/>
        <w:spacing w:after="0"/>
        <w:tabs>
          <w:tab w:leader="none" w:pos="8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Over a period of five years, based upon the compounded annual growth rate in our adjusted economic profit.</w:t>
      </w:r>
    </w:p>
    <w:p>
      <w:pPr>
        <w:spacing w:after="0" w:line="9" w:lineRule="exact"/>
        <w:rPr>
          <w:rFonts w:ascii="Arial" w:cs="Arial" w:eastAsia="Arial" w:hAnsi="Arial"/>
          <w:sz w:val="18"/>
          <w:szCs w:val="18"/>
          <w:color w:val="auto"/>
        </w:rPr>
      </w:pPr>
    </w:p>
    <w:p>
      <w:pPr>
        <w:ind w:left="820" w:hanging="326"/>
        <w:spacing w:after="0" w:line="261" w:lineRule="auto"/>
        <w:tabs>
          <w:tab w:leader="none" w:pos="8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Over a period of one to four years, based on continuous employment and the compounded annual growth rate in our adjusted EPS, a non-GAAP financial measure.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restricted stock unit activity under the Incentive Plan for the year ended December 31, 2017, is presented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Number of Restricted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Weighted Average Grant-</w:t>
            </w:r>
          </w:p>
        </w:tc>
        <w:tc>
          <w:tcPr>
            <w:tcW w:w="120" w:type="dxa"/>
            <w:vAlign w:val="bottom"/>
          </w:tcPr>
          <w:p>
            <w:pPr>
              <w:spacing w:after="0"/>
              <w:rPr>
                <w:sz w:val="14"/>
                <w:szCs w:val="14"/>
                <w:color w:val="auto"/>
              </w:rPr>
            </w:pPr>
          </w:p>
        </w:tc>
        <w:tc>
          <w:tcPr>
            <w:tcW w:w="1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Aggregate Intrinsic Value</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3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Restricted Stock Units</w:t>
            </w:r>
          </w:p>
        </w:tc>
        <w:tc>
          <w:tcPr>
            <w:tcW w:w="120" w:type="dxa"/>
            <w:vAlign w:val="bottom"/>
            <w:vMerge w:val="restart"/>
          </w:tcPr>
          <w:p>
            <w:pPr>
              <w:spacing w:after="0"/>
              <w:rPr>
                <w:sz w:val="12"/>
                <w:szCs w:val="12"/>
                <w:color w:val="auto"/>
              </w:rPr>
            </w:pPr>
          </w:p>
        </w:tc>
        <w:tc>
          <w:tcPr>
            <w:tcW w:w="1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Remaining Contractual</w:t>
            </w:r>
          </w:p>
        </w:tc>
        <w:tc>
          <w:tcPr>
            <w:tcW w:w="0" w:type="dxa"/>
            <w:vAlign w:val="bottom"/>
          </w:tcPr>
          <w:p>
            <w:pPr>
              <w:spacing w:after="0"/>
              <w:rPr>
                <w:sz w:val="1"/>
                <w:szCs w:val="1"/>
                <w:color w:val="auto"/>
              </w:rPr>
            </w:pPr>
          </w:p>
        </w:tc>
      </w:tr>
      <w:tr>
        <w:trPr>
          <w:trHeight w:val="205"/>
        </w:trPr>
        <w:tc>
          <w:tcPr>
            <w:tcW w:w="36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8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Stock Units</w:t>
            </w:r>
          </w:p>
        </w:tc>
        <w:tc>
          <w:tcPr>
            <w:tcW w:w="120" w:type="dxa"/>
            <w:vAlign w:val="bottom"/>
            <w:tcBorders>
              <w:bottom w:val="single" w:sz="8" w:color="CCEEFF"/>
            </w:tcBorders>
          </w:tcPr>
          <w:p>
            <w:pPr>
              <w:spacing w:after="0"/>
              <w:rPr>
                <w:sz w:val="17"/>
                <w:szCs w:val="17"/>
                <w:color w:val="auto"/>
              </w:rPr>
            </w:pPr>
          </w:p>
        </w:tc>
        <w:tc>
          <w:tcPr>
            <w:tcW w:w="18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w w:val="99"/>
              </w:rPr>
              <w:t>Date Fair Value Per Share</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 (in millions)</w:t>
            </w:r>
          </w:p>
        </w:tc>
        <w:tc>
          <w:tcPr>
            <w:tcW w:w="120" w:type="dxa"/>
            <w:vAlign w:val="bottom"/>
            <w:tcBorders>
              <w:bottom w:val="single" w:sz="8" w:color="CCEEFF"/>
            </w:tcBorders>
          </w:tcPr>
          <w:p>
            <w:pPr>
              <w:spacing w:after="0"/>
              <w:rPr>
                <w:sz w:val="17"/>
                <w:szCs w:val="17"/>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 (in years)</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as of December 31, 2016</w:t>
            </w:r>
          </w:p>
        </w:tc>
        <w:tc>
          <w:tcPr>
            <w:tcW w:w="1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455,823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101.75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gridSpan w:val="2"/>
          </w:tcPr>
          <w:p>
            <w:pPr>
              <w:ind w:left="380"/>
              <w:spacing w:after="0"/>
              <w:rPr>
                <w:sz w:val="20"/>
                <w:szCs w:val="20"/>
                <w:color w:val="auto"/>
              </w:rPr>
            </w:pPr>
            <w:r>
              <w:rPr>
                <w:rFonts w:ascii="Arial" w:cs="Arial" w:eastAsia="Arial" w:hAnsi="Arial"/>
                <w:sz w:val="18"/>
                <w:szCs w:val="18"/>
                <w:color w:val="auto"/>
              </w:rPr>
              <w:t>Granted</w:t>
            </w:r>
          </w:p>
        </w:tc>
        <w:tc>
          <w:tcPr>
            <w:tcW w:w="1840" w:type="dxa"/>
            <w:vAlign w:val="bottom"/>
          </w:tcPr>
          <w:p>
            <w:pPr>
              <w:jc w:val="right"/>
              <w:ind w:right="34"/>
              <w:spacing w:after="0"/>
              <w:rPr>
                <w:sz w:val="20"/>
                <w:szCs w:val="20"/>
                <w:color w:val="auto"/>
              </w:rPr>
            </w:pPr>
            <w:r>
              <w:rPr>
                <w:rFonts w:ascii="Arial" w:cs="Arial" w:eastAsia="Arial" w:hAnsi="Arial"/>
                <w:sz w:val="18"/>
                <w:szCs w:val="18"/>
                <w:color w:val="auto"/>
              </w:rPr>
              <w:t>108,100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33"/>
              <w:spacing w:after="0"/>
              <w:rPr>
                <w:sz w:val="20"/>
                <w:szCs w:val="20"/>
                <w:color w:val="auto"/>
              </w:rPr>
            </w:pPr>
            <w:r>
              <w:rPr>
                <w:rFonts w:ascii="Arial" w:cs="Arial" w:eastAsia="Arial" w:hAnsi="Arial"/>
                <w:sz w:val="18"/>
                <w:szCs w:val="18"/>
                <w:color w:val="auto"/>
              </w:rPr>
              <w:t>206.45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Converted</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(34,836)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378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Forfeited</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(6,260)</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700" w:type="dxa"/>
            <w:vAlign w:val="bottom"/>
            <w:tcBorders>
              <w:bottom w:val="single" w:sz="8" w:color="CCEEFF"/>
            </w:tcBorders>
          </w:tcPr>
          <w:p>
            <w:pPr>
              <w:jc w:val="right"/>
              <w:ind w:right="33"/>
              <w:spacing w:after="0"/>
              <w:rPr>
                <w:sz w:val="20"/>
                <w:szCs w:val="20"/>
                <w:color w:val="auto"/>
              </w:rPr>
            </w:pPr>
            <w:r>
              <w:rPr>
                <w:rFonts w:ascii="Arial" w:cs="Arial" w:eastAsia="Arial" w:hAnsi="Arial"/>
                <w:sz w:val="18"/>
                <w:szCs w:val="18"/>
                <w:color w:val="auto"/>
              </w:rPr>
              <w:t>178.07</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7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as of December 31, 2017 (1)</w:t>
            </w:r>
          </w:p>
        </w:tc>
        <w:tc>
          <w:tcPr>
            <w:tcW w:w="18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522,827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126.59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169.1</w:t>
            </w: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Vested as of December 31, 2017</w:t>
            </w:r>
          </w:p>
        </w:tc>
        <w:tc>
          <w:tcPr>
            <w:tcW w:w="1840" w:type="dxa"/>
            <w:vAlign w:val="bottom"/>
          </w:tcPr>
          <w:p>
            <w:pPr>
              <w:jc w:val="right"/>
              <w:ind w:right="34"/>
              <w:spacing w:after="0"/>
              <w:rPr>
                <w:sz w:val="20"/>
                <w:szCs w:val="20"/>
                <w:color w:val="auto"/>
              </w:rPr>
            </w:pPr>
            <w:r>
              <w:rPr>
                <w:rFonts w:ascii="Arial" w:cs="Arial" w:eastAsia="Arial" w:hAnsi="Arial"/>
                <w:sz w:val="18"/>
                <w:szCs w:val="18"/>
                <w:color w:val="auto"/>
              </w:rPr>
              <w:t>258,195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33"/>
              <w:spacing w:after="0"/>
              <w:rPr>
                <w:sz w:val="20"/>
                <w:szCs w:val="20"/>
                <w:color w:val="auto"/>
              </w:rPr>
            </w:pPr>
            <w:r>
              <w:rPr>
                <w:rFonts w:ascii="Arial" w:cs="Arial" w:eastAsia="Arial" w:hAnsi="Arial"/>
                <w:sz w:val="18"/>
                <w:szCs w:val="18"/>
                <w:color w:val="auto"/>
              </w:rPr>
              <w:t>106.67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9"/>
              <w:spacing w:after="0"/>
              <w:rPr>
                <w:sz w:val="20"/>
                <w:szCs w:val="20"/>
                <w:color w:val="auto"/>
              </w:rPr>
            </w:pPr>
            <w:r>
              <w:rPr>
                <w:rFonts w:ascii="Arial" w:cs="Arial" w:eastAsia="Arial" w:hAnsi="Arial"/>
                <w:sz w:val="18"/>
                <w:szCs w:val="18"/>
                <w:color w:val="auto"/>
              </w:rPr>
              <w:t>83.5</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500" w:hanging="330"/>
        <w:spacing w:after="0"/>
        <w:tabs>
          <w:tab w:leader="none" w:pos="500" w:val="left"/>
        </w:tabs>
        <w:numPr>
          <w:ilvl w:val="0"/>
          <w:numId w:val="72"/>
        </w:numPr>
        <w:rPr>
          <w:rFonts w:ascii="Arial" w:cs="Arial" w:eastAsia="Arial" w:hAnsi="Arial"/>
          <w:sz w:val="14"/>
          <w:szCs w:val="14"/>
          <w:color w:val="auto"/>
        </w:rPr>
      </w:pPr>
      <w:r>
        <w:rPr>
          <w:rFonts w:ascii="Arial" w:cs="Arial" w:eastAsia="Arial" w:hAnsi="Arial"/>
          <w:sz w:val="14"/>
          <w:szCs w:val="14"/>
          <w:color w:val="auto"/>
        </w:rPr>
        <w:t>No RSUs outstanding at December 31, 2017 were convertible to shares of common stock.</w:t>
      </w:r>
    </w:p>
    <w:p>
      <w:pPr>
        <w:spacing w:after="0" w:line="13" w:lineRule="exact"/>
        <w:rPr>
          <w:rFonts w:ascii="Arial" w:cs="Arial" w:eastAsia="Arial" w:hAnsi="Arial"/>
          <w:sz w:val="14"/>
          <w:szCs w:val="14"/>
          <w:color w:val="auto"/>
        </w:rPr>
      </w:pPr>
    </w:p>
    <w:p>
      <w:pPr>
        <w:ind w:left="500" w:hanging="330"/>
        <w:spacing w:after="0"/>
        <w:tabs>
          <w:tab w:leader="none" w:pos="500"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intrinsic value of RSUs is measured by applying the closing stock price as of December 31, 2017 to the applicable number of units.</w:t>
      </w:r>
    </w:p>
    <w:p>
      <w:pPr>
        <w:spacing w:after="0" w:line="210"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The grant-date weighted average fair value of RSUs granted in 2017, 2016 and 2015 was $206.45, $181.04, and $139.00, respectively. The total intrinsic value of RSUs converted to common stock during 2017, 2016 and 2015 was $6.9 million, $78.7 million, and $0.2 million,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Stock-based compensation expense consists of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60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210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6"/>
          </w:tcPr>
          <w:p>
            <w:pPr>
              <w:jc w:val="right"/>
              <w:ind w:right="290"/>
              <w:spacing w:after="0"/>
              <w:rPr>
                <w:sz w:val="20"/>
                <w:szCs w:val="20"/>
                <w:color w:val="auto"/>
              </w:rPr>
            </w:pPr>
            <w:r>
              <w:rPr>
                <w:rFonts w:ascii="Arial" w:cs="Arial" w:eastAsia="Arial" w:hAnsi="Arial"/>
                <w:sz w:val="14"/>
                <w:szCs w:val="14"/>
                <w:b w:val="1"/>
                <w:bCs w:val="1"/>
                <w:color w:val="auto"/>
                <w:w w:val="93"/>
              </w:rPr>
              <w:t>For the Years Ended December 31,</w:t>
            </w:r>
          </w:p>
        </w:tc>
        <w:tc>
          <w:tcPr>
            <w:tcW w:w="1380" w:type="dxa"/>
            <w:vAlign w:val="bottom"/>
            <w:tcBorders>
              <w:bottom w:val="single" w:sz="8" w:color="auto"/>
            </w:tcBorders>
          </w:tcPr>
          <w:p>
            <w:pPr>
              <w:spacing w:after="0"/>
              <w:rPr>
                <w:sz w:val="17"/>
                <w:szCs w:val="17"/>
                <w:color w:val="auto"/>
              </w:rPr>
            </w:pPr>
          </w:p>
        </w:tc>
      </w:tr>
      <w:tr>
        <w:trPr>
          <w:trHeight w:val="264"/>
        </w:trPr>
        <w:tc>
          <w:tcPr>
            <w:tcW w:w="3600" w:type="dxa"/>
            <w:vAlign w:val="bottom"/>
            <w:tcBorders>
              <w:bottom w:val="single" w:sz="8" w:color="CCEEFF"/>
            </w:tcBorders>
          </w:tcPr>
          <w:p>
            <w:pPr>
              <w:spacing w:after="0"/>
              <w:rPr>
                <w:sz w:val="22"/>
                <w:szCs w:val="22"/>
                <w:color w:val="auto"/>
              </w:rPr>
            </w:pPr>
          </w:p>
        </w:tc>
        <w:tc>
          <w:tcPr>
            <w:tcW w:w="2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2015</w:t>
            </w: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w:t>
            </w:r>
          </w:p>
        </w:tc>
        <w:tc>
          <w:tcPr>
            <w:tcW w:w="3340" w:type="dxa"/>
            <w:vAlign w:val="bottom"/>
            <w:tcBorders>
              <w:bottom w:val="single" w:sz="8" w:color="CCEEFF"/>
            </w:tcBorders>
            <w:gridSpan w:val="2"/>
            <w:shd w:val="clear" w:color="auto" w:fill="CCEEFF"/>
          </w:tcPr>
          <w:p>
            <w:pPr>
              <w:jc w:val="right"/>
              <w:ind w:right="1048"/>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2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w:t>
            </w:r>
          </w:p>
        </w:tc>
      </w:tr>
      <w:tr>
        <w:trPr>
          <w:trHeight w:val="284"/>
        </w:trPr>
        <w:tc>
          <w:tcPr>
            <w:tcW w:w="36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Restricted stock units</w:t>
            </w:r>
          </w:p>
        </w:tc>
        <w:tc>
          <w:tcPr>
            <w:tcW w:w="210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9.2</w:t>
            </w:r>
          </w:p>
        </w:tc>
      </w:tr>
      <w:tr>
        <w:trPr>
          <w:trHeight w:val="257"/>
        </w:trPr>
        <w:tc>
          <w:tcPr>
            <w:tcW w:w="36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340" w:type="dxa"/>
            <w:vAlign w:val="bottom"/>
            <w:gridSpan w:val="2"/>
            <w:shd w:val="clear" w:color="auto" w:fill="CCEEFF"/>
          </w:tcPr>
          <w:p>
            <w:pPr>
              <w:jc w:val="right"/>
              <w:ind w:right="1048"/>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6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12.4</w:t>
            </w: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446"/>
        </w:trPr>
        <w:tc>
          <w:tcPr>
            <w:tcW w:w="3600" w:type="dxa"/>
            <w:vAlign w:val="bottom"/>
          </w:tcPr>
          <w:p>
            <w:pPr>
              <w:spacing w:after="0"/>
              <w:rPr>
                <w:sz w:val="24"/>
                <w:szCs w:val="24"/>
                <w:color w:val="auto"/>
              </w:rPr>
            </w:pPr>
          </w:p>
        </w:tc>
        <w:tc>
          <w:tcPr>
            <w:tcW w:w="3340" w:type="dxa"/>
            <w:vAlign w:val="bottom"/>
            <w:gridSpan w:val="2"/>
          </w:tcPr>
          <w:p>
            <w:pPr>
              <w:jc w:val="right"/>
              <w:ind w:right="1068"/>
              <w:spacing w:after="0"/>
              <w:rPr>
                <w:sz w:val="20"/>
                <w:szCs w:val="20"/>
                <w:color w:val="auto"/>
              </w:rPr>
            </w:pPr>
            <w:r>
              <w:rPr>
                <w:rFonts w:ascii="Arial" w:cs="Arial" w:eastAsia="Arial" w:hAnsi="Arial"/>
                <w:sz w:val="18"/>
                <w:szCs w:val="18"/>
                <w:color w:val="auto"/>
              </w:rPr>
              <w:t>84</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While the stock-based awards are often expected to vest in equal, annual installments over the corresponding requisite service periods of the grants, the related stock-based compensation expense is not recognized on a straight-line basis over the same periods. Each installment is accounted for as a separate award and as a result, the fair value of each installment is recognized as stock-based compensation expense on a straight-line basis over the related expected vesting period. Assuming performance targets are achieved in the periods currently estimated, we expect to recognize the remaining expense for stock-based awards outstanding as of December 31, 2017 over a weighted average period of 1.8 years,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740" w:type="dxa"/>
            <w:vAlign w:val="bottom"/>
            <w:gridSpan w:val="2"/>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5740" w:type="dxa"/>
            <w:vAlign w:val="bottom"/>
            <w:gridSpan w:val="2"/>
            <w:vMerge w:val="restart"/>
          </w:tcPr>
          <w:p>
            <w:pPr>
              <w:ind w:left="1740"/>
              <w:spacing w:after="0"/>
              <w:rPr>
                <w:sz w:val="20"/>
                <w:szCs w:val="20"/>
                <w:color w:val="auto"/>
              </w:rPr>
            </w:pPr>
            <w:r>
              <w:rPr>
                <w:rFonts w:ascii="Arial" w:cs="Arial" w:eastAsia="Arial" w:hAnsi="Arial"/>
                <w:sz w:val="14"/>
                <w:szCs w:val="14"/>
                <w:b w:val="1"/>
                <w:bCs w:val="1"/>
                <w:color w:val="auto"/>
              </w:rPr>
              <w:t>For the Years Ended December 31,</w:t>
            </w:r>
          </w:p>
        </w:tc>
        <w:tc>
          <w:tcPr>
            <w:tcW w:w="340" w:type="dxa"/>
            <w:vAlign w:val="bottom"/>
          </w:tcPr>
          <w:p>
            <w:pPr>
              <w:spacing w:after="0"/>
              <w:rPr>
                <w:sz w:val="14"/>
                <w:szCs w:val="14"/>
                <w:color w:val="auto"/>
              </w:rPr>
            </w:pPr>
          </w:p>
        </w:tc>
        <w:tc>
          <w:tcPr>
            <w:tcW w:w="1580" w:type="dxa"/>
            <w:vAlign w:val="bottom"/>
            <w:gridSpan w:val="2"/>
          </w:tcPr>
          <w:p>
            <w:pPr>
              <w:ind w:left="240"/>
              <w:spacing w:after="0"/>
              <w:rPr>
                <w:sz w:val="20"/>
                <w:szCs w:val="20"/>
                <w:color w:val="auto"/>
              </w:rPr>
            </w:pPr>
            <w:r>
              <w:rPr>
                <w:rFonts w:ascii="Arial" w:cs="Arial" w:eastAsia="Arial" w:hAnsi="Arial"/>
                <w:sz w:val="14"/>
                <w:szCs w:val="14"/>
                <w:b w:val="1"/>
                <w:bCs w:val="1"/>
                <w:color w:val="auto"/>
              </w:rPr>
              <w:t>Restricted</w:t>
            </w:r>
          </w:p>
        </w:tc>
        <w:tc>
          <w:tcPr>
            <w:tcW w:w="260" w:type="dxa"/>
            <w:vAlign w:val="bottom"/>
          </w:tcPr>
          <w:p>
            <w:pPr>
              <w:spacing w:after="0"/>
              <w:rPr>
                <w:sz w:val="14"/>
                <w:szCs w:val="14"/>
                <w:color w:val="auto"/>
              </w:rPr>
            </w:pPr>
          </w:p>
        </w:tc>
        <w:tc>
          <w:tcPr>
            <w:tcW w:w="16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Restricted Stock</w:t>
            </w:r>
          </w:p>
        </w:tc>
        <w:tc>
          <w:tcPr>
            <w:tcW w:w="140" w:type="dxa"/>
            <w:vAlign w:val="bottom"/>
          </w:tcPr>
          <w:p>
            <w:pPr>
              <w:spacing w:after="0"/>
              <w:rPr>
                <w:sz w:val="14"/>
                <w:szCs w:val="14"/>
                <w:color w:val="auto"/>
              </w:rPr>
            </w:pPr>
          </w:p>
        </w:tc>
        <w:tc>
          <w:tcPr>
            <w:tcW w:w="168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2"/>
              </w:rPr>
              <w:t>Total Projected Expense</w:t>
            </w:r>
          </w:p>
        </w:tc>
        <w:tc>
          <w:tcPr>
            <w:tcW w:w="0" w:type="dxa"/>
            <w:vAlign w:val="bottom"/>
          </w:tcPr>
          <w:p>
            <w:pPr>
              <w:spacing w:after="0"/>
              <w:rPr>
                <w:sz w:val="1"/>
                <w:szCs w:val="1"/>
                <w:color w:val="auto"/>
              </w:rPr>
            </w:pPr>
          </w:p>
        </w:tc>
      </w:tr>
      <w:tr>
        <w:trPr>
          <w:trHeight w:val="205"/>
        </w:trPr>
        <w:tc>
          <w:tcPr>
            <w:tcW w:w="574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gridSpan w:val="2"/>
          </w:tcPr>
          <w:p>
            <w:pPr>
              <w:ind w:left="220"/>
              <w:spacing w:after="0"/>
              <w:rPr>
                <w:sz w:val="20"/>
                <w:szCs w:val="20"/>
                <w:color w:val="auto"/>
              </w:rPr>
            </w:pPr>
            <w:r>
              <w:rPr>
                <w:rFonts w:ascii="Arial" w:cs="Arial" w:eastAsia="Arial" w:hAnsi="Arial"/>
                <w:sz w:val="14"/>
                <w:szCs w:val="14"/>
                <w:b w:val="1"/>
                <w:bCs w:val="1"/>
                <w:color w:val="auto"/>
              </w:rPr>
              <w:t>Stock Units</w:t>
            </w:r>
          </w:p>
        </w:tc>
        <w:tc>
          <w:tcPr>
            <w:tcW w:w="260" w:type="dxa"/>
            <w:vAlign w:val="bottom"/>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6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84"/>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340" w:type="dxa"/>
            <w:vAlign w:val="bottom"/>
          </w:tcPr>
          <w:p>
            <w:pPr>
              <w:spacing w:after="0"/>
              <w:rPr>
                <w:sz w:val="24"/>
                <w:szCs w:val="24"/>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57"/>
        </w:trPr>
        <w:tc>
          <w:tcPr>
            <w:tcW w:w="5740" w:type="dxa"/>
            <w:vAlign w:val="bottom"/>
            <w:tcBorders>
              <w:top w:val="single" w:sz="8" w:color="CCEEFF"/>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15.3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680" w:firstLine="8"/>
        <w:spacing w:after="0" w:line="503" w:lineRule="auto"/>
        <w:tabs>
          <w:tab w:leader="none" w:pos="405"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 AND OTHER INFORMATION Business Segment Overview</w:t>
      </w:r>
    </w:p>
    <w:p>
      <w:pPr>
        <w:spacing w:after="0" w:line="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identify operating segments as components of our business for which separate financial information is regularly evaluated by the chief operating decision-maker (“CODM”) in making decisions regarding resource allocation and assessing performance. We periodically review and redefine our segment reporting as internal management reporting practices evolve and the components of our business change. Currently, the CODM reviews consolidated financial statements and metrics to allocate resources and assess performance. Thus, we have determined that we operate in one reportable operating segment. The consolidated financial statements reflect the financial results of our one reportable operating segment.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Information</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the three years ended December 31, 2017, 2016 and 2015, all of our revenues were derived from the United States. As of December 31, 2017 and 2016, all of our long-lived assets were located in the United States.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Services Information</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primary product consists of financing programs that enable Dealers to sell vehicles to consumers, regardless of their credit history. We also provide Dealers the ability to offer or purchase ancillary products on vehicles financed by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Customer Information</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did not have any Dealers that provided 10% or more of our revenue during 2017, 2016, or 2015. Additionally, no single Dealer’s Loans receivable balance accounted for more than 10% of total Loans receivable as of December 31, 2017 or 2016.</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337"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right="7240" w:firstLine="8"/>
        <w:spacing w:after="0" w:line="503" w:lineRule="auto"/>
        <w:tabs>
          <w:tab w:leader="none" w:pos="72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Litigation and Other Legal Matters</w:t>
      </w:r>
    </w:p>
    <w:p>
      <w:pPr>
        <w:spacing w:after="0" w:line="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the normal course of business and as a result of the consumer-oriented nature of the industry in which we operate, we and other industry participants are frequently subject to various consumer claims, litigation and regulatory investigations seeking damages, fines and statutory penalties. The claims allege, among other theories of liability, violations of state, federal and foreign truth-in-lending, credit availability, credit reporting, consumer protection, warranty, debt collection, insurance and other consumer-oriented laws and regulations, including claims seeking damages for physical and mental damages relating to the repossession and sale of consumers' vehicles and other debt collection activities. As the assignee of Consumer Loans originated by Dealers, we may also be named as a co-defendant in lawsuits filed by consumers principally against Dealers. We may also have disputes and litigation with Dealers. The claims may allege, among other theories of liability, that we breached our Dealer servicing agreement. The damages, fines and penalties that may be claimed by consumers, regulatory agencies or Dealers in these types of matters can be substantial. The relief requested by plaintiffs varies but may include requests for compensatory, statutory and punitive damages and injunctive relief, and plaintiffs may seek treatment as purported class actions. Current actions to which we are a party include the following matters.</w:t>
      </w:r>
    </w:p>
    <w:p>
      <w:pPr>
        <w:spacing w:after="0" w:line="17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December 4, 2014, we received a civil investigative demand from the Office of the Attorney General of the Commonwealth of Massachusetts relating to the origination and collection of non-prime auto loans in Massachusetts. On November 20, 2017 we received a second civil investigation demand from the Office of the Attorney General of the Commonwealth of Massachusetts seeking updated information on its original civil investigation demand, additional information related to the Company's origination and collection of Consumer Loans, and information regarding securitization activities. We are cooperating with the inquiry and cannot predict the eventual scope, duration or outcome at this time. As a result, we are unable to estimate the reasonably possible loss or range of reasonably possible loss arising from this investigation.</w:t>
      </w:r>
    </w:p>
    <w:p>
      <w:pPr>
        <w:spacing w:after="0" w:line="17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August 14, 2017, we received a subpoena from the Attorney General of the State of Mississippi, relating to the origination and collection of non-prime auto loans in the state of Mississippi. We are cooperating with the inquiry and cannot predict the eventual scope, duration or outcome at this time. As a result, we are unable to estimate the reasonably possible loss or range of reasonably possible loss arising from this investigation.</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June 14, 2017, we were informed that the Consumer Financial Protection Bureau’s Office of Fair Lending and Equal Opportunity is investigating whether the Company may have violated the Equal Credit Opportunity Act and Regulation B. We are cooperating with the inquiry and cannot predict the eventual scope, duration or outcome at this time. As a result, we are unable to estimate the reasonably possible loss or range of reasonably possible loss arising from this inquiry.</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November 7, 2016, we received a civil investigative demand from the Federal Trade Commission seeking information on the Company’s policies, practices and procedures in allowing car dealers to use GPS Starter Interrupters on consumer vehicles. We are cooperating with the inquiry and cannot predict the eventual scope, duration or outcome at this time. As a result, we are unable to estimate the reasonably possible loss or range of reasonably possible loss arising from this investigation.</w:t>
      </w:r>
    </w:p>
    <w:p>
      <w:pPr>
        <w:spacing w:after="0" w:line="18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March 18, 2016, we received a subpoena from the Attorney General of the State of Maryland, relating to the Company’s repossession and sale policies and procedures in the state of Maryland. We are cooperating with the inquiry and cannot predict the eventual scope, duration or outcome at this time. As a result, we are unable to estimate the reasonably possible loss or range of reasonably possible loss arising from this investigation.</w:t>
      </w:r>
    </w:p>
    <w:p>
      <w:pPr>
        <w:spacing w:after="0" w:line="166"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On February 19, 2016, we received a First Amended Complaint filed by Westlake Services d/b/a Westlake Financial Service and Nowcom Corporation, alleging that the Company has attempted to monopolize the indirect financing profit sharing program market in violation of Section 2 of the Sherman Act and seeking, among other things, injunctive relief and unspecified money damages, which, if awarded, would likely be trebled pursuant to the Sherman Act. The case was filed in the United States District Court, Central District of California, Western Division. On April 6, 2016, the Court dismissed the claims brought by Nowcom Corporation. On January 5, 2018, the Court entered judgment in favor of the Company, dismissing the case with prejudice on the merits and ordering that the Company be awarded its costs of suit from Westlake Services, LLC. On February 2, 2018, Westlake Services, LLC filed a Notice of Appeal with the Court. We cannot predict the duration or outcome of this lawsuit at this time. As a result, we are unable to estimate the reasonably possible loss or range of reasonably possible loss arising from this lawsuit. The Company intends to vigorously defend itself in this matter.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337"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On September 18, 2015, we received a subpoena from the Attorney General of the State of New York, Civil Rights Bureau relating to the Company’s origination and collection of Consumer Loans in the state of New York. We have cooperated with the inquiry, but cannot predict the eventual scope, duration or outcome at this time. As a result, we are unable to estimate the reasonably possible loss or range of reasonably possible loss arising from this investigation.</w:t>
      </w:r>
    </w:p>
    <w:p>
      <w:pPr>
        <w:spacing w:after="0" w:line="14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December 9, 2014, we received a civil investigative subpoena from the U.S. Department of Justice pursuant to the Financial Institutions Reform, Recovery, and Enforcement Act of 1989 directing us to produce certain information relating to subprime automotive finance and related securitization activities. We have cooperated with the inquiry, but cannot predict the eventual scope, duration or outcome at this time. As a result, we are unable to estimate the reasonably possible loss or range of reasonably possible loss arising from this investigation.</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An adverse ultimate disposition in any action to which we are a party or otherwise subject could have a material adverse impact on our financial position, liquidity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Commitments</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lease office space and office equipment. We expect that in the normal course of business, leases will be renewed or replaced by other leases. Total rental expense on all operating leases was $1.5 million for 2017, 2016 and 2015, respectively. Contingent rentals under the operating leases were insignificant. Our total minimum future lease commitments under operating leases as of December 31, 2017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20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6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3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Year</w:t>
            </w:r>
          </w:p>
        </w:tc>
        <w:tc>
          <w:tcPr>
            <w:tcW w:w="6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jc w:val="right"/>
              <w:ind w:right="294"/>
              <w:spacing w:after="0"/>
              <w:rPr>
                <w:sz w:val="20"/>
                <w:szCs w:val="20"/>
                <w:color w:val="auto"/>
              </w:rPr>
            </w:pPr>
            <w:r>
              <w:rPr>
                <w:rFonts w:ascii="Arial" w:cs="Arial" w:eastAsia="Arial" w:hAnsi="Arial"/>
                <w:sz w:val="14"/>
                <w:szCs w:val="14"/>
                <w:b w:val="1"/>
                <w:bCs w:val="1"/>
                <w:color w:val="auto"/>
              </w:rPr>
              <w:t>Minimum Future</w:t>
            </w:r>
          </w:p>
        </w:tc>
        <w:tc>
          <w:tcPr>
            <w:tcW w:w="0" w:type="dxa"/>
            <w:vAlign w:val="bottom"/>
          </w:tcPr>
          <w:p>
            <w:pPr>
              <w:spacing w:after="0"/>
              <w:rPr>
                <w:sz w:val="1"/>
                <w:szCs w:val="1"/>
                <w:color w:val="auto"/>
              </w:rPr>
            </w:pPr>
          </w:p>
        </w:tc>
      </w:tr>
      <w:tr>
        <w:trPr>
          <w:trHeight w:val="205"/>
        </w:trPr>
        <w:tc>
          <w:tcPr>
            <w:tcW w:w="3200" w:type="dxa"/>
            <w:vAlign w:val="bottom"/>
            <w:tcBorders>
              <w:bottom w:val="single" w:sz="8" w:color="auto"/>
            </w:tcBorders>
            <w:vMerge w:val="continue"/>
          </w:tcPr>
          <w:p>
            <w:pPr>
              <w:spacing w:after="0"/>
              <w:rPr>
                <w:sz w:val="17"/>
                <w:szCs w:val="17"/>
                <w:color w:val="auto"/>
              </w:rPr>
            </w:pPr>
          </w:p>
        </w:tc>
        <w:tc>
          <w:tcPr>
            <w:tcW w:w="62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6"/>
              </w:rPr>
              <w:t>Lease Commitments</w:t>
            </w: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66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2019</w:t>
            </w:r>
          </w:p>
        </w:tc>
        <w:tc>
          <w:tcPr>
            <w:tcW w:w="6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6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2021</w:t>
            </w:r>
          </w:p>
        </w:tc>
        <w:tc>
          <w:tcPr>
            <w:tcW w:w="6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62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6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64"/>
        </w:trPr>
        <w:tc>
          <w:tcPr>
            <w:tcW w:w="3200" w:type="dxa"/>
            <w:vAlign w:val="bottom"/>
          </w:tcPr>
          <w:p>
            <w:pPr>
              <w:ind w:left="380"/>
              <w:spacing w:after="0"/>
              <w:rPr>
                <w:sz w:val="20"/>
                <w:szCs w:val="20"/>
                <w:color w:val="auto"/>
              </w:rPr>
            </w:pPr>
            <w:r>
              <w:rPr>
                <w:rFonts w:ascii="Arial" w:cs="Arial" w:eastAsia="Arial" w:hAnsi="Arial"/>
                <w:sz w:val="18"/>
                <w:szCs w:val="18"/>
                <w:color w:val="auto"/>
              </w:rPr>
              <w:t>Total</w:t>
            </w:r>
          </w:p>
        </w:tc>
        <w:tc>
          <w:tcPr>
            <w:tcW w:w="66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6280" w:type="dxa"/>
            <w:vAlign w:val="bottom"/>
            <w:vMerge w:val="restart"/>
          </w:tcPr>
          <w:p>
            <w:pPr>
              <w:jc w:val="right"/>
              <w:ind w:right="3590"/>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200" w:type="dxa"/>
            <w:vAlign w:val="bottom"/>
          </w:tcPr>
          <w:p>
            <w:pPr>
              <w:spacing w:after="0"/>
              <w:rPr>
                <w:sz w:val="24"/>
                <w:szCs w:val="24"/>
                <w:color w:val="auto"/>
              </w:rPr>
            </w:pPr>
          </w:p>
        </w:tc>
        <w:tc>
          <w:tcPr>
            <w:tcW w:w="62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NOTES TO CONSOLIDATED FINANCIAL STATEMENTS – (CONCLUDED)</w:t>
      </w:r>
    </w:p>
    <w:p>
      <w:pPr>
        <w:spacing w:after="0" w:line="200" w:lineRule="exact"/>
        <w:rPr>
          <w:sz w:val="20"/>
          <w:szCs w:val="20"/>
          <w:color w:val="auto"/>
        </w:rPr>
      </w:pPr>
    </w:p>
    <w:p>
      <w:pPr>
        <w:spacing w:after="0" w:line="26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7"/>
          <w:szCs w:val="17"/>
          <w:b w:val="1"/>
          <w:bCs w:val="1"/>
          <w:color w:val="auto"/>
        </w:rPr>
        <w:t>QUARTERLY FINANCIAL DATA (unaudited)</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quarterly financial data for the years ended December 31, 2017 and 2016 has been prepared in accordance with GAAP:</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780" w:type="dxa"/>
            <w:vAlign w:val="bottom"/>
            <w:gridSpan w:val="2"/>
          </w:tcPr>
          <w:p>
            <w:pPr>
              <w:ind w:left="40"/>
              <w:spacing w:after="0"/>
              <w:rPr>
                <w:sz w:val="20"/>
                <w:szCs w:val="20"/>
                <w:color w:val="auto"/>
              </w:rPr>
            </w:pPr>
            <w:r>
              <w:rPr>
                <w:rFonts w:ascii="Arial" w:cs="Arial" w:eastAsia="Arial" w:hAnsi="Arial"/>
                <w:sz w:val="14"/>
                <w:szCs w:val="14"/>
                <w:color w:val="auto"/>
              </w:rPr>
              <w:t>(In millions, except per share data)</w:t>
            </w:r>
          </w:p>
        </w:tc>
        <w:tc>
          <w:tcPr>
            <w:tcW w:w="3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w w:val="89"/>
              </w:rPr>
              <w:t>2017</w:t>
            </w:r>
          </w:p>
        </w:tc>
        <w:tc>
          <w:tcPr>
            <w:tcW w:w="13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r>
      <w:tr>
        <w:trPr>
          <w:trHeight w:val="250"/>
        </w:trPr>
        <w:tc>
          <w:tcPr>
            <w:tcW w:w="3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Quarters Ended</w:t>
            </w:r>
          </w:p>
        </w:tc>
        <w:tc>
          <w:tcPr>
            <w:tcW w:w="13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r>
      <w:tr>
        <w:trPr>
          <w:trHeight w:val="250"/>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Income Statement Data</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March 31</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June 30</w:t>
            </w: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December 31</w:t>
            </w: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262.8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276.0</w:t>
            </w:r>
          </w:p>
        </w:tc>
        <w:tc>
          <w:tcPr>
            <w:tcW w:w="680" w:type="dxa"/>
            <w:vAlign w:val="bottom"/>
            <w:tcBorders>
              <w:bottom w:val="single" w:sz="8" w:color="CCEEFF"/>
            </w:tcBorders>
            <w:gridSpan w:val="3"/>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287.3</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38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144.2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157.1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160.1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122.4</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177.1</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Net income per share (1):</w:t>
            </w:r>
          </w:p>
        </w:tc>
        <w:tc>
          <w:tcPr>
            <w:tcW w:w="3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64"/>
        </w:trPr>
        <w:tc>
          <w:tcPr>
            <w:tcW w:w="3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4.73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5.19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9.13</w:t>
            </w:r>
          </w:p>
        </w:tc>
      </w:tr>
      <w:tr>
        <w:trPr>
          <w:trHeight w:val="20"/>
        </w:trPr>
        <w:tc>
          <w:tcPr>
            <w:tcW w:w="3780" w:type="dxa"/>
            <w:vAlign w:val="bottom"/>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51"/>
        </w:trPr>
        <w:tc>
          <w:tcPr>
            <w:tcW w:w="3780" w:type="dxa"/>
            <w:vAlign w:val="bottom"/>
            <w:gridSpan w:val="2"/>
          </w:tcPr>
          <w:p>
            <w:pPr>
              <w:ind w:left="180"/>
              <w:spacing w:after="0"/>
              <w:rPr>
                <w:sz w:val="20"/>
                <w:szCs w:val="20"/>
                <w:color w:val="auto"/>
              </w:rPr>
            </w:pPr>
            <w:r>
              <w:rPr>
                <w:rFonts w:ascii="Arial" w:cs="Arial" w:eastAsia="Arial" w:hAnsi="Arial"/>
                <w:sz w:val="18"/>
                <w:szCs w:val="18"/>
                <w:color w:val="auto"/>
              </w:rPr>
              <w:t>Diluted</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5.19</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9.10</w:t>
            </w:r>
          </w:p>
        </w:tc>
      </w:tr>
      <w:tr>
        <w:trPr>
          <w:trHeight w:val="20"/>
        </w:trPr>
        <w:tc>
          <w:tcPr>
            <w:tcW w:w="3780" w:type="dxa"/>
            <w:vAlign w:val="bottom"/>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575"/>
        </w:trPr>
        <w:tc>
          <w:tcPr>
            <w:tcW w:w="3780" w:type="dxa"/>
            <w:vAlign w:val="bottom"/>
            <w:gridSpan w:val="2"/>
          </w:tcPr>
          <w:p>
            <w:pPr>
              <w:ind w:left="40"/>
              <w:spacing w:after="0"/>
              <w:rPr>
                <w:sz w:val="20"/>
                <w:szCs w:val="20"/>
                <w:color w:val="auto"/>
              </w:rPr>
            </w:pPr>
            <w:r>
              <w:rPr>
                <w:rFonts w:ascii="Arial" w:cs="Arial" w:eastAsia="Arial" w:hAnsi="Arial"/>
                <w:sz w:val="14"/>
                <w:szCs w:val="14"/>
                <w:color w:val="auto"/>
              </w:rPr>
              <w:t>(In millions, except per share data)</w:t>
            </w:r>
          </w:p>
        </w:tc>
        <w:tc>
          <w:tcPr>
            <w:tcW w:w="3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w w:val="89"/>
              </w:rPr>
              <w:t>2016</w:t>
            </w:r>
          </w:p>
        </w:tc>
        <w:tc>
          <w:tcPr>
            <w:tcW w:w="1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r>
      <w:tr>
        <w:trPr>
          <w:trHeight w:val="250"/>
        </w:trPr>
        <w:tc>
          <w:tcPr>
            <w:tcW w:w="3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Quarters Ended</w:t>
            </w:r>
          </w:p>
        </w:tc>
        <w:tc>
          <w:tcPr>
            <w:tcW w:w="13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r>
      <w:tr>
        <w:trPr>
          <w:trHeight w:val="264"/>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Income Statement Data</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March 31</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June 30</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December 31</w:t>
            </w: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227.9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238.5</w:t>
            </w:r>
          </w:p>
        </w:tc>
        <w:tc>
          <w:tcPr>
            <w:tcW w:w="680" w:type="dxa"/>
            <w:vAlign w:val="bottom"/>
            <w:tcBorders>
              <w:bottom w:val="single" w:sz="8" w:color="CCEEFF"/>
            </w:tcBorders>
            <w:gridSpan w:val="3"/>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256.2</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38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118.4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134.7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136.5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141.6</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87.6</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Net income per share (1):</w:t>
            </w:r>
          </w:p>
        </w:tc>
        <w:tc>
          <w:tcPr>
            <w:tcW w:w="3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64"/>
        </w:trPr>
        <w:tc>
          <w:tcPr>
            <w:tcW w:w="3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3.64</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4.22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4.35</w:t>
            </w: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51"/>
        </w:trPr>
        <w:tc>
          <w:tcPr>
            <w:tcW w:w="3780" w:type="dxa"/>
            <w:vAlign w:val="bottom"/>
            <w:gridSpan w:val="2"/>
          </w:tcPr>
          <w:p>
            <w:pPr>
              <w:ind w:left="180"/>
              <w:spacing w:after="0"/>
              <w:rPr>
                <w:sz w:val="20"/>
                <w:szCs w:val="20"/>
                <w:color w:val="auto"/>
              </w:rPr>
            </w:pPr>
            <w:r>
              <w:rPr>
                <w:rFonts w:ascii="Arial" w:cs="Arial" w:eastAsia="Arial" w:hAnsi="Arial"/>
                <w:sz w:val="18"/>
                <w:szCs w:val="18"/>
                <w:color w:val="auto"/>
              </w:rPr>
              <w:t>Diluted</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3.63</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4.17</w:t>
            </w:r>
          </w:p>
        </w:tc>
        <w:tc>
          <w:tcPr>
            <w:tcW w:w="680" w:type="dxa"/>
            <w:vAlign w:val="bottom"/>
            <w:gridSpan w:val="3"/>
          </w:tcPr>
          <w:p>
            <w:pPr>
              <w:jc w:val="right"/>
              <w:ind w:right="27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4.33</w:t>
            </w: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500" w:hanging="330"/>
        <w:spacing w:after="0" w:line="273" w:lineRule="auto"/>
        <w:tabs>
          <w:tab w:leader="none" w:pos="500" w:val="left"/>
        </w:tabs>
        <w:numPr>
          <w:ilvl w:val="0"/>
          <w:numId w:val="75"/>
        </w:numPr>
        <w:rPr>
          <w:rFonts w:ascii="Arial" w:cs="Arial" w:eastAsia="Arial" w:hAnsi="Arial"/>
          <w:sz w:val="14"/>
          <w:szCs w:val="14"/>
          <w:color w:val="auto"/>
        </w:rPr>
      </w:pPr>
      <w:r>
        <w:rPr>
          <w:rFonts w:ascii="Arial" w:cs="Arial" w:eastAsia="Arial" w:hAnsi="Arial"/>
          <w:sz w:val="14"/>
          <w:szCs w:val="14"/>
          <w:color w:val="auto"/>
        </w:rPr>
        <w:t>Basic and diluted net income per share are computed independently for each of the quarters presented. Therefore, the sum of quarterly basic and diluted per share information may not equal annual basic and diluted net income per share.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337" w:right="239" w:bottom="1440" w:gutter="0" w:footer="0" w:header="0"/>
        </w:sectPr>
      </w:pPr>
    </w:p>
    <w:bookmarkStart w:id="88" w:name="page89"/>
    <w:bookmarkEnd w:id="88"/>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ind w:firstLine="332"/>
        <w:spacing w:after="0" w:line="254" w:lineRule="auto"/>
        <w:tabs>
          <w:tab w:leader="none" w:pos="596"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Disclosure Controls and Procedures. </w:t>
      </w:r>
      <w:r>
        <w:rPr>
          <w:rFonts w:ascii="Arial" w:cs="Arial" w:eastAsia="Arial" w:hAnsi="Arial"/>
          <w:sz w:val="18"/>
          <w:szCs w:val="18"/>
          <w:color w:val="auto"/>
        </w:rPr>
        <w:t>Our management, with the participation of our Chief Executive Officer and Chief Financial Officer, has</w:t>
      </w:r>
      <w:r>
        <w:rPr>
          <w:rFonts w:ascii="Arial" w:cs="Arial" w:eastAsia="Arial" w:hAnsi="Arial"/>
          <w:sz w:val="18"/>
          <w:szCs w:val="18"/>
          <w:i w:val="1"/>
          <w:iCs w:val="1"/>
          <w:color w:val="auto"/>
        </w:rPr>
        <w:t xml:space="preserve"> </w:t>
      </w:r>
      <w:r>
        <w:rPr>
          <w:rFonts w:ascii="Arial" w:cs="Arial" w:eastAsia="Arial" w:hAnsi="Arial"/>
          <w:sz w:val="18"/>
          <w:szCs w:val="18"/>
          <w:color w:val="auto"/>
        </w:rPr>
        <w:t>evaluated the effectiveness of our disclosure controls and procedures (as such term is defined in Rules 13a-15(e) and 15d-15(e) under the Securities Exchange Act of 1934, as amended (the "Exchange Act")) as of the end of the period covered by this report. Based on such evaluation, our Chief Executive Officer and Chief Financial Officer have concluded that, as of the end of such period, our disclosure controls and procedures are effective in recording, processing, summarizing and reporting, on a timely basis, information required to be disclosed by us in the reports that we file or submit under the Exchange Act and are effective in ensuring that information required to be disclosed by us in the reports that we file or submit under the Exchange Act is accumulated and communicated to our management, including our Chief Executive Officer and Chief Financial Officer, as appropriate to allow timely decisions regarding required disclosure.</w:t>
      </w:r>
    </w:p>
    <w:p>
      <w:pPr>
        <w:spacing w:after="0" w:line="192" w:lineRule="exact"/>
        <w:rPr>
          <w:rFonts w:ascii="Arial" w:cs="Arial" w:eastAsia="Arial" w:hAnsi="Arial"/>
          <w:sz w:val="18"/>
          <w:szCs w:val="18"/>
          <w:color w:val="auto"/>
        </w:rPr>
      </w:pPr>
    </w:p>
    <w:p>
      <w:pPr>
        <w:jc w:val="both"/>
        <w:ind w:right="20" w:firstLine="332"/>
        <w:spacing w:after="0" w:line="264" w:lineRule="auto"/>
        <w:tabs>
          <w:tab w:leader="none" w:pos="579"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Internal Control Over Financial Reporting. </w:t>
      </w:r>
      <w:r>
        <w:rPr>
          <w:rFonts w:ascii="Arial" w:cs="Arial" w:eastAsia="Arial" w:hAnsi="Arial"/>
          <w:sz w:val="18"/>
          <w:szCs w:val="18"/>
          <w:color w:val="auto"/>
        </w:rPr>
        <w:t>There have not been any changes in our internal control over financial reporting (as such term is defined</w:t>
      </w:r>
      <w:r>
        <w:rPr>
          <w:rFonts w:ascii="Arial" w:cs="Arial" w:eastAsia="Arial" w:hAnsi="Arial"/>
          <w:sz w:val="18"/>
          <w:szCs w:val="18"/>
          <w:i w:val="1"/>
          <w:iCs w:val="1"/>
          <w:color w:val="auto"/>
        </w:rPr>
        <w:t xml:space="preserve"> </w:t>
      </w:r>
      <w:r>
        <w:rPr>
          <w:rFonts w:ascii="Arial" w:cs="Arial" w:eastAsia="Arial" w:hAnsi="Arial"/>
          <w:sz w:val="18"/>
          <w:szCs w:val="18"/>
          <w:color w:val="auto"/>
        </w:rPr>
        <w:t>in Rules 13a-15(f) and 15d-15(f) under the Exchange Act) during the quarter ended December 31, 2017 that have materially affected, or are reasonably likely to materially affect, our internal control over financial reporting.</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responsible for establishing and maintaining adequate internal control over financial reporting as defined in Rules 13a-15(f) and 15d-15(f) under the Securities Exchange Act of 1934. Our internal control over financial reporting is designed to provide reasonable assurance regarding the reliability of financial reporting and the preparation of financial statements for external purposes in accordance with generally accepted accounting principles. Internal control over financial reporting includes those policies and procedures that:</w:t>
      </w:r>
    </w:p>
    <w:p>
      <w:pPr>
        <w:spacing w:after="0" w:line="187" w:lineRule="exact"/>
        <w:rPr>
          <w:sz w:val="20"/>
          <w:szCs w:val="20"/>
          <w:color w:val="auto"/>
        </w:rPr>
      </w:pPr>
    </w:p>
    <w:p>
      <w:pPr>
        <w:ind w:left="1160" w:hanging="328"/>
        <w:spacing w:after="0"/>
        <w:tabs>
          <w:tab w:leader="none" w:pos="11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our assets;</w:t>
      </w:r>
    </w:p>
    <w:p>
      <w:pPr>
        <w:spacing w:after="0" w:line="46" w:lineRule="exact"/>
        <w:rPr>
          <w:rFonts w:ascii="Arial" w:cs="Arial" w:eastAsia="Arial" w:hAnsi="Arial"/>
          <w:sz w:val="16"/>
          <w:szCs w:val="16"/>
          <w:color w:val="auto"/>
        </w:rPr>
      </w:pPr>
    </w:p>
    <w:p>
      <w:pPr>
        <w:jc w:val="both"/>
        <w:ind w:left="1160" w:hanging="328"/>
        <w:spacing w:after="0" w:line="250" w:lineRule="auto"/>
        <w:tabs>
          <w:tab w:leader="none" w:pos="11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1" w:lineRule="exact"/>
        <w:rPr>
          <w:rFonts w:ascii="Arial" w:cs="Arial" w:eastAsia="Arial" w:hAnsi="Arial"/>
          <w:sz w:val="18"/>
          <w:szCs w:val="18"/>
          <w:color w:val="auto"/>
        </w:rPr>
      </w:pPr>
    </w:p>
    <w:p>
      <w:pPr>
        <w:ind w:left="1160" w:hanging="328"/>
        <w:spacing w:after="0" w:line="261" w:lineRule="auto"/>
        <w:tabs>
          <w:tab w:leader="none" w:pos="11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our consolidated financial statements.</w:t>
      </w:r>
    </w:p>
    <w:p>
      <w:pPr>
        <w:spacing w:after="0" w:line="184"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In addition, projections of any evaluation of effectiveness to future periods are subject to the risk that controls may become inadequate because of changes in conditions and that the degree of compliance with the policies or procedures may deteriorate.</w:t>
      </w:r>
    </w:p>
    <w:p>
      <w:pPr>
        <w:spacing w:after="0" w:line="181"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color w:val="auto"/>
        </w:rPr>
        <w:t>We assessed the effectiveness of our internal control over financial reporting as of December 31, 2017. In making this assessment, we used the criteria set forth in the 2013 Internal Control-Integrated Framework issued by the Committee of Sponsoring Organizations of the Treadway Commission (COSO). Based on our assessment, we believe that as of December 31, 2017, our internal control over financial reporting is effective based on those criteria.</w:t>
      </w:r>
    </w:p>
    <w:p>
      <w:pPr>
        <w:spacing w:after="0" w:line="14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Our independent registered public accounting firm, Grant Thornton LLP, audited our internal control over financial reporting as of December 31, 2017 and their report dated February 9, 2018 expressed an unqualified opinion on our internal control over financial reporting and is included in this Item 9A.</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364"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Credit Acceptance Corporation</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color w:val="auto"/>
        </w:rPr>
        <w:t>Opinion on internal control over financial reporting</w:t>
      </w:r>
    </w:p>
    <w:p>
      <w:pPr>
        <w:spacing w:after="0" w:line="28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We have audited the internal control over financial reporting of Credit Acceptance Corporation (a Michigan corporation) and subsidiaries (the “Company”) as of December 31, 2017, based on criteria established in the 2013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(COSO). In our opinion, the Company maintained, in all material respects, effective internal control over financial reporting as of December 31, 2017, based on criteria established in the 2013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COSO.</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financial statements of the Company as of and for the year ended December 31, 2017, and our report dated February 9, 2018 expressed an unqualified opinion on those financial statements.</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color w:val="auto"/>
        </w:rPr>
        <w:t>Basis for opinion</w:t>
      </w:r>
    </w:p>
    <w:p>
      <w:pPr>
        <w:spacing w:after="0" w:line="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We are a public accounting firm registered with the PCAOB and are required to be independent with respect to the Company in accordance with the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federal securities laws and the applicable rules and regulations of the Securities and Exchange Commission and the PCAOB.</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auto"/>
        </w:rPr>
        <w:t>Definition and limitations of internal control over financial reporting</w:t>
      </w:r>
    </w:p>
    <w:p>
      <w:pPr>
        <w:spacing w:after="0" w:line="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Southfield,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9, 2018</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364" w:right="239" w:bottom="1440" w:gutter="0" w:footer="0" w:header="0"/>
        </w:sectPr>
      </w:pPr>
    </w:p>
    <w:bookmarkStart w:id="90" w:name="page91"/>
    <w:bookmarkEnd w:id="90"/>
    <w:p>
      <w:pPr>
        <w:spacing w:after="0"/>
        <w:tabs>
          <w:tab w:leader="none" w:pos="940" w:val="left"/>
        </w:tabs>
        <w:rPr>
          <w:sz w:val="20"/>
          <w:szCs w:val="20"/>
          <w:color w:val="auto"/>
        </w:rPr>
      </w:pPr>
      <w:r>
        <w:rPr>
          <w:rFonts w:ascii="Arial" w:cs="Arial" w:eastAsia="Arial" w:hAnsi="Arial"/>
          <w:sz w:val="18"/>
          <w:szCs w:val="18"/>
          <w:b w:val="1"/>
          <w:bCs w:val="1"/>
          <w:color w:val="auto"/>
        </w:rPr>
        <w:t>ITEM 9B.</w:t>
        <w:tab/>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Information is contained under the captions “Election of Directors” (excluding the “Report of the Audit Committee”) and “Section 16 (a) Beneficial Ownership Reporting Compliance” in our Proxy Statement and is incorporated herein by reference.</w:t>
      </w:r>
    </w:p>
    <w:p>
      <w:pPr>
        <w:spacing w:after="0" w:line="16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Information is contained under the caption “Compensation of Executive Officers” (excluding the “Report of the Executive Compensation Committee”) in our Proxy Statement and is incorporated herein by reference.</w:t>
      </w:r>
    </w:p>
    <w:p>
      <w:pPr>
        <w:spacing w:after="0" w:line="166" w:lineRule="exact"/>
        <w:rPr>
          <w:sz w:val="20"/>
          <w:szCs w:val="20"/>
          <w:color w:val="auto"/>
        </w:rPr>
      </w:pPr>
    </w:p>
    <w:p>
      <w:pPr>
        <w:ind w:left="1300" w:right="24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6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Information is contained under the caption “Common Stock Ownership of Certain Beneficial Owners and Management” in our Proxy Statement and is incorporated herein by reference.</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Amended and Restated Incentive Compensation Plan (the “Incentive Plan”), which was approved by shareholders on May 17, 2012, provides for the granting of restricted stock, restricted stock units and stock options to team members, officers, and directors. As of December 31, 2017, there were no options issued or outstanding under the Incentive Plan.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(1) the number of shares of common stock to be issued upon the exercise of outstanding options or restricted stock units,</w:t>
      </w:r>
    </w:p>
    <w:p>
      <w:pPr>
        <w:spacing w:after="0" w:line="46" w:lineRule="exact"/>
        <w:rPr>
          <w:sz w:val="20"/>
          <w:szCs w:val="20"/>
          <w:color w:val="auto"/>
        </w:rPr>
      </w:pPr>
    </w:p>
    <w:p>
      <w:pPr>
        <w:ind w:firstLine="8"/>
        <w:spacing w:after="0" w:line="261" w:lineRule="auto"/>
        <w:tabs>
          <w:tab w:leader="none" w:pos="277"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weighted average exercise price of outstanding options, if applicable, and (3) the number of shares remaining available for future issuance, as of December 31, 2017:</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Number of shares to be issued upon</w:t>
            </w:r>
          </w:p>
        </w:tc>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shares</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20" w:type="dxa"/>
            <w:vAlign w:val="bottom"/>
            <w:gridSpan w:val="2"/>
            <w:vMerge w:val="continue"/>
          </w:tcPr>
          <w:p>
            <w:pPr>
              <w:spacing w:after="0"/>
              <w:rPr>
                <w:sz w:val="12"/>
                <w:szCs w:val="12"/>
                <w:color w:val="auto"/>
              </w:rPr>
            </w:pPr>
          </w:p>
        </w:tc>
        <w:tc>
          <w:tcPr>
            <w:tcW w:w="24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Weighted-average exercise price of</w:t>
            </w:r>
          </w:p>
        </w:tc>
        <w:tc>
          <w:tcPr>
            <w:tcW w:w="2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 available for future</w:t>
            </w:r>
          </w:p>
        </w:tc>
        <w:tc>
          <w:tcPr>
            <w:tcW w:w="0" w:type="dxa"/>
            <w:vAlign w:val="bottom"/>
          </w:tcPr>
          <w:p>
            <w:pPr>
              <w:spacing w:after="0"/>
              <w:rPr>
                <w:sz w:val="1"/>
                <w:szCs w:val="1"/>
                <w:color w:val="auto"/>
              </w:rPr>
            </w:pPr>
          </w:p>
        </w:tc>
      </w:tr>
      <w:tr>
        <w:trPr>
          <w:trHeight w:val="149"/>
        </w:trPr>
        <w:tc>
          <w:tcPr>
            <w:tcW w:w="3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Plan Category</w:t>
            </w:r>
          </w:p>
        </w:tc>
        <w:tc>
          <w:tcPr>
            <w:tcW w:w="120" w:type="dxa"/>
            <w:vAlign w:val="bottom"/>
            <w:vMerge w:val="restart"/>
          </w:tcPr>
          <w:p>
            <w:pPr>
              <w:spacing w:after="0"/>
              <w:rPr>
                <w:sz w:val="12"/>
                <w:szCs w:val="12"/>
                <w:color w:val="auto"/>
              </w:rPr>
            </w:pPr>
          </w:p>
        </w:tc>
        <w:tc>
          <w:tcPr>
            <w:tcW w:w="25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exercise of outstanding options,</w:t>
            </w:r>
          </w:p>
        </w:tc>
        <w:tc>
          <w:tcPr>
            <w:tcW w:w="2480" w:type="dxa"/>
            <w:vAlign w:val="bottom"/>
            <w:gridSpan w:val="2"/>
            <w:vMerge w:val="continue"/>
          </w:tcPr>
          <w:p>
            <w:pPr>
              <w:spacing w:after="0"/>
              <w:rPr>
                <w:sz w:val="12"/>
                <w:szCs w:val="12"/>
                <w:color w:val="auto"/>
              </w:rPr>
            </w:pPr>
          </w:p>
        </w:tc>
        <w:tc>
          <w:tcPr>
            <w:tcW w:w="2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issuance under equity compensation</w:t>
            </w:r>
          </w:p>
        </w:tc>
        <w:tc>
          <w:tcPr>
            <w:tcW w:w="0" w:type="dxa"/>
            <w:vAlign w:val="bottom"/>
          </w:tcPr>
          <w:p>
            <w:pPr>
              <w:spacing w:after="0"/>
              <w:rPr>
                <w:sz w:val="1"/>
                <w:szCs w:val="1"/>
                <w:color w:val="auto"/>
              </w:rPr>
            </w:pPr>
          </w:p>
        </w:tc>
      </w:tr>
      <w:tr>
        <w:trPr>
          <w:trHeight w:val="205"/>
        </w:trPr>
        <w:tc>
          <w:tcPr>
            <w:tcW w:w="390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warrants and rights</w:t>
            </w:r>
          </w:p>
        </w:tc>
        <w:tc>
          <w:tcPr>
            <w:tcW w:w="120" w:type="dxa"/>
            <w:vAlign w:val="bottom"/>
          </w:tcPr>
          <w:p>
            <w:pPr>
              <w:spacing w:after="0"/>
              <w:rPr>
                <w:sz w:val="17"/>
                <w:szCs w:val="17"/>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outstanding options</w:t>
            </w:r>
          </w:p>
        </w:tc>
        <w:tc>
          <w:tcPr>
            <w:tcW w:w="100" w:type="dxa"/>
            <w:vAlign w:val="bottom"/>
          </w:tcPr>
          <w:p>
            <w:pPr>
              <w:spacing w:after="0"/>
              <w:rPr>
                <w:sz w:val="17"/>
                <w:szCs w:val="17"/>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plans (a)</w:t>
            </w:r>
          </w:p>
        </w:tc>
        <w:tc>
          <w:tcPr>
            <w:tcW w:w="0" w:type="dxa"/>
            <w:vAlign w:val="bottom"/>
          </w:tcPr>
          <w:p>
            <w:pPr>
              <w:spacing w:after="0"/>
              <w:rPr>
                <w:sz w:val="1"/>
                <w:szCs w:val="1"/>
                <w:color w:val="auto"/>
              </w:rPr>
            </w:pPr>
          </w:p>
        </w:tc>
      </w:tr>
      <w:tr>
        <w:trPr>
          <w:trHeight w:val="243"/>
        </w:trPr>
        <w:tc>
          <w:tcPr>
            <w:tcW w:w="40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Equity compensation plan approved by shareholders:</w:t>
            </w:r>
          </w:p>
        </w:tc>
        <w:tc>
          <w:tcPr>
            <w:tcW w:w="2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Incentive Plan</w:t>
            </w:r>
          </w:p>
        </w:tc>
        <w:tc>
          <w:tcPr>
            <w:tcW w:w="24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522,827</w:t>
            </w:r>
          </w:p>
        </w:tc>
        <w:tc>
          <w:tcPr>
            <w:tcW w:w="120" w:type="dxa"/>
            <w:vAlign w:val="bottom"/>
            <w:shd w:val="clear" w:color="auto" w:fill="CCEEFF"/>
          </w:tcPr>
          <w:p>
            <w:pPr>
              <w:spacing w:after="0"/>
              <w:rPr>
                <w:sz w:val="21"/>
                <w:szCs w:val="21"/>
                <w:color w:val="auto"/>
              </w:rPr>
            </w:pPr>
          </w:p>
        </w:tc>
        <w:tc>
          <w:tcPr>
            <w:tcW w:w="2480" w:type="dxa"/>
            <w:vAlign w:val="bottom"/>
            <w:gridSpan w:val="2"/>
            <w:shd w:val="clear" w:color="auto" w:fill="CCEEFF"/>
          </w:tcPr>
          <w:p>
            <w:pPr>
              <w:ind w:left="2100"/>
              <w:spacing w:after="0"/>
              <w:rPr>
                <w:sz w:val="20"/>
                <w:szCs w:val="20"/>
                <w:color w:val="auto"/>
              </w:rPr>
            </w:pPr>
            <w:r>
              <w:rPr>
                <w:rFonts w:ascii="Arial" w:cs="Arial" w:eastAsia="Arial" w:hAnsi="Arial"/>
                <w:sz w:val="18"/>
                <w:szCs w:val="18"/>
                <w:color w:val="auto"/>
              </w:rPr>
              <w:t>—</w:t>
            </w:r>
          </w:p>
        </w:tc>
        <w:tc>
          <w:tcPr>
            <w:tcW w:w="24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125,731</w:t>
            </w:r>
          </w:p>
        </w:tc>
        <w:tc>
          <w:tcPr>
            <w:tcW w:w="0" w:type="dxa"/>
            <w:vAlign w:val="bottom"/>
          </w:tcPr>
          <w:p>
            <w:pPr>
              <w:spacing w:after="0"/>
              <w:rPr>
                <w:sz w:val="1"/>
                <w:szCs w:val="1"/>
                <w:color w:val="auto"/>
              </w:rPr>
            </w:pPr>
          </w:p>
        </w:tc>
      </w:tr>
      <w:tr>
        <w:trPr>
          <w:trHeight w:val="27"/>
        </w:trPr>
        <w:tc>
          <w:tcPr>
            <w:tcW w:w="3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500" w:right="20" w:hanging="330"/>
        <w:spacing w:after="0" w:line="273" w:lineRule="auto"/>
        <w:tabs>
          <w:tab w:leader="none" w:pos="500" w:val="left"/>
        </w:tabs>
        <w:numPr>
          <w:ilvl w:val="0"/>
          <w:numId w:val="79"/>
        </w:numPr>
        <w:rPr>
          <w:rFonts w:ascii="Arial" w:cs="Arial" w:eastAsia="Arial" w:hAnsi="Arial"/>
          <w:sz w:val="14"/>
          <w:szCs w:val="14"/>
          <w:color w:val="auto"/>
        </w:rPr>
      </w:pPr>
      <w:r>
        <w:rPr>
          <w:rFonts w:ascii="Arial" w:cs="Arial" w:eastAsia="Arial" w:hAnsi="Arial"/>
          <w:sz w:val="14"/>
          <w:szCs w:val="14"/>
          <w:color w:val="auto"/>
        </w:rPr>
        <w:t>For additional information regarding our equity compensation plans, see Note 14 to the consolidated financial statements contained in Item 8 of this Form 10-K, which is incorporated herein by reference.</w:t>
      </w:r>
    </w:p>
    <w:p>
      <w:pPr>
        <w:spacing w:after="0" w:line="12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Information is contained under the caption “Certain Relationships and Transactions” and “Election of Directors – Meetings and Committees of the Board of Directors” in our Proxy Statement and is incorporated herein by reference.</w:t>
      </w:r>
    </w:p>
    <w:p>
      <w:pPr>
        <w:spacing w:after="0" w:line="166"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is contained under the caption “Independent Accountants” in our Proxy Statement and is incorporated herein by reference.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364" w:right="239" w:bottom="1440" w:gutter="0" w:footer="0" w:header="0"/>
        </w:sectPr>
      </w:pPr>
    </w:p>
    <w:bookmarkStart w:id="91" w:name="page92"/>
    <w:bookmarkEnd w:id="91"/>
    <w:p>
      <w:pPr>
        <w:jc w:val="center"/>
        <w:ind w:right="-3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15.</w:t>
        <w:tab/>
        <w:t>EXHIBITS, FINANCIAL STATEMENT SCHEDULES</w:t>
      </w:r>
    </w:p>
    <w:p>
      <w:pPr>
        <w:sectPr>
          <w:pgSz w:w="11900" w:h="16838" w:orient="portrait"/>
          <w:cols w:equalWidth="0" w:num="1">
            <w:col w:w="11400"/>
          </w:cols>
          <w:pgMar w:left="240" w:top="364" w:right="259" w:bottom="1440" w:gutter="0" w:footer="0" w:header="0"/>
        </w:sectPr>
      </w:pPr>
    </w:p>
    <w:p>
      <w:pPr>
        <w:spacing w:after="0" w:line="391" w:lineRule="exact"/>
        <w:rPr>
          <w:sz w:val="20"/>
          <w:szCs w:val="20"/>
          <w:color w:val="auto"/>
        </w:rPr>
      </w:pPr>
    </w:p>
    <w:p>
      <w:pPr>
        <w:ind w:left="40"/>
        <w:spacing w:after="0"/>
        <w:rPr>
          <w:sz w:val="20"/>
          <w:szCs w:val="20"/>
          <w:color w:val="auto"/>
        </w:rPr>
      </w:pPr>
      <w:r>
        <w:rPr>
          <w:rFonts w:ascii="Arial" w:cs="Arial" w:eastAsia="Arial" w:hAnsi="Arial"/>
          <w:sz w:val="16"/>
          <w:szCs w:val="16"/>
          <w:color w:val="auto"/>
        </w:rPr>
        <w:t>(a)(1)</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consolidated financial statements of the Company and the Report of Independent Registered Public Accounting Firm are</w:t>
      </w:r>
    </w:p>
    <w:p>
      <w:pPr>
        <w:spacing w:after="0" w:line="46" w:lineRule="exact"/>
        <w:rPr>
          <w:sz w:val="20"/>
          <w:szCs w:val="20"/>
          <w:color w:val="auto"/>
        </w:rPr>
      </w:pPr>
    </w:p>
    <w:p>
      <w:pPr>
        <w:sectPr>
          <w:pgSz w:w="11900" w:h="16838" w:orient="portrait"/>
          <w:cols w:equalWidth="0" w:num="2">
            <w:col w:w="580" w:space="720"/>
            <w:col w:w="10100"/>
          </w:cols>
          <w:pgMar w:left="240" w:top="364" w:right="259" w:bottom="1440" w:gutter="0" w:footer="0" w:header="0"/>
          <w:type w:val="continuous"/>
        </w:sectPr>
      </w:pPr>
    </w:p>
    <w:p>
      <w:pPr>
        <w:ind w:left="1300"/>
        <w:spacing w:after="0"/>
        <w:rPr>
          <w:sz w:val="20"/>
          <w:szCs w:val="20"/>
          <w:color w:val="auto"/>
        </w:rPr>
      </w:pPr>
      <w:r>
        <w:rPr>
          <w:rFonts w:ascii="Arial" w:cs="Arial" w:eastAsia="Arial" w:hAnsi="Arial"/>
          <w:sz w:val="17"/>
          <w:szCs w:val="17"/>
          <w:color w:val="auto"/>
        </w:rPr>
        <w:t>contained in Item 8 — Financial Statements and Supplementary Data of this Form 10-K, which is incorporated herein by reference.</w:t>
      </w:r>
    </w:p>
    <w:p>
      <w:pPr>
        <w:spacing w:after="0" w:line="6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Report of Independent Registered Public Accounting Firm</w:t>
      </w:r>
    </w:p>
    <w:p>
      <w:pPr>
        <w:spacing w:after="0" w:line="6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Consolidated Financial Statements:</w:t>
      </w:r>
    </w:p>
    <w:p>
      <w:pPr>
        <w:spacing w:after="0" w:line="6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Consolidated Balance Sheets as of December 31, 2017 and 2016</w:t>
      </w:r>
    </w:p>
    <w:p>
      <w:pPr>
        <w:spacing w:after="0" w:line="6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Consolidated Statements of Income for the years ended December 31, 2017, 2016 and 2015</w:t>
      </w:r>
    </w:p>
    <w:p>
      <w:pPr>
        <w:spacing w:after="0" w:line="6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Consolidated Statements of Comprehensive Income for the years ended December 31, 2017, 2016 and 2015</w:t>
      </w:r>
    </w:p>
    <w:p>
      <w:pPr>
        <w:spacing w:after="0" w:line="6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Consolidated Statements of Shareholders' Equity for the years ended December 31, 2017, 2016 and 2015</w:t>
      </w:r>
    </w:p>
    <w:p>
      <w:pPr>
        <w:spacing w:after="0" w:line="63" w:lineRule="exact"/>
        <w:rPr>
          <w:sz w:val="20"/>
          <w:szCs w:val="20"/>
          <w:color w:val="auto"/>
        </w:rPr>
      </w:pPr>
    </w:p>
    <w:p>
      <w:pPr>
        <w:ind w:left="1300" w:right="2980"/>
        <w:spacing w:after="0" w:line="340" w:lineRule="auto"/>
        <w:rPr>
          <w:sz w:val="20"/>
          <w:szCs w:val="20"/>
          <w:color w:val="auto"/>
        </w:rPr>
      </w:pPr>
      <w:r>
        <w:rPr>
          <w:rFonts w:ascii="Arial" w:cs="Arial" w:eastAsia="Arial" w:hAnsi="Arial"/>
          <w:sz w:val="18"/>
          <w:szCs w:val="18"/>
          <w:color w:val="auto"/>
        </w:rPr>
        <w:t>— Consolidated Statements of Cash Flows for the years ended December 31, 2017, 2016 and 2015 Notes to Consolidated Financial Statements</w:t>
      </w:r>
    </w:p>
    <w:p>
      <w:pPr>
        <w:spacing w:after="0" w:line="170" w:lineRule="exact"/>
        <w:rPr>
          <w:sz w:val="20"/>
          <w:szCs w:val="20"/>
          <w:color w:val="auto"/>
        </w:rPr>
      </w:pPr>
    </w:p>
    <w:p>
      <w:pPr>
        <w:ind w:left="1300" w:right="20" w:hanging="1265"/>
        <w:spacing w:after="0" w:line="277" w:lineRule="auto"/>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Financial Statement Schedules have been omitted because they are not applicable or are not required or the information required to be set forth therein is included in the Consolidated Financial Statements or Notes thereto.</w:t>
      </w:r>
    </w:p>
    <w:p>
      <w:pPr>
        <w:spacing w:after="0" w:line="8" w:lineRule="exact"/>
        <w:rPr>
          <w:rFonts w:ascii="Arial" w:cs="Arial" w:eastAsia="Arial" w:hAnsi="Arial"/>
          <w:sz w:val="18"/>
          <w:szCs w:val="18"/>
          <w:color w:val="auto"/>
        </w:rPr>
      </w:pPr>
    </w:p>
    <w:p>
      <w:pPr>
        <w:ind w:left="1300" w:hanging="1265"/>
        <w:spacing w:after="0"/>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exhibits filed in response to Item 601 of Regulation S-K are listed in the Exhibit Index below.</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364" w:right="259" w:bottom="1440" w:gutter="0" w:footer="0" w:header="0"/>
          <w:type w:val="continuous"/>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documents are filed as part of this report. Those exhibits previously filed and incorporated herein by reference are identified below. Exhibits not required for this report have been omitted. Unless otherwise noted, the Company’s commission file number for all exhibits incorporated by reference herein is 000-20202.</w:t>
      </w:r>
    </w:p>
    <w:p>
      <w:pPr>
        <w:sectPr>
          <w:pgSz w:w="11900" w:h="16838" w:orient="portrait"/>
          <w:cols w:equalWidth="0" w:num="1">
            <w:col w:w="11420"/>
          </w:cols>
          <w:pgMar w:left="240" w:top="337" w:right="239" w:bottom="1440" w:gutter="0" w:footer="0" w:header="0"/>
        </w:sectPr>
      </w:pPr>
    </w:p>
    <w:p>
      <w:pPr>
        <w:spacing w:after="0" w:line="33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Exhibit No.</w:t>
      </w:r>
    </w:p>
    <w:p>
      <w:pPr>
        <w:spacing w:after="0" w:line="198" w:lineRule="exact"/>
        <w:rPr>
          <w:sz w:val="20"/>
          <w:szCs w:val="20"/>
          <w:color w:val="auto"/>
        </w:rPr>
      </w:pPr>
    </w:p>
    <w:p>
      <w:pPr>
        <w:ind w:left="520"/>
        <w:spacing w:after="0"/>
        <w:rPr>
          <w:rFonts w:ascii="Arial" w:cs="Arial" w:eastAsia="Arial" w:hAnsi="Arial"/>
          <w:sz w:val="18"/>
          <w:szCs w:val="18"/>
          <w:u w:val="single" w:color="auto"/>
          <w:color w:val="0000FF"/>
        </w:rPr>
      </w:pPr>
      <w:hyperlink r:id="rId21">
        <w:r>
          <w:rPr>
            <w:rFonts w:ascii="Arial" w:cs="Arial" w:eastAsia="Arial" w:hAnsi="Arial"/>
            <w:sz w:val="18"/>
            <w:szCs w:val="18"/>
            <w:u w:val="single" w:color="auto"/>
            <w:color w:val="0000FF"/>
          </w:rPr>
          <w:t>3.1</w:t>
        </w:r>
      </w:hyperlink>
    </w:p>
    <w:p>
      <w:pPr>
        <w:spacing w:after="0" w:line="279" w:lineRule="exact"/>
        <w:rPr>
          <w:sz w:val="20"/>
          <w:szCs w:val="20"/>
          <w:color w:val="auto"/>
        </w:rPr>
      </w:pPr>
    </w:p>
    <w:p>
      <w:pPr>
        <w:ind w:left="520"/>
        <w:spacing w:after="0"/>
        <w:rPr>
          <w:rFonts w:ascii="Arial" w:cs="Arial" w:eastAsia="Arial" w:hAnsi="Arial"/>
          <w:sz w:val="18"/>
          <w:szCs w:val="18"/>
          <w:u w:val="single" w:color="auto"/>
          <w:color w:val="0000FF"/>
        </w:rPr>
      </w:pPr>
      <w:hyperlink r:id="rId22">
        <w:r>
          <w:rPr>
            <w:rFonts w:ascii="Arial" w:cs="Arial" w:eastAsia="Arial" w:hAnsi="Arial"/>
            <w:sz w:val="18"/>
            <w:szCs w:val="18"/>
            <w:u w:val="single" w:color="auto"/>
            <w:color w:val="0000FF"/>
          </w:rPr>
          <w:t>3.2</w:t>
        </w:r>
      </w:hyperlink>
    </w:p>
    <w:p>
      <w:pPr>
        <w:spacing w:after="0" w:line="387" w:lineRule="exact"/>
        <w:rPr>
          <w:sz w:val="20"/>
          <w:szCs w:val="20"/>
          <w:color w:val="auto"/>
        </w:rPr>
      </w:pPr>
    </w:p>
    <w:p>
      <w:pPr>
        <w:ind w:left="520"/>
        <w:spacing w:after="0"/>
        <w:rPr>
          <w:rFonts w:ascii="Arial" w:cs="Arial" w:eastAsia="Arial" w:hAnsi="Arial"/>
          <w:sz w:val="18"/>
          <w:szCs w:val="18"/>
          <w:u w:val="single" w:color="auto"/>
          <w:color w:val="0000FF"/>
        </w:rPr>
      </w:pPr>
      <w:hyperlink r:id="rId23">
        <w:r>
          <w:rPr>
            <w:rFonts w:ascii="Arial" w:cs="Arial" w:eastAsia="Arial" w:hAnsi="Arial"/>
            <w:sz w:val="18"/>
            <w:szCs w:val="18"/>
            <w:u w:val="single" w:color="auto"/>
            <w:color w:val="0000FF"/>
          </w:rPr>
          <w:t>4.1</w:t>
        </w:r>
      </w:hyperlink>
    </w:p>
    <w:p>
      <w:pPr>
        <w:spacing w:after="0" w:line="200" w:lineRule="exact"/>
        <w:rPr>
          <w:sz w:val="20"/>
          <w:szCs w:val="20"/>
          <w:color w:val="auto"/>
        </w:rPr>
      </w:pPr>
    </w:p>
    <w:p>
      <w:pPr>
        <w:spacing w:after="0" w:line="295" w:lineRule="exact"/>
        <w:rPr>
          <w:sz w:val="20"/>
          <w:szCs w:val="20"/>
          <w:color w:val="auto"/>
        </w:rPr>
      </w:pPr>
    </w:p>
    <w:p>
      <w:pPr>
        <w:ind w:left="520"/>
        <w:spacing w:after="0"/>
        <w:rPr>
          <w:rFonts w:ascii="Arial" w:cs="Arial" w:eastAsia="Arial" w:hAnsi="Arial"/>
          <w:sz w:val="18"/>
          <w:szCs w:val="18"/>
          <w:u w:val="single" w:color="auto"/>
          <w:color w:val="0000FF"/>
        </w:rPr>
      </w:pPr>
      <w:hyperlink r:id="rId24">
        <w:r>
          <w:rPr>
            <w:rFonts w:ascii="Arial" w:cs="Arial" w:eastAsia="Arial" w:hAnsi="Arial"/>
            <w:sz w:val="18"/>
            <w:szCs w:val="18"/>
            <w:u w:val="single" w:color="auto"/>
            <w:color w:val="0000FF"/>
          </w:rPr>
          <w:t>4.2</w:t>
        </w:r>
      </w:hyperlink>
    </w:p>
    <w:p>
      <w:pPr>
        <w:spacing w:after="0" w:line="200" w:lineRule="exact"/>
        <w:rPr>
          <w:sz w:val="20"/>
          <w:szCs w:val="20"/>
          <w:color w:val="auto"/>
        </w:rPr>
      </w:pPr>
    </w:p>
    <w:p>
      <w:pPr>
        <w:spacing w:after="0" w:line="295" w:lineRule="exact"/>
        <w:rPr>
          <w:sz w:val="20"/>
          <w:szCs w:val="20"/>
          <w:color w:val="auto"/>
        </w:rPr>
      </w:pPr>
    </w:p>
    <w:p>
      <w:pPr>
        <w:ind w:left="520"/>
        <w:spacing w:after="0"/>
        <w:rPr>
          <w:rFonts w:ascii="Arial" w:cs="Arial" w:eastAsia="Arial" w:hAnsi="Arial"/>
          <w:sz w:val="18"/>
          <w:szCs w:val="18"/>
          <w:u w:val="single" w:color="auto"/>
          <w:color w:val="0000FF"/>
        </w:rPr>
      </w:pPr>
      <w:hyperlink r:id="rId25">
        <w:r>
          <w:rPr>
            <w:rFonts w:ascii="Arial" w:cs="Arial" w:eastAsia="Arial" w:hAnsi="Arial"/>
            <w:sz w:val="18"/>
            <w:szCs w:val="18"/>
            <w:u w:val="single" w:color="auto"/>
            <w:color w:val="0000FF"/>
          </w:rPr>
          <w:t>4.3</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20"/>
        <w:spacing w:after="0"/>
        <w:rPr>
          <w:rFonts w:ascii="Arial" w:cs="Arial" w:eastAsia="Arial" w:hAnsi="Arial"/>
          <w:sz w:val="18"/>
          <w:szCs w:val="18"/>
          <w:u w:val="single" w:color="auto"/>
          <w:color w:val="0000FF"/>
        </w:rPr>
      </w:pPr>
      <w:hyperlink r:id="rId26">
        <w:r>
          <w:rPr>
            <w:rFonts w:ascii="Arial" w:cs="Arial" w:eastAsia="Arial" w:hAnsi="Arial"/>
            <w:sz w:val="18"/>
            <w:szCs w:val="18"/>
            <w:u w:val="single" w:color="auto"/>
            <w:color w:val="0000FF"/>
          </w:rPr>
          <w:t>4.4</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20"/>
        <w:spacing w:after="0"/>
        <w:rPr>
          <w:rFonts w:ascii="Arial" w:cs="Arial" w:eastAsia="Arial" w:hAnsi="Arial"/>
          <w:sz w:val="18"/>
          <w:szCs w:val="18"/>
          <w:u w:val="single" w:color="auto"/>
          <w:color w:val="0000FF"/>
        </w:rPr>
      </w:pPr>
      <w:hyperlink r:id="rId27">
        <w:r>
          <w:rPr>
            <w:rFonts w:ascii="Arial" w:cs="Arial" w:eastAsia="Arial" w:hAnsi="Arial"/>
            <w:sz w:val="18"/>
            <w:szCs w:val="18"/>
            <w:u w:val="single" w:color="auto"/>
            <w:color w:val="0000FF"/>
          </w:rPr>
          <w:t>4.5</w:t>
        </w:r>
      </w:hyperlink>
    </w:p>
    <w:p>
      <w:pPr>
        <w:spacing w:after="0" w:line="200" w:lineRule="exact"/>
        <w:rPr>
          <w:sz w:val="20"/>
          <w:szCs w:val="20"/>
          <w:color w:val="auto"/>
        </w:rPr>
      </w:pPr>
    </w:p>
    <w:p>
      <w:pPr>
        <w:spacing w:after="0" w:line="295" w:lineRule="exact"/>
        <w:rPr>
          <w:sz w:val="20"/>
          <w:szCs w:val="20"/>
          <w:color w:val="auto"/>
        </w:rPr>
      </w:pPr>
    </w:p>
    <w:p>
      <w:pPr>
        <w:ind w:left="520"/>
        <w:spacing w:after="0"/>
        <w:rPr>
          <w:rFonts w:ascii="Arial" w:cs="Arial" w:eastAsia="Arial" w:hAnsi="Arial"/>
          <w:sz w:val="18"/>
          <w:szCs w:val="18"/>
          <w:u w:val="single" w:color="auto"/>
          <w:color w:val="0000FF"/>
        </w:rPr>
      </w:pPr>
      <w:hyperlink r:id="rId28">
        <w:r>
          <w:rPr>
            <w:rFonts w:ascii="Arial" w:cs="Arial" w:eastAsia="Arial" w:hAnsi="Arial"/>
            <w:sz w:val="18"/>
            <w:szCs w:val="18"/>
            <w:u w:val="single" w:color="auto"/>
            <w:color w:val="0000FF"/>
          </w:rPr>
          <w:t>4.6</w:t>
        </w:r>
      </w:hyperlink>
    </w:p>
    <w:p>
      <w:pPr>
        <w:spacing w:after="0" w:line="200" w:lineRule="exact"/>
        <w:rPr>
          <w:sz w:val="20"/>
          <w:szCs w:val="20"/>
          <w:color w:val="auto"/>
        </w:rPr>
      </w:pPr>
    </w:p>
    <w:p>
      <w:pPr>
        <w:spacing w:after="0" w:line="295" w:lineRule="exact"/>
        <w:rPr>
          <w:sz w:val="20"/>
          <w:szCs w:val="20"/>
          <w:color w:val="auto"/>
        </w:rPr>
      </w:pPr>
    </w:p>
    <w:p>
      <w:pPr>
        <w:ind w:left="520"/>
        <w:spacing w:after="0"/>
        <w:rPr>
          <w:rFonts w:ascii="Arial" w:cs="Arial" w:eastAsia="Arial" w:hAnsi="Arial"/>
          <w:sz w:val="18"/>
          <w:szCs w:val="18"/>
          <w:u w:val="single" w:color="auto"/>
          <w:color w:val="0000FF"/>
        </w:rPr>
      </w:pPr>
      <w:hyperlink r:id="rId29">
        <w:r>
          <w:rPr>
            <w:rFonts w:ascii="Arial" w:cs="Arial" w:eastAsia="Arial" w:hAnsi="Arial"/>
            <w:sz w:val="18"/>
            <w:szCs w:val="18"/>
            <w:u w:val="single" w:color="auto"/>
            <w:color w:val="0000FF"/>
          </w:rPr>
          <w:t>4.7</w:t>
        </w:r>
      </w:hyperlink>
    </w:p>
    <w:p>
      <w:pPr>
        <w:spacing w:after="0" w:line="387" w:lineRule="exact"/>
        <w:rPr>
          <w:sz w:val="20"/>
          <w:szCs w:val="20"/>
          <w:color w:val="auto"/>
        </w:rPr>
      </w:pPr>
    </w:p>
    <w:p>
      <w:pPr>
        <w:ind w:left="520"/>
        <w:spacing w:after="0"/>
        <w:rPr>
          <w:rFonts w:ascii="Arial" w:cs="Arial" w:eastAsia="Arial" w:hAnsi="Arial"/>
          <w:sz w:val="18"/>
          <w:szCs w:val="18"/>
          <w:u w:val="single" w:color="auto"/>
          <w:color w:val="0000FF"/>
        </w:rPr>
      </w:pPr>
      <w:hyperlink r:id="rId30">
        <w:r>
          <w:rPr>
            <w:rFonts w:ascii="Arial" w:cs="Arial" w:eastAsia="Arial" w:hAnsi="Arial"/>
            <w:sz w:val="18"/>
            <w:szCs w:val="18"/>
            <w:u w:val="single" w:color="auto"/>
            <w:color w:val="0000FF"/>
          </w:rPr>
          <w:t>4.8</w:t>
        </w:r>
      </w:hyperlink>
    </w:p>
    <w:p>
      <w:pPr>
        <w:spacing w:after="0" w:line="387" w:lineRule="exact"/>
        <w:rPr>
          <w:sz w:val="20"/>
          <w:szCs w:val="20"/>
          <w:color w:val="auto"/>
        </w:rPr>
      </w:pPr>
    </w:p>
    <w:p>
      <w:pPr>
        <w:ind w:left="520"/>
        <w:spacing w:after="0"/>
        <w:rPr>
          <w:rFonts w:ascii="Arial" w:cs="Arial" w:eastAsia="Arial" w:hAnsi="Arial"/>
          <w:sz w:val="18"/>
          <w:szCs w:val="18"/>
          <w:u w:val="single" w:color="auto"/>
          <w:color w:val="0000FF"/>
        </w:rPr>
      </w:pPr>
      <w:hyperlink r:id="rId31">
        <w:r>
          <w:rPr>
            <w:rFonts w:ascii="Arial" w:cs="Arial" w:eastAsia="Arial" w:hAnsi="Arial"/>
            <w:sz w:val="18"/>
            <w:szCs w:val="18"/>
            <w:u w:val="single" w:color="auto"/>
            <w:color w:val="0000FF"/>
          </w:rPr>
          <w:t>4.9</w:t>
        </w:r>
      </w:hyperlink>
    </w:p>
    <w:p>
      <w:pPr>
        <w:spacing w:after="0" w:line="200" w:lineRule="exact"/>
        <w:rPr>
          <w:sz w:val="20"/>
          <w:szCs w:val="20"/>
          <w:color w:val="auto"/>
        </w:rPr>
      </w:pPr>
    </w:p>
    <w:p>
      <w:pPr>
        <w:spacing w:after="0" w:line="295" w:lineRule="exact"/>
        <w:rPr>
          <w:sz w:val="20"/>
          <w:szCs w:val="20"/>
          <w:color w:val="auto"/>
        </w:rPr>
      </w:pPr>
    </w:p>
    <w:p>
      <w:pPr>
        <w:ind w:left="480"/>
        <w:spacing w:after="0"/>
        <w:rPr>
          <w:rFonts w:ascii="Arial" w:cs="Arial" w:eastAsia="Arial" w:hAnsi="Arial"/>
          <w:sz w:val="18"/>
          <w:szCs w:val="18"/>
          <w:u w:val="single" w:color="auto"/>
          <w:color w:val="0000FF"/>
        </w:rPr>
      </w:pPr>
      <w:hyperlink r:id="rId32">
        <w:r>
          <w:rPr>
            <w:rFonts w:ascii="Arial" w:cs="Arial" w:eastAsia="Arial" w:hAnsi="Arial"/>
            <w:sz w:val="18"/>
            <w:szCs w:val="18"/>
            <w:u w:val="single" w:color="auto"/>
            <w:color w:val="0000FF"/>
          </w:rPr>
          <w:t>4.10</w:t>
        </w:r>
      </w:hyperlink>
    </w:p>
    <w:p>
      <w:pPr>
        <w:spacing w:after="0" w:line="200" w:lineRule="exact"/>
        <w:rPr>
          <w:sz w:val="20"/>
          <w:szCs w:val="20"/>
          <w:color w:val="auto"/>
        </w:rPr>
      </w:pPr>
    </w:p>
    <w:p>
      <w:pPr>
        <w:spacing w:after="0" w:line="295" w:lineRule="exact"/>
        <w:rPr>
          <w:sz w:val="20"/>
          <w:szCs w:val="20"/>
          <w:color w:val="auto"/>
        </w:rPr>
      </w:pPr>
    </w:p>
    <w:p>
      <w:pPr>
        <w:ind w:left="480"/>
        <w:spacing w:after="0"/>
        <w:rPr>
          <w:rFonts w:ascii="Arial" w:cs="Arial" w:eastAsia="Arial" w:hAnsi="Arial"/>
          <w:sz w:val="18"/>
          <w:szCs w:val="18"/>
          <w:u w:val="single" w:color="auto"/>
          <w:color w:val="0000FF"/>
        </w:rPr>
      </w:pPr>
      <w:hyperlink r:id="rId33">
        <w:r>
          <w:rPr>
            <w:rFonts w:ascii="Arial" w:cs="Arial" w:eastAsia="Arial" w:hAnsi="Arial"/>
            <w:sz w:val="18"/>
            <w:szCs w:val="18"/>
            <w:u w:val="single" w:color="auto"/>
            <w:color w:val="0000FF"/>
          </w:rPr>
          <w:t>4.11</w:t>
        </w:r>
      </w:hyperlink>
    </w:p>
    <w:p>
      <w:pPr>
        <w:spacing w:after="0" w:line="387" w:lineRule="exact"/>
        <w:rPr>
          <w:sz w:val="20"/>
          <w:szCs w:val="20"/>
          <w:color w:val="auto"/>
        </w:rPr>
      </w:pPr>
    </w:p>
    <w:p>
      <w:pPr>
        <w:ind w:left="480"/>
        <w:spacing w:after="0"/>
        <w:rPr>
          <w:rFonts w:ascii="Arial" w:cs="Arial" w:eastAsia="Arial" w:hAnsi="Arial"/>
          <w:sz w:val="18"/>
          <w:szCs w:val="18"/>
          <w:u w:val="single" w:color="auto"/>
          <w:color w:val="0000FF"/>
        </w:rPr>
      </w:pPr>
      <w:hyperlink r:id="rId34">
        <w:r>
          <w:rPr>
            <w:rFonts w:ascii="Arial" w:cs="Arial" w:eastAsia="Arial" w:hAnsi="Arial"/>
            <w:sz w:val="18"/>
            <w:szCs w:val="18"/>
            <w:u w:val="single" w:color="auto"/>
            <w:color w:val="0000FF"/>
          </w:rPr>
          <w:t>4.12</w:t>
        </w:r>
      </w:hyperlink>
    </w:p>
    <w:p>
      <w:pPr>
        <w:spacing w:after="0" w:line="387" w:lineRule="exact"/>
        <w:rPr>
          <w:sz w:val="20"/>
          <w:szCs w:val="20"/>
          <w:color w:val="auto"/>
        </w:rPr>
      </w:pPr>
    </w:p>
    <w:p>
      <w:pPr>
        <w:ind w:left="480"/>
        <w:spacing w:after="0"/>
        <w:rPr>
          <w:rFonts w:ascii="Arial" w:cs="Arial" w:eastAsia="Arial" w:hAnsi="Arial"/>
          <w:sz w:val="18"/>
          <w:szCs w:val="18"/>
          <w:u w:val="single" w:color="auto"/>
          <w:color w:val="0000FF"/>
        </w:rPr>
      </w:pPr>
      <w:hyperlink r:id="rId35">
        <w:r>
          <w:rPr>
            <w:rFonts w:ascii="Arial" w:cs="Arial" w:eastAsia="Arial" w:hAnsi="Arial"/>
            <w:sz w:val="18"/>
            <w:szCs w:val="18"/>
            <w:u w:val="single" w:color="auto"/>
            <w:color w:val="0000FF"/>
          </w:rPr>
          <w:t>4.13</w:t>
        </w:r>
      </w:hyperlink>
    </w:p>
    <w:p>
      <w:pPr>
        <w:spacing w:after="0" w:line="200" w:lineRule="exact"/>
        <w:rPr>
          <w:sz w:val="20"/>
          <w:szCs w:val="20"/>
          <w:color w:val="auto"/>
        </w:rPr>
      </w:pPr>
    </w:p>
    <w:p>
      <w:pPr>
        <w:spacing w:after="0" w:line="295" w:lineRule="exact"/>
        <w:rPr>
          <w:sz w:val="20"/>
          <w:szCs w:val="20"/>
          <w:color w:val="auto"/>
        </w:rPr>
      </w:pPr>
    </w:p>
    <w:p>
      <w:pPr>
        <w:ind w:left="480"/>
        <w:spacing w:after="0"/>
        <w:rPr>
          <w:rFonts w:ascii="Arial" w:cs="Arial" w:eastAsia="Arial" w:hAnsi="Arial"/>
          <w:sz w:val="18"/>
          <w:szCs w:val="18"/>
          <w:u w:val="single" w:color="auto"/>
          <w:color w:val="0000FF"/>
        </w:rPr>
      </w:pPr>
      <w:hyperlink r:id="rId36">
        <w:r>
          <w:rPr>
            <w:rFonts w:ascii="Arial" w:cs="Arial" w:eastAsia="Arial" w:hAnsi="Arial"/>
            <w:sz w:val="18"/>
            <w:szCs w:val="18"/>
            <w:u w:val="single" w:color="auto"/>
            <w:color w:val="0000FF"/>
          </w:rPr>
          <w:t>4.14</w:t>
        </w:r>
      </w:hyperlink>
    </w:p>
    <w:p>
      <w:pPr>
        <w:spacing w:after="0" w:line="200" w:lineRule="exact"/>
        <w:rPr>
          <w:sz w:val="20"/>
          <w:szCs w:val="20"/>
          <w:color w:val="auto"/>
        </w:rPr>
      </w:pPr>
    </w:p>
    <w:p>
      <w:pPr>
        <w:spacing w:after="0" w:line="295" w:lineRule="exact"/>
        <w:rPr>
          <w:sz w:val="20"/>
          <w:szCs w:val="20"/>
          <w:color w:val="auto"/>
        </w:rPr>
      </w:pPr>
    </w:p>
    <w:p>
      <w:pPr>
        <w:ind w:left="480"/>
        <w:spacing w:after="0"/>
        <w:rPr>
          <w:rFonts w:ascii="Arial" w:cs="Arial" w:eastAsia="Arial" w:hAnsi="Arial"/>
          <w:sz w:val="18"/>
          <w:szCs w:val="18"/>
          <w:u w:val="single" w:color="auto"/>
          <w:color w:val="0000FF"/>
        </w:rPr>
      </w:pPr>
      <w:hyperlink r:id="rId37">
        <w:r>
          <w:rPr>
            <w:rFonts w:ascii="Arial" w:cs="Arial" w:eastAsia="Arial" w:hAnsi="Arial"/>
            <w:sz w:val="18"/>
            <w:szCs w:val="18"/>
            <w:u w:val="single" w:color="auto"/>
            <w:color w:val="0000FF"/>
          </w:rPr>
          <w:t>4.15</w:t>
        </w:r>
      </w:hyperlink>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34290</wp:posOffset>
            </wp:positionV>
            <wp:extent cx="7246620"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8">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47"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Articles of Incorporation, as amended July 1, 1997 (incorporated by reference to Exhibit 3(a)(1) to the Company's Quarterly Report on Form 10-Q for the quarterly period ended June 30, 1997).</w:t>
      </w:r>
    </w:p>
    <w:p>
      <w:pPr>
        <w:spacing w:after="0" w:line="8"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Amended and Restated Bylaws of the Company, as amended February 24, 2005 (incorporated by reference to Exhibit 3(b) to the Company’s Annual Report on Form 10-K for the fiscal year ended December 31,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-1905</wp:posOffset>
            </wp:positionV>
            <wp:extent cx="7246620" cy="4457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9">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jc w:val="both"/>
        <w:ind w:right="20"/>
        <w:spacing w:after="0" w:line="264" w:lineRule="auto"/>
        <w:rPr>
          <w:sz w:val="20"/>
          <w:szCs w:val="20"/>
          <w:color w:val="auto"/>
        </w:rPr>
      </w:pPr>
      <w:r>
        <w:rPr>
          <w:rFonts w:ascii="Arial" w:cs="Arial" w:eastAsia="Arial" w:hAnsi="Arial"/>
          <w:sz w:val="18"/>
          <w:szCs w:val="18"/>
          <w:color w:val="auto"/>
        </w:rPr>
        <w:t>Fifth Amended and Restated Credit Agreement, dated as of June 17, 2011, among the Company, the Banks signatory thereto and Comerica Bank, as agent for the Banks (incorporated by reference to Exhibit 4(f)(146) to the Company’s Current Report on Form 8-K filed June 22, 2011).</w:t>
      </w:r>
    </w:p>
    <w:p>
      <w:pPr>
        <w:spacing w:after="0" w:line="1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Loan and Security Agreement, dated as of August 19, 2011 among the Company, CAC Warehouse Funding LLC IV, BMO Capital Markets Corp., Bank of Montreal and Wells Fargo Bank, National Association (incorporated by reference to Exhibit 4(f)(148) to the Company's Current Report on Form 8-K filed August 24,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4445</wp:posOffset>
            </wp:positionV>
            <wp:extent cx="7246620" cy="4457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0">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jc w:val="both"/>
        <w:ind w:right="20"/>
        <w:spacing w:after="0" w:line="264" w:lineRule="auto"/>
        <w:rPr>
          <w:sz w:val="20"/>
          <w:szCs w:val="20"/>
          <w:color w:val="auto"/>
        </w:rPr>
      </w:pPr>
      <w:r>
        <w:rPr>
          <w:rFonts w:ascii="Arial" w:cs="Arial" w:eastAsia="Arial" w:hAnsi="Arial"/>
          <w:sz w:val="18"/>
          <w:szCs w:val="18"/>
          <w:color w:val="auto"/>
        </w:rPr>
        <w:t>Backup Servicing Agreement dated as of August 19, 2011, among the Company, CAC Warehouse Funding LLC IV, Wells Fargo Bank, National Association, Bank of Montreal and BMO Capital Markets Corp. (incorporated by reference to Exhibit 4(f)(149) to the Company's Current Report on Form 8-K filed August 24, 2011).</w:t>
      </w:r>
    </w:p>
    <w:p>
      <w:pPr>
        <w:spacing w:after="0" w:line="19"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Amended and Restated Intercreditor Agreement, dated as of February 1, 2010, among Credit Acceptance Corporation, the other Grantors party thereto, representatives of the Secured Parties thereunder and Comerica Bank, as administrative agent under the Original Credit Agreement (as defined therein) and as collateral agent (incorporated by reference to Exhibit 4(g)(6) to the Company’s Current Report on Form 8-K filed February 5,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7620</wp:posOffset>
            </wp:positionV>
            <wp:extent cx="7246620" cy="4457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1">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First Amendment to the Fifth Amended and Restated Credit Agreement, dated as of June 15, 2012, among the Company, the Banks signatory thereto and Comerica Bank, as agent for the Banks (incorporated by reference to Exhibit 4.72 to the Company’s Current Report on Form 8-K filed June 15, 2012).</w:t>
      </w:r>
    </w:p>
    <w:p>
      <w:pPr>
        <w:spacing w:after="0" w:line="1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Amended and Restated Backup Servicing Agreement dated as of December 27, 2012, among the Company, CAC Warehouse Funding Corporation II, Wells Fargo Securities, LLC, and Wells Fargo Bank, National Association (incorporated by reference to Exhibit 4.82 to the Company’s Current Report on Form 8-K filed January 3,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4445</wp:posOffset>
            </wp:positionV>
            <wp:extent cx="7246620" cy="4457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2">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jc w:val="both"/>
        <w:ind w:right="40"/>
        <w:spacing w:after="0" w:line="264" w:lineRule="auto"/>
        <w:rPr>
          <w:sz w:val="20"/>
          <w:szCs w:val="20"/>
          <w:color w:val="auto"/>
        </w:rPr>
      </w:pPr>
      <w:r>
        <w:rPr>
          <w:rFonts w:ascii="Arial" w:cs="Arial" w:eastAsia="Arial" w:hAnsi="Arial"/>
          <w:sz w:val="18"/>
          <w:szCs w:val="18"/>
          <w:color w:val="auto"/>
        </w:rPr>
        <w:t>First Amendment to Loan and Security Agreement dated as of April 5, 2013, among the Company, CAC Warehouse Funding LLC IV, Bank of Montreal, BMO Capital Markets Corp., and Wells Fargo Bank, National Association (incorporated by reference to Exhibit 4.84 to the Company’s Current Report on Form 8-K filed April 5, 2013).</w:t>
      </w:r>
    </w:p>
    <w:p>
      <w:pPr>
        <w:spacing w:after="0" w:line="19" w:lineRule="exact"/>
        <w:rPr>
          <w:sz w:val="20"/>
          <w:szCs w:val="20"/>
          <w:color w:val="auto"/>
        </w:rPr>
      </w:pPr>
    </w:p>
    <w:p>
      <w:pPr>
        <w:jc w:val="both"/>
        <w:ind w:right="40"/>
        <w:spacing w:after="0" w:line="298" w:lineRule="auto"/>
        <w:rPr>
          <w:sz w:val="20"/>
          <w:szCs w:val="20"/>
          <w:color w:val="auto"/>
        </w:rPr>
      </w:pPr>
      <w:r>
        <w:rPr>
          <w:rFonts w:ascii="Arial" w:cs="Arial" w:eastAsia="Arial" w:hAnsi="Arial"/>
          <w:sz w:val="17"/>
          <w:szCs w:val="17"/>
          <w:color w:val="auto"/>
        </w:rPr>
        <w:t>Amended and Restated Sale and Contribution Agreement dated as of April 5, 2013, between the Company and CAC Warehouse Funding LLC IV (incorporated by reference to Exhibit 4.85 to the Company’s Current Report on Form 8-K filed April 5,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-6985</wp:posOffset>
            </wp:positionV>
            <wp:extent cx="7246620" cy="4457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3">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jc w:val="both"/>
        <w:ind w:right="40"/>
        <w:spacing w:after="0" w:line="264" w:lineRule="auto"/>
        <w:rPr>
          <w:sz w:val="20"/>
          <w:szCs w:val="20"/>
          <w:color w:val="auto"/>
        </w:rPr>
      </w:pPr>
      <w:r>
        <w:rPr>
          <w:rFonts w:ascii="Arial" w:cs="Arial" w:eastAsia="Arial" w:hAnsi="Arial"/>
          <w:sz w:val="18"/>
          <w:szCs w:val="18"/>
          <w:color w:val="auto"/>
        </w:rPr>
        <w:t>Second Amendment to the Fifth Amended and Restated Credit Agreement, dated as of June 20, 2013, among the Company, the Banks signatory thereto and Comerica Bank, as agent for the Banks (incorporated by reference to Exhibit 4.92 to the Company’s Current Report on Form 8-K filed June 24, 2013).</w:t>
      </w:r>
    </w:p>
    <w:p>
      <w:pPr>
        <w:spacing w:after="0" w:line="1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Third Amendment to the Fifth Amended and Restated Credit Agreement, dated as of December 9, 2013, among the Company and Comerica Bank, as agent for the Banks (incorporated by reference to Exhibit 4.103 to the Company's Annual Report on Form 10-K for the fiscal year ended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4445</wp:posOffset>
            </wp:positionV>
            <wp:extent cx="7246620" cy="4457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4">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jc w:val="both"/>
        <w:ind w:right="20"/>
        <w:spacing w:after="0" w:line="264" w:lineRule="auto"/>
        <w:rPr>
          <w:sz w:val="20"/>
          <w:szCs w:val="20"/>
          <w:color w:val="auto"/>
        </w:rPr>
      </w:pPr>
      <w:r>
        <w:rPr>
          <w:rFonts w:ascii="Arial" w:cs="Arial" w:eastAsia="Arial" w:hAnsi="Arial"/>
          <w:sz w:val="18"/>
          <w:szCs w:val="18"/>
          <w:color w:val="auto"/>
        </w:rPr>
        <w:t>Fourth Amendment to the Fifth Amended and Restated Credit Agreement, dated as of January 15, 2014, among the Company, the banks signatory thereto and Comerica Bank, as agent for the Banks (incorporated by reference to Exhibit 4.117 to the Company's Annual Report on Form 10-K for the fiscal year ended December 31, 2013).</w:t>
      </w:r>
    </w:p>
    <w:p>
      <w:pPr>
        <w:spacing w:after="0" w:line="19" w:lineRule="exact"/>
        <w:rPr>
          <w:sz w:val="20"/>
          <w:szCs w:val="20"/>
          <w:color w:val="auto"/>
        </w:rPr>
      </w:pPr>
    </w:p>
    <w:p>
      <w:pPr>
        <w:jc w:val="both"/>
        <w:ind w:right="40"/>
        <w:spacing w:after="0" w:line="298" w:lineRule="auto"/>
        <w:rPr>
          <w:sz w:val="20"/>
          <w:szCs w:val="20"/>
          <w:color w:val="auto"/>
        </w:rPr>
      </w:pPr>
      <w:r>
        <w:rPr>
          <w:rFonts w:ascii="Arial" w:cs="Arial" w:eastAsia="Arial" w:hAnsi="Arial"/>
          <w:sz w:val="17"/>
          <w:szCs w:val="17"/>
          <w:color w:val="auto"/>
        </w:rPr>
        <w:t>Indenture, dated as of January 22, 2014, among the Company, the Guarantors named therein and U.S. Bank National Association, as trustee (incorporated by reference to Exhibit 4.101 to the Company’s Current Report on Form 8-K filed January 27,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-6985</wp:posOffset>
            </wp:positionV>
            <wp:extent cx="7246620" cy="4457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5">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jc w:val="both"/>
        <w:ind w:right="40"/>
        <w:spacing w:after="0" w:line="286" w:lineRule="auto"/>
        <w:rPr>
          <w:sz w:val="20"/>
          <w:szCs w:val="20"/>
          <w:color w:val="auto"/>
        </w:rPr>
      </w:pPr>
      <w:r>
        <w:rPr>
          <w:rFonts w:ascii="Arial" w:cs="Arial" w:eastAsia="Arial" w:hAnsi="Arial"/>
          <w:sz w:val="17"/>
          <w:szCs w:val="17"/>
          <w:color w:val="auto"/>
        </w:rPr>
        <w:t>Second Amendment to Loan and Security Agreement, dated as of December 4, 2013, among the Company, CAC Warehouse Funding LLC IV, Bank of Montreal, BMO Capital Markets Corp., and Wells Fargo Bank, National Association (incorporated by reference to Exhibit 4.106 to the Company's Annual Report on Form 10-K for the fiscal year ended December 31, 2013).</w:t>
      </w:r>
    </w:p>
    <w:p>
      <w:pPr>
        <w:spacing w:after="0" w:line="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First Amendment to Amended and Restated Sale and Contribution Agreement, dated as of December 4, 2013, between the Company and CAC Warehouse Funding LLC IV (incorporated by reference to Exhibit 4.107 to the Company's Annual Report on Form 10-K for the fiscal year ended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4445</wp:posOffset>
            </wp:positionV>
            <wp:extent cx="7246620" cy="4457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6">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jc w:val="both"/>
        <w:ind w:right="40"/>
        <w:spacing w:after="0" w:line="264" w:lineRule="auto"/>
        <w:rPr>
          <w:sz w:val="20"/>
          <w:szCs w:val="20"/>
          <w:color w:val="auto"/>
        </w:rPr>
      </w:pPr>
      <w:r>
        <w:rPr>
          <w:rFonts w:ascii="Arial" w:cs="Arial" w:eastAsia="Arial" w:hAnsi="Arial"/>
          <w:sz w:val="18"/>
          <w:szCs w:val="18"/>
          <w:color w:val="auto"/>
        </w:rPr>
        <w:t>Sixth Amended and Restated Credit Agreement, dated as of June 23, 2014, among the Company, the Banks signatory thereto and Comerica Bank, as agent for the Banks (incorporated by reference to Exhibit 4.124 to the Company’s Current Report on Form 8-K filed June 25, 2014).</w:t>
      </w:r>
    </w:p>
    <w:p>
      <w:pPr>
        <w:spacing w:after="0" w:line="200" w:lineRule="exact"/>
        <w:rPr>
          <w:sz w:val="20"/>
          <w:szCs w:val="20"/>
          <w:color w:val="auto"/>
        </w:rPr>
      </w:pPr>
    </w:p>
    <w:p>
      <w:pPr>
        <w:sectPr>
          <w:pgSz w:w="11900" w:h="16838" w:orient="portrait"/>
          <w:cols w:equalWidth="0" w:num="2">
            <w:col w:w="920" w:space="600"/>
            <w:col w:w="9900"/>
          </w:cols>
          <w:pgMar w:left="240" w:top="337" w:right="239" w:bottom="1440" w:gutter="0" w:footer="0" w:header="0"/>
          <w:type w:val="continuous"/>
        </w:sectPr>
      </w:pPr>
    </w:p>
    <w:p>
      <w:pPr>
        <w:spacing w:after="0" w:line="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420"/>
          </w:cols>
          <w:pgMar w:left="240" w:top="337" w:right="239" w:bottom="1440" w:gutter="0" w:footer="0" w:header="0"/>
          <w:type w:val="continuous"/>
        </w:sectPr>
      </w:pPr>
    </w:p>
    <w:bookmarkStart w:id="93" w:name="page94"/>
    <w:bookmarkEnd w:id="9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rFonts w:ascii="Arial" w:cs="Arial" w:eastAsia="Arial" w:hAnsi="Arial"/>
          <w:sz w:val="16"/>
          <w:szCs w:val="16"/>
          <w:u w:val="single" w:color="auto"/>
          <w:color w:val="0000FF"/>
        </w:rPr>
      </w:pPr>
      <w:hyperlink r:id="rId47">
        <w:r>
          <w:rPr>
            <w:rFonts w:ascii="Arial" w:cs="Arial" w:eastAsia="Arial" w:hAnsi="Arial"/>
            <w:sz w:val="16"/>
            <w:szCs w:val="16"/>
            <w:u w:val="single" w:color="auto"/>
            <w:color w:val="0000FF"/>
          </w:rPr>
          <w:t>4.16</w:t>
        </w:r>
      </w:hyperlink>
    </w:p>
    <w:p>
      <w:pPr>
        <w:spacing w:after="0" w:line="200" w:lineRule="exact"/>
        <w:rPr>
          <w:sz w:val="20"/>
          <w:szCs w:val="20"/>
          <w:color w:val="auto"/>
        </w:rPr>
      </w:pPr>
    </w:p>
    <w:p>
      <w:pPr>
        <w:spacing w:after="0" w:line="318" w:lineRule="exact"/>
        <w:rPr>
          <w:sz w:val="20"/>
          <w:szCs w:val="20"/>
          <w:color w:val="auto"/>
        </w:rPr>
      </w:pPr>
    </w:p>
    <w:p>
      <w:pPr>
        <w:spacing w:after="0"/>
        <w:rPr>
          <w:rFonts w:ascii="Arial" w:cs="Arial" w:eastAsia="Arial" w:hAnsi="Arial"/>
          <w:sz w:val="16"/>
          <w:szCs w:val="16"/>
          <w:u w:val="single" w:color="auto"/>
          <w:color w:val="0000FF"/>
        </w:rPr>
      </w:pPr>
      <w:hyperlink r:id="rId48">
        <w:r>
          <w:rPr>
            <w:rFonts w:ascii="Arial" w:cs="Arial" w:eastAsia="Arial" w:hAnsi="Arial"/>
            <w:sz w:val="16"/>
            <w:szCs w:val="16"/>
            <w:u w:val="single" w:color="auto"/>
            <w:color w:val="0000FF"/>
          </w:rPr>
          <w:t>4.17</w:t>
        </w:r>
      </w:hyperlink>
    </w:p>
    <w:p>
      <w:pPr>
        <w:spacing w:after="0" w:line="200" w:lineRule="exact"/>
        <w:rPr>
          <w:sz w:val="20"/>
          <w:szCs w:val="20"/>
          <w:color w:val="auto"/>
        </w:rPr>
      </w:pPr>
    </w:p>
    <w:p>
      <w:pPr>
        <w:spacing w:after="0" w:line="318" w:lineRule="exact"/>
        <w:rPr>
          <w:sz w:val="20"/>
          <w:szCs w:val="20"/>
          <w:color w:val="auto"/>
        </w:rPr>
      </w:pPr>
    </w:p>
    <w:p>
      <w:pPr>
        <w:spacing w:after="0"/>
        <w:rPr>
          <w:rFonts w:ascii="Arial" w:cs="Arial" w:eastAsia="Arial" w:hAnsi="Arial"/>
          <w:sz w:val="16"/>
          <w:szCs w:val="16"/>
          <w:u w:val="single" w:color="auto"/>
          <w:color w:val="0000FF"/>
        </w:rPr>
      </w:pPr>
      <w:hyperlink r:id="rId49">
        <w:r>
          <w:rPr>
            <w:rFonts w:ascii="Arial" w:cs="Arial" w:eastAsia="Arial" w:hAnsi="Arial"/>
            <w:sz w:val="16"/>
            <w:szCs w:val="16"/>
            <w:u w:val="single" w:color="auto"/>
            <w:color w:val="0000FF"/>
          </w:rPr>
          <w:t>4.18</w:t>
        </w:r>
      </w:hyperlink>
    </w:p>
    <w:p>
      <w:pPr>
        <w:spacing w:after="0" w:line="200" w:lineRule="exact"/>
        <w:rPr>
          <w:sz w:val="20"/>
          <w:szCs w:val="20"/>
          <w:color w:val="auto"/>
        </w:rPr>
      </w:pPr>
    </w:p>
    <w:p>
      <w:pPr>
        <w:spacing w:after="0" w:line="210" w:lineRule="exact"/>
        <w:rPr>
          <w:sz w:val="20"/>
          <w:szCs w:val="20"/>
          <w:color w:val="auto"/>
        </w:rPr>
      </w:pPr>
    </w:p>
    <w:p>
      <w:pPr>
        <w:spacing w:after="0"/>
        <w:rPr>
          <w:rFonts w:ascii="Arial" w:cs="Arial" w:eastAsia="Arial" w:hAnsi="Arial"/>
          <w:sz w:val="16"/>
          <w:szCs w:val="16"/>
          <w:u w:val="single" w:color="auto"/>
          <w:color w:val="0000FF"/>
        </w:rPr>
      </w:pPr>
      <w:hyperlink r:id="rId50">
        <w:r>
          <w:rPr>
            <w:rFonts w:ascii="Arial" w:cs="Arial" w:eastAsia="Arial" w:hAnsi="Arial"/>
            <w:sz w:val="16"/>
            <w:szCs w:val="16"/>
            <w:u w:val="single" w:color="auto"/>
            <w:color w:val="0000FF"/>
          </w:rPr>
          <w:t>4.19</w:t>
        </w:r>
      </w:hyperlink>
    </w:p>
    <w:p>
      <w:pPr>
        <w:spacing w:after="0" w:line="302" w:lineRule="exact"/>
        <w:rPr>
          <w:sz w:val="20"/>
          <w:szCs w:val="20"/>
          <w:color w:val="auto"/>
        </w:rPr>
      </w:pPr>
    </w:p>
    <w:p>
      <w:pPr>
        <w:spacing w:after="0"/>
        <w:rPr>
          <w:rFonts w:ascii="Arial" w:cs="Arial" w:eastAsia="Arial" w:hAnsi="Arial"/>
          <w:sz w:val="16"/>
          <w:szCs w:val="16"/>
          <w:u w:val="single" w:color="auto"/>
          <w:color w:val="0000FF"/>
        </w:rPr>
      </w:pPr>
      <w:hyperlink r:id="rId51">
        <w:r>
          <w:rPr>
            <w:rFonts w:ascii="Arial" w:cs="Arial" w:eastAsia="Arial" w:hAnsi="Arial"/>
            <w:sz w:val="16"/>
            <w:szCs w:val="16"/>
            <w:u w:val="single" w:color="auto"/>
            <w:color w:val="0000FF"/>
          </w:rPr>
          <w:t>4.20</w:t>
        </w:r>
      </w:hyperlink>
    </w:p>
    <w:p>
      <w:pPr>
        <w:spacing w:after="0" w:line="200" w:lineRule="exact"/>
        <w:rPr>
          <w:sz w:val="20"/>
          <w:szCs w:val="20"/>
          <w:color w:val="auto"/>
        </w:rPr>
      </w:pPr>
    </w:p>
    <w:p>
      <w:pPr>
        <w:spacing w:after="0" w:line="210" w:lineRule="exact"/>
        <w:rPr>
          <w:sz w:val="20"/>
          <w:szCs w:val="20"/>
          <w:color w:val="auto"/>
        </w:rPr>
      </w:pPr>
    </w:p>
    <w:p>
      <w:pPr>
        <w:spacing w:after="0"/>
        <w:rPr>
          <w:rFonts w:ascii="Arial" w:cs="Arial" w:eastAsia="Arial" w:hAnsi="Arial"/>
          <w:sz w:val="16"/>
          <w:szCs w:val="16"/>
          <w:u w:val="single" w:color="auto"/>
          <w:color w:val="0000FF"/>
        </w:rPr>
      </w:pPr>
      <w:hyperlink r:id="rId52">
        <w:r>
          <w:rPr>
            <w:rFonts w:ascii="Arial" w:cs="Arial" w:eastAsia="Arial" w:hAnsi="Arial"/>
            <w:sz w:val="16"/>
            <w:szCs w:val="16"/>
            <w:u w:val="single" w:color="auto"/>
            <w:color w:val="0000FF"/>
          </w:rPr>
          <w:t>4.21</w:t>
        </w:r>
      </w:hyperlink>
    </w:p>
    <w:p>
      <w:pPr>
        <w:spacing w:after="0" w:line="200" w:lineRule="exact"/>
        <w:rPr>
          <w:sz w:val="20"/>
          <w:szCs w:val="20"/>
          <w:color w:val="auto"/>
        </w:rPr>
      </w:pPr>
    </w:p>
    <w:p>
      <w:pPr>
        <w:spacing w:after="0" w:line="318" w:lineRule="exact"/>
        <w:rPr>
          <w:sz w:val="20"/>
          <w:szCs w:val="20"/>
          <w:color w:val="auto"/>
        </w:rPr>
      </w:pPr>
    </w:p>
    <w:p>
      <w:pPr>
        <w:spacing w:after="0"/>
        <w:rPr>
          <w:rFonts w:ascii="Arial" w:cs="Arial" w:eastAsia="Arial" w:hAnsi="Arial"/>
          <w:sz w:val="16"/>
          <w:szCs w:val="16"/>
          <w:u w:val="single" w:color="auto"/>
          <w:color w:val="0000FF"/>
        </w:rPr>
      </w:pPr>
      <w:hyperlink r:id="rId53">
        <w:r>
          <w:rPr>
            <w:rFonts w:ascii="Arial" w:cs="Arial" w:eastAsia="Arial" w:hAnsi="Arial"/>
            <w:sz w:val="16"/>
            <w:szCs w:val="16"/>
            <w:u w:val="single" w:color="auto"/>
            <w:color w:val="0000FF"/>
          </w:rPr>
          <w:t>4.22</w:t>
        </w:r>
      </w:hyperlink>
    </w:p>
    <w:p>
      <w:pPr>
        <w:spacing w:after="0" w:line="200" w:lineRule="exact"/>
        <w:rPr>
          <w:sz w:val="20"/>
          <w:szCs w:val="20"/>
          <w:color w:val="auto"/>
        </w:rPr>
      </w:pPr>
    </w:p>
    <w:p>
      <w:pPr>
        <w:spacing w:after="0" w:line="318" w:lineRule="exact"/>
        <w:rPr>
          <w:sz w:val="20"/>
          <w:szCs w:val="20"/>
          <w:color w:val="auto"/>
        </w:rPr>
      </w:pPr>
    </w:p>
    <w:p>
      <w:pPr>
        <w:spacing w:after="0"/>
        <w:rPr>
          <w:rFonts w:ascii="Arial" w:cs="Arial" w:eastAsia="Arial" w:hAnsi="Arial"/>
          <w:sz w:val="16"/>
          <w:szCs w:val="16"/>
          <w:u w:val="single" w:color="auto"/>
          <w:color w:val="0000FF"/>
        </w:rPr>
      </w:pPr>
      <w:hyperlink r:id="rId54">
        <w:r>
          <w:rPr>
            <w:rFonts w:ascii="Arial" w:cs="Arial" w:eastAsia="Arial" w:hAnsi="Arial"/>
            <w:sz w:val="16"/>
            <w:szCs w:val="16"/>
            <w:u w:val="single" w:color="auto"/>
            <w:color w:val="0000FF"/>
          </w:rPr>
          <w:t>4.23</w:t>
        </w:r>
      </w:hyperlink>
    </w:p>
    <w:p>
      <w:pPr>
        <w:spacing w:after="0" w:line="200" w:lineRule="exact"/>
        <w:rPr>
          <w:sz w:val="20"/>
          <w:szCs w:val="20"/>
          <w:color w:val="auto"/>
        </w:rPr>
      </w:pPr>
    </w:p>
    <w:p>
      <w:pPr>
        <w:spacing w:after="0" w:line="210" w:lineRule="exact"/>
        <w:rPr>
          <w:sz w:val="20"/>
          <w:szCs w:val="20"/>
          <w:color w:val="auto"/>
        </w:rPr>
      </w:pPr>
    </w:p>
    <w:p>
      <w:pPr>
        <w:spacing w:after="0"/>
        <w:rPr>
          <w:rFonts w:ascii="Arial" w:cs="Arial" w:eastAsia="Arial" w:hAnsi="Arial"/>
          <w:sz w:val="16"/>
          <w:szCs w:val="16"/>
          <w:u w:val="single" w:color="auto"/>
          <w:color w:val="0000FF"/>
        </w:rPr>
      </w:pPr>
      <w:hyperlink r:id="rId55">
        <w:r>
          <w:rPr>
            <w:rFonts w:ascii="Arial" w:cs="Arial" w:eastAsia="Arial" w:hAnsi="Arial"/>
            <w:sz w:val="16"/>
            <w:szCs w:val="16"/>
            <w:u w:val="single" w:color="auto"/>
            <w:color w:val="0000FF"/>
          </w:rPr>
          <w:t>4.24</w:t>
        </w:r>
      </w:hyperlink>
    </w:p>
    <w:p>
      <w:pPr>
        <w:spacing w:after="0" w:line="302" w:lineRule="exact"/>
        <w:rPr>
          <w:sz w:val="20"/>
          <w:szCs w:val="20"/>
          <w:color w:val="auto"/>
        </w:rPr>
      </w:pPr>
    </w:p>
    <w:p>
      <w:pPr>
        <w:spacing w:after="0"/>
        <w:rPr>
          <w:rFonts w:ascii="Arial" w:cs="Arial" w:eastAsia="Arial" w:hAnsi="Arial"/>
          <w:sz w:val="16"/>
          <w:szCs w:val="16"/>
          <w:u w:val="single" w:color="auto"/>
          <w:color w:val="0000FF"/>
        </w:rPr>
      </w:pPr>
      <w:hyperlink r:id="rId56">
        <w:r>
          <w:rPr>
            <w:rFonts w:ascii="Arial" w:cs="Arial" w:eastAsia="Arial" w:hAnsi="Arial"/>
            <w:sz w:val="16"/>
            <w:szCs w:val="16"/>
            <w:u w:val="single" w:color="auto"/>
            <w:color w:val="0000FF"/>
          </w:rPr>
          <w:t>4.25</w:t>
        </w:r>
      </w:hyperlink>
    </w:p>
    <w:p>
      <w:pPr>
        <w:spacing w:after="0" w:line="200" w:lineRule="exact"/>
        <w:rPr>
          <w:sz w:val="20"/>
          <w:szCs w:val="20"/>
          <w:color w:val="auto"/>
        </w:rPr>
      </w:pPr>
    </w:p>
    <w:p>
      <w:pPr>
        <w:spacing w:after="0" w:line="210" w:lineRule="exact"/>
        <w:rPr>
          <w:sz w:val="20"/>
          <w:szCs w:val="20"/>
          <w:color w:val="auto"/>
        </w:rPr>
      </w:pPr>
    </w:p>
    <w:p>
      <w:pPr>
        <w:spacing w:after="0"/>
        <w:rPr>
          <w:rFonts w:ascii="Arial" w:cs="Arial" w:eastAsia="Arial" w:hAnsi="Arial"/>
          <w:sz w:val="16"/>
          <w:szCs w:val="16"/>
          <w:u w:val="single" w:color="auto"/>
          <w:color w:val="0000FF"/>
        </w:rPr>
      </w:pPr>
      <w:hyperlink r:id="rId57">
        <w:r>
          <w:rPr>
            <w:rFonts w:ascii="Arial" w:cs="Arial" w:eastAsia="Arial" w:hAnsi="Arial"/>
            <w:sz w:val="16"/>
            <w:szCs w:val="16"/>
            <w:u w:val="single" w:color="auto"/>
            <w:color w:val="0000FF"/>
          </w:rPr>
          <w:t>4.26</w:t>
        </w:r>
      </w:hyperlink>
    </w:p>
    <w:p>
      <w:pPr>
        <w:spacing w:after="0" w:line="200" w:lineRule="exact"/>
        <w:rPr>
          <w:sz w:val="20"/>
          <w:szCs w:val="20"/>
          <w:color w:val="auto"/>
        </w:rPr>
      </w:pPr>
    </w:p>
    <w:p>
      <w:pPr>
        <w:spacing w:after="0" w:line="318" w:lineRule="exact"/>
        <w:rPr>
          <w:sz w:val="20"/>
          <w:szCs w:val="20"/>
          <w:color w:val="auto"/>
        </w:rPr>
      </w:pPr>
    </w:p>
    <w:p>
      <w:pPr>
        <w:spacing w:after="0"/>
        <w:rPr>
          <w:rFonts w:ascii="Arial" w:cs="Arial" w:eastAsia="Arial" w:hAnsi="Arial"/>
          <w:sz w:val="16"/>
          <w:szCs w:val="16"/>
          <w:u w:val="single" w:color="auto"/>
          <w:color w:val="0000FF"/>
        </w:rPr>
      </w:pPr>
      <w:hyperlink r:id="rId58">
        <w:r>
          <w:rPr>
            <w:rFonts w:ascii="Arial" w:cs="Arial" w:eastAsia="Arial" w:hAnsi="Arial"/>
            <w:sz w:val="16"/>
            <w:szCs w:val="16"/>
            <w:u w:val="single" w:color="auto"/>
            <w:color w:val="0000FF"/>
          </w:rPr>
          <w:t>4.27</w:t>
        </w:r>
      </w:hyperlink>
    </w:p>
    <w:p>
      <w:pPr>
        <w:spacing w:after="0" w:line="200" w:lineRule="exact"/>
        <w:rPr>
          <w:sz w:val="20"/>
          <w:szCs w:val="20"/>
          <w:color w:val="auto"/>
        </w:rPr>
      </w:pPr>
    </w:p>
    <w:p>
      <w:pPr>
        <w:spacing w:after="0" w:line="318" w:lineRule="exact"/>
        <w:rPr>
          <w:sz w:val="20"/>
          <w:szCs w:val="20"/>
          <w:color w:val="auto"/>
        </w:rPr>
      </w:pPr>
    </w:p>
    <w:p>
      <w:pPr>
        <w:spacing w:after="0"/>
        <w:rPr>
          <w:rFonts w:ascii="Arial" w:cs="Arial" w:eastAsia="Arial" w:hAnsi="Arial"/>
          <w:sz w:val="16"/>
          <w:szCs w:val="16"/>
          <w:u w:val="single" w:color="auto"/>
          <w:color w:val="0000EE"/>
        </w:rPr>
      </w:pPr>
      <w:hyperlink w:anchor="page99">
        <w:r>
          <w:rPr>
            <w:rFonts w:ascii="Arial" w:cs="Arial" w:eastAsia="Arial" w:hAnsi="Arial"/>
            <w:sz w:val="16"/>
            <w:szCs w:val="16"/>
            <w:u w:val="single" w:color="auto"/>
            <w:color w:val="0000EE"/>
          </w:rPr>
          <w:t>4.28</w:t>
        </w:r>
      </w:hyperlink>
    </w:p>
    <w:p>
      <w:pPr>
        <w:spacing w:after="0" w:line="200" w:lineRule="exact"/>
        <w:rPr>
          <w:sz w:val="20"/>
          <w:szCs w:val="20"/>
          <w:color w:val="auto"/>
        </w:rPr>
      </w:pPr>
    </w:p>
    <w:p>
      <w:pPr>
        <w:spacing w:after="0" w:line="318" w:lineRule="exact"/>
        <w:rPr>
          <w:sz w:val="20"/>
          <w:szCs w:val="20"/>
          <w:color w:val="auto"/>
        </w:rPr>
      </w:pPr>
    </w:p>
    <w:p>
      <w:pPr>
        <w:spacing w:after="0"/>
        <w:rPr>
          <w:rFonts w:ascii="Arial" w:cs="Arial" w:eastAsia="Arial" w:hAnsi="Arial"/>
          <w:sz w:val="16"/>
          <w:szCs w:val="16"/>
          <w:u w:val="single" w:color="auto"/>
          <w:color w:val="0000FF"/>
        </w:rPr>
      </w:pPr>
      <w:hyperlink r:id="rId59">
        <w:r>
          <w:rPr>
            <w:rFonts w:ascii="Arial" w:cs="Arial" w:eastAsia="Arial" w:hAnsi="Arial"/>
            <w:sz w:val="16"/>
            <w:szCs w:val="16"/>
            <w:u w:val="single" w:color="auto"/>
            <w:color w:val="0000FF"/>
          </w:rPr>
          <w:t>4.29</w:t>
        </w:r>
      </w:hyperlink>
    </w:p>
    <w:p>
      <w:pPr>
        <w:spacing w:after="0" w:line="200" w:lineRule="exact"/>
        <w:rPr>
          <w:sz w:val="20"/>
          <w:szCs w:val="20"/>
          <w:color w:val="auto"/>
        </w:rPr>
      </w:pPr>
    </w:p>
    <w:p>
      <w:pPr>
        <w:spacing w:after="0" w:line="210" w:lineRule="exact"/>
        <w:rPr>
          <w:sz w:val="20"/>
          <w:szCs w:val="20"/>
          <w:color w:val="auto"/>
        </w:rPr>
      </w:pPr>
    </w:p>
    <w:p>
      <w:pPr>
        <w:spacing w:after="0"/>
        <w:rPr>
          <w:rFonts w:ascii="Arial" w:cs="Arial" w:eastAsia="Arial" w:hAnsi="Arial"/>
          <w:sz w:val="16"/>
          <w:szCs w:val="16"/>
          <w:u w:val="single" w:color="auto"/>
          <w:color w:val="0000FF"/>
        </w:rPr>
      </w:pPr>
      <w:hyperlink r:id="rId60">
        <w:r>
          <w:rPr>
            <w:rFonts w:ascii="Arial" w:cs="Arial" w:eastAsia="Arial" w:hAnsi="Arial"/>
            <w:sz w:val="16"/>
            <w:szCs w:val="16"/>
            <w:u w:val="single" w:color="auto"/>
            <w:color w:val="0000FF"/>
          </w:rPr>
          <w:t>4.30</w:t>
        </w:r>
      </w:hyperlink>
    </w:p>
    <w:p>
      <w:pPr>
        <w:spacing w:after="0" w:line="200" w:lineRule="exact"/>
        <w:rPr>
          <w:sz w:val="20"/>
          <w:szCs w:val="20"/>
          <w:color w:val="auto"/>
        </w:rPr>
      </w:pPr>
    </w:p>
    <w:p>
      <w:pPr>
        <w:spacing w:after="0" w:line="210" w:lineRule="exact"/>
        <w:rPr>
          <w:sz w:val="20"/>
          <w:szCs w:val="20"/>
          <w:color w:val="auto"/>
        </w:rPr>
      </w:pPr>
    </w:p>
    <w:p>
      <w:pPr>
        <w:spacing w:after="0"/>
        <w:rPr>
          <w:rFonts w:ascii="Arial" w:cs="Arial" w:eastAsia="Arial" w:hAnsi="Arial"/>
          <w:sz w:val="16"/>
          <w:szCs w:val="16"/>
          <w:u w:val="single" w:color="auto"/>
          <w:color w:val="0000FF"/>
        </w:rPr>
      </w:pPr>
      <w:hyperlink r:id="rId61">
        <w:r>
          <w:rPr>
            <w:rFonts w:ascii="Arial" w:cs="Arial" w:eastAsia="Arial" w:hAnsi="Arial"/>
            <w:sz w:val="16"/>
            <w:szCs w:val="16"/>
            <w:u w:val="single" w:color="auto"/>
            <w:color w:val="0000FF"/>
          </w:rPr>
          <w:t>4.31</w:t>
        </w:r>
      </w:hyperlink>
    </w:p>
    <w:p>
      <w:pPr>
        <w:spacing w:after="0" w:line="200" w:lineRule="exact"/>
        <w:rPr>
          <w:sz w:val="20"/>
          <w:szCs w:val="20"/>
          <w:color w:val="auto"/>
        </w:rPr>
      </w:pPr>
    </w:p>
    <w:p>
      <w:pPr>
        <w:spacing w:after="0" w:line="318" w:lineRule="exact"/>
        <w:rPr>
          <w:sz w:val="20"/>
          <w:szCs w:val="20"/>
          <w:color w:val="auto"/>
        </w:rPr>
      </w:pPr>
    </w:p>
    <w:p>
      <w:pPr>
        <w:spacing w:after="0"/>
        <w:rPr>
          <w:rFonts w:ascii="Arial" w:cs="Arial" w:eastAsia="Arial" w:hAnsi="Arial"/>
          <w:sz w:val="16"/>
          <w:szCs w:val="16"/>
          <w:u w:val="single" w:color="auto"/>
          <w:color w:val="0000FF"/>
        </w:rPr>
      </w:pPr>
      <w:hyperlink r:id="rId62">
        <w:r>
          <w:rPr>
            <w:rFonts w:ascii="Arial" w:cs="Arial" w:eastAsia="Arial" w:hAnsi="Arial"/>
            <w:sz w:val="16"/>
            <w:szCs w:val="16"/>
            <w:u w:val="single" w:color="auto"/>
            <w:color w:val="0000FF"/>
          </w:rPr>
          <w:t>4.32</w:t>
        </w:r>
      </w:hyperlink>
    </w:p>
    <w:p>
      <w:pPr>
        <w:spacing w:after="0" w:line="200" w:lineRule="exact"/>
        <w:rPr>
          <w:sz w:val="20"/>
          <w:szCs w:val="20"/>
          <w:color w:val="auto"/>
        </w:rPr>
      </w:pPr>
    </w:p>
    <w:p>
      <w:pPr>
        <w:spacing w:after="0" w:line="318" w:lineRule="exact"/>
        <w:rPr>
          <w:sz w:val="20"/>
          <w:szCs w:val="20"/>
          <w:color w:val="auto"/>
        </w:rPr>
      </w:pPr>
    </w:p>
    <w:p>
      <w:pPr>
        <w:spacing w:after="0"/>
        <w:rPr>
          <w:rFonts w:ascii="Arial" w:cs="Arial" w:eastAsia="Arial" w:hAnsi="Arial"/>
          <w:sz w:val="16"/>
          <w:szCs w:val="16"/>
          <w:u w:val="single" w:color="auto"/>
          <w:color w:val="0000FF"/>
        </w:rPr>
      </w:pPr>
      <w:hyperlink r:id="rId63">
        <w:r>
          <w:rPr>
            <w:rFonts w:ascii="Arial" w:cs="Arial" w:eastAsia="Arial" w:hAnsi="Arial"/>
            <w:sz w:val="16"/>
            <w:szCs w:val="16"/>
            <w:u w:val="single" w:color="auto"/>
            <w:color w:val="0000FF"/>
          </w:rPr>
          <w:t>4.33</w:t>
        </w:r>
      </w:hyperlink>
    </w:p>
    <w:p>
      <w:pPr>
        <w:spacing w:after="0" w:line="20" w:lineRule="exact"/>
        <w:rPr>
          <w:sz w:val="20"/>
          <w:szCs w:val="20"/>
          <w:color w:val="auto"/>
        </w:rPr>
      </w:pPr>
      <w:r>
        <w:rPr>
          <w:sz w:val="20"/>
          <w:szCs w:val="20"/>
          <w:color w:val="auto"/>
        </w:rPr>
        <w:br w:type="column"/>
      </w:r>
    </w:p>
    <w:p>
      <w:pPr>
        <w:ind w:left="18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Amendment No. 1 to Amended and Restated Backup Servicing Agreement, dated as of July 18, 2014, among the Company, CAC Warehouse Funding Corporation II, Wells Fargo Securities, LLC, and Wells Fargo Bank, National Association (incorporated by reference to Exhibit 4.126 to the Company’s Current Report on Form 8-K filed July 23,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4445</wp:posOffset>
            </wp:positionV>
            <wp:extent cx="7246620" cy="4457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4">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jc w:val="both"/>
        <w:ind w:right="20"/>
        <w:spacing w:after="0" w:line="264" w:lineRule="auto"/>
        <w:rPr>
          <w:sz w:val="20"/>
          <w:szCs w:val="20"/>
          <w:color w:val="auto"/>
        </w:rPr>
      </w:pPr>
      <w:r>
        <w:rPr>
          <w:rFonts w:ascii="Arial" w:cs="Arial" w:eastAsia="Arial" w:hAnsi="Arial"/>
          <w:sz w:val="18"/>
          <w:szCs w:val="18"/>
          <w:color w:val="auto"/>
        </w:rPr>
        <w:t>Loan and Security Agreement, dated as of September 15, 2014, among the Company, CAC Warehouse Funding LLC V, Fifth Third Bank and Systems &amp; Services Technologies, Inc. (incorporated by reference to Exhibit 4.127 to the Company’s Current Report on Form 8-K filed September 18, 2014).</w:t>
      </w:r>
    </w:p>
    <w:p>
      <w:pPr>
        <w:spacing w:after="0" w:line="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Backup Servicing Agreement, dated as of September 15, 2014, among the Company, CAC Warehouse Funding LLC V, Fifth Third Bank and Systems &amp; Services Technologies, Inc. (incorporated by reference to Exhibit 4.128 to the Company’s Current Report on Form 8-K filed September 18,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4445</wp:posOffset>
            </wp:positionV>
            <wp:extent cx="7246620" cy="3086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5">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jc w:val="both"/>
        <w:ind w:right="20"/>
        <w:spacing w:after="0" w:line="277" w:lineRule="auto"/>
        <w:rPr>
          <w:sz w:val="20"/>
          <w:szCs w:val="20"/>
          <w:color w:val="auto"/>
        </w:rPr>
      </w:pPr>
      <w:r>
        <w:rPr>
          <w:rFonts w:ascii="Arial" w:cs="Arial" w:eastAsia="Arial" w:hAnsi="Arial"/>
          <w:sz w:val="18"/>
          <w:szCs w:val="18"/>
          <w:color w:val="auto"/>
        </w:rPr>
        <w:t>Contribution Agreement, dated as of September 15, 2014, between the Company and CAC Warehouse Funding LLC V (incorporated by reference to Exhibit 4.129 to the Company’s Current Report on Form 8-K filed September 18, 2014).</w:t>
      </w:r>
    </w:p>
    <w:p>
      <w:pPr>
        <w:spacing w:after="0" w:line="8" w:lineRule="exact"/>
        <w:rPr>
          <w:sz w:val="20"/>
          <w:szCs w:val="20"/>
          <w:color w:val="auto"/>
        </w:rPr>
      </w:pPr>
    </w:p>
    <w:p>
      <w:pPr>
        <w:jc w:val="both"/>
        <w:ind w:right="20"/>
        <w:spacing w:after="0" w:line="298" w:lineRule="auto"/>
        <w:rPr>
          <w:sz w:val="20"/>
          <w:szCs w:val="20"/>
          <w:color w:val="auto"/>
        </w:rPr>
      </w:pPr>
      <w:r>
        <w:rPr>
          <w:rFonts w:ascii="Arial" w:cs="Arial" w:eastAsia="Arial" w:hAnsi="Arial"/>
          <w:sz w:val="17"/>
          <w:szCs w:val="17"/>
          <w:color w:val="auto"/>
        </w:rPr>
        <w:t>Indenture dated as of January 29, 2015, between Credit Acceptance Auto Loan Trust 2015-1 and Wells Fargo Bank, National Association (incorporated by reference to Exhibit 4.58 to the Company’s Current Report on Form 8-K filed February 3,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-6985</wp:posOffset>
            </wp:positionV>
            <wp:extent cx="7246620" cy="4457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6">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jc w:val="both"/>
        <w:ind w:right="20"/>
        <w:spacing w:after="0" w:line="264" w:lineRule="auto"/>
        <w:rPr>
          <w:sz w:val="20"/>
          <w:szCs w:val="20"/>
          <w:color w:val="auto"/>
        </w:rPr>
      </w:pPr>
      <w:r>
        <w:rPr>
          <w:rFonts w:ascii="Arial" w:cs="Arial" w:eastAsia="Arial" w:hAnsi="Arial"/>
          <w:sz w:val="18"/>
          <w:szCs w:val="18"/>
          <w:color w:val="auto"/>
        </w:rPr>
        <w:t>Sale and Servicing Agreement, dated as of January 29, 2015, among the Company, Credit Acceptance Auto Loan Trust 2015-1, Credit Acceptance Funding LLC 2015-1, and Wells Fargo Bank, National Association (incorporated by reference to Exhibit 4.59 to the Company’s Current Report on Form 8-K filed February 3, 2015).</w:t>
      </w:r>
    </w:p>
    <w:p>
      <w:pPr>
        <w:spacing w:after="0" w:line="1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Backup Servicing Agreement, dated as of January 29, 2015, among the Company, Credit Acceptance Funding LLC 2015-1, Credit Acceptance Auto Loan Trust 2015-1, and Wells Fargo Bank, National Association (incorporated by reference to Exhibit 4.60 to the Company’s Current Report on Form 8-K filed February 3,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4445</wp:posOffset>
            </wp:positionV>
            <wp:extent cx="7246620" cy="4457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7">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jc w:val="both"/>
        <w:ind w:right="20"/>
        <w:spacing w:after="0" w:line="264" w:lineRule="auto"/>
        <w:rPr>
          <w:sz w:val="20"/>
          <w:szCs w:val="20"/>
          <w:color w:val="auto"/>
        </w:rPr>
      </w:pPr>
      <w:r>
        <w:rPr>
          <w:rFonts w:ascii="Arial" w:cs="Arial" w:eastAsia="Arial" w:hAnsi="Arial"/>
          <w:sz w:val="18"/>
          <w:szCs w:val="18"/>
          <w:color w:val="auto"/>
        </w:rPr>
        <w:t>Amended and Restated Trust Agreement dated as of January 29, 2015 between Credit Acceptance Funding LLC 2015-1, each of the members of the Board of Trustees of the Trust and U.S. Bank Trust National Association (incorporated by reference to Exhibit 4.61 to the Company’s Current Report on Form 8-K filed February 3, 2015).</w:t>
      </w:r>
    </w:p>
    <w:p>
      <w:pPr>
        <w:spacing w:after="0" w:line="19" w:lineRule="exact"/>
        <w:rPr>
          <w:sz w:val="20"/>
          <w:szCs w:val="20"/>
          <w:color w:val="auto"/>
        </w:rPr>
      </w:pPr>
    </w:p>
    <w:p>
      <w:pPr>
        <w:jc w:val="both"/>
        <w:ind w:right="20"/>
        <w:spacing w:after="0" w:line="298" w:lineRule="auto"/>
        <w:rPr>
          <w:sz w:val="20"/>
          <w:szCs w:val="20"/>
          <w:color w:val="auto"/>
        </w:rPr>
      </w:pPr>
      <w:r>
        <w:rPr>
          <w:rFonts w:ascii="Arial" w:cs="Arial" w:eastAsia="Arial" w:hAnsi="Arial"/>
          <w:sz w:val="17"/>
          <w:szCs w:val="17"/>
          <w:color w:val="auto"/>
        </w:rPr>
        <w:t>Sale and Contribution Agreement, dated as of January 29, 2015, between the Company and Credit Acceptance Funding LLC 2015-1 (incorporated by reference to Exhibit 4.62 to the Company’s Current Report on Form 8-K filed February 3,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-6985</wp:posOffset>
            </wp:positionV>
            <wp:extent cx="7246620" cy="3086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8">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jc w:val="both"/>
        <w:ind w:right="20"/>
        <w:spacing w:after="0" w:line="298" w:lineRule="auto"/>
        <w:rPr>
          <w:sz w:val="20"/>
          <w:szCs w:val="20"/>
          <w:color w:val="auto"/>
        </w:rPr>
      </w:pPr>
      <w:r>
        <w:rPr>
          <w:rFonts w:ascii="Arial" w:cs="Arial" w:eastAsia="Arial" w:hAnsi="Arial"/>
          <w:sz w:val="17"/>
          <w:szCs w:val="17"/>
          <w:color w:val="auto"/>
        </w:rPr>
        <w:t>Indenture dated as of March 30, 2015, among the Company, the Guarantors named therein and U.S. Bank National Association, as trustee (incorporated by reference to Exhibit 4.1 to the Company’s Current Report on Form 8-K filed March 31, 2015).</w:t>
      </w:r>
    </w:p>
    <w:p>
      <w:pPr>
        <w:spacing w:after="0" w:line="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Third Amendment to Loan and Security Agreement, dated as of May 13, 2015, among the Company, CAC Warehouse Funding LLC IV, Bank of Montreal, BMO Capital Markets Corp., and Wells Fargo Bank, National Association (incorporated by reference to Exhibit 4.71 to the Company's Current Report on Form 8-K filed May 15,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4445</wp:posOffset>
            </wp:positionV>
            <wp:extent cx="7246620" cy="4457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9">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jc w:val="both"/>
        <w:spacing w:after="0" w:line="264" w:lineRule="auto"/>
        <w:rPr>
          <w:sz w:val="20"/>
          <w:szCs w:val="20"/>
          <w:color w:val="auto"/>
        </w:rPr>
      </w:pPr>
      <w:r>
        <w:rPr>
          <w:rFonts w:ascii="Arial" w:cs="Arial" w:eastAsia="Arial" w:hAnsi="Arial"/>
          <w:sz w:val="18"/>
          <w:szCs w:val="18"/>
          <w:color w:val="auto"/>
        </w:rPr>
        <w:t>First Amendment to Backup Servicing Agreement, dated as of May 13, 2015, among the Company, CAC Warehouse Funding LLC IV, Bank of Montreal, BMO Capital Markets Corp., and Wells Fargo Bank, National Association (incorporated by reference to Exhibit 4.72 to the Company's Current Report on Form 8-K filed May 15, 2015).</w:t>
      </w:r>
    </w:p>
    <w:p>
      <w:pPr>
        <w:spacing w:after="0" w:line="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First Amendment to the Sixth Amended and Restated Credit Agreement, dated as of June 11, 2015, among the Company, the Banks which are parties thereto from time to time, and Comerica Bank (incorporated by reference to Exhibit 4.74 to the Company’s Current Report on Form 8-K filed June 16,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4445</wp:posOffset>
            </wp:positionV>
            <wp:extent cx="7246620" cy="4457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0">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jc w:val="both"/>
        <w:ind w:right="20"/>
        <w:spacing w:after="0" w:line="264" w:lineRule="auto"/>
        <w:rPr>
          <w:sz w:val="20"/>
          <w:szCs w:val="20"/>
          <w:color w:val="auto"/>
        </w:rPr>
      </w:pPr>
      <w:r>
        <w:rPr>
          <w:rFonts w:ascii="Arial" w:cs="Arial" w:eastAsia="Arial" w:hAnsi="Arial"/>
          <w:sz w:val="18"/>
          <w:szCs w:val="18"/>
          <w:color w:val="auto"/>
        </w:rPr>
        <w:t>First Amendment to Loan and Security Agreement, dated as of June 11, 2015, among the Company, CAC Warehouse Funding LLC V, Fifth Third Bank, and Systems &amp; Services Technologies, Inc. (incorporated by reference to Exhibit 4.75 to the Company’s Current Report on Form 8-K filed June 16, 2015).</w:t>
      </w:r>
    </w:p>
    <w:p>
      <w:pPr>
        <w:spacing w:after="0" w:line="19" w:lineRule="exact"/>
        <w:rPr>
          <w:sz w:val="20"/>
          <w:szCs w:val="20"/>
          <w:color w:val="auto"/>
        </w:rPr>
      </w:pPr>
    </w:p>
    <w:p>
      <w:pPr>
        <w:jc w:val="both"/>
        <w:ind w:right="20"/>
        <w:spacing w:after="0" w:line="298" w:lineRule="auto"/>
        <w:rPr>
          <w:sz w:val="20"/>
          <w:szCs w:val="20"/>
          <w:color w:val="auto"/>
        </w:rPr>
      </w:pPr>
      <w:r>
        <w:rPr>
          <w:rFonts w:ascii="Arial" w:cs="Arial" w:eastAsia="Arial" w:hAnsi="Arial"/>
          <w:sz w:val="17"/>
          <w:szCs w:val="17"/>
          <w:color w:val="auto"/>
        </w:rPr>
        <w:t>Indenture dated as of August 20, 2015, between Credit Acceptance Auto Loan Trust 2015-2 and Wells Fargo Bank, National Association (incorporated by reference to Exhibit 4.76 to the Company’s Current Report on Form 8-K filed August 25,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-6985</wp:posOffset>
            </wp:positionV>
            <wp:extent cx="7246620" cy="4457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71">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jc w:val="both"/>
        <w:ind w:right="20"/>
        <w:spacing w:after="0" w:line="264" w:lineRule="auto"/>
        <w:rPr>
          <w:sz w:val="20"/>
          <w:szCs w:val="20"/>
          <w:color w:val="auto"/>
        </w:rPr>
      </w:pPr>
      <w:r>
        <w:rPr>
          <w:rFonts w:ascii="Arial" w:cs="Arial" w:eastAsia="Arial" w:hAnsi="Arial"/>
          <w:sz w:val="18"/>
          <w:szCs w:val="18"/>
          <w:color w:val="auto"/>
        </w:rPr>
        <w:t>Sale and Servicing Agreement, dated as of August 20, 2015, among the Company, Credit Acceptance Auto Loan Trust 2015-2, Credit Acceptance Funding LLC 2015-2, and Wells Fargo Bank, National Association (incorporated by reference to Exhibit 4.77 to the Company’s Current Report on Form 8-K filed August 25, 2015).</w:t>
      </w:r>
    </w:p>
    <w:p>
      <w:pPr>
        <w:spacing w:after="0" w:line="1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Backup Servicing Agreement, dated as of August 20, 2015, among the Company, Credit Acceptance Funding LLC 2015-2, Credit Acceptance Auto Loan Trust 2015-2, and Wells Fargo Bank, National Association (incorporated by reference to Exhibit 4.78 to the Company’s Current Report on Form 8-K filed August 25,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4445</wp:posOffset>
            </wp:positionV>
            <wp:extent cx="7246620" cy="4457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2">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jc w:val="both"/>
        <w:ind w:right="20"/>
        <w:spacing w:after="0" w:line="264" w:lineRule="auto"/>
        <w:rPr>
          <w:sz w:val="20"/>
          <w:szCs w:val="20"/>
          <w:color w:val="auto"/>
        </w:rPr>
      </w:pPr>
      <w:r>
        <w:rPr>
          <w:rFonts w:ascii="Arial" w:cs="Arial" w:eastAsia="Arial" w:hAnsi="Arial"/>
          <w:sz w:val="18"/>
          <w:szCs w:val="18"/>
          <w:color w:val="auto"/>
        </w:rPr>
        <w:t>Amended and Restated Trust Agreement dated as of August 20, 2015 between Credit Acceptance Funding LLC 2015-2, each of the members of the Board of Trustees of the Trust and U.S. Bank Trust National Association (incorporated by reference to Exhibit 4.79 to the Company’s Current Report on Form 8-K filed August 25, 2015).</w:t>
      </w:r>
    </w:p>
    <w:p>
      <w:pPr>
        <w:spacing w:after="0" w:line="235"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94</w:t>
      </w:r>
    </w:p>
    <w:p>
      <w:pPr>
        <w:sectPr>
          <w:pgSz w:w="11900" w:h="16838" w:orient="portrait"/>
          <w:cols w:equalWidth="0" w:num="2">
            <w:col w:w="320" w:space="720"/>
            <w:col w:w="9880"/>
          </w:cols>
          <w:pgMar w:left="720" w:top="337" w:right="259" w:bottom="1440" w:gutter="0" w:footer="0" w:header="0"/>
        </w:sectPr>
      </w:pPr>
    </w:p>
    <w:bookmarkStart w:id="94" w:name="page95"/>
    <w:bookmarkEnd w:id="9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80"/>
        <w:spacing w:after="0"/>
        <w:rPr>
          <w:rFonts w:ascii="Arial" w:cs="Arial" w:eastAsia="Arial" w:hAnsi="Arial"/>
          <w:sz w:val="16"/>
          <w:szCs w:val="16"/>
          <w:u w:val="single" w:color="auto"/>
          <w:color w:val="0000FF"/>
        </w:rPr>
      </w:pPr>
      <w:hyperlink r:id="rId73">
        <w:r>
          <w:rPr>
            <w:rFonts w:ascii="Arial" w:cs="Arial" w:eastAsia="Arial" w:hAnsi="Arial"/>
            <w:sz w:val="16"/>
            <w:szCs w:val="16"/>
            <w:u w:val="single" w:color="auto"/>
            <w:color w:val="0000FF"/>
          </w:rPr>
          <w:t>4.34</w:t>
        </w:r>
      </w:hyperlink>
    </w:p>
    <w:p>
      <w:pPr>
        <w:spacing w:after="0" w:line="302" w:lineRule="exact"/>
        <w:rPr>
          <w:sz w:val="20"/>
          <w:szCs w:val="20"/>
          <w:color w:val="auto"/>
        </w:rPr>
      </w:pPr>
    </w:p>
    <w:p>
      <w:pPr>
        <w:ind w:left="480"/>
        <w:spacing w:after="0"/>
        <w:rPr>
          <w:rFonts w:ascii="Arial" w:cs="Arial" w:eastAsia="Arial" w:hAnsi="Arial"/>
          <w:sz w:val="16"/>
          <w:szCs w:val="16"/>
          <w:u w:val="single" w:color="auto"/>
          <w:color w:val="0000FF"/>
        </w:rPr>
      </w:pPr>
      <w:hyperlink r:id="rId74">
        <w:r>
          <w:rPr>
            <w:rFonts w:ascii="Arial" w:cs="Arial" w:eastAsia="Arial" w:hAnsi="Arial"/>
            <w:sz w:val="16"/>
            <w:szCs w:val="16"/>
            <w:u w:val="single" w:color="auto"/>
            <w:color w:val="0000FF"/>
          </w:rPr>
          <w:t>4.35</w:t>
        </w:r>
      </w:hyperlink>
    </w:p>
    <w:p>
      <w:pPr>
        <w:spacing w:after="0" w:line="302" w:lineRule="exact"/>
        <w:rPr>
          <w:sz w:val="20"/>
          <w:szCs w:val="20"/>
          <w:color w:val="auto"/>
        </w:rPr>
      </w:pPr>
    </w:p>
    <w:p>
      <w:pPr>
        <w:ind w:left="480"/>
        <w:spacing w:after="0"/>
        <w:rPr>
          <w:rFonts w:ascii="Arial" w:cs="Arial" w:eastAsia="Arial" w:hAnsi="Arial"/>
          <w:sz w:val="16"/>
          <w:szCs w:val="16"/>
          <w:u w:val="single" w:color="auto"/>
          <w:color w:val="0000FF"/>
        </w:rPr>
      </w:pPr>
      <w:hyperlink r:id="rId75">
        <w:r>
          <w:rPr>
            <w:rFonts w:ascii="Arial" w:cs="Arial" w:eastAsia="Arial" w:hAnsi="Arial"/>
            <w:sz w:val="16"/>
            <w:szCs w:val="16"/>
            <w:u w:val="single" w:color="auto"/>
            <w:color w:val="0000FF"/>
          </w:rPr>
          <w:t>4.36</w:t>
        </w:r>
      </w:hyperlink>
    </w:p>
    <w:p>
      <w:pPr>
        <w:spacing w:after="0" w:line="20" w:lineRule="exact"/>
        <w:rPr>
          <w:sz w:val="20"/>
          <w:szCs w:val="20"/>
          <w:color w:val="auto"/>
        </w:rPr>
      </w:pPr>
      <w:r>
        <w:rPr>
          <w:sz w:val="20"/>
          <w:szCs w:val="20"/>
          <w:color w:val="auto"/>
        </w:rPr>
        <w:br w:type="column"/>
      </w:r>
    </w:p>
    <w:p>
      <w:pPr>
        <w:ind w:left="18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40"/>
        <w:spacing w:after="0" w:line="298" w:lineRule="auto"/>
        <w:rPr>
          <w:sz w:val="20"/>
          <w:szCs w:val="20"/>
          <w:color w:val="auto"/>
        </w:rPr>
      </w:pPr>
      <w:r>
        <w:rPr>
          <w:rFonts w:ascii="Arial" w:cs="Arial" w:eastAsia="Arial" w:hAnsi="Arial"/>
          <w:sz w:val="17"/>
          <w:szCs w:val="17"/>
          <w:color w:val="auto"/>
        </w:rPr>
        <w:t>Sale and Contribution Agreement, dated as of August 20, 2015, between the Company and Credit Acceptance Funding LLC 2015-2 (incorporated by reference to Exhibit 4.80 to the Company’s Current Report on Form 8-K filed August 25,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-6985</wp:posOffset>
            </wp:positionV>
            <wp:extent cx="7246620" cy="3086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6">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right="40"/>
        <w:spacing w:after="0" w:line="317" w:lineRule="auto"/>
        <w:rPr>
          <w:sz w:val="20"/>
          <w:szCs w:val="20"/>
          <w:color w:val="auto"/>
        </w:rPr>
      </w:pPr>
      <w:r>
        <w:rPr>
          <w:rFonts w:ascii="Arial" w:cs="Arial" w:eastAsia="Arial" w:hAnsi="Arial"/>
          <w:sz w:val="16"/>
          <w:szCs w:val="16"/>
          <w:color w:val="auto"/>
        </w:rPr>
        <w:t>Loan and Security Agreement dated as of September 30, 2015, among the Company, CAC Warehouse Funding LLC VI, and Flagstar Bank, FSB (incorporated by reference to Exhibit 4.82 to the Company’s Current Report on Form 8-K filed October 5, 2015).</w:t>
      </w:r>
    </w:p>
    <w:p>
      <w:pPr>
        <w:ind w:right="40"/>
        <w:spacing w:after="0" w:line="277" w:lineRule="auto"/>
        <w:rPr>
          <w:sz w:val="20"/>
          <w:szCs w:val="20"/>
          <w:color w:val="auto"/>
        </w:rPr>
      </w:pPr>
      <w:r>
        <w:rPr>
          <w:rFonts w:ascii="Arial" w:cs="Arial" w:eastAsia="Arial" w:hAnsi="Arial"/>
          <w:sz w:val="18"/>
          <w:szCs w:val="18"/>
          <w:color w:val="auto"/>
        </w:rPr>
        <w:t>Contribution Agreement, dated as of September 30, 2015, between the Company and CAC Warehouse Funding LLC VI (incorporated by reference to Exhibit 4.83 to the Company’s Current Report on Form 8-K filed October 5,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-1905</wp:posOffset>
            </wp:positionV>
            <wp:extent cx="7246620" cy="4457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7">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8" w:lineRule="exact"/>
        <w:rPr>
          <w:sz w:val="20"/>
          <w:szCs w:val="20"/>
          <w:color w:val="auto"/>
        </w:rPr>
      </w:pPr>
    </w:p>
    <w:p>
      <w:pPr>
        <w:sectPr>
          <w:pgSz w:w="11900" w:h="16838" w:orient="portrait"/>
          <w:cols w:equalWidth="0" w:num="2">
            <w:col w:w="800" w:space="720"/>
            <w:col w:w="9900"/>
          </w:cols>
          <w:pgMar w:left="240" w:top="337" w:right="239" w:bottom="1440" w:gutter="0" w:footer="0" w:header="0"/>
        </w:sectPr>
      </w:pPr>
    </w:p>
    <w:p>
      <w:pPr>
        <w:ind w:left="1520"/>
        <w:spacing w:after="0"/>
        <w:rPr>
          <w:sz w:val="20"/>
          <w:szCs w:val="20"/>
          <w:color w:val="auto"/>
        </w:rPr>
      </w:pPr>
      <w:r>
        <w:rPr>
          <w:rFonts w:ascii="Arial" w:cs="Arial" w:eastAsia="Arial" w:hAnsi="Arial"/>
          <w:sz w:val="17"/>
          <w:szCs w:val="17"/>
          <w:color w:val="auto"/>
        </w:rPr>
        <w:t>Loan and Security Agreement dated as of February 26, 2016, among the Company, Credit Acceptance Funding LLC 2016-1, Wells</w:t>
      </w:r>
    </w:p>
    <w:p>
      <w:pPr>
        <w:spacing w:after="0" w:line="35" w:lineRule="exact"/>
        <w:rPr>
          <w:sz w:val="20"/>
          <w:szCs w:val="20"/>
          <w:color w:val="auto"/>
        </w:rPr>
      </w:pPr>
    </w:p>
    <w:p>
      <w:pPr>
        <w:ind w:left="1520" w:right="40" w:hanging="1041"/>
        <w:spacing w:after="0" w:line="261" w:lineRule="auto"/>
        <w:tabs>
          <w:tab w:leader="none" w:pos="1500" w:val="left"/>
        </w:tabs>
        <w:rPr>
          <w:rFonts w:ascii="Arial" w:cs="Arial" w:eastAsia="Arial" w:hAnsi="Arial"/>
          <w:sz w:val="18"/>
          <w:szCs w:val="18"/>
          <w:color w:val="0000FF"/>
        </w:rPr>
      </w:pPr>
      <w:hyperlink r:id="rId78">
        <w:r>
          <w:rPr>
            <w:rFonts w:ascii="Arial" w:cs="Arial" w:eastAsia="Arial" w:hAnsi="Arial"/>
            <w:sz w:val="18"/>
            <w:szCs w:val="18"/>
            <w:u w:val="single" w:color="auto"/>
            <w:color w:val="0000FF"/>
          </w:rPr>
          <w:t>4.37</w:t>
        </w:r>
      </w:hyperlink>
      <w:r>
        <w:rPr>
          <w:rFonts w:ascii="Arial" w:cs="Arial" w:eastAsia="Arial" w:hAnsi="Arial"/>
          <w:sz w:val="18"/>
          <w:szCs w:val="18"/>
          <w:color w:val="0000FF"/>
        </w:rPr>
        <w:tab/>
        <w:t>Fargo Bank, National Association and Bank of Montreal (incorporated by reference to Exhibit 4.66 to the Company’s Current Report on Form 8-K filed March 3, 2016).</w:t>
      </w:r>
    </w:p>
    <w:p>
      <w:pPr>
        <w:spacing w:after="0" w:line="22"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Backup Servicing Agreement, dated as of February 26, 2016, among the Company, Credit Acceptance Funding LLC 2016-1, and Wells</w:t>
      </w:r>
    </w:p>
    <w:p>
      <w:pPr>
        <w:spacing w:after="0" w:line="46" w:lineRule="exact"/>
        <w:rPr>
          <w:sz w:val="20"/>
          <w:szCs w:val="20"/>
          <w:color w:val="auto"/>
        </w:rPr>
      </w:pPr>
    </w:p>
    <w:p>
      <w:pPr>
        <w:ind w:left="480"/>
        <w:spacing w:after="0"/>
        <w:tabs>
          <w:tab w:leader="none" w:pos="1500" w:val="left"/>
        </w:tabs>
        <w:rPr>
          <w:rFonts w:ascii="Arial" w:cs="Arial" w:eastAsia="Arial" w:hAnsi="Arial"/>
          <w:sz w:val="18"/>
          <w:szCs w:val="18"/>
          <w:color w:val="0000FF"/>
        </w:rPr>
      </w:pPr>
      <w:hyperlink r:id="rId79">
        <w:r>
          <w:rPr>
            <w:rFonts w:ascii="Arial" w:cs="Arial" w:eastAsia="Arial" w:hAnsi="Arial"/>
            <w:sz w:val="18"/>
            <w:szCs w:val="18"/>
            <w:u w:val="single" w:color="auto"/>
            <w:color w:val="0000FF"/>
          </w:rPr>
          <w:t>4.38</w:t>
        </w:r>
      </w:hyperlink>
      <w:r>
        <w:rPr>
          <w:rFonts w:ascii="Arial" w:cs="Arial" w:eastAsia="Arial" w:hAnsi="Arial"/>
          <w:sz w:val="18"/>
          <w:szCs w:val="18"/>
          <w:color w:val="0000FF"/>
        </w:rPr>
        <w:tab/>
      </w:r>
      <w:r>
        <w:rPr>
          <w:rFonts w:ascii="Arial" w:cs="Arial" w:eastAsia="Arial" w:hAnsi="Arial"/>
          <w:sz w:val="16"/>
          <w:szCs w:val="16"/>
          <w:color w:val="0000FF"/>
        </w:rPr>
        <w:t>Fargo Bank, National Association (incorporated by reference to Exhibit 4.67 to the Company’s Current Report on Form 8-K filed March</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3,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3086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80">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p>
      <w:pPr>
        <w:spacing w:after="0" w:line="157" w:lineRule="exact"/>
        <w:rPr>
          <w:sz w:val="20"/>
          <w:szCs w:val="20"/>
          <w:color w:val="auto"/>
        </w:rPr>
      </w:pPr>
    </w:p>
    <w:p>
      <w:pPr>
        <w:ind w:left="480"/>
        <w:spacing w:after="0"/>
        <w:rPr>
          <w:rFonts w:ascii="Arial" w:cs="Arial" w:eastAsia="Arial" w:hAnsi="Arial"/>
          <w:sz w:val="16"/>
          <w:szCs w:val="16"/>
          <w:u w:val="single" w:color="auto"/>
          <w:color w:val="0000FF"/>
        </w:rPr>
      </w:pPr>
      <w:hyperlink r:id="rId81">
        <w:r>
          <w:rPr>
            <w:rFonts w:ascii="Arial" w:cs="Arial" w:eastAsia="Arial" w:hAnsi="Arial"/>
            <w:sz w:val="16"/>
            <w:szCs w:val="16"/>
            <w:u w:val="single" w:color="auto"/>
            <w:color w:val="0000FF"/>
          </w:rPr>
          <w:t>4.39</w:t>
        </w:r>
      </w:hyperlink>
    </w:p>
    <w:p>
      <w:pPr>
        <w:spacing w:after="0" w:line="302" w:lineRule="exact"/>
        <w:rPr>
          <w:sz w:val="20"/>
          <w:szCs w:val="20"/>
          <w:color w:val="auto"/>
        </w:rPr>
      </w:pPr>
    </w:p>
    <w:p>
      <w:pPr>
        <w:ind w:left="480"/>
        <w:spacing w:after="0"/>
        <w:rPr>
          <w:rFonts w:ascii="Arial" w:cs="Arial" w:eastAsia="Arial" w:hAnsi="Arial"/>
          <w:sz w:val="16"/>
          <w:szCs w:val="16"/>
          <w:u w:val="single" w:color="auto"/>
          <w:color w:val="0000FF"/>
        </w:rPr>
      </w:pPr>
      <w:hyperlink r:id="rId82">
        <w:r>
          <w:rPr>
            <w:rFonts w:ascii="Arial" w:cs="Arial" w:eastAsia="Arial" w:hAnsi="Arial"/>
            <w:sz w:val="16"/>
            <w:szCs w:val="16"/>
            <w:u w:val="single" w:color="auto"/>
            <w:color w:val="0000FF"/>
          </w:rPr>
          <w:t>4.40</w:t>
        </w:r>
      </w:hyperlink>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Sale and Contribution Agreement, dated as of February 26, 2016, between the Company and Credit Acceptance Funding LLC 2016-1 (incorporated by reference to Exhibit 4.68 to the Company’s Current Report on Form 8-K filed March 3, 2016).</w:t>
      </w:r>
    </w:p>
    <w:p>
      <w:pPr>
        <w:spacing w:after="0" w:line="8" w:lineRule="exact"/>
        <w:rPr>
          <w:sz w:val="20"/>
          <w:szCs w:val="20"/>
          <w:color w:val="auto"/>
        </w:rPr>
      </w:pPr>
    </w:p>
    <w:p>
      <w:pPr>
        <w:ind w:right="40"/>
        <w:spacing w:after="0" w:line="274" w:lineRule="auto"/>
        <w:rPr>
          <w:sz w:val="20"/>
          <w:szCs w:val="20"/>
          <w:color w:val="auto"/>
        </w:rPr>
      </w:pPr>
      <w:r>
        <w:rPr>
          <w:rFonts w:ascii="Arial" w:cs="Arial" w:eastAsia="Arial" w:hAnsi="Arial"/>
          <w:sz w:val="18"/>
          <w:szCs w:val="18"/>
          <w:color w:val="auto"/>
        </w:rPr>
        <w:t>Indenture dated as of May 12, 2016, between Credit Acceptance Auto Loan Trust 2016-2 and Wells Fargo Bank, National Association (incorporated by reference to Exhibit 4.70 to the Company’s Current Report on Form 8-K filed May 16, 2016).</w:t>
      </w:r>
    </w:p>
    <w:p>
      <w:pPr>
        <w:spacing w:after="0" w:line="1" w:lineRule="exact"/>
        <w:rPr>
          <w:sz w:val="20"/>
          <w:szCs w:val="20"/>
          <w:color w:val="auto"/>
        </w:rPr>
      </w:pPr>
    </w:p>
    <w:p>
      <w:pPr>
        <w:sectPr>
          <w:pgSz w:w="11900" w:h="16838" w:orient="portrait"/>
          <w:cols w:equalWidth="0" w:num="2">
            <w:col w:w="800" w:space="720"/>
            <w:col w:w="9900"/>
          </w:cols>
          <w:pgMar w:left="240" w:top="337" w:right="2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4"/>
              </w:rPr>
              <w:t>Sale and Servicing Agreement, dated as of May 12, 2016, among the Company, Credit Acceptance Auto Loan Trust 2016-2, Credit</w:t>
            </w:r>
          </w:p>
        </w:tc>
        <w:tc>
          <w:tcPr>
            <w:tcW w:w="0" w:type="dxa"/>
            <w:vAlign w:val="bottom"/>
          </w:tcPr>
          <w:p>
            <w:pPr>
              <w:spacing w:after="0"/>
              <w:rPr>
                <w:sz w:val="1"/>
                <w:szCs w:val="1"/>
                <w:color w:val="auto"/>
              </w:rPr>
            </w:pPr>
          </w:p>
        </w:tc>
      </w:tr>
      <w:tr>
        <w:trPr>
          <w:trHeight w:val="190"/>
        </w:trPr>
        <w:tc>
          <w:tcPr>
            <w:tcW w:w="1160" w:type="dxa"/>
            <w:vAlign w:val="bottom"/>
            <w:gridSpan w:val="3"/>
            <w:shd w:val="clear" w:color="auto" w:fill="CCEEFF"/>
          </w:tcPr>
          <w:p>
            <w:pPr>
              <w:jc w:val="right"/>
              <w:ind w:right="360"/>
              <w:spacing w:after="0" w:line="190" w:lineRule="exact"/>
              <w:rPr>
                <w:rFonts w:ascii="Arial" w:cs="Arial" w:eastAsia="Arial" w:hAnsi="Arial"/>
                <w:sz w:val="18"/>
                <w:szCs w:val="18"/>
                <w:color w:val="0000FF"/>
              </w:rPr>
            </w:pPr>
            <w:hyperlink r:id="rId83">
              <w:r>
                <w:rPr>
                  <w:rFonts w:ascii="Arial" w:cs="Arial" w:eastAsia="Arial" w:hAnsi="Arial"/>
                  <w:sz w:val="18"/>
                  <w:szCs w:val="18"/>
                  <w:color w:val="0000FF"/>
                </w:rPr>
                <w:t>4.</w:t>
              </w:r>
              <w:r>
                <w:rPr>
                  <w:rFonts w:ascii="Arial" w:cs="Arial" w:eastAsia="Arial" w:hAnsi="Arial"/>
                  <w:sz w:val="18"/>
                  <w:szCs w:val="18"/>
                  <w:u w:val="single" w:color="auto"/>
                  <w:color w:val="0000FF"/>
                </w:rPr>
                <w:t>41</w:t>
              </w:r>
            </w:hyperlink>
          </w:p>
        </w:tc>
        <w:tc>
          <w:tcPr>
            <w:tcW w:w="10260" w:type="dxa"/>
            <w:vAlign w:val="bottom"/>
            <w:shd w:val="clear" w:color="auto" w:fill="CCEEFF"/>
          </w:tcPr>
          <w:p>
            <w:pPr>
              <w:ind w:left="360"/>
              <w:spacing w:after="0" w:line="190" w:lineRule="exact"/>
              <w:rPr>
                <w:sz w:val="20"/>
                <w:szCs w:val="20"/>
                <w:color w:val="auto"/>
              </w:rPr>
            </w:pPr>
            <w:r>
              <w:rPr>
                <w:rFonts w:ascii="Arial" w:cs="Arial" w:eastAsia="Arial" w:hAnsi="Arial"/>
                <w:sz w:val="18"/>
                <w:szCs w:val="18"/>
                <w:color w:val="auto"/>
                <w:w w:val="97"/>
              </w:rPr>
              <w:t>Acceptance Funding LLC 2016-2, and Wells Fargo Bank, National Association (incorporated by reference to Exhibit 4.71 to the</w:t>
            </w:r>
          </w:p>
        </w:tc>
        <w:tc>
          <w:tcPr>
            <w:tcW w:w="0" w:type="dxa"/>
            <w:vAlign w:val="bottom"/>
          </w:tcPr>
          <w:p>
            <w:pPr>
              <w:spacing w:after="0"/>
              <w:rPr>
                <w:sz w:val="1"/>
                <w:szCs w:val="1"/>
                <w:color w:val="auto"/>
              </w:rPr>
            </w:pPr>
          </w:p>
        </w:tc>
      </w:tr>
      <w:tr>
        <w:trPr>
          <w:trHeight w:val="244"/>
        </w:trPr>
        <w:tc>
          <w:tcPr>
            <w:tcW w:w="4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0000FF"/>
              <w:bottom w:val="single" w:sz="8" w:color="CCEEFF"/>
            </w:tcBorders>
            <w:shd w:val="clear" w:color="auto" w:fill="CCEEFF"/>
          </w:tcPr>
          <w:p>
            <w:pPr>
              <w:spacing w:after="0"/>
              <w:rPr>
                <w:sz w:val="21"/>
                <w:szCs w:val="21"/>
                <w:color w:val="auto"/>
              </w:rPr>
            </w:pP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102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Company’s Current Report on Form 8-K filed May 16, 2016).</w:t>
            </w: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60" w:type="dxa"/>
            <w:vAlign w:val="bottom"/>
          </w:tcPr>
          <w:p>
            <w:pPr>
              <w:ind w:left="360"/>
              <w:spacing w:after="0"/>
              <w:rPr>
                <w:sz w:val="20"/>
                <w:szCs w:val="20"/>
                <w:color w:val="auto"/>
              </w:rPr>
            </w:pPr>
            <w:r>
              <w:rPr>
                <w:rFonts w:ascii="Arial" w:cs="Arial" w:eastAsia="Arial" w:hAnsi="Arial"/>
                <w:sz w:val="18"/>
                <w:szCs w:val="18"/>
                <w:color w:val="auto"/>
                <w:w w:val="98"/>
              </w:rPr>
              <w:t>Backup Servicing Agreement, dated as of May 12, 2016, among the Company, Credit Acceptance Funding LLC 2016-2, Credit</w:t>
            </w:r>
          </w:p>
        </w:tc>
        <w:tc>
          <w:tcPr>
            <w:tcW w:w="0" w:type="dxa"/>
            <w:vAlign w:val="bottom"/>
          </w:tcPr>
          <w:p>
            <w:pPr>
              <w:spacing w:after="0"/>
              <w:rPr>
                <w:sz w:val="1"/>
                <w:szCs w:val="1"/>
                <w:color w:val="auto"/>
              </w:rPr>
            </w:pPr>
          </w:p>
        </w:tc>
      </w:tr>
      <w:tr>
        <w:trPr>
          <w:trHeight w:val="190"/>
        </w:trPr>
        <w:tc>
          <w:tcPr>
            <w:tcW w:w="1160" w:type="dxa"/>
            <w:vAlign w:val="bottom"/>
            <w:gridSpan w:val="3"/>
          </w:tcPr>
          <w:p>
            <w:pPr>
              <w:jc w:val="right"/>
              <w:ind w:right="360"/>
              <w:spacing w:after="0" w:line="190" w:lineRule="exact"/>
              <w:rPr>
                <w:rFonts w:ascii="Arial" w:cs="Arial" w:eastAsia="Arial" w:hAnsi="Arial"/>
                <w:sz w:val="18"/>
                <w:szCs w:val="18"/>
                <w:color w:val="0000FF"/>
              </w:rPr>
            </w:pPr>
            <w:hyperlink r:id="rId84">
              <w:r>
                <w:rPr>
                  <w:rFonts w:ascii="Arial" w:cs="Arial" w:eastAsia="Arial" w:hAnsi="Arial"/>
                  <w:sz w:val="18"/>
                  <w:szCs w:val="18"/>
                  <w:color w:val="0000FF"/>
                </w:rPr>
                <w:t>4.</w:t>
              </w:r>
              <w:r>
                <w:rPr>
                  <w:rFonts w:ascii="Arial" w:cs="Arial" w:eastAsia="Arial" w:hAnsi="Arial"/>
                  <w:sz w:val="18"/>
                  <w:szCs w:val="18"/>
                  <w:u w:val="single" w:color="auto"/>
                  <w:color w:val="0000FF"/>
                </w:rPr>
                <w:t>42</w:t>
              </w:r>
            </w:hyperlink>
          </w:p>
        </w:tc>
        <w:tc>
          <w:tcPr>
            <w:tcW w:w="10260" w:type="dxa"/>
            <w:vAlign w:val="bottom"/>
          </w:tcPr>
          <w:p>
            <w:pPr>
              <w:ind w:left="360"/>
              <w:spacing w:after="0" w:line="190" w:lineRule="exact"/>
              <w:rPr>
                <w:sz w:val="20"/>
                <w:szCs w:val="20"/>
                <w:color w:val="auto"/>
              </w:rPr>
            </w:pPr>
            <w:r>
              <w:rPr>
                <w:rFonts w:ascii="Arial" w:cs="Arial" w:eastAsia="Arial" w:hAnsi="Arial"/>
                <w:sz w:val="18"/>
                <w:szCs w:val="18"/>
                <w:color w:val="auto"/>
                <w:w w:val="95"/>
              </w:rPr>
              <w:t>Acceptance Auto Loan Trust 2016-2, and Wells Fargo Bank, National Association (incorporated by reference to Exhibit 4.72 to the</w:t>
            </w:r>
          </w:p>
        </w:tc>
        <w:tc>
          <w:tcPr>
            <w:tcW w:w="0" w:type="dxa"/>
            <w:vAlign w:val="bottom"/>
          </w:tcPr>
          <w:p>
            <w:pPr>
              <w:spacing w:after="0"/>
              <w:rPr>
                <w:sz w:val="1"/>
                <w:szCs w:val="1"/>
                <w:color w:val="auto"/>
              </w:rPr>
            </w:pPr>
          </w:p>
        </w:tc>
      </w:tr>
      <w:tr>
        <w:trPr>
          <w:trHeight w:val="237"/>
        </w:trPr>
        <w:tc>
          <w:tcPr>
            <w:tcW w:w="48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360" w:type="dxa"/>
            <w:vAlign w:val="bottom"/>
          </w:tcPr>
          <w:p>
            <w:pPr>
              <w:spacing w:after="0"/>
              <w:rPr>
                <w:sz w:val="20"/>
                <w:szCs w:val="20"/>
                <w:color w:val="auto"/>
              </w:rPr>
            </w:pPr>
          </w:p>
        </w:tc>
        <w:tc>
          <w:tcPr>
            <w:tcW w:w="10260" w:type="dxa"/>
            <w:vAlign w:val="bottom"/>
          </w:tcPr>
          <w:p>
            <w:pPr>
              <w:ind w:left="360"/>
              <w:spacing w:after="0"/>
              <w:rPr>
                <w:sz w:val="20"/>
                <w:szCs w:val="20"/>
                <w:color w:val="auto"/>
              </w:rPr>
            </w:pPr>
            <w:r>
              <w:rPr>
                <w:rFonts w:ascii="Arial" w:cs="Arial" w:eastAsia="Arial" w:hAnsi="Arial"/>
                <w:sz w:val="18"/>
                <w:szCs w:val="18"/>
                <w:color w:val="auto"/>
              </w:rPr>
              <w:t>Company’s Current Report on Form 8-K filed May 16, 2016).</w:t>
            </w: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5"/>
              </w:rPr>
              <w:t>Amended and Restated Trust Agreement dated as of May 12, 2016 between Credit Acceptance Funding LLC 2016-2, each of the</w:t>
            </w:r>
          </w:p>
        </w:tc>
        <w:tc>
          <w:tcPr>
            <w:tcW w:w="0" w:type="dxa"/>
            <w:vAlign w:val="bottom"/>
          </w:tcPr>
          <w:p>
            <w:pPr>
              <w:spacing w:after="0"/>
              <w:rPr>
                <w:sz w:val="1"/>
                <w:szCs w:val="1"/>
                <w:color w:val="auto"/>
              </w:rPr>
            </w:pPr>
          </w:p>
        </w:tc>
      </w:tr>
      <w:tr>
        <w:trPr>
          <w:trHeight w:val="190"/>
        </w:trPr>
        <w:tc>
          <w:tcPr>
            <w:tcW w:w="1160" w:type="dxa"/>
            <w:vAlign w:val="bottom"/>
            <w:gridSpan w:val="3"/>
            <w:shd w:val="clear" w:color="auto" w:fill="CCEEFF"/>
          </w:tcPr>
          <w:p>
            <w:pPr>
              <w:jc w:val="right"/>
              <w:ind w:right="360"/>
              <w:spacing w:after="0" w:line="190" w:lineRule="exact"/>
              <w:rPr>
                <w:rFonts w:ascii="Arial" w:cs="Arial" w:eastAsia="Arial" w:hAnsi="Arial"/>
                <w:sz w:val="18"/>
                <w:szCs w:val="18"/>
                <w:color w:val="0000FF"/>
              </w:rPr>
            </w:pPr>
            <w:hyperlink r:id="rId85">
              <w:r>
                <w:rPr>
                  <w:rFonts w:ascii="Arial" w:cs="Arial" w:eastAsia="Arial" w:hAnsi="Arial"/>
                  <w:sz w:val="18"/>
                  <w:szCs w:val="18"/>
                  <w:color w:val="0000FF"/>
                </w:rPr>
                <w:t>4.</w:t>
              </w:r>
              <w:r>
                <w:rPr>
                  <w:rFonts w:ascii="Arial" w:cs="Arial" w:eastAsia="Arial" w:hAnsi="Arial"/>
                  <w:sz w:val="18"/>
                  <w:szCs w:val="18"/>
                  <w:u w:val="single" w:color="auto"/>
                  <w:color w:val="0000FF"/>
                </w:rPr>
                <w:t>43</w:t>
              </w:r>
            </w:hyperlink>
          </w:p>
        </w:tc>
        <w:tc>
          <w:tcPr>
            <w:tcW w:w="10260" w:type="dxa"/>
            <w:vAlign w:val="bottom"/>
            <w:shd w:val="clear" w:color="auto" w:fill="CCEEFF"/>
          </w:tcPr>
          <w:p>
            <w:pPr>
              <w:ind w:left="360"/>
              <w:spacing w:after="0" w:line="190" w:lineRule="exact"/>
              <w:rPr>
                <w:sz w:val="20"/>
                <w:szCs w:val="20"/>
                <w:color w:val="auto"/>
              </w:rPr>
            </w:pPr>
            <w:r>
              <w:rPr>
                <w:rFonts w:ascii="Arial" w:cs="Arial" w:eastAsia="Arial" w:hAnsi="Arial"/>
                <w:sz w:val="18"/>
                <w:szCs w:val="18"/>
                <w:color w:val="auto"/>
                <w:w w:val="93"/>
              </w:rPr>
              <w:t>members of the Board of Trustees of the Trust and U.S. Bank Trust National Association (incorporated by reference to Exhibit 4.73 to</w:t>
            </w:r>
          </w:p>
        </w:tc>
        <w:tc>
          <w:tcPr>
            <w:tcW w:w="0" w:type="dxa"/>
            <w:vAlign w:val="bottom"/>
          </w:tcPr>
          <w:p>
            <w:pPr>
              <w:spacing w:after="0"/>
              <w:rPr>
                <w:sz w:val="1"/>
                <w:szCs w:val="1"/>
                <w:color w:val="auto"/>
              </w:rPr>
            </w:pPr>
          </w:p>
        </w:tc>
      </w:tr>
      <w:tr>
        <w:trPr>
          <w:trHeight w:val="244"/>
        </w:trPr>
        <w:tc>
          <w:tcPr>
            <w:tcW w:w="4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0000FF"/>
              <w:bottom w:val="single" w:sz="8" w:color="CCEEFF"/>
            </w:tcBorders>
            <w:shd w:val="clear" w:color="auto" w:fill="CCEEFF"/>
          </w:tcPr>
          <w:p>
            <w:pPr>
              <w:spacing w:after="0"/>
              <w:rPr>
                <w:sz w:val="21"/>
                <w:szCs w:val="21"/>
                <w:color w:val="auto"/>
              </w:rPr>
            </w:pP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102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the Company’s Current Report on Form 8-K filed May 16, 2016).</w:t>
            </w:r>
          </w:p>
        </w:tc>
        <w:tc>
          <w:tcPr>
            <w:tcW w:w="0" w:type="dxa"/>
            <w:vAlign w:val="bottom"/>
          </w:tcPr>
          <w:p>
            <w:pPr>
              <w:spacing w:after="0"/>
              <w:rPr>
                <w:sz w:val="1"/>
                <w:szCs w:val="1"/>
                <w:color w:val="auto"/>
              </w:rPr>
            </w:pPr>
          </w:p>
        </w:tc>
      </w:tr>
      <w:tr>
        <w:trPr>
          <w:trHeight w:val="229"/>
        </w:trPr>
        <w:tc>
          <w:tcPr>
            <w:tcW w:w="1160" w:type="dxa"/>
            <w:vAlign w:val="bottom"/>
            <w:gridSpan w:val="3"/>
            <w:vMerge w:val="restart"/>
          </w:tcPr>
          <w:p>
            <w:pPr>
              <w:jc w:val="right"/>
              <w:ind w:right="360"/>
              <w:spacing w:after="0"/>
              <w:rPr>
                <w:rFonts w:ascii="Arial" w:cs="Arial" w:eastAsia="Arial" w:hAnsi="Arial"/>
                <w:sz w:val="18"/>
                <w:szCs w:val="18"/>
                <w:color w:val="0000FF"/>
              </w:rPr>
            </w:pPr>
            <w:hyperlink r:id="rId86">
              <w:r>
                <w:rPr>
                  <w:rFonts w:ascii="Arial" w:cs="Arial" w:eastAsia="Arial" w:hAnsi="Arial"/>
                  <w:sz w:val="18"/>
                  <w:szCs w:val="18"/>
                  <w:color w:val="0000FF"/>
                </w:rPr>
                <w:t>4.</w:t>
              </w:r>
              <w:r>
                <w:rPr>
                  <w:rFonts w:ascii="Arial" w:cs="Arial" w:eastAsia="Arial" w:hAnsi="Arial"/>
                  <w:sz w:val="18"/>
                  <w:szCs w:val="18"/>
                  <w:u w:val="single" w:color="auto"/>
                  <w:color w:val="0000FF"/>
                </w:rPr>
                <w:t>44</w:t>
              </w:r>
            </w:hyperlink>
          </w:p>
        </w:tc>
        <w:tc>
          <w:tcPr>
            <w:tcW w:w="10260" w:type="dxa"/>
            <w:vAlign w:val="bottom"/>
          </w:tcPr>
          <w:p>
            <w:pPr>
              <w:ind w:left="360"/>
              <w:spacing w:after="0"/>
              <w:rPr>
                <w:sz w:val="20"/>
                <w:szCs w:val="20"/>
                <w:color w:val="auto"/>
              </w:rPr>
            </w:pPr>
            <w:r>
              <w:rPr>
                <w:rFonts w:ascii="Arial" w:cs="Arial" w:eastAsia="Arial" w:hAnsi="Arial"/>
                <w:sz w:val="18"/>
                <w:szCs w:val="18"/>
                <w:color w:val="auto"/>
                <w:w w:val="96"/>
              </w:rPr>
              <w:t>Sale and Contribution Agreement, dated as of May 12, 2016, between the Company and Credit Acceptance Funding LLC 2016-2</w:t>
            </w:r>
          </w:p>
        </w:tc>
        <w:tc>
          <w:tcPr>
            <w:tcW w:w="0" w:type="dxa"/>
            <w:vAlign w:val="bottom"/>
          </w:tcPr>
          <w:p>
            <w:pPr>
              <w:spacing w:after="0"/>
              <w:rPr>
                <w:sz w:val="1"/>
                <w:szCs w:val="1"/>
                <w:color w:val="auto"/>
              </w:rPr>
            </w:pPr>
          </w:p>
        </w:tc>
      </w:tr>
      <w:tr>
        <w:trPr>
          <w:trHeight w:val="82"/>
        </w:trPr>
        <w:tc>
          <w:tcPr>
            <w:tcW w:w="1160" w:type="dxa"/>
            <w:vAlign w:val="bottom"/>
            <w:gridSpan w:val="3"/>
            <w:vMerge w:val="continue"/>
          </w:tcPr>
          <w:p>
            <w:pPr>
              <w:spacing w:after="0"/>
              <w:rPr>
                <w:sz w:val="7"/>
                <w:szCs w:val="7"/>
                <w:color w:val="auto"/>
              </w:rPr>
            </w:pPr>
          </w:p>
        </w:tc>
        <w:tc>
          <w:tcPr>
            <w:tcW w:w="10260" w:type="dxa"/>
            <w:vAlign w:val="bottom"/>
            <w:vMerge w:val="restart"/>
          </w:tcPr>
          <w:p>
            <w:pPr>
              <w:ind w:left="360"/>
              <w:spacing w:after="0"/>
              <w:rPr>
                <w:sz w:val="20"/>
                <w:szCs w:val="20"/>
                <w:color w:val="auto"/>
              </w:rPr>
            </w:pPr>
            <w:r>
              <w:rPr>
                <w:rFonts w:ascii="Arial" w:cs="Arial" w:eastAsia="Arial" w:hAnsi="Arial"/>
                <w:sz w:val="18"/>
                <w:szCs w:val="18"/>
                <w:color w:val="auto"/>
              </w:rPr>
              <w:t>(incorporated by reference to Exhibit 4.74 to the Company’s Current Report on Form 8-K filed May 16, 2016).</w:t>
            </w:r>
          </w:p>
        </w:tc>
        <w:tc>
          <w:tcPr>
            <w:tcW w:w="0" w:type="dxa"/>
            <w:vAlign w:val="bottom"/>
          </w:tcPr>
          <w:p>
            <w:pPr>
              <w:spacing w:after="0"/>
              <w:rPr>
                <w:sz w:val="1"/>
                <w:szCs w:val="1"/>
                <w:color w:val="auto"/>
              </w:rPr>
            </w:pPr>
          </w:p>
        </w:tc>
      </w:tr>
      <w:tr>
        <w:trPr>
          <w:trHeight w:val="129"/>
        </w:trPr>
        <w:tc>
          <w:tcPr>
            <w:tcW w:w="480" w:type="dxa"/>
            <w:vAlign w:val="bottom"/>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360" w:type="dxa"/>
            <w:vAlign w:val="bottom"/>
          </w:tcPr>
          <w:p>
            <w:pPr>
              <w:spacing w:after="0"/>
              <w:rPr>
                <w:sz w:val="11"/>
                <w:szCs w:val="11"/>
                <w:color w:val="auto"/>
              </w:rPr>
            </w:pPr>
          </w:p>
        </w:tc>
        <w:tc>
          <w:tcPr>
            <w:tcW w:w="10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1"/>
              </w:rPr>
              <w:t>Second Amendment to the Sixth Amended and Restated Credit Agreement, dated as of June 15, 2016, among the Company, the Banks</w:t>
            </w:r>
          </w:p>
        </w:tc>
        <w:tc>
          <w:tcPr>
            <w:tcW w:w="0" w:type="dxa"/>
            <w:vAlign w:val="bottom"/>
          </w:tcPr>
          <w:p>
            <w:pPr>
              <w:spacing w:after="0"/>
              <w:rPr>
                <w:sz w:val="1"/>
                <w:szCs w:val="1"/>
                <w:color w:val="auto"/>
              </w:rPr>
            </w:pPr>
          </w:p>
        </w:tc>
      </w:tr>
      <w:tr>
        <w:trPr>
          <w:trHeight w:val="190"/>
        </w:trPr>
        <w:tc>
          <w:tcPr>
            <w:tcW w:w="1160" w:type="dxa"/>
            <w:vAlign w:val="bottom"/>
            <w:gridSpan w:val="3"/>
            <w:shd w:val="clear" w:color="auto" w:fill="CCEEFF"/>
          </w:tcPr>
          <w:p>
            <w:pPr>
              <w:jc w:val="right"/>
              <w:ind w:right="360"/>
              <w:spacing w:after="0" w:line="190" w:lineRule="exact"/>
              <w:rPr>
                <w:rFonts w:ascii="Arial" w:cs="Arial" w:eastAsia="Arial" w:hAnsi="Arial"/>
                <w:sz w:val="18"/>
                <w:szCs w:val="18"/>
                <w:color w:val="0000FF"/>
              </w:rPr>
            </w:pPr>
            <w:hyperlink r:id="rId87">
              <w:r>
                <w:rPr>
                  <w:rFonts w:ascii="Arial" w:cs="Arial" w:eastAsia="Arial" w:hAnsi="Arial"/>
                  <w:sz w:val="18"/>
                  <w:szCs w:val="18"/>
                  <w:color w:val="0000FF"/>
                </w:rPr>
                <w:t>4.</w:t>
              </w:r>
              <w:r>
                <w:rPr>
                  <w:rFonts w:ascii="Arial" w:cs="Arial" w:eastAsia="Arial" w:hAnsi="Arial"/>
                  <w:sz w:val="18"/>
                  <w:szCs w:val="18"/>
                  <w:u w:val="single" w:color="auto"/>
                  <w:color w:val="0000FF"/>
                </w:rPr>
                <w:t>45</w:t>
              </w:r>
            </w:hyperlink>
          </w:p>
        </w:tc>
        <w:tc>
          <w:tcPr>
            <w:tcW w:w="10260" w:type="dxa"/>
            <w:vAlign w:val="bottom"/>
            <w:shd w:val="clear" w:color="auto" w:fill="CCEEFF"/>
          </w:tcPr>
          <w:p>
            <w:pPr>
              <w:ind w:left="360"/>
              <w:spacing w:after="0" w:line="190" w:lineRule="exact"/>
              <w:rPr>
                <w:sz w:val="20"/>
                <w:szCs w:val="20"/>
                <w:color w:val="auto"/>
              </w:rPr>
            </w:pPr>
            <w:r>
              <w:rPr>
                <w:rFonts w:ascii="Arial" w:cs="Arial" w:eastAsia="Arial" w:hAnsi="Arial"/>
                <w:sz w:val="18"/>
                <w:szCs w:val="18"/>
                <w:color w:val="auto"/>
                <w:w w:val="95"/>
              </w:rPr>
              <w:t>signatory thereto and Comerica Bank, as agent for the Banks (incorporated by reference to Exhibit 4.76 to the Company’s Current</w:t>
            </w:r>
          </w:p>
        </w:tc>
        <w:tc>
          <w:tcPr>
            <w:tcW w:w="0" w:type="dxa"/>
            <w:vAlign w:val="bottom"/>
          </w:tcPr>
          <w:p>
            <w:pPr>
              <w:spacing w:after="0"/>
              <w:rPr>
                <w:sz w:val="1"/>
                <w:szCs w:val="1"/>
                <w:color w:val="auto"/>
              </w:rPr>
            </w:pPr>
          </w:p>
        </w:tc>
      </w:tr>
      <w:tr>
        <w:trPr>
          <w:trHeight w:val="244"/>
        </w:trPr>
        <w:tc>
          <w:tcPr>
            <w:tcW w:w="4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0000FF"/>
              <w:bottom w:val="single" w:sz="8" w:color="CCEEFF"/>
            </w:tcBorders>
            <w:shd w:val="clear" w:color="auto" w:fill="CCEEFF"/>
          </w:tcPr>
          <w:p>
            <w:pPr>
              <w:spacing w:after="0"/>
              <w:rPr>
                <w:sz w:val="21"/>
                <w:szCs w:val="21"/>
                <w:color w:val="auto"/>
              </w:rPr>
            </w:pP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102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Report on Form 8-K filed June 20, 2016).</w:t>
            </w: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60" w:type="dxa"/>
            <w:vAlign w:val="bottom"/>
          </w:tcPr>
          <w:p>
            <w:pPr>
              <w:ind w:left="360"/>
              <w:spacing w:after="0"/>
              <w:rPr>
                <w:sz w:val="20"/>
                <w:szCs w:val="20"/>
                <w:color w:val="auto"/>
              </w:rPr>
            </w:pPr>
            <w:r>
              <w:rPr>
                <w:rFonts w:ascii="Arial" w:cs="Arial" w:eastAsia="Arial" w:hAnsi="Arial"/>
                <w:sz w:val="18"/>
                <w:szCs w:val="18"/>
                <w:color w:val="auto"/>
                <w:w w:val="91"/>
              </w:rPr>
              <w:t>Sixth Amended and Restated Loan and Security Agreement dated as of June 23, 2016, among the Company, CAC Warehouse Funding</w:t>
            </w:r>
          </w:p>
        </w:tc>
        <w:tc>
          <w:tcPr>
            <w:tcW w:w="0" w:type="dxa"/>
            <w:vAlign w:val="bottom"/>
          </w:tcPr>
          <w:p>
            <w:pPr>
              <w:spacing w:after="0"/>
              <w:rPr>
                <w:sz w:val="1"/>
                <w:szCs w:val="1"/>
                <w:color w:val="auto"/>
              </w:rPr>
            </w:pPr>
          </w:p>
        </w:tc>
      </w:tr>
      <w:tr>
        <w:trPr>
          <w:trHeight w:val="190"/>
        </w:trPr>
        <w:tc>
          <w:tcPr>
            <w:tcW w:w="1160" w:type="dxa"/>
            <w:vAlign w:val="bottom"/>
            <w:gridSpan w:val="3"/>
          </w:tcPr>
          <w:p>
            <w:pPr>
              <w:jc w:val="right"/>
              <w:ind w:right="360"/>
              <w:spacing w:after="0" w:line="190" w:lineRule="exact"/>
              <w:rPr>
                <w:rFonts w:ascii="Arial" w:cs="Arial" w:eastAsia="Arial" w:hAnsi="Arial"/>
                <w:sz w:val="18"/>
                <w:szCs w:val="18"/>
                <w:color w:val="0000FF"/>
              </w:rPr>
            </w:pPr>
            <w:hyperlink r:id="rId88">
              <w:r>
                <w:rPr>
                  <w:rFonts w:ascii="Arial" w:cs="Arial" w:eastAsia="Arial" w:hAnsi="Arial"/>
                  <w:sz w:val="18"/>
                  <w:szCs w:val="18"/>
                  <w:color w:val="0000FF"/>
                </w:rPr>
                <w:t>4.</w:t>
              </w:r>
              <w:r>
                <w:rPr>
                  <w:rFonts w:ascii="Arial" w:cs="Arial" w:eastAsia="Arial" w:hAnsi="Arial"/>
                  <w:sz w:val="18"/>
                  <w:szCs w:val="18"/>
                  <w:u w:val="single" w:color="auto"/>
                  <w:color w:val="0000FF"/>
                </w:rPr>
                <w:t>46</w:t>
              </w:r>
            </w:hyperlink>
          </w:p>
        </w:tc>
        <w:tc>
          <w:tcPr>
            <w:tcW w:w="10260" w:type="dxa"/>
            <w:vAlign w:val="bottom"/>
          </w:tcPr>
          <w:p>
            <w:pPr>
              <w:ind w:left="360"/>
              <w:spacing w:after="0" w:line="190" w:lineRule="exact"/>
              <w:rPr>
                <w:sz w:val="20"/>
                <w:szCs w:val="20"/>
                <w:color w:val="auto"/>
              </w:rPr>
            </w:pPr>
            <w:r>
              <w:rPr>
                <w:rFonts w:ascii="Arial" w:cs="Arial" w:eastAsia="Arial" w:hAnsi="Arial"/>
                <w:sz w:val="18"/>
                <w:szCs w:val="18"/>
                <w:color w:val="auto"/>
                <w:w w:val="92"/>
              </w:rPr>
              <w:t>Corporation II and Wells Fargo Bank, National Association (incorporated by reference to Exhibit 4.77 to the Company’s Current Report</w:t>
            </w:r>
          </w:p>
        </w:tc>
        <w:tc>
          <w:tcPr>
            <w:tcW w:w="0" w:type="dxa"/>
            <w:vAlign w:val="bottom"/>
          </w:tcPr>
          <w:p>
            <w:pPr>
              <w:spacing w:after="0"/>
              <w:rPr>
                <w:sz w:val="1"/>
                <w:szCs w:val="1"/>
                <w:color w:val="auto"/>
              </w:rPr>
            </w:pPr>
          </w:p>
        </w:tc>
      </w:tr>
      <w:tr>
        <w:trPr>
          <w:trHeight w:val="237"/>
        </w:trPr>
        <w:tc>
          <w:tcPr>
            <w:tcW w:w="48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360" w:type="dxa"/>
            <w:vAlign w:val="bottom"/>
          </w:tcPr>
          <w:p>
            <w:pPr>
              <w:spacing w:after="0"/>
              <w:rPr>
                <w:sz w:val="20"/>
                <w:szCs w:val="20"/>
                <w:color w:val="auto"/>
              </w:rPr>
            </w:pPr>
          </w:p>
        </w:tc>
        <w:tc>
          <w:tcPr>
            <w:tcW w:w="10260" w:type="dxa"/>
            <w:vAlign w:val="bottom"/>
          </w:tcPr>
          <w:p>
            <w:pPr>
              <w:ind w:left="360"/>
              <w:spacing w:after="0"/>
              <w:rPr>
                <w:sz w:val="20"/>
                <w:szCs w:val="20"/>
                <w:color w:val="auto"/>
              </w:rPr>
            </w:pPr>
            <w:r>
              <w:rPr>
                <w:rFonts w:ascii="Arial" w:cs="Arial" w:eastAsia="Arial" w:hAnsi="Arial"/>
                <w:sz w:val="18"/>
                <w:szCs w:val="18"/>
                <w:color w:val="auto"/>
              </w:rPr>
              <w:t>on Form 8-K filed June 28, 2016).</w:t>
            </w: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160" w:type="dxa"/>
            <w:vAlign w:val="bottom"/>
            <w:gridSpan w:val="3"/>
            <w:vMerge w:val="restart"/>
            <w:shd w:val="clear" w:color="auto" w:fill="CCEEFF"/>
          </w:tcPr>
          <w:p>
            <w:pPr>
              <w:jc w:val="right"/>
              <w:ind w:right="360"/>
              <w:spacing w:after="0"/>
              <w:rPr>
                <w:rFonts w:ascii="Arial" w:cs="Arial" w:eastAsia="Arial" w:hAnsi="Arial"/>
                <w:sz w:val="18"/>
                <w:szCs w:val="18"/>
                <w:color w:val="0000FF"/>
              </w:rPr>
            </w:pPr>
            <w:hyperlink r:id="rId89">
              <w:r>
                <w:rPr>
                  <w:rFonts w:ascii="Arial" w:cs="Arial" w:eastAsia="Arial" w:hAnsi="Arial"/>
                  <w:sz w:val="18"/>
                  <w:szCs w:val="18"/>
                  <w:color w:val="0000FF"/>
                </w:rPr>
                <w:t>4.</w:t>
              </w:r>
              <w:r>
                <w:rPr>
                  <w:rFonts w:ascii="Arial" w:cs="Arial" w:eastAsia="Arial" w:hAnsi="Arial"/>
                  <w:sz w:val="18"/>
                  <w:szCs w:val="18"/>
                  <w:u w:val="single" w:color="auto"/>
                  <w:color w:val="0000FF"/>
                </w:rPr>
                <w:t>47</w:t>
              </w:r>
            </w:hyperlink>
          </w:p>
        </w:tc>
        <w:tc>
          <w:tcPr>
            <w:tcW w:w="102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9"/>
              </w:rPr>
              <w:t>Fourth Amended and Restated Sale and Contribution Agreement, dated as of June 23, 2016, between the Company and CAC Warehouse</w:t>
            </w:r>
          </w:p>
        </w:tc>
        <w:tc>
          <w:tcPr>
            <w:tcW w:w="0" w:type="dxa"/>
            <w:vAlign w:val="bottom"/>
          </w:tcPr>
          <w:p>
            <w:pPr>
              <w:spacing w:after="0"/>
              <w:rPr>
                <w:sz w:val="1"/>
                <w:szCs w:val="1"/>
                <w:color w:val="auto"/>
              </w:rPr>
            </w:pPr>
          </w:p>
        </w:tc>
      </w:tr>
      <w:tr>
        <w:trPr>
          <w:trHeight w:val="82"/>
        </w:trPr>
        <w:tc>
          <w:tcPr>
            <w:tcW w:w="1160" w:type="dxa"/>
            <w:vAlign w:val="bottom"/>
            <w:gridSpan w:val="3"/>
            <w:vMerge w:val="continue"/>
            <w:shd w:val="clear" w:color="auto" w:fill="CCEEFF"/>
          </w:tcPr>
          <w:p>
            <w:pPr>
              <w:spacing w:after="0"/>
              <w:rPr>
                <w:sz w:val="7"/>
                <w:szCs w:val="7"/>
                <w:color w:val="auto"/>
              </w:rPr>
            </w:pPr>
          </w:p>
        </w:tc>
        <w:tc>
          <w:tcPr>
            <w:tcW w:w="10260" w:type="dxa"/>
            <w:vAlign w:val="bottom"/>
            <w:vMerge w:val="restart"/>
            <w:shd w:val="clear" w:color="auto" w:fill="CCEEFF"/>
          </w:tcPr>
          <w:p>
            <w:pPr>
              <w:ind w:left="360"/>
              <w:spacing w:after="0"/>
              <w:rPr>
                <w:sz w:val="20"/>
                <w:szCs w:val="20"/>
                <w:color w:val="auto"/>
              </w:rPr>
            </w:pPr>
            <w:r>
              <w:rPr>
                <w:rFonts w:ascii="Arial" w:cs="Arial" w:eastAsia="Arial" w:hAnsi="Arial"/>
                <w:sz w:val="18"/>
                <w:szCs w:val="18"/>
                <w:color w:val="auto"/>
                <w:w w:val="93"/>
              </w:rPr>
              <w:t>Funding Corporation II (incorporated by reference to Exhibit 4.78 to the Company’s Current Report on Form 8-K filed June 28, 2016).</w:t>
            </w:r>
          </w:p>
        </w:tc>
        <w:tc>
          <w:tcPr>
            <w:tcW w:w="0" w:type="dxa"/>
            <w:vAlign w:val="bottom"/>
          </w:tcPr>
          <w:p>
            <w:pPr>
              <w:spacing w:after="0"/>
              <w:rPr>
                <w:sz w:val="1"/>
                <w:szCs w:val="1"/>
                <w:color w:val="auto"/>
              </w:rPr>
            </w:pPr>
          </w:p>
        </w:tc>
      </w:tr>
      <w:tr>
        <w:trPr>
          <w:trHeight w:val="136"/>
        </w:trPr>
        <w:tc>
          <w:tcPr>
            <w:tcW w:w="480" w:type="dxa"/>
            <w:vAlign w:val="bottom"/>
            <w:tcBorders>
              <w:top w:val="single" w:sz="8" w:color="CCEEFF"/>
              <w:bottom w:val="single" w:sz="8" w:color="CCEEFF"/>
            </w:tcBorders>
            <w:shd w:val="clear" w:color="auto" w:fill="CCEEFF"/>
          </w:tcPr>
          <w:p>
            <w:pPr>
              <w:spacing w:after="0"/>
              <w:rPr>
                <w:sz w:val="11"/>
                <w:szCs w:val="11"/>
                <w:color w:val="auto"/>
              </w:rPr>
            </w:pPr>
          </w:p>
        </w:tc>
        <w:tc>
          <w:tcPr>
            <w:tcW w:w="320" w:type="dxa"/>
            <w:vAlign w:val="bottom"/>
            <w:tcBorders>
              <w:top w:val="single" w:sz="8" w:color="0000FF"/>
              <w:bottom w:val="single" w:sz="8" w:color="CCEEFF"/>
            </w:tcBorders>
            <w:shd w:val="clear" w:color="auto" w:fill="CCEEFF"/>
          </w:tcPr>
          <w:p>
            <w:pPr>
              <w:spacing w:after="0"/>
              <w:rPr>
                <w:sz w:val="11"/>
                <w:szCs w:val="11"/>
                <w:color w:val="auto"/>
              </w:rPr>
            </w:pPr>
          </w:p>
        </w:tc>
        <w:tc>
          <w:tcPr>
            <w:tcW w:w="360" w:type="dxa"/>
            <w:vAlign w:val="bottom"/>
            <w:tcBorders>
              <w:top w:val="single" w:sz="8" w:color="CCEEFF"/>
              <w:bottom w:val="single" w:sz="8" w:color="CCEEFF"/>
            </w:tcBorders>
            <w:shd w:val="clear" w:color="auto" w:fill="CCEEFF"/>
          </w:tcPr>
          <w:p>
            <w:pPr>
              <w:spacing w:after="0"/>
              <w:rPr>
                <w:sz w:val="11"/>
                <w:szCs w:val="11"/>
                <w:color w:val="auto"/>
              </w:rPr>
            </w:pPr>
          </w:p>
        </w:tc>
        <w:tc>
          <w:tcPr>
            <w:tcW w:w="10260" w:type="dxa"/>
            <w:vAlign w:val="bottom"/>
            <w:tcBorders>
              <w:top w:val="single" w:sz="8" w:color="CCEEFF"/>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60" w:type="dxa"/>
            <w:vAlign w:val="bottom"/>
          </w:tcPr>
          <w:p>
            <w:pPr>
              <w:ind w:left="360"/>
              <w:spacing w:after="0"/>
              <w:rPr>
                <w:sz w:val="20"/>
                <w:szCs w:val="20"/>
                <w:color w:val="auto"/>
              </w:rPr>
            </w:pPr>
            <w:r>
              <w:rPr>
                <w:rFonts w:ascii="Arial" w:cs="Arial" w:eastAsia="Arial" w:hAnsi="Arial"/>
                <w:sz w:val="18"/>
                <w:szCs w:val="18"/>
                <w:color w:val="auto"/>
                <w:w w:val="93"/>
              </w:rPr>
              <w:t>Second Amendment to Loan and Security Agreement, dated as of August 18, 2016, among the Company, CAC Warehouse Funding</w:t>
            </w:r>
          </w:p>
        </w:tc>
        <w:tc>
          <w:tcPr>
            <w:tcW w:w="0" w:type="dxa"/>
            <w:vAlign w:val="bottom"/>
          </w:tcPr>
          <w:p>
            <w:pPr>
              <w:spacing w:after="0"/>
              <w:rPr>
                <w:sz w:val="1"/>
                <w:szCs w:val="1"/>
                <w:color w:val="auto"/>
              </w:rPr>
            </w:pPr>
          </w:p>
        </w:tc>
      </w:tr>
      <w:tr>
        <w:trPr>
          <w:trHeight w:val="190"/>
        </w:trPr>
        <w:tc>
          <w:tcPr>
            <w:tcW w:w="1160" w:type="dxa"/>
            <w:vAlign w:val="bottom"/>
            <w:gridSpan w:val="3"/>
          </w:tcPr>
          <w:p>
            <w:pPr>
              <w:jc w:val="right"/>
              <w:ind w:right="360"/>
              <w:spacing w:after="0" w:line="190" w:lineRule="exact"/>
              <w:rPr>
                <w:rFonts w:ascii="Arial" w:cs="Arial" w:eastAsia="Arial" w:hAnsi="Arial"/>
                <w:sz w:val="18"/>
                <w:szCs w:val="18"/>
                <w:color w:val="0000FF"/>
              </w:rPr>
            </w:pPr>
            <w:hyperlink r:id="rId90">
              <w:r>
                <w:rPr>
                  <w:rFonts w:ascii="Arial" w:cs="Arial" w:eastAsia="Arial" w:hAnsi="Arial"/>
                  <w:sz w:val="18"/>
                  <w:szCs w:val="18"/>
                  <w:color w:val="0000FF"/>
                </w:rPr>
                <w:t>4.</w:t>
              </w:r>
              <w:r>
                <w:rPr>
                  <w:rFonts w:ascii="Arial" w:cs="Arial" w:eastAsia="Arial" w:hAnsi="Arial"/>
                  <w:sz w:val="18"/>
                  <w:szCs w:val="18"/>
                  <w:u w:val="single" w:color="auto"/>
                  <w:color w:val="0000FF"/>
                </w:rPr>
                <w:t>48</w:t>
              </w:r>
            </w:hyperlink>
          </w:p>
        </w:tc>
        <w:tc>
          <w:tcPr>
            <w:tcW w:w="10260" w:type="dxa"/>
            <w:vAlign w:val="bottom"/>
          </w:tcPr>
          <w:p>
            <w:pPr>
              <w:ind w:left="360"/>
              <w:spacing w:after="0" w:line="190" w:lineRule="exact"/>
              <w:rPr>
                <w:sz w:val="20"/>
                <w:szCs w:val="20"/>
                <w:color w:val="auto"/>
              </w:rPr>
            </w:pPr>
            <w:r>
              <w:rPr>
                <w:rFonts w:ascii="Arial" w:cs="Arial" w:eastAsia="Arial" w:hAnsi="Arial"/>
                <w:sz w:val="18"/>
                <w:szCs w:val="18"/>
                <w:color w:val="auto"/>
                <w:w w:val="97"/>
              </w:rPr>
              <w:t>LLC V, Fifth Third Bank and Systems &amp; Services Technologies, Inc. (incorporated by reference to Exhibit 4.79 to the Company’s</w:t>
            </w:r>
          </w:p>
        </w:tc>
        <w:tc>
          <w:tcPr>
            <w:tcW w:w="0" w:type="dxa"/>
            <w:vAlign w:val="bottom"/>
          </w:tcPr>
          <w:p>
            <w:pPr>
              <w:spacing w:after="0"/>
              <w:rPr>
                <w:sz w:val="1"/>
                <w:szCs w:val="1"/>
                <w:color w:val="auto"/>
              </w:rPr>
            </w:pPr>
          </w:p>
        </w:tc>
      </w:tr>
      <w:tr>
        <w:trPr>
          <w:trHeight w:val="237"/>
        </w:trPr>
        <w:tc>
          <w:tcPr>
            <w:tcW w:w="48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360" w:type="dxa"/>
            <w:vAlign w:val="bottom"/>
          </w:tcPr>
          <w:p>
            <w:pPr>
              <w:spacing w:after="0"/>
              <w:rPr>
                <w:sz w:val="20"/>
                <w:szCs w:val="20"/>
                <w:color w:val="auto"/>
              </w:rPr>
            </w:pPr>
          </w:p>
        </w:tc>
        <w:tc>
          <w:tcPr>
            <w:tcW w:w="10260" w:type="dxa"/>
            <w:vAlign w:val="bottom"/>
          </w:tcPr>
          <w:p>
            <w:pPr>
              <w:ind w:left="360"/>
              <w:spacing w:after="0"/>
              <w:rPr>
                <w:sz w:val="20"/>
                <w:szCs w:val="20"/>
                <w:color w:val="auto"/>
              </w:rPr>
            </w:pPr>
            <w:r>
              <w:rPr>
                <w:rFonts w:ascii="Arial" w:cs="Arial" w:eastAsia="Arial" w:hAnsi="Arial"/>
                <w:sz w:val="18"/>
                <w:szCs w:val="18"/>
                <w:color w:val="auto"/>
              </w:rPr>
              <w:t>Current Report on Form 8-K filed August 23, 2016).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3086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91">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p>
      <w:pPr>
        <w:spacing w:after="0" w:line="148" w:lineRule="exact"/>
        <w:rPr>
          <w:sz w:val="20"/>
          <w:szCs w:val="20"/>
          <w:color w:val="auto"/>
        </w:rPr>
      </w:pPr>
    </w:p>
    <w:p>
      <w:pPr>
        <w:ind w:left="480"/>
        <w:spacing w:after="0"/>
        <w:rPr>
          <w:rFonts w:ascii="Arial" w:cs="Arial" w:eastAsia="Arial" w:hAnsi="Arial"/>
          <w:sz w:val="16"/>
          <w:szCs w:val="16"/>
          <w:u w:val="single" w:color="auto"/>
          <w:color w:val="0000FF"/>
        </w:rPr>
      </w:pPr>
      <w:hyperlink r:id="rId92">
        <w:r>
          <w:rPr>
            <w:rFonts w:ascii="Arial" w:cs="Arial" w:eastAsia="Arial" w:hAnsi="Arial"/>
            <w:sz w:val="16"/>
            <w:szCs w:val="16"/>
            <w:u w:val="single" w:color="auto"/>
            <w:color w:val="0000FF"/>
          </w:rPr>
          <w:t>4.49</w:t>
        </w:r>
      </w:hyperlink>
    </w:p>
    <w:p>
      <w:pPr>
        <w:spacing w:after="0" w:line="302" w:lineRule="exact"/>
        <w:rPr>
          <w:sz w:val="20"/>
          <w:szCs w:val="20"/>
          <w:color w:val="auto"/>
        </w:rPr>
      </w:pPr>
    </w:p>
    <w:p>
      <w:pPr>
        <w:ind w:left="480"/>
        <w:spacing w:after="0"/>
        <w:rPr>
          <w:rFonts w:ascii="Arial" w:cs="Arial" w:eastAsia="Arial" w:hAnsi="Arial"/>
          <w:sz w:val="16"/>
          <w:szCs w:val="16"/>
          <w:u w:val="single" w:color="auto"/>
          <w:color w:val="0000FF"/>
        </w:rPr>
      </w:pPr>
      <w:hyperlink r:id="rId93">
        <w:r>
          <w:rPr>
            <w:rFonts w:ascii="Arial" w:cs="Arial" w:eastAsia="Arial" w:hAnsi="Arial"/>
            <w:sz w:val="16"/>
            <w:szCs w:val="16"/>
            <w:u w:val="single" w:color="auto"/>
            <w:color w:val="0000FF"/>
          </w:rPr>
          <w:t>4.50</w:t>
        </w:r>
      </w:hyperlink>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right="40"/>
        <w:spacing w:after="0" w:line="298" w:lineRule="auto"/>
        <w:rPr>
          <w:sz w:val="20"/>
          <w:szCs w:val="20"/>
          <w:color w:val="auto"/>
        </w:rPr>
      </w:pPr>
      <w:r>
        <w:rPr>
          <w:rFonts w:ascii="Arial" w:cs="Arial" w:eastAsia="Arial" w:hAnsi="Arial"/>
          <w:sz w:val="17"/>
          <w:szCs w:val="17"/>
          <w:color w:val="auto"/>
        </w:rPr>
        <w:t>First Amendment to Contribution Agreement, dated as of August 18, 2016, between the Company and CAC Warehouse Funding LLC V (incorporated by reference to Exhibit 4.80 to the Company’s Current Report on Form 8-K filed August 23, 2016).</w:t>
      </w:r>
    </w:p>
    <w:p>
      <w:pPr>
        <w:spacing w:after="0" w:line="1" w:lineRule="exact"/>
        <w:rPr>
          <w:sz w:val="20"/>
          <w:szCs w:val="20"/>
          <w:color w:val="auto"/>
        </w:rPr>
      </w:pPr>
    </w:p>
    <w:p>
      <w:pPr>
        <w:ind w:right="40"/>
        <w:spacing w:after="0" w:line="298" w:lineRule="auto"/>
        <w:rPr>
          <w:sz w:val="20"/>
          <w:szCs w:val="20"/>
          <w:color w:val="auto"/>
        </w:rPr>
      </w:pPr>
      <w:r>
        <w:rPr>
          <w:rFonts w:ascii="Arial" w:cs="Arial" w:eastAsia="Arial" w:hAnsi="Arial"/>
          <w:sz w:val="17"/>
          <w:szCs w:val="17"/>
          <w:color w:val="auto"/>
        </w:rPr>
        <w:t>Indenture dated as of October 27, 2016, between Credit Acceptance Auto Loan Trust 2016-3 and Wells Fargo Bank, National Association (incorporated by reference to Exhibit 4.81 to the Company’s Current Report on Form 8-K filed October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-6985</wp:posOffset>
            </wp:positionV>
            <wp:extent cx="7246620" cy="4457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94">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800" w:space="720"/>
            <w:col w:w="9900"/>
          </w:cols>
          <w:pgMar w:left="240" w:top="337" w:right="239" w:bottom="1440" w:gutter="0" w:footer="0" w:header="0"/>
          <w:type w:val="continuous"/>
        </w:sectPr>
      </w:pPr>
    </w:p>
    <w:p>
      <w:pPr>
        <w:ind w:left="1520"/>
        <w:spacing w:after="0"/>
        <w:rPr>
          <w:sz w:val="20"/>
          <w:szCs w:val="20"/>
          <w:color w:val="auto"/>
        </w:rPr>
      </w:pPr>
      <w:r>
        <w:rPr>
          <w:rFonts w:ascii="Arial" w:cs="Arial" w:eastAsia="Arial" w:hAnsi="Arial"/>
          <w:sz w:val="16"/>
          <w:szCs w:val="16"/>
          <w:color w:val="auto"/>
        </w:rPr>
        <w:t>Sale and Servicing Agreement, dated as of October 27, 2016, among the Company, Credit Acceptance Auto Loan Trust 2016-3, Credit</w:t>
      </w:r>
    </w:p>
    <w:p>
      <w:pPr>
        <w:spacing w:after="0" w:line="46" w:lineRule="exact"/>
        <w:rPr>
          <w:sz w:val="20"/>
          <w:szCs w:val="20"/>
          <w:color w:val="auto"/>
        </w:rPr>
      </w:pPr>
    </w:p>
    <w:p>
      <w:pPr>
        <w:ind w:left="1520" w:right="40" w:hanging="1041"/>
        <w:spacing w:after="0" w:line="261" w:lineRule="auto"/>
        <w:tabs>
          <w:tab w:leader="none" w:pos="1500" w:val="left"/>
        </w:tabs>
        <w:rPr>
          <w:rFonts w:ascii="Arial" w:cs="Arial" w:eastAsia="Arial" w:hAnsi="Arial"/>
          <w:sz w:val="18"/>
          <w:szCs w:val="18"/>
          <w:color w:val="0000FF"/>
        </w:rPr>
      </w:pPr>
      <w:hyperlink r:id="rId95">
        <w:r>
          <w:rPr>
            <w:rFonts w:ascii="Arial" w:cs="Arial" w:eastAsia="Arial" w:hAnsi="Arial"/>
            <w:sz w:val="18"/>
            <w:szCs w:val="18"/>
            <w:u w:val="single" w:color="auto"/>
            <w:color w:val="0000FF"/>
          </w:rPr>
          <w:t>4.51</w:t>
        </w:r>
      </w:hyperlink>
      <w:r>
        <w:rPr>
          <w:rFonts w:ascii="Arial" w:cs="Arial" w:eastAsia="Arial" w:hAnsi="Arial"/>
          <w:sz w:val="18"/>
          <w:szCs w:val="18"/>
          <w:color w:val="0000FF"/>
        </w:rPr>
        <w:tab/>
        <w:t>Acceptance Funding LLC 2016-3, and Wells Fargo Bank, National Association (incorporated by reference to Exhibit 4.82 to the Company’s Current Report on Form 8-K filed October 31, 2016).</w:t>
      </w:r>
    </w:p>
    <w:p>
      <w:pPr>
        <w:spacing w:after="0" w:line="22"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Backup Servicing Agreement, dated as of October 27, 2016, among the Company, Credit Acceptance Funding LLC 2016-3, Credit</w:t>
      </w:r>
    </w:p>
    <w:p>
      <w:pPr>
        <w:spacing w:after="0" w:line="35" w:lineRule="exact"/>
        <w:rPr>
          <w:sz w:val="20"/>
          <w:szCs w:val="20"/>
          <w:color w:val="auto"/>
        </w:rPr>
      </w:pPr>
    </w:p>
    <w:p>
      <w:pPr>
        <w:ind w:left="1520" w:right="40" w:hanging="1041"/>
        <w:spacing w:after="0" w:line="261" w:lineRule="auto"/>
        <w:tabs>
          <w:tab w:leader="none" w:pos="1500" w:val="left"/>
        </w:tabs>
        <w:rPr>
          <w:rFonts w:ascii="Arial" w:cs="Arial" w:eastAsia="Arial" w:hAnsi="Arial"/>
          <w:sz w:val="18"/>
          <w:szCs w:val="18"/>
          <w:color w:val="0000FF"/>
        </w:rPr>
      </w:pPr>
      <w:hyperlink r:id="rId96">
        <w:r>
          <w:rPr>
            <w:rFonts w:ascii="Arial" w:cs="Arial" w:eastAsia="Arial" w:hAnsi="Arial"/>
            <w:sz w:val="18"/>
            <w:szCs w:val="18"/>
            <w:u w:val="single" w:color="auto"/>
            <w:color w:val="0000FF"/>
          </w:rPr>
          <w:t>4.52</w:t>
        </w:r>
      </w:hyperlink>
      <w:r>
        <w:rPr>
          <w:rFonts w:ascii="Arial" w:cs="Arial" w:eastAsia="Arial" w:hAnsi="Arial"/>
          <w:sz w:val="18"/>
          <w:szCs w:val="18"/>
          <w:color w:val="0000FF"/>
        </w:rPr>
        <w:tab/>
        <w:t>Acceptance Auto Loan Trust 2016-3, and Wells Fargo Bank, National Association (incorporated by reference to Exhibit 4.83 to the Company’s Current Report on Form 8-K filed October 31, 2016).</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337" w:right="239" w:bottom="1440" w:gutter="0" w:footer="0" w:header="0"/>
          <w:type w:val="continuous"/>
        </w:sectPr>
      </w:pPr>
    </w:p>
    <w:bookmarkStart w:id="95" w:name="page96"/>
    <w:bookmarkEnd w:id="9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rFonts w:ascii="Arial" w:cs="Arial" w:eastAsia="Arial" w:hAnsi="Arial"/>
          <w:sz w:val="16"/>
          <w:szCs w:val="16"/>
          <w:u w:val="single" w:color="auto"/>
          <w:color w:val="0000FF"/>
        </w:rPr>
      </w:pPr>
      <w:hyperlink r:id="rId97">
        <w:r>
          <w:rPr>
            <w:rFonts w:ascii="Arial" w:cs="Arial" w:eastAsia="Arial" w:hAnsi="Arial"/>
            <w:sz w:val="16"/>
            <w:szCs w:val="16"/>
            <w:u w:val="single" w:color="auto"/>
            <w:color w:val="0000FF"/>
          </w:rPr>
          <w:t>4.53</w:t>
        </w:r>
      </w:hyperlink>
    </w:p>
    <w:p>
      <w:pPr>
        <w:spacing w:after="0" w:line="200" w:lineRule="exact"/>
        <w:rPr>
          <w:sz w:val="20"/>
          <w:szCs w:val="20"/>
          <w:color w:val="auto"/>
        </w:rPr>
      </w:pPr>
    </w:p>
    <w:p>
      <w:pPr>
        <w:spacing w:after="0" w:line="210" w:lineRule="exact"/>
        <w:rPr>
          <w:sz w:val="20"/>
          <w:szCs w:val="20"/>
          <w:color w:val="auto"/>
        </w:rPr>
      </w:pPr>
    </w:p>
    <w:p>
      <w:pPr>
        <w:spacing w:after="0"/>
        <w:rPr>
          <w:rFonts w:ascii="Arial" w:cs="Arial" w:eastAsia="Arial" w:hAnsi="Arial"/>
          <w:sz w:val="16"/>
          <w:szCs w:val="16"/>
          <w:u w:val="single" w:color="auto"/>
          <w:color w:val="0000FF"/>
        </w:rPr>
      </w:pPr>
      <w:hyperlink r:id="rId98">
        <w:r>
          <w:rPr>
            <w:rFonts w:ascii="Arial" w:cs="Arial" w:eastAsia="Arial" w:hAnsi="Arial"/>
            <w:sz w:val="16"/>
            <w:szCs w:val="16"/>
            <w:u w:val="single" w:color="auto"/>
            <w:color w:val="0000FF"/>
          </w:rPr>
          <w:t>4.54</w:t>
        </w:r>
      </w:hyperlink>
    </w:p>
    <w:p>
      <w:pPr>
        <w:spacing w:after="0" w:line="302" w:lineRule="exact"/>
        <w:rPr>
          <w:sz w:val="20"/>
          <w:szCs w:val="20"/>
          <w:color w:val="auto"/>
        </w:rPr>
      </w:pPr>
    </w:p>
    <w:p>
      <w:pPr>
        <w:spacing w:after="0"/>
        <w:rPr>
          <w:rFonts w:ascii="Arial" w:cs="Arial" w:eastAsia="Arial" w:hAnsi="Arial"/>
          <w:sz w:val="16"/>
          <w:szCs w:val="16"/>
          <w:u w:val="single" w:color="auto"/>
          <w:color w:val="0000FF"/>
        </w:rPr>
      </w:pPr>
      <w:hyperlink r:id="rId99">
        <w:r>
          <w:rPr>
            <w:rFonts w:ascii="Arial" w:cs="Arial" w:eastAsia="Arial" w:hAnsi="Arial"/>
            <w:sz w:val="16"/>
            <w:szCs w:val="16"/>
            <w:u w:val="single" w:color="auto"/>
            <w:color w:val="0000FF"/>
          </w:rPr>
          <w:t>4.55</w:t>
        </w:r>
      </w:hyperlink>
    </w:p>
    <w:p>
      <w:pPr>
        <w:spacing w:after="0" w:line="200" w:lineRule="exact"/>
        <w:rPr>
          <w:sz w:val="20"/>
          <w:szCs w:val="20"/>
          <w:color w:val="auto"/>
        </w:rPr>
      </w:pPr>
    </w:p>
    <w:p>
      <w:pPr>
        <w:spacing w:after="0" w:line="210" w:lineRule="exact"/>
        <w:rPr>
          <w:sz w:val="20"/>
          <w:szCs w:val="20"/>
          <w:color w:val="auto"/>
        </w:rPr>
      </w:pPr>
    </w:p>
    <w:p>
      <w:pPr>
        <w:spacing w:after="0"/>
        <w:rPr>
          <w:rFonts w:ascii="Arial" w:cs="Arial" w:eastAsia="Arial" w:hAnsi="Arial"/>
          <w:sz w:val="16"/>
          <w:szCs w:val="16"/>
          <w:u w:val="single" w:color="auto"/>
          <w:color w:val="0000FF"/>
        </w:rPr>
      </w:pPr>
      <w:hyperlink r:id="rId100">
        <w:r>
          <w:rPr>
            <w:rFonts w:ascii="Arial" w:cs="Arial" w:eastAsia="Arial" w:hAnsi="Arial"/>
            <w:sz w:val="16"/>
            <w:szCs w:val="16"/>
            <w:u w:val="single" w:color="auto"/>
            <w:color w:val="0000FF"/>
          </w:rPr>
          <w:t>4.56</w:t>
        </w:r>
      </w:hyperlink>
    </w:p>
    <w:p>
      <w:pPr>
        <w:spacing w:after="0" w:line="200" w:lineRule="exact"/>
        <w:rPr>
          <w:sz w:val="20"/>
          <w:szCs w:val="20"/>
          <w:color w:val="auto"/>
        </w:rPr>
      </w:pPr>
    </w:p>
    <w:p>
      <w:pPr>
        <w:spacing w:after="0" w:line="318" w:lineRule="exact"/>
        <w:rPr>
          <w:sz w:val="20"/>
          <w:szCs w:val="20"/>
          <w:color w:val="auto"/>
        </w:rPr>
      </w:pPr>
    </w:p>
    <w:p>
      <w:pPr>
        <w:spacing w:after="0"/>
        <w:rPr>
          <w:rFonts w:ascii="Arial" w:cs="Arial" w:eastAsia="Arial" w:hAnsi="Arial"/>
          <w:sz w:val="16"/>
          <w:szCs w:val="16"/>
          <w:u w:val="single" w:color="auto"/>
          <w:color w:val="0000FF"/>
        </w:rPr>
      </w:pPr>
      <w:hyperlink r:id="rId101">
        <w:r>
          <w:rPr>
            <w:rFonts w:ascii="Arial" w:cs="Arial" w:eastAsia="Arial" w:hAnsi="Arial"/>
            <w:sz w:val="16"/>
            <w:szCs w:val="16"/>
            <w:u w:val="single" w:color="auto"/>
            <w:color w:val="0000FF"/>
          </w:rPr>
          <w:t>4.57</w:t>
        </w:r>
      </w:hyperlink>
    </w:p>
    <w:p>
      <w:pPr>
        <w:spacing w:after="0" w:line="200" w:lineRule="exact"/>
        <w:rPr>
          <w:sz w:val="20"/>
          <w:szCs w:val="20"/>
          <w:color w:val="auto"/>
        </w:rPr>
      </w:pPr>
    </w:p>
    <w:p>
      <w:pPr>
        <w:spacing w:after="0" w:line="318" w:lineRule="exact"/>
        <w:rPr>
          <w:sz w:val="20"/>
          <w:szCs w:val="20"/>
          <w:color w:val="auto"/>
        </w:rPr>
      </w:pPr>
    </w:p>
    <w:p>
      <w:pPr>
        <w:spacing w:after="0"/>
        <w:rPr>
          <w:rFonts w:ascii="Arial" w:cs="Arial" w:eastAsia="Arial" w:hAnsi="Arial"/>
          <w:sz w:val="16"/>
          <w:szCs w:val="16"/>
          <w:u w:val="single" w:color="auto"/>
          <w:color w:val="0000FF"/>
        </w:rPr>
      </w:pPr>
      <w:hyperlink r:id="rId102">
        <w:r>
          <w:rPr>
            <w:rFonts w:ascii="Arial" w:cs="Arial" w:eastAsia="Arial" w:hAnsi="Arial"/>
            <w:sz w:val="16"/>
            <w:szCs w:val="16"/>
            <w:u w:val="single" w:color="auto"/>
            <w:color w:val="0000FF"/>
          </w:rPr>
          <w:t>4.58</w:t>
        </w:r>
      </w:hyperlink>
    </w:p>
    <w:p>
      <w:pPr>
        <w:spacing w:after="0" w:line="200" w:lineRule="exact"/>
        <w:rPr>
          <w:sz w:val="20"/>
          <w:szCs w:val="20"/>
          <w:color w:val="auto"/>
        </w:rPr>
      </w:pPr>
    </w:p>
    <w:p>
      <w:pPr>
        <w:spacing w:after="0" w:line="210" w:lineRule="exact"/>
        <w:rPr>
          <w:sz w:val="20"/>
          <w:szCs w:val="20"/>
          <w:color w:val="auto"/>
        </w:rPr>
      </w:pPr>
    </w:p>
    <w:p>
      <w:pPr>
        <w:spacing w:after="0"/>
        <w:rPr>
          <w:rFonts w:ascii="Arial" w:cs="Arial" w:eastAsia="Arial" w:hAnsi="Arial"/>
          <w:sz w:val="16"/>
          <w:szCs w:val="16"/>
          <w:u w:val="single" w:color="auto"/>
          <w:color w:val="0000FF"/>
        </w:rPr>
      </w:pPr>
      <w:hyperlink r:id="rId103">
        <w:r>
          <w:rPr>
            <w:rFonts w:ascii="Arial" w:cs="Arial" w:eastAsia="Arial" w:hAnsi="Arial"/>
            <w:sz w:val="16"/>
            <w:szCs w:val="16"/>
            <w:u w:val="single" w:color="auto"/>
            <w:color w:val="0000FF"/>
          </w:rPr>
          <w:t>4.59</w:t>
        </w:r>
      </w:hyperlink>
    </w:p>
    <w:p>
      <w:pPr>
        <w:spacing w:after="0" w:line="200" w:lineRule="exact"/>
        <w:rPr>
          <w:sz w:val="20"/>
          <w:szCs w:val="20"/>
          <w:color w:val="auto"/>
        </w:rPr>
      </w:pPr>
    </w:p>
    <w:p>
      <w:pPr>
        <w:spacing w:after="0" w:line="210" w:lineRule="exact"/>
        <w:rPr>
          <w:sz w:val="20"/>
          <w:szCs w:val="20"/>
          <w:color w:val="auto"/>
        </w:rPr>
      </w:pPr>
    </w:p>
    <w:p>
      <w:pPr>
        <w:spacing w:after="0"/>
        <w:rPr>
          <w:rFonts w:ascii="Arial" w:cs="Arial" w:eastAsia="Arial" w:hAnsi="Arial"/>
          <w:sz w:val="16"/>
          <w:szCs w:val="16"/>
          <w:u w:val="single" w:color="auto"/>
          <w:color w:val="0000FF"/>
        </w:rPr>
      </w:pPr>
      <w:hyperlink r:id="rId104">
        <w:r>
          <w:rPr>
            <w:rFonts w:ascii="Arial" w:cs="Arial" w:eastAsia="Arial" w:hAnsi="Arial"/>
            <w:sz w:val="16"/>
            <w:szCs w:val="16"/>
            <w:u w:val="single" w:color="auto"/>
            <w:color w:val="0000FF"/>
          </w:rPr>
          <w:t>4.60</w:t>
        </w:r>
      </w:hyperlink>
    </w:p>
    <w:p>
      <w:pPr>
        <w:spacing w:after="0" w:line="200" w:lineRule="exact"/>
        <w:rPr>
          <w:sz w:val="20"/>
          <w:szCs w:val="20"/>
          <w:color w:val="auto"/>
        </w:rPr>
      </w:pPr>
    </w:p>
    <w:p>
      <w:pPr>
        <w:spacing w:after="0" w:line="318" w:lineRule="exact"/>
        <w:rPr>
          <w:sz w:val="20"/>
          <w:szCs w:val="20"/>
          <w:color w:val="auto"/>
        </w:rPr>
      </w:pPr>
    </w:p>
    <w:p>
      <w:pPr>
        <w:spacing w:after="0"/>
        <w:rPr>
          <w:rFonts w:ascii="Arial" w:cs="Arial" w:eastAsia="Arial" w:hAnsi="Arial"/>
          <w:sz w:val="16"/>
          <w:szCs w:val="16"/>
          <w:u w:val="single" w:color="auto"/>
          <w:color w:val="0000FF"/>
        </w:rPr>
      </w:pPr>
      <w:hyperlink r:id="rId105">
        <w:r>
          <w:rPr>
            <w:rFonts w:ascii="Arial" w:cs="Arial" w:eastAsia="Arial" w:hAnsi="Arial"/>
            <w:sz w:val="16"/>
            <w:szCs w:val="16"/>
            <w:u w:val="single" w:color="auto"/>
            <w:color w:val="0000FF"/>
          </w:rPr>
          <w:t>4.61</w:t>
        </w:r>
      </w:hyperlink>
    </w:p>
    <w:p>
      <w:pPr>
        <w:spacing w:after="0" w:line="200" w:lineRule="exact"/>
        <w:rPr>
          <w:sz w:val="20"/>
          <w:szCs w:val="20"/>
          <w:color w:val="auto"/>
        </w:rPr>
      </w:pPr>
    </w:p>
    <w:p>
      <w:pPr>
        <w:spacing w:after="0" w:line="210" w:lineRule="exact"/>
        <w:rPr>
          <w:sz w:val="20"/>
          <w:szCs w:val="20"/>
          <w:color w:val="auto"/>
        </w:rPr>
      </w:pPr>
    </w:p>
    <w:p>
      <w:pPr>
        <w:spacing w:after="0"/>
        <w:rPr>
          <w:rFonts w:ascii="Arial" w:cs="Arial" w:eastAsia="Arial" w:hAnsi="Arial"/>
          <w:sz w:val="16"/>
          <w:szCs w:val="16"/>
          <w:u w:val="single" w:color="auto"/>
          <w:color w:val="0000FF"/>
        </w:rPr>
      </w:pPr>
      <w:hyperlink r:id="rId106">
        <w:r>
          <w:rPr>
            <w:rFonts w:ascii="Arial" w:cs="Arial" w:eastAsia="Arial" w:hAnsi="Arial"/>
            <w:sz w:val="16"/>
            <w:szCs w:val="16"/>
            <w:u w:val="single" w:color="auto"/>
            <w:color w:val="0000FF"/>
          </w:rPr>
          <w:t>4.62</w:t>
        </w:r>
      </w:hyperlink>
    </w:p>
    <w:p>
      <w:pPr>
        <w:spacing w:after="0" w:line="200" w:lineRule="exact"/>
        <w:rPr>
          <w:sz w:val="20"/>
          <w:szCs w:val="20"/>
          <w:color w:val="auto"/>
        </w:rPr>
      </w:pPr>
    </w:p>
    <w:p>
      <w:pPr>
        <w:spacing w:after="0" w:line="210" w:lineRule="exact"/>
        <w:rPr>
          <w:sz w:val="20"/>
          <w:szCs w:val="20"/>
          <w:color w:val="auto"/>
        </w:rPr>
      </w:pPr>
    </w:p>
    <w:p>
      <w:pPr>
        <w:spacing w:after="0"/>
        <w:rPr>
          <w:rFonts w:ascii="Arial" w:cs="Arial" w:eastAsia="Arial" w:hAnsi="Arial"/>
          <w:sz w:val="16"/>
          <w:szCs w:val="16"/>
          <w:u w:val="single" w:color="auto"/>
          <w:color w:val="0000FF"/>
        </w:rPr>
      </w:pPr>
      <w:hyperlink r:id="rId107">
        <w:r>
          <w:rPr>
            <w:rFonts w:ascii="Arial" w:cs="Arial" w:eastAsia="Arial" w:hAnsi="Arial"/>
            <w:sz w:val="16"/>
            <w:szCs w:val="16"/>
            <w:u w:val="single" w:color="auto"/>
            <w:color w:val="0000FF"/>
          </w:rPr>
          <w:t>4.63</w:t>
        </w:r>
      </w:hyperlink>
    </w:p>
    <w:p>
      <w:pPr>
        <w:spacing w:after="0" w:line="200" w:lineRule="exact"/>
        <w:rPr>
          <w:sz w:val="20"/>
          <w:szCs w:val="20"/>
          <w:color w:val="auto"/>
        </w:rPr>
      </w:pPr>
    </w:p>
    <w:p>
      <w:pPr>
        <w:spacing w:after="0" w:line="318" w:lineRule="exact"/>
        <w:rPr>
          <w:sz w:val="20"/>
          <w:szCs w:val="20"/>
          <w:color w:val="auto"/>
        </w:rPr>
      </w:pPr>
    </w:p>
    <w:p>
      <w:pPr>
        <w:spacing w:after="0"/>
        <w:rPr>
          <w:rFonts w:ascii="Arial" w:cs="Arial" w:eastAsia="Arial" w:hAnsi="Arial"/>
          <w:sz w:val="16"/>
          <w:szCs w:val="16"/>
          <w:u w:val="single" w:color="auto"/>
          <w:color w:val="0000FF"/>
        </w:rPr>
      </w:pPr>
      <w:hyperlink r:id="rId108">
        <w:r>
          <w:rPr>
            <w:rFonts w:ascii="Arial" w:cs="Arial" w:eastAsia="Arial" w:hAnsi="Arial"/>
            <w:sz w:val="16"/>
            <w:szCs w:val="16"/>
            <w:u w:val="single" w:color="auto"/>
            <w:color w:val="0000FF"/>
          </w:rPr>
          <w:t>4.64</w:t>
        </w:r>
      </w:hyperlink>
    </w:p>
    <w:p>
      <w:pPr>
        <w:spacing w:after="0" w:line="200" w:lineRule="exact"/>
        <w:rPr>
          <w:sz w:val="20"/>
          <w:szCs w:val="20"/>
          <w:color w:val="auto"/>
        </w:rPr>
      </w:pPr>
    </w:p>
    <w:p>
      <w:pPr>
        <w:spacing w:after="0" w:line="318" w:lineRule="exact"/>
        <w:rPr>
          <w:sz w:val="20"/>
          <w:szCs w:val="20"/>
          <w:color w:val="auto"/>
        </w:rPr>
      </w:pPr>
    </w:p>
    <w:p>
      <w:pPr>
        <w:spacing w:after="0"/>
        <w:rPr>
          <w:rFonts w:ascii="Arial" w:cs="Arial" w:eastAsia="Arial" w:hAnsi="Arial"/>
          <w:sz w:val="16"/>
          <w:szCs w:val="16"/>
          <w:u w:val="single" w:color="auto"/>
          <w:color w:val="0000FF"/>
        </w:rPr>
      </w:pPr>
      <w:hyperlink r:id="rId109">
        <w:r>
          <w:rPr>
            <w:rFonts w:ascii="Arial" w:cs="Arial" w:eastAsia="Arial" w:hAnsi="Arial"/>
            <w:sz w:val="16"/>
            <w:szCs w:val="16"/>
            <w:u w:val="single" w:color="auto"/>
            <w:color w:val="0000FF"/>
          </w:rPr>
          <w:t>4.65</w:t>
        </w:r>
      </w:hyperlink>
    </w:p>
    <w:p>
      <w:pPr>
        <w:spacing w:after="0" w:line="200" w:lineRule="exact"/>
        <w:rPr>
          <w:sz w:val="20"/>
          <w:szCs w:val="20"/>
          <w:color w:val="auto"/>
        </w:rPr>
      </w:pPr>
    </w:p>
    <w:p>
      <w:pPr>
        <w:spacing w:after="0" w:line="210" w:lineRule="exact"/>
        <w:rPr>
          <w:sz w:val="20"/>
          <w:szCs w:val="20"/>
          <w:color w:val="auto"/>
        </w:rPr>
      </w:pPr>
    </w:p>
    <w:p>
      <w:pPr>
        <w:spacing w:after="0"/>
        <w:rPr>
          <w:rFonts w:ascii="Arial" w:cs="Arial" w:eastAsia="Arial" w:hAnsi="Arial"/>
          <w:sz w:val="16"/>
          <w:szCs w:val="16"/>
          <w:u w:val="single" w:color="auto"/>
          <w:color w:val="0000FF"/>
        </w:rPr>
      </w:pPr>
      <w:hyperlink r:id="rId110">
        <w:r>
          <w:rPr>
            <w:rFonts w:ascii="Arial" w:cs="Arial" w:eastAsia="Arial" w:hAnsi="Arial"/>
            <w:sz w:val="16"/>
            <w:szCs w:val="16"/>
            <w:u w:val="single" w:color="auto"/>
            <w:color w:val="0000FF"/>
          </w:rPr>
          <w:t>4.66</w:t>
        </w:r>
      </w:hyperlink>
    </w:p>
    <w:p>
      <w:pPr>
        <w:spacing w:after="0" w:line="302" w:lineRule="exact"/>
        <w:rPr>
          <w:sz w:val="20"/>
          <w:szCs w:val="20"/>
          <w:color w:val="auto"/>
        </w:rPr>
      </w:pPr>
    </w:p>
    <w:p>
      <w:pPr>
        <w:spacing w:after="0"/>
        <w:rPr>
          <w:rFonts w:ascii="Arial" w:cs="Arial" w:eastAsia="Arial" w:hAnsi="Arial"/>
          <w:sz w:val="16"/>
          <w:szCs w:val="16"/>
          <w:u w:val="single" w:color="auto"/>
          <w:color w:val="0000FF"/>
        </w:rPr>
      </w:pPr>
      <w:hyperlink r:id="rId111">
        <w:r>
          <w:rPr>
            <w:rFonts w:ascii="Arial" w:cs="Arial" w:eastAsia="Arial" w:hAnsi="Arial"/>
            <w:sz w:val="16"/>
            <w:szCs w:val="16"/>
            <w:u w:val="single" w:color="auto"/>
            <w:color w:val="0000FF"/>
          </w:rPr>
          <w:t>4.67</w:t>
        </w:r>
      </w:hyperlink>
    </w:p>
    <w:p>
      <w:pPr>
        <w:spacing w:after="0" w:line="200" w:lineRule="exact"/>
        <w:rPr>
          <w:sz w:val="20"/>
          <w:szCs w:val="20"/>
          <w:color w:val="auto"/>
        </w:rPr>
      </w:pPr>
    </w:p>
    <w:p>
      <w:pPr>
        <w:spacing w:after="0" w:line="318" w:lineRule="exact"/>
        <w:rPr>
          <w:sz w:val="20"/>
          <w:szCs w:val="20"/>
          <w:color w:val="auto"/>
        </w:rPr>
      </w:pPr>
    </w:p>
    <w:p>
      <w:pPr>
        <w:spacing w:after="0"/>
        <w:rPr>
          <w:rFonts w:ascii="Arial" w:cs="Arial" w:eastAsia="Arial" w:hAnsi="Arial"/>
          <w:sz w:val="16"/>
          <w:szCs w:val="16"/>
          <w:u w:val="single" w:color="auto"/>
          <w:color w:val="0000FF"/>
        </w:rPr>
      </w:pPr>
      <w:hyperlink r:id="rId112">
        <w:r>
          <w:rPr>
            <w:rFonts w:ascii="Arial" w:cs="Arial" w:eastAsia="Arial" w:hAnsi="Arial"/>
            <w:sz w:val="16"/>
            <w:szCs w:val="16"/>
            <w:u w:val="single" w:color="auto"/>
            <w:color w:val="0000FF"/>
          </w:rPr>
          <w:t>4.68</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rFonts w:ascii="Arial" w:cs="Arial" w:eastAsia="Arial" w:hAnsi="Arial"/>
          <w:sz w:val="16"/>
          <w:szCs w:val="16"/>
          <w:u w:val="single" w:color="auto"/>
          <w:color w:val="0000FF"/>
        </w:rPr>
      </w:pPr>
      <w:hyperlink r:id="rId113">
        <w:r>
          <w:rPr>
            <w:rFonts w:ascii="Arial" w:cs="Arial" w:eastAsia="Arial" w:hAnsi="Arial"/>
            <w:sz w:val="16"/>
            <w:szCs w:val="16"/>
            <w:u w:val="single" w:color="auto"/>
            <w:color w:val="0000FF"/>
          </w:rPr>
          <w:t>4.69</w:t>
        </w:r>
      </w:hyperlink>
    </w:p>
    <w:p>
      <w:pPr>
        <w:spacing w:after="0" w:line="200" w:lineRule="exact"/>
        <w:rPr>
          <w:sz w:val="20"/>
          <w:szCs w:val="20"/>
          <w:color w:val="auto"/>
        </w:rPr>
      </w:pPr>
    </w:p>
    <w:p>
      <w:pPr>
        <w:spacing w:after="0" w:line="210" w:lineRule="exact"/>
        <w:rPr>
          <w:sz w:val="20"/>
          <w:szCs w:val="20"/>
          <w:color w:val="auto"/>
        </w:rPr>
      </w:pPr>
    </w:p>
    <w:p>
      <w:pPr>
        <w:spacing w:after="0"/>
        <w:rPr>
          <w:rFonts w:ascii="Arial" w:cs="Arial" w:eastAsia="Arial" w:hAnsi="Arial"/>
          <w:sz w:val="16"/>
          <w:szCs w:val="16"/>
          <w:u w:val="single" w:color="auto"/>
          <w:color w:val="0000FF"/>
        </w:rPr>
      </w:pPr>
      <w:hyperlink r:id="rId114">
        <w:r>
          <w:rPr>
            <w:rFonts w:ascii="Arial" w:cs="Arial" w:eastAsia="Arial" w:hAnsi="Arial"/>
            <w:sz w:val="16"/>
            <w:szCs w:val="16"/>
            <w:u w:val="single" w:color="auto"/>
            <w:color w:val="0000FF"/>
          </w:rPr>
          <w:t>4.70</w:t>
        </w:r>
      </w:hyperlink>
    </w:p>
    <w:p>
      <w:pPr>
        <w:spacing w:after="0" w:line="200" w:lineRule="exact"/>
        <w:rPr>
          <w:sz w:val="20"/>
          <w:szCs w:val="20"/>
          <w:color w:val="auto"/>
        </w:rPr>
      </w:pPr>
    </w:p>
    <w:p>
      <w:pPr>
        <w:spacing w:after="0" w:line="210" w:lineRule="exact"/>
        <w:rPr>
          <w:sz w:val="20"/>
          <w:szCs w:val="20"/>
          <w:color w:val="auto"/>
        </w:rPr>
      </w:pPr>
    </w:p>
    <w:p>
      <w:pPr>
        <w:spacing w:after="0"/>
        <w:rPr>
          <w:rFonts w:ascii="Arial" w:cs="Arial" w:eastAsia="Arial" w:hAnsi="Arial"/>
          <w:sz w:val="16"/>
          <w:szCs w:val="16"/>
          <w:u w:val="single" w:color="auto"/>
          <w:color w:val="0000FF"/>
        </w:rPr>
      </w:pPr>
      <w:hyperlink r:id="rId114">
        <w:r>
          <w:rPr>
            <w:rFonts w:ascii="Arial" w:cs="Arial" w:eastAsia="Arial" w:hAnsi="Arial"/>
            <w:sz w:val="16"/>
            <w:szCs w:val="16"/>
            <w:u w:val="single" w:color="auto"/>
            <w:color w:val="0000FF"/>
          </w:rPr>
          <w:t>4.71</w:t>
        </w:r>
      </w:hyperlink>
    </w:p>
    <w:p>
      <w:pPr>
        <w:spacing w:after="0" w:line="20" w:lineRule="exact"/>
        <w:rPr>
          <w:sz w:val="20"/>
          <w:szCs w:val="20"/>
          <w:color w:val="auto"/>
        </w:rPr>
      </w:pPr>
      <w:r>
        <w:rPr>
          <w:sz w:val="20"/>
          <w:szCs w:val="20"/>
          <w:color w:val="auto"/>
        </w:rPr>
        <w:br w:type="column"/>
      </w:r>
    </w:p>
    <w:p>
      <w:pPr>
        <w:ind w:left="18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394970</wp:posOffset>
            </wp:positionV>
            <wp:extent cx="7246620" cy="4457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15">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Amended and Restated Trust Agreement, dated as of October 27, 2016, among Credit Acceptance Funding LLC 2016-3, each of the members of the Board of Trustees of the Trust and U.S. Bank Trust National Association (incorporated by reference to Exhibit 4.84 to the Company’s Current Report on Form 8-K filed October 31, 2016).</w:t>
      </w:r>
    </w:p>
    <w:p>
      <w:pPr>
        <w:spacing w:after="0" w:line="19" w:lineRule="exact"/>
        <w:rPr>
          <w:sz w:val="20"/>
          <w:szCs w:val="20"/>
          <w:color w:val="auto"/>
        </w:rPr>
      </w:pPr>
    </w:p>
    <w:p>
      <w:pPr>
        <w:jc w:val="both"/>
        <w:ind w:right="20"/>
        <w:spacing w:after="0" w:line="298" w:lineRule="auto"/>
        <w:rPr>
          <w:sz w:val="20"/>
          <w:szCs w:val="20"/>
          <w:color w:val="auto"/>
        </w:rPr>
      </w:pPr>
      <w:r>
        <w:rPr>
          <w:rFonts w:ascii="Arial" w:cs="Arial" w:eastAsia="Arial" w:hAnsi="Arial"/>
          <w:sz w:val="17"/>
          <w:szCs w:val="17"/>
          <w:color w:val="auto"/>
        </w:rPr>
        <w:t>Sale and Contribution Agreement, dated as of October 27, 2016, between the Company and Credit Acceptance Funding LLC 2016-3 (incorporated by reference to Exhibit 4.85 to the Company’s Current Report on Form 8-K filed October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-6985</wp:posOffset>
            </wp:positionV>
            <wp:extent cx="7246620" cy="3086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16">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jc w:val="both"/>
        <w:ind w:right="20"/>
        <w:spacing w:after="0" w:line="298" w:lineRule="auto"/>
        <w:rPr>
          <w:sz w:val="20"/>
          <w:szCs w:val="20"/>
          <w:color w:val="auto"/>
        </w:rPr>
      </w:pPr>
      <w:r>
        <w:rPr>
          <w:rFonts w:ascii="Arial" w:cs="Arial" w:eastAsia="Arial" w:hAnsi="Arial"/>
          <w:sz w:val="17"/>
          <w:szCs w:val="17"/>
          <w:color w:val="auto"/>
        </w:rPr>
        <w:t>Indenture dated as of February 23, 2017, between Credit Acceptance Auto Loan Trust 2017-1 and Wells Fargo Bank, National Association (incorporated by reference to Exhibit 4.73 to the Company’s Current Report on Form 8-K filed March 1, 2017).</w:t>
      </w:r>
    </w:p>
    <w:p>
      <w:pPr>
        <w:spacing w:after="0" w:line="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Sale and Servicing Agreement, dated as of February 23, 2017, among the Company, Credit Acceptance Auto Loan Trust 2017-1, Credit Acceptance Funding LLC 2017-1, and Wells Fargo Bank, National Association (incorporated by reference to Exhibit 4.74 to the Company’s Current Report on Form 8-K filed March 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4445</wp:posOffset>
            </wp:positionV>
            <wp:extent cx="7246620" cy="4457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17">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jc w:val="both"/>
        <w:ind w:right="20"/>
        <w:spacing w:after="0" w:line="264" w:lineRule="auto"/>
        <w:rPr>
          <w:sz w:val="20"/>
          <w:szCs w:val="20"/>
          <w:color w:val="auto"/>
        </w:rPr>
      </w:pPr>
      <w:r>
        <w:rPr>
          <w:rFonts w:ascii="Arial" w:cs="Arial" w:eastAsia="Arial" w:hAnsi="Arial"/>
          <w:sz w:val="18"/>
          <w:szCs w:val="18"/>
          <w:color w:val="auto"/>
        </w:rPr>
        <w:t>Backup Servicing Agreement, dated as of February 23, 2017, among the Company, Credit Acceptance Funding LLC 2017-1, Credit Acceptance Auto Loan Trust 2017-1, and Wells Fargo Bank, National Association (incorporated by reference to Exhibit 4.75 to the Company’s Current Report on Form 8-K filed March 1, 2017).</w:t>
      </w:r>
    </w:p>
    <w:p>
      <w:pPr>
        <w:spacing w:after="0" w:line="1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Amended and Restated Trust Agreement, dated as of February 23, 2017, among Credit Acceptance Funding LLC 2017-1, each of the members of the Board of Trustees of the Trust and U.S. Bank Trust National Association (incorporated by reference to Exhibit 4.76 to the Company’s Current Report on Form 8-K filed March 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4445</wp:posOffset>
            </wp:positionV>
            <wp:extent cx="7246620" cy="3086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18">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jc w:val="both"/>
        <w:ind w:right="20"/>
        <w:spacing w:after="0" w:line="277" w:lineRule="auto"/>
        <w:rPr>
          <w:sz w:val="20"/>
          <w:szCs w:val="20"/>
          <w:color w:val="auto"/>
        </w:rPr>
      </w:pPr>
      <w:r>
        <w:rPr>
          <w:rFonts w:ascii="Arial" w:cs="Arial" w:eastAsia="Arial" w:hAnsi="Arial"/>
          <w:sz w:val="18"/>
          <w:szCs w:val="18"/>
          <w:color w:val="auto"/>
        </w:rPr>
        <w:t>Sale and Contribution Agreement, dated as of February 23, 2017, between the Company and Credit Acceptance Funding LLC 2017-1(incorporated by reference to Exhibit 4.77 to the Company’s Current Report on Form 8-K filed March 1, 2017).</w:t>
      </w:r>
    </w:p>
    <w:p>
      <w:pPr>
        <w:spacing w:after="0" w:line="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Fourth Amendment to Loan and Security Agreement, dated as of April 28, 2017, among the Company, CAC Warehouse Funding LLC IV, Bank of Montreal, BMO Capital Markets Corp., and Wells Fargo Bank, National Association (incorporated by reference to Exhibit 4.79 to the Company’s Current Report on Form 8-K filed May 4,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4445</wp:posOffset>
            </wp:positionV>
            <wp:extent cx="7246620" cy="4457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19">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jc w:val="both"/>
        <w:ind w:right="20"/>
        <w:spacing w:after="0" w:line="264" w:lineRule="auto"/>
        <w:rPr>
          <w:sz w:val="20"/>
          <w:szCs w:val="20"/>
          <w:color w:val="auto"/>
        </w:rPr>
      </w:pPr>
      <w:r>
        <w:rPr>
          <w:rFonts w:ascii="Arial" w:cs="Arial" w:eastAsia="Arial" w:hAnsi="Arial"/>
          <w:sz w:val="18"/>
          <w:szCs w:val="18"/>
          <w:color w:val="auto"/>
        </w:rPr>
        <w:t>Third Amendment to Sixth Amended and Restated Credit Agreement and Extension Agreement, dated as of June 28, 2017, among the Company, the Banks signatory thereto and Comerica Bank, as agent for the Banks (incorporated by reference to Exhibit 4.80 to the Company’s Current Report on Form 8-K filed June 30, 2017).</w:t>
      </w:r>
    </w:p>
    <w:p>
      <w:pPr>
        <w:spacing w:after="0" w:line="1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Indenture dated as of June 29, 2017, between Credit Acceptance Auto Loan Trust 2017-2 and Wells Fargo Bank, National Association (incorporated by reference to Exhibit 4.81 to the Company’s Current Report on Form 8-K filed July 5,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-1905</wp:posOffset>
            </wp:positionV>
            <wp:extent cx="7246620" cy="4457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20">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jc w:val="both"/>
        <w:ind w:right="20"/>
        <w:spacing w:after="0" w:line="264" w:lineRule="auto"/>
        <w:rPr>
          <w:sz w:val="20"/>
          <w:szCs w:val="20"/>
          <w:color w:val="auto"/>
        </w:rPr>
      </w:pPr>
      <w:r>
        <w:rPr>
          <w:rFonts w:ascii="Arial" w:cs="Arial" w:eastAsia="Arial" w:hAnsi="Arial"/>
          <w:sz w:val="18"/>
          <w:szCs w:val="18"/>
          <w:color w:val="auto"/>
        </w:rPr>
        <w:t>Sale and Servicing Agreement, dated as of June 29, 2017, among the Company, Credit Acceptance Auto Loan Trust 2017-2, Credit Acceptance Funding LLC 2017-2, and Wells Fargo Bank, National Association (incorporated by reference to Exhibit 4.82 to the Company’s Current Report on Form 8-K filed July 5, 2017).</w:t>
      </w:r>
    </w:p>
    <w:p>
      <w:pPr>
        <w:spacing w:after="0" w:line="1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Backup Servicing Agreement, dated as of June 29, 2017, among the Company, Credit Acceptance Funding LLC 2017-2, Credit Acceptance Auto Loan Trust 2017-2, and Wells Fargo Bank, National Association (incorporated by reference to Exhibit 4.83 to the Company’s Current Report on Form 8-K filed July 5,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4445</wp:posOffset>
            </wp:positionV>
            <wp:extent cx="7246620" cy="4457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21">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jc w:val="both"/>
        <w:spacing w:after="0" w:line="264" w:lineRule="auto"/>
        <w:rPr>
          <w:sz w:val="20"/>
          <w:szCs w:val="20"/>
          <w:color w:val="auto"/>
        </w:rPr>
      </w:pPr>
      <w:r>
        <w:rPr>
          <w:rFonts w:ascii="Arial" w:cs="Arial" w:eastAsia="Arial" w:hAnsi="Arial"/>
          <w:sz w:val="18"/>
          <w:szCs w:val="18"/>
          <w:color w:val="auto"/>
        </w:rPr>
        <w:t>Amended and Restated Trust Agreement, dated as of June 29, 2017, among Credit Acceptance Funding LLC 2017-1, each of the members of the Board of Trustees of the Trust and U.S. Bank Trust National Association (incorporated by reference to Exhibit 4.84 to the Company’s Current Report on Form 8-K filed July 5, 2017).</w:t>
      </w:r>
    </w:p>
    <w:p>
      <w:pPr>
        <w:spacing w:after="0" w:line="1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Sale and Contribution Agreement, dated as of June 29, 2017, between the Company and Credit Acceptance Funding LLC 2017-2 (incorporated by reference to Exhibit 4.85 to the Company’s Current Report on Form 8-K filed July 5,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-1905</wp:posOffset>
            </wp:positionV>
            <wp:extent cx="7246620" cy="3086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22">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jc w:val="both"/>
        <w:ind w:right="20"/>
        <w:spacing w:after="0" w:line="317" w:lineRule="auto"/>
        <w:rPr>
          <w:sz w:val="20"/>
          <w:szCs w:val="20"/>
          <w:color w:val="auto"/>
        </w:rPr>
      </w:pPr>
      <w:r>
        <w:rPr>
          <w:rFonts w:ascii="Arial" w:cs="Arial" w:eastAsia="Arial" w:hAnsi="Arial"/>
          <w:sz w:val="16"/>
          <w:szCs w:val="16"/>
          <w:color w:val="auto"/>
        </w:rPr>
        <w:t>First Amendment to Loan and Security Agreement, dated as of July 18, 2017, among the Company, CAC Warehouse Funding LLC VI and Flagstar Bank, fsb (incorporated by reference to Exhibit 4.87 to the Company’s Current Report on Form 8-K filed July 21, 2017).</w:t>
      </w:r>
    </w:p>
    <w:p>
      <w:pPr>
        <w:jc w:val="both"/>
        <w:spacing w:after="0" w:line="259" w:lineRule="auto"/>
        <w:rPr>
          <w:sz w:val="20"/>
          <w:szCs w:val="20"/>
          <w:color w:val="auto"/>
        </w:rPr>
      </w:pPr>
      <w:r>
        <w:rPr>
          <w:rFonts w:ascii="Arial" w:cs="Arial" w:eastAsia="Arial" w:hAnsi="Arial"/>
          <w:sz w:val="18"/>
          <w:szCs w:val="18"/>
          <w:color w:val="auto"/>
        </w:rPr>
        <w:t>New Bank Addendum, dated October 19, 2017 to the Sixth Amended and Restated Credit Acceptance Corporation Credit Agreement dated as of October 19, 2017, among the Company, each of the financial institutions parties thereto and Comerica Bank, as agent (incorporated by reference to Exhibit 4.94 to the Company’s Quarterly Report on Form 10-Q for the quarterly period ended 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7620</wp:posOffset>
            </wp:positionV>
            <wp:extent cx="7246620" cy="4457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23">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Assignment Agreement, dated October 19, 2017, among the Company, the Banks signatory thereto and Comerica Bank, as agent, under the Sixth Amended and Restated Credit Acceptance Corporation Credit Agreement dated as of June 23, 2014 (incorporated by reference to Exhibit 4.95 to the Company’s Quarterly Report on Form 10-Q for the quarterly period ended September 30, 2017).</w:t>
      </w:r>
    </w:p>
    <w:p>
      <w:pPr>
        <w:spacing w:after="0" w:line="3" w:lineRule="exact"/>
        <w:rPr>
          <w:sz w:val="20"/>
          <w:szCs w:val="20"/>
          <w:color w:val="auto"/>
        </w:rPr>
      </w:pPr>
    </w:p>
    <w:p>
      <w:pPr>
        <w:jc w:val="both"/>
        <w:ind w:right="20"/>
        <w:spacing w:after="0" w:line="298" w:lineRule="auto"/>
        <w:rPr>
          <w:sz w:val="20"/>
          <w:szCs w:val="20"/>
          <w:color w:val="auto"/>
        </w:rPr>
      </w:pPr>
      <w:r>
        <w:rPr>
          <w:rFonts w:ascii="Arial" w:cs="Arial" w:eastAsia="Arial" w:hAnsi="Arial"/>
          <w:sz w:val="17"/>
          <w:szCs w:val="17"/>
          <w:color w:val="auto"/>
        </w:rPr>
        <w:t>Indenture dated as of October 26, 2017, between Credit Acceptance Auto Loan Trust 2017-3 and Wells Fargo Bank, National Association (incorporated by reference to Exhibit 4.88 to the Company’s Current Report on Form 8-K filed October 27,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-6985</wp:posOffset>
            </wp:positionV>
            <wp:extent cx="7246620" cy="4457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24">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jc w:val="both"/>
        <w:ind w:right="20"/>
        <w:spacing w:after="0" w:line="264" w:lineRule="auto"/>
        <w:rPr>
          <w:sz w:val="20"/>
          <w:szCs w:val="20"/>
          <w:color w:val="auto"/>
        </w:rPr>
      </w:pPr>
      <w:r>
        <w:rPr>
          <w:rFonts w:ascii="Arial" w:cs="Arial" w:eastAsia="Arial" w:hAnsi="Arial"/>
          <w:sz w:val="18"/>
          <w:szCs w:val="18"/>
          <w:color w:val="auto"/>
        </w:rPr>
        <w:t>Sale and Servicing Agreement, dated as of October 26, 2017, among the Company, Credit Acceptance Auto Loan Trust 2017-3, Credit Acceptance Funding LLC 2017-3, and Wells Fargo Bank, National Association (incorporated by reference to Exhibit 4.89 to the Company’s Current Report on Form 8-K filed October 27, 2017).</w:t>
      </w:r>
    </w:p>
    <w:p>
      <w:pPr>
        <w:spacing w:after="0" w:line="200" w:lineRule="exact"/>
        <w:rPr>
          <w:sz w:val="20"/>
          <w:szCs w:val="20"/>
          <w:color w:val="auto"/>
        </w:rPr>
      </w:pPr>
    </w:p>
    <w:p>
      <w:pPr>
        <w:sectPr>
          <w:pgSz w:w="11900" w:h="16838" w:orient="portrait"/>
          <w:cols w:equalWidth="0" w:num="2">
            <w:col w:w="320" w:space="720"/>
            <w:col w:w="9880"/>
          </w:cols>
          <w:pgMar w:left="720" w:top="337" w:right="259" w:bottom="1440" w:gutter="0" w:footer="0" w:header="0"/>
        </w:sectPr>
      </w:pPr>
    </w:p>
    <w:p>
      <w:pPr>
        <w:spacing w:after="0" w:line="35" w:lineRule="exact"/>
        <w:rPr>
          <w:sz w:val="20"/>
          <w:szCs w:val="20"/>
          <w:color w:val="auto"/>
        </w:rPr>
      </w:pPr>
    </w:p>
    <w:p>
      <w:pPr>
        <w:jc w:val="center"/>
        <w:ind w:right="460"/>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0920"/>
          </w:cols>
          <w:pgMar w:left="720" w:top="337" w:right="259" w:bottom="1440" w:gutter="0" w:footer="0" w:header="0"/>
          <w:type w:val="continuous"/>
        </w:sectPr>
      </w:pPr>
    </w:p>
    <w:bookmarkStart w:id="96" w:name="page97"/>
    <w:bookmarkEnd w:id="96"/>
    <w:tbl>
      <w:tblPr>
        <w:tblLayout w:type="fixed"/>
        <w:tblInd w:w="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60" w:type="dxa"/>
            <w:vAlign w:val="bottom"/>
          </w:tcPr>
          <w:p>
            <w:pPr>
              <w:ind w:left="2200"/>
              <w:spacing w:after="0"/>
              <w:rPr>
                <w:sz w:val="20"/>
                <w:szCs w:val="20"/>
                <w:color w:val="auto"/>
              </w:rPr>
            </w:pPr>
            <w:r>
              <w:rPr>
                <w:rFonts w:ascii="Arial" w:cs="Arial" w:eastAsia="Arial" w:hAnsi="Arial"/>
                <w:sz w:val="18"/>
                <w:szCs w:val="18"/>
                <w:b w:val="1"/>
                <w:bCs w:val="1"/>
                <w:color w:val="auto"/>
              </w:rPr>
              <w:t>NOTES TO CONSOLIDATED FINANCIAL STATEMENTS</w:t>
            </w:r>
          </w:p>
        </w:tc>
        <w:tc>
          <w:tcPr>
            <w:tcW w:w="0" w:type="dxa"/>
            <w:vAlign w:val="bottom"/>
          </w:tcPr>
          <w:p>
            <w:pPr>
              <w:spacing w:after="0"/>
              <w:rPr>
                <w:sz w:val="1"/>
                <w:szCs w:val="1"/>
                <w:color w:val="auto"/>
              </w:rPr>
            </w:pPr>
          </w:p>
        </w:tc>
      </w:tr>
      <w:tr>
        <w:trPr>
          <w:trHeight w:val="823"/>
        </w:trPr>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60" w:type="dxa"/>
            <w:vAlign w:val="bottom"/>
          </w:tcPr>
          <w:p>
            <w:pPr>
              <w:ind w:left="360"/>
              <w:spacing w:after="0"/>
              <w:rPr>
                <w:sz w:val="20"/>
                <w:szCs w:val="20"/>
                <w:color w:val="auto"/>
              </w:rPr>
            </w:pPr>
            <w:r>
              <w:rPr>
                <w:rFonts w:ascii="Arial" w:cs="Arial" w:eastAsia="Arial" w:hAnsi="Arial"/>
                <w:sz w:val="18"/>
                <w:szCs w:val="18"/>
                <w:color w:val="auto"/>
                <w:w w:val="95"/>
              </w:rPr>
              <w:t>Backup Servicing Agreement, dated as of October 26, 2017, among the Company, Credit Acceptance Funding LLC 2017-3, Credit</w:t>
            </w:r>
          </w:p>
        </w:tc>
        <w:tc>
          <w:tcPr>
            <w:tcW w:w="0" w:type="dxa"/>
            <w:vAlign w:val="bottom"/>
          </w:tcPr>
          <w:p>
            <w:pPr>
              <w:spacing w:after="0"/>
              <w:rPr>
                <w:sz w:val="1"/>
                <w:szCs w:val="1"/>
                <w:color w:val="auto"/>
              </w:rPr>
            </w:pPr>
          </w:p>
        </w:tc>
      </w:tr>
      <w:tr>
        <w:trPr>
          <w:trHeight w:val="190"/>
        </w:trPr>
        <w:tc>
          <w:tcPr>
            <w:tcW w:w="1160" w:type="dxa"/>
            <w:vAlign w:val="bottom"/>
            <w:gridSpan w:val="3"/>
          </w:tcPr>
          <w:p>
            <w:pPr>
              <w:jc w:val="right"/>
              <w:ind w:right="360"/>
              <w:spacing w:after="0" w:line="190" w:lineRule="exact"/>
              <w:rPr>
                <w:rFonts w:ascii="Arial" w:cs="Arial" w:eastAsia="Arial" w:hAnsi="Arial"/>
                <w:sz w:val="18"/>
                <w:szCs w:val="18"/>
                <w:color w:val="0000FF"/>
              </w:rPr>
            </w:pPr>
            <w:hyperlink r:id="rId125">
              <w:r>
                <w:rPr>
                  <w:rFonts w:ascii="Arial" w:cs="Arial" w:eastAsia="Arial" w:hAnsi="Arial"/>
                  <w:sz w:val="18"/>
                  <w:szCs w:val="18"/>
                  <w:color w:val="0000FF"/>
                </w:rPr>
                <w:t>4.</w:t>
              </w:r>
              <w:r>
                <w:rPr>
                  <w:rFonts w:ascii="Arial" w:cs="Arial" w:eastAsia="Arial" w:hAnsi="Arial"/>
                  <w:sz w:val="18"/>
                  <w:szCs w:val="18"/>
                  <w:u w:val="single" w:color="auto"/>
                  <w:color w:val="0000FF"/>
                </w:rPr>
                <w:t>72</w:t>
              </w:r>
            </w:hyperlink>
          </w:p>
        </w:tc>
        <w:tc>
          <w:tcPr>
            <w:tcW w:w="10260" w:type="dxa"/>
            <w:vAlign w:val="bottom"/>
          </w:tcPr>
          <w:p>
            <w:pPr>
              <w:ind w:left="360"/>
              <w:spacing w:after="0" w:line="190" w:lineRule="exact"/>
              <w:rPr>
                <w:sz w:val="20"/>
                <w:szCs w:val="20"/>
                <w:color w:val="auto"/>
              </w:rPr>
            </w:pPr>
            <w:r>
              <w:rPr>
                <w:rFonts w:ascii="Arial" w:cs="Arial" w:eastAsia="Arial" w:hAnsi="Arial"/>
                <w:sz w:val="18"/>
                <w:szCs w:val="18"/>
                <w:color w:val="auto"/>
                <w:w w:val="95"/>
              </w:rPr>
              <w:t>Acceptance Auto Loan Trust 2017-3, and Wells Fargo Bank, National Association (incorporated by reference to Exhibit 4.90 to the</w:t>
            </w:r>
          </w:p>
        </w:tc>
        <w:tc>
          <w:tcPr>
            <w:tcW w:w="0" w:type="dxa"/>
            <w:vAlign w:val="bottom"/>
          </w:tcPr>
          <w:p>
            <w:pPr>
              <w:spacing w:after="0"/>
              <w:rPr>
                <w:sz w:val="1"/>
                <w:szCs w:val="1"/>
                <w:color w:val="auto"/>
              </w:rPr>
            </w:pPr>
          </w:p>
        </w:tc>
      </w:tr>
      <w:tr>
        <w:trPr>
          <w:trHeight w:val="237"/>
        </w:trPr>
        <w:tc>
          <w:tcPr>
            <w:tcW w:w="48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360" w:type="dxa"/>
            <w:vAlign w:val="bottom"/>
          </w:tcPr>
          <w:p>
            <w:pPr>
              <w:spacing w:after="0"/>
              <w:rPr>
                <w:sz w:val="20"/>
                <w:szCs w:val="20"/>
                <w:color w:val="auto"/>
              </w:rPr>
            </w:pPr>
          </w:p>
        </w:tc>
        <w:tc>
          <w:tcPr>
            <w:tcW w:w="10260" w:type="dxa"/>
            <w:vAlign w:val="bottom"/>
          </w:tcPr>
          <w:p>
            <w:pPr>
              <w:ind w:left="360"/>
              <w:spacing w:after="0"/>
              <w:rPr>
                <w:sz w:val="20"/>
                <w:szCs w:val="20"/>
                <w:color w:val="auto"/>
              </w:rPr>
            </w:pPr>
            <w:r>
              <w:rPr>
                <w:rFonts w:ascii="Arial" w:cs="Arial" w:eastAsia="Arial" w:hAnsi="Arial"/>
                <w:sz w:val="18"/>
                <w:szCs w:val="18"/>
                <w:color w:val="auto"/>
              </w:rPr>
              <w:t>Company’s Current Report on Form 8-K filed October 27, 2017).</w:t>
            </w: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3"/>
              </w:rPr>
              <w:t>Amended and Restated Trust Agreement, dated as of October 26, 2017, among Credit Acceptance Funding LLC 2017-3, each of the</w:t>
            </w:r>
          </w:p>
        </w:tc>
        <w:tc>
          <w:tcPr>
            <w:tcW w:w="0" w:type="dxa"/>
            <w:vAlign w:val="bottom"/>
          </w:tcPr>
          <w:p>
            <w:pPr>
              <w:spacing w:after="0"/>
              <w:rPr>
                <w:sz w:val="1"/>
                <w:szCs w:val="1"/>
                <w:color w:val="auto"/>
              </w:rPr>
            </w:pPr>
          </w:p>
        </w:tc>
      </w:tr>
      <w:tr>
        <w:trPr>
          <w:trHeight w:val="190"/>
        </w:trPr>
        <w:tc>
          <w:tcPr>
            <w:tcW w:w="1160" w:type="dxa"/>
            <w:vAlign w:val="bottom"/>
            <w:gridSpan w:val="3"/>
            <w:shd w:val="clear" w:color="auto" w:fill="CCEEFF"/>
          </w:tcPr>
          <w:p>
            <w:pPr>
              <w:jc w:val="right"/>
              <w:ind w:right="360"/>
              <w:spacing w:after="0" w:line="190" w:lineRule="exact"/>
              <w:rPr>
                <w:rFonts w:ascii="Arial" w:cs="Arial" w:eastAsia="Arial" w:hAnsi="Arial"/>
                <w:sz w:val="18"/>
                <w:szCs w:val="18"/>
                <w:color w:val="0000FF"/>
              </w:rPr>
            </w:pPr>
            <w:hyperlink r:id="rId126">
              <w:r>
                <w:rPr>
                  <w:rFonts w:ascii="Arial" w:cs="Arial" w:eastAsia="Arial" w:hAnsi="Arial"/>
                  <w:sz w:val="18"/>
                  <w:szCs w:val="18"/>
                  <w:color w:val="0000FF"/>
                </w:rPr>
                <w:t>4.</w:t>
              </w:r>
              <w:r>
                <w:rPr>
                  <w:rFonts w:ascii="Arial" w:cs="Arial" w:eastAsia="Arial" w:hAnsi="Arial"/>
                  <w:sz w:val="18"/>
                  <w:szCs w:val="18"/>
                  <w:u w:val="single" w:color="auto"/>
                  <w:color w:val="0000FF"/>
                </w:rPr>
                <w:t>73</w:t>
              </w:r>
            </w:hyperlink>
          </w:p>
        </w:tc>
        <w:tc>
          <w:tcPr>
            <w:tcW w:w="10260" w:type="dxa"/>
            <w:vAlign w:val="bottom"/>
            <w:shd w:val="clear" w:color="auto" w:fill="CCEEFF"/>
          </w:tcPr>
          <w:p>
            <w:pPr>
              <w:ind w:left="360"/>
              <w:spacing w:after="0" w:line="190" w:lineRule="exact"/>
              <w:rPr>
                <w:sz w:val="20"/>
                <w:szCs w:val="20"/>
                <w:color w:val="auto"/>
              </w:rPr>
            </w:pPr>
            <w:r>
              <w:rPr>
                <w:rFonts w:ascii="Arial" w:cs="Arial" w:eastAsia="Arial" w:hAnsi="Arial"/>
                <w:sz w:val="18"/>
                <w:szCs w:val="18"/>
                <w:color w:val="auto"/>
                <w:w w:val="93"/>
              </w:rPr>
              <w:t>members of the Board of Trustees of the Trust and U.S. Bank Trust National Association (incorporated by reference to Exhibit 4.91 to</w:t>
            </w:r>
          </w:p>
        </w:tc>
        <w:tc>
          <w:tcPr>
            <w:tcW w:w="0" w:type="dxa"/>
            <w:vAlign w:val="bottom"/>
          </w:tcPr>
          <w:p>
            <w:pPr>
              <w:spacing w:after="0"/>
              <w:rPr>
                <w:sz w:val="1"/>
                <w:szCs w:val="1"/>
                <w:color w:val="auto"/>
              </w:rPr>
            </w:pPr>
          </w:p>
        </w:tc>
      </w:tr>
      <w:tr>
        <w:trPr>
          <w:trHeight w:val="244"/>
        </w:trPr>
        <w:tc>
          <w:tcPr>
            <w:tcW w:w="4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0000FF"/>
              <w:bottom w:val="single" w:sz="8" w:color="CCEEFF"/>
            </w:tcBorders>
            <w:shd w:val="clear" w:color="auto" w:fill="CCEEFF"/>
          </w:tcPr>
          <w:p>
            <w:pPr>
              <w:spacing w:after="0"/>
              <w:rPr>
                <w:sz w:val="21"/>
                <w:szCs w:val="21"/>
                <w:color w:val="auto"/>
              </w:rPr>
            </w:pP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102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the Company’s Current Report on Form 8-K filed October 27, 2017).</w:t>
            </w:r>
          </w:p>
        </w:tc>
        <w:tc>
          <w:tcPr>
            <w:tcW w:w="0" w:type="dxa"/>
            <w:vAlign w:val="bottom"/>
          </w:tcPr>
          <w:p>
            <w:pPr>
              <w:spacing w:after="0"/>
              <w:rPr>
                <w:sz w:val="1"/>
                <w:szCs w:val="1"/>
                <w:color w:val="auto"/>
              </w:rPr>
            </w:pPr>
          </w:p>
        </w:tc>
      </w:tr>
      <w:tr>
        <w:trPr>
          <w:trHeight w:val="229"/>
        </w:trPr>
        <w:tc>
          <w:tcPr>
            <w:tcW w:w="1160" w:type="dxa"/>
            <w:vAlign w:val="bottom"/>
            <w:gridSpan w:val="3"/>
            <w:vMerge w:val="restart"/>
          </w:tcPr>
          <w:p>
            <w:pPr>
              <w:jc w:val="right"/>
              <w:ind w:right="360"/>
              <w:spacing w:after="0"/>
              <w:rPr>
                <w:rFonts w:ascii="Arial" w:cs="Arial" w:eastAsia="Arial" w:hAnsi="Arial"/>
                <w:sz w:val="18"/>
                <w:szCs w:val="18"/>
                <w:color w:val="0000FF"/>
              </w:rPr>
            </w:pPr>
            <w:hyperlink r:id="rId127">
              <w:r>
                <w:rPr>
                  <w:rFonts w:ascii="Arial" w:cs="Arial" w:eastAsia="Arial" w:hAnsi="Arial"/>
                  <w:sz w:val="18"/>
                  <w:szCs w:val="18"/>
                  <w:color w:val="0000FF"/>
                </w:rPr>
                <w:t>4.</w:t>
              </w:r>
              <w:r>
                <w:rPr>
                  <w:rFonts w:ascii="Arial" w:cs="Arial" w:eastAsia="Arial" w:hAnsi="Arial"/>
                  <w:sz w:val="18"/>
                  <w:szCs w:val="18"/>
                  <w:u w:val="single" w:color="auto"/>
                  <w:color w:val="0000FF"/>
                </w:rPr>
                <w:t>74</w:t>
              </w:r>
            </w:hyperlink>
          </w:p>
        </w:tc>
        <w:tc>
          <w:tcPr>
            <w:tcW w:w="10260" w:type="dxa"/>
            <w:vAlign w:val="bottom"/>
          </w:tcPr>
          <w:p>
            <w:pPr>
              <w:ind w:left="360"/>
              <w:spacing w:after="0"/>
              <w:rPr>
                <w:sz w:val="20"/>
                <w:szCs w:val="20"/>
                <w:color w:val="auto"/>
              </w:rPr>
            </w:pPr>
            <w:r>
              <w:rPr>
                <w:rFonts w:ascii="Arial" w:cs="Arial" w:eastAsia="Arial" w:hAnsi="Arial"/>
                <w:sz w:val="18"/>
                <w:szCs w:val="18"/>
                <w:color w:val="auto"/>
                <w:w w:val="93"/>
              </w:rPr>
              <w:t>Sale and Contribution Agreement, dated as of October 26, 2017, between the Company and Credit Acceptance Funding LLC 2017-3</w:t>
            </w:r>
          </w:p>
        </w:tc>
        <w:tc>
          <w:tcPr>
            <w:tcW w:w="0" w:type="dxa"/>
            <w:vAlign w:val="bottom"/>
          </w:tcPr>
          <w:p>
            <w:pPr>
              <w:spacing w:after="0"/>
              <w:rPr>
                <w:sz w:val="1"/>
                <w:szCs w:val="1"/>
                <w:color w:val="auto"/>
              </w:rPr>
            </w:pPr>
          </w:p>
        </w:tc>
      </w:tr>
      <w:tr>
        <w:trPr>
          <w:trHeight w:val="82"/>
        </w:trPr>
        <w:tc>
          <w:tcPr>
            <w:tcW w:w="1160" w:type="dxa"/>
            <w:vAlign w:val="bottom"/>
            <w:gridSpan w:val="3"/>
            <w:vMerge w:val="continue"/>
          </w:tcPr>
          <w:p>
            <w:pPr>
              <w:spacing w:after="0"/>
              <w:rPr>
                <w:sz w:val="7"/>
                <w:szCs w:val="7"/>
                <w:color w:val="auto"/>
              </w:rPr>
            </w:pPr>
          </w:p>
        </w:tc>
        <w:tc>
          <w:tcPr>
            <w:tcW w:w="10260" w:type="dxa"/>
            <w:vAlign w:val="bottom"/>
            <w:vMerge w:val="restart"/>
          </w:tcPr>
          <w:p>
            <w:pPr>
              <w:ind w:left="360"/>
              <w:spacing w:after="0"/>
              <w:rPr>
                <w:sz w:val="20"/>
                <w:szCs w:val="20"/>
                <w:color w:val="auto"/>
              </w:rPr>
            </w:pPr>
            <w:r>
              <w:rPr>
                <w:rFonts w:ascii="Arial" w:cs="Arial" w:eastAsia="Arial" w:hAnsi="Arial"/>
                <w:sz w:val="18"/>
                <w:szCs w:val="18"/>
                <w:color w:val="auto"/>
              </w:rPr>
              <w:t>(incorporated by reference to Exhibit 4.92 to the Company’s Current Report on Form 8-K filed October 27, 2017).</w:t>
            </w:r>
          </w:p>
        </w:tc>
        <w:tc>
          <w:tcPr>
            <w:tcW w:w="0" w:type="dxa"/>
            <w:vAlign w:val="bottom"/>
          </w:tcPr>
          <w:p>
            <w:pPr>
              <w:spacing w:after="0"/>
              <w:rPr>
                <w:sz w:val="1"/>
                <w:szCs w:val="1"/>
                <w:color w:val="auto"/>
              </w:rPr>
            </w:pPr>
          </w:p>
        </w:tc>
      </w:tr>
      <w:tr>
        <w:trPr>
          <w:trHeight w:val="129"/>
        </w:trPr>
        <w:tc>
          <w:tcPr>
            <w:tcW w:w="480" w:type="dxa"/>
            <w:vAlign w:val="bottom"/>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360" w:type="dxa"/>
            <w:vAlign w:val="bottom"/>
          </w:tcPr>
          <w:p>
            <w:pPr>
              <w:spacing w:after="0"/>
              <w:rPr>
                <w:sz w:val="11"/>
                <w:szCs w:val="11"/>
                <w:color w:val="auto"/>
              </w:rPr>
            </w:pPr>
          </w:p>
        </w:tc>
        <w:tc>
          <w:tcPr>
            <w:tcW w:w="10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2"/>
              </w:rPr>
              <w:t>Loan and Security Agreement, dated as of December 1, 2017, among the Company, CAC Warehouse Funding LLC VII, Credit Suisse</w:t>
            </w:r>
          </w:p>
        </w:tc>
        <w:tc>
          <w:tcPr>
            <w:tcW w:w="0" w:type="dxa"/>
            <w:vAlign w:val="bottom"/>
          </w:tcPr>
          <w:p>
            <w:pPr>
              <w:spacing w:after="0"/>
              <w:rPr>
                <w:sz w:val="1"/>
                <w:szCs w:val="1"/>
                <w:color w:val="auto"/>
              </w:rPr>
            </w:pPr>
          </w:p>
        </w:tc>
      </w:tr>
      <w:tr>
        <w:trPr>
          <w:trHeight w:val="190"/>
        </w:trPr>
        <w:tc>
          <w:tcPr>
            <w:tcW w:w="1160" w:type="dxa"/>
            <w:vAlign w:val="bottom"/>
            <w:gridSpan w:val="3"/>
            <w:shd w:val="clear" w:color="auto" w:fill="CCEEFF"/>
          </w:tcPr>
          <w:p>
            <w:pPr>
              <w:jc w:val="right"/>
              <w:ind w:right="360"/>
              <w:spacing w:after="0" w:line="190" w:lineRule="exact"/>
              <w:rPr>
                <w:rFonts w:ascii="Arial" w:cs="Arial" w:eastAsia="Arial" w:hAnsi="Arial"/>
                <w:sz w:val="18"/>
                <w:szCs w:val="18"/>
                <w:color w:val="0000FF"/>
              </w:rPr>
            </w:pPr>
            <w:hyperlink r:id="rId128">
              <w:r>
                <w:rPr>
                  <w:rFonts w:ascii="Arial" w:cs="Arial" w:eastAsia="Arial" w:hAnsi="Arial"/>
                  <w:sz w:val="18"/>
                  <w:szCs w:val="18"/>
                  <w:color w:val="0000FF"/>
                </w:rPr>
                <w:t>4.</w:t>
              </w:r>
              <w:r>
                <w:rPr>
                  <w:rFonts w:ascii="Arial" w:cs="Arial" w:eastAsia="Arial" w:hAnsi="Arial"/>
                  <w:sz w:val="18"/>
                  <w:szCs w:val="18"/>
                  <w:u w:val="single" w:color="auto"/>
                  <w:color w:val="0000FF"/>
                </w:rPr>
                <w:t>75</w:t>
              </w:r>
            </w:hyperlink>
          </w:p>
        </w:tc>
        <w:tc>
          <w:tcPr>
            <w:tcW w:w="10260" w:type="dxa"/>
            <w:vAlign w:val="bottom"/>
            <w:shd w:val="clear" w:color="auto" w:fill="CCEEFF"/>
          </w:tcPr>
          <w:p>
            <w:pPr>
              <w:ind w:left="360"/>
              <w:spacing w:after="0" w:line="190" w:lineRule="exact"/>
              <w:rPr>
                <w:sz w:val="20"/>
                <w:szCs w:val="20"/>
                <w:color w:val="auto"/>
              </w:rPr>
            </w:pPr>
            <w:r>
              <w:rPr>
                <w:rFonts w:ascii="Arial" w:cs="Arial" w:eastAsia="Arial" w:hAnsi="Arial"/>
                <w:sz w:val="18"/>
                <w:szCs w:val="18"/>
                <w:color w:val="auto"/>
                <w:w w:val="97"/>
              </w:rPr>
              <w:t>AG, New York Branch and Wells Fargo Bank, National Association (incorporated by reference to Exhibit 4.96 to the Company’s</w:t>
            </w:r>
          </w:p>
        </w:tc>
        <w:tc>
          <w:tcPr>
            <w:tcW w:w="0" w:type="dxa"/>
            <w:vAlign w:val="bottom"/>
          </w:tcPr>
          <w:p>
            <w:pPr>
              <w:spacing w:after="0"/>
              <w:rPr>
                <w:sz w:val="1"/>
                <w:szCs w:val="1"/>
                <w:color w:val="auto"/>
              </w:rPr>
            </w:pPr>
          </w:p>
        </w:tc>
      </w:tr>
      <w:tr>
        <w:trPr>
          <w:trHeight w:val="244"/>
        </w:trPr>
        <w:tc>
          <w:tcPr>
            <w:tcW w:w="4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0000FF"/>
              <w:bottom w:val="single" w:sz="8" w:color="CCEEFF"/>
            </w:tcBorders>
            <w:shd w:val="clear" w:color="auto" w:fill="CCEEFF"/>
          </w:tcPr>
          <w:p>
            <w:pPr>
              <w:spacing w:after="0"/>
              <w:rPr>
                <w:sz w:val="21"/>
                <w:szCs w:val="21"/>
                <w:color w:val="auto"/>
              </w:rPr>
            </w:pP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102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Current Report on Form 8-K filed December 7, 2017).</w:t>
            </w:r>
          </w:p>
        </w:tc>
        <w:tc>
          <w:tcPr>
            <w:tcW w:w="0" w:type="dxa"/>
            <w:vAlign w:val="bottom"/>
          </w:tcPr>
          <w:p>
            <w:pPr>
              <w:spacing w:after="0"/>
              <w:rPr>
                <w:sz w:val="1"/>
                <w:szCs w:val="1"/>
                <w:color w:val="auto"/>
              </w:rPr>
            </w:pPr>
          </w:p>
        </w:tc>
      </w:tr>
      <w:tr>
        <w:trPr>
          <w:trHeight w:val="229"/>
        </w:trPr>
        <w:tc>
          <w:tcPr>
            <w:tcW w:w="1160" w:type="dxa"/>
            <w:vAlign w:val="bottom"/>
            <w:gridSpan w:val="3"/>
            <w:vMerge w:val="restart"/>
          </w:tcPr>
          <w:p>
            <w:pPr>
              <w:jc w:val="right"/>
              <w:ind w:right="360"/>
              <w:spacing w:after="0"/>
              <w:rPr>
                <w:rFonts w:ascii="Arial" w:cs="Arial" w:eastAsia="Arial" w:hAnsi="Arial"/>
                <w:sz w:val="18"/>
                <w:szCs w:val="18"/>
                <w:color w:val="0000FF"/>
              </w:rPr>
            </w:pPr>
            <w:hyperlink r:id="rId129">
              <w:r>
                <w:rPr>
                  <w:rFonts w:ascii="Arial" w:cs="Arial" w:eastAsia="Arial" w:hAnsi="Arial"/>
                  <w:sz w:val="18"/>
                  <w:szCs w:val="18"/>
                  <w:color w:val="0000FF"/>
                </w:rPr>
                <w:t>4.</w:t>
              </w:r>
              <w:r>
                <w:rPr>
                  <w:rFonts w:ascii="Arial" w:cs="Arial" w:eastAsia="Arial" w:hAnsi="Arial"/>
                  <w:sz w:val="18"/>
                  <w:szCs w:val="18"/>
                  <w:u w:val="single" w:color="auto"/>
                  <w:color w:val="0000FF"/>
                </w:rPr>
                <w:t>76</w:t>
              </w:r>
            </w:hyperlink>
          </w:p>
        </w:tc>
        <w:tc>
          <w:tcPr>
            <w:tcW w:w="10260" w:type="dxa"/>
            <w:vAlign w:val="bottom"/>
          </w:tcPr>
          <w:p>
            <w:pPr>
              <w:ind w:left="360"/>
              <w:spacing w:after="0"/>
              <w:rPr>
                <w:sz w:val="20"/>
                <w:szCs w:val="20"/>
                <w:color w:val="auto"/>
              </w:rPr>
            </w:pPr>
            <w:r>
              <w:rPr>
                <w:rFonts w:ascii="Arial" w:cs="Arial" w:eastAsia="Arial" w:hAnsi="Arial"/>
                <w:sz w:val="18"/>
                <w:szCs w:val="18"/>
                <w:color w:val="auto"/>
                <w:w w:val="91"/>
              </w:rPr>
              <w:t>Contribution Agreement, dated as of December 1, 2017, between the Company and CAC Warehouse Funding LLC VII (incorporated by</w:t>
            </w:r>
          </w:p>
        </w:tc>
        <w:tc>
          <w:tcPr>
            <w:tcW w:w="0" w:type="dxa"/>
            <w:vAlign w:val="bottom"/>
          </w:tcPr>
          <w:p>
            <w:pPr>
              <w:spacing w:after="0"/>
              <w:rPr>
                <w:sz w:val="1"/>
                <w:szCs w:val="1"/>
                <w:color w:val="auto"/>
              </w:rPr>
            </w:pPr>
          </w:p>
        </w:tc>
      </w:tr>
      <w:tr>
        <w:trPr>
          <w:trHeight w:val="82"/>
        </w:trPr>
        <w:tc>
          <w:tcPr>
            <w:tcW w:w="1160" w:type="dxa"/>
            <w:vAlign w:val="bottom"/>
            <w:gridSpan w:val="3"/>
            <w:vMerge w:val="continue"/>
          </w:tcPr>
          <w:p>
            <w:pPr>
              <w:spacing w:after="0"/>
              <w:rPr>
                <w:sz w:val="7"/>
                <w:szCs w:val="7"/>
                <w:color w:val="auto"/>
              </w:rPr>
            </w:pPr>
          </w:p>
        </w:tc>
        <w:tc>
          <w:tcPr>
            <w:tcW w:w="10260" w:type="dxa"/>
            <w:vAlign w:val="bottom"/>
            <w:vMerge w:val="restart"/>
          </w:tcPr>
          <w:p>
            <w:pPr>
              <w:ind w:left="360"/>
              <w:spacing w:after="0"/>
              <w:rPr>
                <w:sz w:val="20"/>
                <w:szCs w:val="20"/>
                <w:color w:val="auto"/>
              </w:rPr>
            </w:pPr>
            <w:r>
              <w:rPr>
                <w:rFonts w:ascii="Arial" w:cs="Arial" w:eastAsia="Arial" w:hAnsi="Arial"/>
                <w:sz w:val="18"/>
                <w:szCs w:val="18"/>
                <w:color w:val="auto"/>
              </w:rPr>
              <w:t>reference to Exhibit 4.97 to the Company’s Current Report on Form 8-K filed December 7, 2017).</w:t>
            </w:r>
          </w:p>
        </w:tc>
        <w:tc>
          <w:tcPr>
            <w:tcW w:w="0" w:type="dxa"/>
            <w:vAlign w:val="bottom"/>
          </w:tcPr>
          <w:p>
            <w:pPr>
              <w:spacing w:after="0"/>
              <w:rPr>
                <w:sz w:val="1"/>
                <w:szCs w:val="1"/>
                <w:color w:val="auto"/>
              </w:rPr>
            </w:pPr>
          </w:p>
        </w:tc>
      </w:tr>
      <w:tr>
        <w:trPr>
          <w:trHeight w:val="129"/>
        </w:trPr>
        <w:tc>
          <w:tcPr>
            <w:tcW w:w="480" w:type="dxa"/>
            <w:vAlign w:val="bottom"/>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360" w:type="dxa"/>
            <w:vAlign w:val="bottom"/>
          </w:tcPr>
          <w:p>
            <w:pPr>
              <w:spacing w:after="0"/>
              <w:rPr>
                <w:sz w:val="11"/>
                <w:szCs w:val="11"/>
                <w:color w:val="auto"/>
              </w:rPr>
            </w:pPr>
          </w:p>
        </w:tc>
        <w:tc>
          <w:tcPr>
            <w:tcW w:w="10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3"/>
              </w:rPr>
              <w:t>Backup Servicing Agreement, dated as of December 1, 2017, among the Company, CAC Warehouse Funding LLC VII, Credit Suisse</w:t>
            </w:r>
          </w:p>
        </w:tc>
        <w:tc>
          <w:tcPr>
            <w:tcW w:w="0" w:type="dxa"/>
            <w:vAlign w:val="bottom"/>
          </w:tcPr>
          <w:p>
            <w:pPr>
              <w:spacing w:after="0"/>
              <w:rPr>
                <w:sz w:val="1"/>
                <w:szCs w:val="1"/>
                <w:color w:val="auto"/>
              </w:rPr>
            </w:pPr>
          </w:p>
        </w:tc>
      </w:tr>
      <w:tr>
        <w:trPr>
          <w:trHeight w:val="190"/>
        </w:trPr>
        <w:tc>
          <w:tcPr>
            <w:tcW w:w="1160" w:type="dxa"/>
            <w:vAlign w:val="bottom"/>
            <w:gridSpan w:val="3"/>
            <w:shd w:val="clear" w:color="auto" w:fill="CCEEFF"/>
          </w:tcPr>
          <w:p>
            <w:pPr>
              <w:jc w:val="right"/>
              <w:ind w:right="360"/>
              <w:spacing w:after="0" w:line="190" w:lineRule="exact"/>
              <w:rPr>
                <w:rFonts w:ascii="Arial" w:cs="Arial" w:eastAsia="Arial" w:hAnsi="Arial"/>
                <w:sz w:val="18"/>
                <w:szCs w:val="18"/>
                <w:color w:val="0000FF"/>
              </w:rPr>
            </w:pPr>
            <w:hyperlink r:id="rId130">
              <w:r>
                <w:rPr>
                  <w:rFonts w:ascii="Arial" w:cs="Arial" w:eastAsia="Arial" w:hAnsi="Arial"/>
                  <w:sz w:val="18"/>
                  <w:szCs w:val="18"/>
                  <w:color w:val="0000FF"/>
                </w:rPr>
                <w:t>4.</w:t>
              </w:r>
              <w:r>
                <w:rPr>
                  <w:rFonts w:ascii="Arial" w:cs="Arial" w:eastAsia="Arial" w:hAnsi="Arial"/>
                  <w:sz w:val="18"/>
                  <w:szCs w:val="18"/>
                  <w:u w:val="single" w:color="auto"/>
                  <w:color w:val="0000FF"/>
                </w:rPr>
                <w:t>77</w:t>
              </w:r>
            </w:hyperlink>
          </w:p>
        </w:tc>
        <w:tc>
          <w:tcPr>
            <w:tcW w:w="10260" w:type="dxa"/>
            <w:vAlign w:val="bottom"/>
            <w:shd w:val="clear" w:color="auto" w:fill="CCEEFF"/>
          </w:tcPr>
          <w:p>
            <w:pPr>
              <w:ind w:left="360"/>
              <w:spacing w:after="0" w:line="190" w:lineRule="exact"/>
              <w:rPr>
                <w:sz w:val="20"/>
                <w:szCs w:val="20"/>
                <w:color w:val="auto"/>
              </w:rPr>
            </w:pPr>
            <w:r>
              <w:rPr>
                <w:rFonts w:ascii="Arial" w:cs="Arial" w:eastAsia="Arial" w:hAnsi="Arial"/>
                <w:sz w:val="18"/>
                <w:szCs w:val="18"/>
                <w:color w:val="auto"/>
                <w:w w:val="97"/>
              </w:rPr>
              <w:t>AG, New York Branch and Wells Fargo Bank, National Association (incorporated by reference to Exhibit 4.98 to the Company’s</w:t>
            </w:r>
          </w:p>
        </w:tc>
        <w:tc>
          <w:tcPr>
            <w:tcW w:w="0" w:type="dxa"/>
            <w:vAlign w:val="bottom"/>
          </w:tcPr>
          <w:p>
            <w:pPr>
              <w:spacing w:after="0"/>
              <w:rPr>
                <w:sz w:val="1"/>
                <w:szCs w:val="1"/>
                <w:color w:val="auto"/>
              </w:rPr>
            </w:pPr>
          </w:p>
        </w:tc>
      </w:tr>
      <w:tr>
        <w:trPr>
          <w:trHeight w:val="244"/>
        </w:trPr>
        <w:tc>
          <w:tcPr>
            <w:tcW w:w="4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0000FF"/>
              <w:bottom w:val="single" w:sz="8" w:color="CCEEFF"/>
            </w:tcBorders>
            <w:shd w:val="clear" w:color="auto" w:fill="CCEEFF"/>
          </w:tcPr>
          <w:p>
            <w:pPr>
              <w:spacing w:after="0"/>
              <w:rPr>
                <w:sz w:val="21"/>
                <w:szCs w:val="21"/>
                <w:color w:val="auto"/>
              </w:rPr>
            </w:pP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102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Current Report on Form 8-K filed December 7, 2017).</w:t>
            </w: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60" w:type="dxa"/>
            <w:vAlign w:val="bottom"/>
          </w:tcPr>
          <w:p>
            <w:pPr>
              <w:ind w:left="360"/>
              <w:spacing w:after="0"/>
              <w:rPr>
                <w:sz w:val="20"/>
                <w:szCs w:val="20"/>
                <w:color w:val="auto"/>
              </w:rPr>
            </w:pPr>
            <w:r>
              <w:rPr>
                <w:rFonts w:ascii="Arial" w:cs="Arial" w:eastAsia="Arial" w:hAnsi="Arial"/>
                <w:sz w:val="18"/>
                <w:szCs w:val="18"/>
                <w:color w:val="auto"/>
                <w:w w:val="91"/>
              </w:rPr>
              <w:t>Amended and Restated Intercreditor Agreement, dated December 1, 2017, among the Company, CAC Warehouse Funding Corporation</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60" w:type="dxa"/>
            <w:vAlign w:val="bottom"/>
          </w:tcPr>
          <w:p>
            <w:pPr>
              <w:ind w:left="360"/>
              <w:spacing w:after="0"/>
              <w:rPr>
                <w:sz w:val="20"/>
                <w:szCs w:val="20"/>
                <w:color w:val="auto"/>
              </w:rPr>
            </w:pPr>
            <w:r>
              <w:rPr>
                <w:rFonts w:ascii="Arial" w:cs="Arial" w:eastAsia="Arial" w:hAnsi="Arial"/>
                <w:sz w:val="18"/>
                <w:szCs w:val="18"/>
                <w:color w:val="auto"/>
                <w:w w:val="94"/>
              </w:rPr>
              <w:t>II, CAC Warehouse Funding LLC IV, CAC Warehouse Funding LLC V, CAC Warehouse Funding LLC VI, CAC Warehouse Funding</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60" w:type="dxa"/>
            <w:vAlign w:val="bottom"/>
          </w:tcPr>
          <w:p>
            <w:pPr>
              <w:ind w:left="360"/>
              <w:spacing w:after="0"/>
              <w:rPr>
                <w:sz w:val="20"/>
                <w:szCs w:val="20"/>
                <w:color w:val="auto"/>
              </w:rPr>
            </w:pPr>
            <w:r>
              <w:rPr>
                <w:rFonts w:ascii="Arial" w:cs="Arial" w:eastAsia="Arial" w:hAnsi="Arial"/>
                <w:sz w:val="18"/>
                <w:szCs w:val="18"/>
                <w:color w:val="auto"/>
                <w:w w:val="94"/>
              </w:rPr>
              <w:t>LLC VII, Credit Acceptance Funding LLC 2017-3, Credit Acceptance Funding LLC 2017-2, Credit Acceptance Funding LLC 2017-1,</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60" w:type="dxa"/>
            <w:vAlign w:val="bottom"/>
          </w:tcPr>
          <w:p>
            <w:pPr>
              <w:ind w:left="360"/>
              <w:spacing w:after="0"/>
              <w:rPr>
                <w:sz w:val="20"/>
                <w:szCs w:val="20"/>
                <w:color w:val="auto"/>
              </w:rPr>
            </w:pPr>
            <w:r>
              <w:rPr>
                <w:rFonts w:ascii="Arial" w:cs="Arial" w:eastAsia="Arial" w:hAnsi="Arial"/>
                <w:sz w:val="18"/>
                <w:szCs w:val="18"/>
                <w:color w:val="auto"/>
                <w:w w:val="96"/>
              </w:rPr>
              <w:t>Credit Acceptance Funding LLC 2016-3, Credit Acceptance Funding LLC 2016-2, Credit Acceptance Funding LLC 2016-1, Credit</w:t>
            </w:r>
          </w:p>
        </w:tc>
        <w:tc>
          <w:tcPr>
            <w:tcW w:w="0" w:type="dxa"/>
            <w:vAlign w:val="bottom"/>
          </w:tcPr>
          <w:p>
            <w:pPr>
              <w:spacing w:after="0"/>
              <w:rPr>
                <w:sz w:val="1"/>
                <w:szCs w:val="1"/>
                <w:color w:val="auto"/>
              </w:rPr>
            </w:pPr>
          </w:p>
        </w:tc>
      </w:tr>
      <w:tr>
        <w:trPr>
          <w:trHeight w:val="216"/>
        </w:trPr>
        <w:tc>
          <w:tcPr>
            <w:tcW w:w="1160" w:type="dxa"/>
            <w:vAlign w:val="bottom"/>
            <w:gridSpan w:val="3"/>
            <w:vMerge w:val="restart"/>
          </w:tcPr>
          <w:p>
            <w:pPr>
              <w:jc w:val="right"/>
              <w:ind w:right="360"/>
              <w:spacing w:after="0"/>
              <w:rPr>
                <w:rFonts w:ascii="Arial" w:cs="Arial" w:eastAsia="Arial" w:hAnsi="Arial"/>
                <w:sz w:val="18"/>
                <w:szCs w:val="18"/>
                <w:color w:val="0000FF"/>
              </w:rPr>
            </w:pPr>
            <w:hyperlink r:id="rId131">
              <w:r>
                <w:rPr>
                  <w:rFonts w:ascii="Arial" w:cs="Arial" w:eastAsia="Arial" w:hAnsi="Arial"/>
                  <w:sz w:val="18"/>
                  <w:szCs w:val="18"/>
                  <w:color w:val="0000FF"/>
                </w:rPr>
                <w:t>4.</w:t>
              </w:r>
              <w:r>
                <w:rPr>
                  <w:rFonts w:ascii="Arial" w:cs="Arial" w:eastAsia="Arial" w:hAnsi="Arial"/>
                  <w:sz w:val="18"/>
                  <w:szCs w:val="18"/>
                  <w:u w:val="single" w:color="auto"/>
                  <w:color w:val="0000FF"/>
                </w:rPr>
                <w:t>78</w:t>
              </w:r>
            </w:hyperlink>
          </w:p>
        </w:tc>
        <w:tc>
          <w:tcPr>
            <w:tcW w:w="10260" w:type="dxa"/>
            <w:vAlign w:val="bottom"/>
          </w:tcPr>
          <w:p>
            <w:pPr>
              <w:ind w:left="360"/>
              <w:spacing w:after="0"/>
              <w:rPr>
                <w:sz w:val="20"/>
                <w:szCs w:val="20"/>
                <w:color w:val="auto"/>
              </w:rPr>
            </w:pPr>
            <w:r>
              <w:rPr>
                <w:rFonts w:ascii="Arial" w:cs="Arial" w:eastAsia="Arial" w:hAnsi="Arial"/>
                <w:sz w:val="18"/>
                <w:szCs w:val="18"/>
                <w:color w:val="auto"/>
                <w:w w:val="98"/>
              </w:rPr>
              <w:t>Acceptance Funding LLC 2015-2, Credit Acceptance Funding LLC 2015-1, Credit Acceptance Auto Loan Trust 2017-3, Credit</w:t>
            </w:r>
          </w:p>
        </w:tc>
        <w:tc>
          <w:tcPr>
            <w:tcW w:w="0" w:type="dxa"/>
            <w:vAlign w:val="bottom"/>
          </w:tcPr>
          <w:p>
            <w:pPr>
              <w:spacing w:after="0"/>
              <w:rPr>
                <w:sz w:val="1"/>
                <w:szCs w:val="1"/>
                <w:color w:val="auto"/>
              </w:rPr>
            </w:pPr>
          </w:p>
        </w:tc>
      </w:tr>
      <w:tr>
        <w:trPr>
          <w:trHeight w:val="82"/>
        </w:trPr>
        <w:tc>
          <w:tcPr>
            <w:tcW w:w="1160" w:type="dxa"/>
            <w:vAlign w:val="bottom"/>
            <w:gridSpan w:val="3"/>
            <w:vMerge w:val="continue"/>
          </w:tcPr>
          <w:p>
            <w:pPr>
              <w:spacing w:after="0"/>
              <w:rPr>
                <w:sz w:val="7"/>
                <w:szCs w:val="7"/>
                <w:color w:val="auto"/>
              </w:rPr>
            </w:pPr>
          </w:p>
        </w:tc>
        <w:tc>
          <w:tcPr>
            <w:tcW w:w="10260" w:type="dxa"/>
            <w:vAlign w:val="bottom"/>
            <w:vMerge w:val="restart"/>
          </w:tcPr>
          <w:p>
            <w:pPr>
              <w:ind w:left="360"/>
              <w:spacing w:after="0"/>
              <w:rPr>
                <w:sz w:val="20"/>
                <w:szCs w:val="20"/>
                <w:color w:val="auto"/>
              </w:rPr>
            </w:pPr>
            <w:r>
              <w:rPr>
                <w:rFonts w:ascii="Arial" w:cs="Arial" w:eastAsia="Arial" w:hAnsi="Arial"/>
                <w:sz w:val="18"/>
                <w:szCs w:val="18"/>
                <w:color w:val="auto"/>
                <w:w w:val="94"/>
              </w:rPr>
              <w:t>Acceptance Auto Loan Trust 2017-2, Credit Acceptance Auto Loan Trust 2017-1, Credit Acceptance Auto Loan Trust 2016-3, Credit</w:t>
            </w:r>
          </w:p>
        </w:tc>
        <w:tc>
          <w:tcPr>
            <w:tcW w:w="0" w:type="dxa"/>
            <w:vAlign w:val="bottom"/>
          </w:tcPr>
          <w:p>
            <w:pPr>
              <w:spacing w:after="0"/>
              <w:rPr>
                <w:sz w:val="1"/>
                <w:szCs w:val="1"/>
                <w:color w:val="auto"/>
              </w:rPr>
            </w:pPr>
          </w:p>
        </w:tc>
      </w:tr>
      <w:tr>
        <w:trPr>
          <w:trHeight w:val="114"/>
        </w:trPr>
        <w:tc>
          <w:tcPr>
            <w:tcW w:w="480" w:type="dxa"/>
            <w:vAlign w:val="bottom"/>
          </w:tcPr>
          <w:p>
            <w:pPr>
              <w:spacing w:after="0"/>
              <w:rPr>
                <w:sz w:val="9"/>
                <w:szCs w:val="9"/>
                <w:color w:val="auto"/>
              </w:rPr>
            </w:pPr>
          </w:p>
        </w:tc>
        <w:tc>
          <w:tcPr>
            <w:tcW w:w="320" w:type="dxa"/>
            <w:vAlign w:val="bottom"/>
            <w:tcBorders>
              <w:top w:val="single" w:sz="8" w:color="0000FF"/>
            </w:tcBorders>
          </w:tcPr>
          <w:p>
            <w:pPr>
              <w:spacing w:after="0"/>
              <w:rPr>
                <w:sz w:val="9"/>
                <w:szCs w:val="9"/>
                <w:color w:val="auto"/>
              </w:rPr>
            </w:pPr>
          </w:p>
        </w:tc>
        <w:tc>
          <w:tcPr>
            <w:tcW w:w="360" w:type="dxa"/>
            <w:vAlign w:val="bottom"/>
          </w:tcPr>
          <w:p>
            <w:pPr>
              <w:spacing w:after="0"/>
              <w:rPr>
                <w:sz w:val="9"/>
                <w:szCs w:val="9"/>
                <w:color w:val="auto"/>
              </w:rPr>
            </w:pPr>
          </w:p>
        </w:tc>
        <w:tc>
          <w:tcPr>
            <w:tcW w:w="10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60" w:type="dxa"/>
            <w:vAlign w:val="bottom"/>
          </w:tcPr>
          <w:p>
            <w:pPr>
              <w:ind w:left="360"/>
              <w:spacing w:after="0"/>
              <w:rPr>
                <w:sz w:val="20"/>
                <w:szCs w:val="20"/>
                <w:color w:val="auto"/>
              </w:rPr>
            </w:pPr>
            <w:r>
              <w:rPr>
                <w:rFonts w:ascii="Arial" w:cs="Arial" w:eastAsia="Arial" w:hAnsi="Arial"/>
                <w:sz w:val="18"/>
                <w:szCs w:val="18"/>
                <w:color w:val="auto"/>
                <w:w w:val="94"/>
              </w:rPr>
              <w:t>Acceptance Auto Loan Trust 2016-2, Credit Acceptance Auto Loan Trust 2015-2, Credit Acceptance Auto Loan Trust 2015-1, Wells</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60" w:type="dxa"/>
            <w:vAlign w:val="bottom"/>
          </w:tcPr>
          <w:p>
            <w:pPr>
              <w:ind w:left="360"/>
              <w:spacing w:after="0"/>
              <w:rPr>
                <w:sz w:val="20"/>
                <w:szCs w:val="20"/>
                <w:color w:val="auto"/>
              </w:rPr>
            </w:pPr>
            <w:r>
              <w:rPr>
                <w:rFonts w:ascii="Arial" w:cs="Arial" w:eastAsia="Arial" w:hAnsi="Arial"/>
                <w:sz w:val="18"/>
                <w:szCs w:val="18"/>
                <w:color w:val="auto"/>
                <w:w w:val="92"/>
              </w:rPr>
              <w:t>Fargo Bank, National Association, as agent, Fifth Third Bank, as agent, Bank of Montreal, as agent, Flagstar Bank, FSB, as agent and</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60" w:type="dxa"/>
            <w:vAlign w:val="bottom"/>
          </w:tcPr>
          <w:p>
            <w:pPr>
              <w:ind w:left="360"/>
              <w:spacing w:after="0"/>
              <w:rPr>
                <w:sz w:val="20"/>
                <w:szCs w:val="20"/>
                <w:color w:val="auto"/>
              </w:rPr>
            </w:pPr>
            <w:r>
              <w:rPr>
                <w:rFonts w:ascii="Arial" w:cs="Arial" w:eastAsia="Arial" w:hAnsi="Arial"/>
                <w:sz w:val="18"/>
                <w:szCs w:val="18"/>
                <w:color w:val="auto"/>
                <w:w w:val="93"/>
              </w:rPr>
              <w:t>Comerica Bank, as agent (incorporated by reference to Exhibit 4.99 to the Company’s Current Report on Form 8-K filed December 7,</w:t>
            </w:r>
          </w:p>
        </w:tc>
        <w:tc>
          <w:tcPr>
            <w:tcW w:w="0" w:type="dxa"/>
            <w:vAlign w:val="bottom"/>
          </w:tcPr>
          <w:p>
            <w:pPr>
              <w:spacing w:after="0"/>
              <w:rPr>
                <w:sz w:val="1"/>
                <w:szCs w:val="1"/>
                <w:color w:val="auto"/>
              </w:rPr>
            </w:pPr>
          </w:p>
        </w:tc>
      </w:tr>
      <w:tr>
        <w:trPr>
          <w:trHeight w:val="230"/>
        </w:trPr>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60" w:type="dxa"/>
            <w:vAlign w:val="bottom"/>
          </w:tcPr>
          <w:p>
            <w:pPr>
              <w:ind w:left="36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0"/>
              </w:rPr>
              <w:t>Amendment No. 1 to Sixth Amended and Restated Loan and Security Agreement, dated as of December 20, 2017, among the Company,</w:t>
            </w:r>
          </w:p>
        </w:tc>
        <w:tc>
          <w:tcPr>
            <w:tcW w:w="0" w:type="dxa"/>
            <w:vAlign w:val="bottom"/>
          </w:tcPr>
          <w:p>
            <w:pPr>
              <w:spacing w:after="0"/>
              <w:rPr>
                <w:sz w:val="1"/>
                <w:szCs w:val="1"/>
                <w:color w:val="auto"/>
              </w:rPr>
            </w:pPr>
          </w:p>
        </w:tc>
      </w:tr>
      <w:tr>
        <w:trPr>
          <w:trHeight w:val="190"/>
        </w:trPr>
        <w:tc>
          <w:tcPr>
            <w:tcW w:w="1160" w:type="dxa"/>
            <w:vAlign w:val="bottom"/>
            <w:gridSpan w:val="3"/>
            <w:shd w:val="clear" w:color="auto" w:fill="CCEEFF"/>
          </w:tcPr>
          <w:p>
            <w:pPr>
              <w:jc w:val="right"/>
              <w:ind w:right="360"/>
              <w:spacing w:after="0" w:line="190" w:lineRule="exact"/>
              <w:rPr>
                <w:rFonts w:ascii="Arial" w:cs="Arial" w:eastAsia="Arial" w:hAnsi="Arial"/>
                <w:sz w:val="18"/>
                <w:szCs w:val="18"/>
                <w:color w:val="0000FF"/>
              </w:rPr>
            </w:pPr>
            <w:hyperlink r:id="rId132">
              <w:r>
                <w:rPr>
                  <w:rFonts w:ascii="Arial" w:cs="Arial" w:eastAsia="Arial" w:hAnsi="Arial"/>
                  <w:sz w:val="18"/>
                  <w:szCs w:val="18"/>
                  <w:color w:val="0000FF"/>
                </w:rPr>
                <w:t>4.</w:t>
              </w:r>
              <w:r>
                <w:rPr>
                  <w:rFonts w:ascii="Arial" w:cs="Arial" w:eastAsia="Arial" w:hAnsi="Arial"/>
                  <w:sz w:val="18"/>
                  <w:szCs w:val="18"/>
                  <w:u w:val="single" w:color="auto"/>
                  <w:color w:val="0000FF"/>
                </w:rPr>
                <w:t>79</w:t>
              </w:r>
            </w:hyperlink>
          </w:p>
        </w:tc>
        <w:tc>
          <w:tcPr>
            <w:tcW w:w="10260" w:type="dxa"/>
            <w:vAlign w:val="bottom"/>
            <w:shd w:val="clear" w:color="auto" w:fill="CCEEFF"/>
          </w:tcPr>
          <w:p>
            <w:pPr>
              <w:ind w:left="360"/>
              <w:spacing w:after="0" w:line="190" w:lineRule="exact"/>
              <w:rPr>
                <w:sz w:val="20"/>
                <w:szCs w:val="20"/>
                <w:color w:val="auto"/>
              </w:rPr>
            </w:pPr>
            <w:r>
              <w:rPr>
                <w:rFonts w:ascii="Arial" w:cs="Arial" w:eastAsia="Arial" w:hAnsi="Arial"/>
                <w:sz w:val="18"/>
                <w:szCs w:val="18"/>
                <w:color w:val="auto"/>
                <w:w w:val="92"/>
              </w:rPr>
              <w:t>CAC Warehouse Funding Corporation II and Wells Fargo Bank, National Association (incorporated by reference to Exhibit 4.100 to the</w:t>
            </w:r>
          </w:p>
        </w:tc>
        <w:tc>
          <w:tcPr>
            <w:tcW w:w="0" w:type="dxa"/>
            <w:vAlign w:val="bottom"/>
          </w:tcPr>
          <w:p>
            <w:pPr>
              <w:spacing w:after="0"/>
              <w:rPr>
                <w:sz w:val="1"/>
                <w:szCs w:val="1"/>
                <w:color w:val="auto"/>
              </w:rPr>
            </w:pPr>
          </w:p>
        </w:tc>
      </w:tr>
      <w:tr>
        <w:trPr>
          <w:trHeight w:val="237"/>
        </w:trPr>
        <w:tc>
          <w:tcPr>
            <w:tcW w:w="48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FF"/>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102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Company’s Current Report on Form 8-K filed December 21, 2017).</w:t>
            </w:r>
          </w:p>
        </w:tc>
        <w:tc>
          <w:tcPr>
            <w:tcW w:w="0" w:type="dxa"/>
            <w:vAlign w:val="bottom"/>
          </w:tcPr>
          <w:p>
            <w:pPr>
              <w:spacing w:after="0"/>
              <w:rPr>
                <w:sz w:val="1"/>
                <w:szCs w:val="1"/>
                <w:color w:val="auto"/>
              </w:rPr>
            </w:pPr>
          </w:p>
        </w:tc>
      </w:tr>
      <w:tr>
        <w:trPr>
          <w:trHeight w:val="27"/>
        </w:trPr>
        <w:tc>
          <w:tcPr>
            <w:tcW w:w="4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sectPr>
          <w:pgSz w:w="11900" w:h="16838" w:orient="portrait"/>
          <w:cols w:equalWidth="0" w:num="1">
            <w:col w:w="11420"/>
          </w:cols>
          <w:pgMar w:left="240" w:top="337" w:right="239" w:bottom="1440" w:gutter="0" w:footer="0" w:header="0"/>
        </w:sectPr>
      </w:pPr>
    </w:p>
    <w:p>
      <w:pPr>
        <w:spacing w:after="0" w:line="108" w:lineRule="exact"/>
        <w:rPr>
          <w:sz w:val="20"/>
          <w:szCs w:val="20"/>
          <w:color w:val="auto"/>
        </w:rPr>
      </w:pPr>
    </w:p>
    <w:p>
      <w:pPr>
        <w:ind w:left="480"/>
        <w:spacing w:after="0"/>
        <w:rPr>
          <w:rFonts w:ascii="Arial" w:cs="Arial" w:eastAsia="Arial" w:hAnsi="Arial"/>
          <w:sz w:val="18"/>
          <w:szCs w:val="18"/>
          <w:u w:val="single" w:color="auto"/>
          <w:color w:val="0000FF"/>
        </w:rPr>
      </w:pPr>
      <w:hyperlink r:id="rId133">
        <w:r>
          <w:rPr>
            <w:rFonts w:ascii="Arial" w:cs="Arial" w:eastAsia="Arial" w:hAnsi="Arial"/>
            <w:sz w:val="18"/>
            <w:szCs w:val="18"/>
            <w:u w:val="single" w:color="auto"/>
            <w:color w:val="0000FF"/>
          </w:rPr>
          <w:t>10.1</w:t>
        </w:r>
      </w:hyperlink>
    </w:p>
    <w:p>
      <w:pPr>
        <w:spacing w:after="0" w:line="279" w:lineRule="exact"/>
        <w:rPr>
          <w:sz w:val="20"/>
          <w:szCs w:val="20"/>
          <w:color w:val="auto"/>
        </w:rPr>
      </w:pPr>
    </w:p>
    <w:p>
      <w:pPr>
        <w:ind w:left="480"/>
        <w:spacing w:after="0"/>
        <w:rPr>
          <w:rFonts w:ascii="Arial" w:cs="Arial" w:eastAsia="Arial" w:hAnsi="Arial"/>
          <w:sz w:val="18"/>
          <w:szCs w:val="18"/>
          <w:u w:val="single" w:color="auto"/>
          <w:color w:val="0000FF"/>
        </w:rPr>
      </w:pPr>
      <w:hyperlink r:id="rId134">
        <w:r>
          <w:rPr>
            <w:rFonts w:ascii="Arial" w:cs="Arial" w:eastAsia="Arial" w:hAnsi="Arial"/>
            <w:sz w:val="18"/>
            <w:szCs w:val="18"/>
            <w:u w:val="single" w:color="auto"/>
            <w:color w:val="0000FF"/>
          </w:rPr>
          <w:t>10.2</w:t>
        </w:r>
      </w:hyperlink>
    </w:p>
    <w:p>
      <w:pPr>
        <w:spacing w:after="0" w:line="279" w:lineRule="exact"/>
        <w:rPr>
          <w:sz w:val="20"/>
          <w:szCs w:val="20"/>
          <w:color w:val="auto"/>
        </w:rPr>
      </w:pPr>
    </w:p>
    <w:p>
      <w:pPr>
        <w:ind w:left="480"/>
        <w:spacing w:after="0"/>
        <w:rPr>
          <w:rFonts w:ascii="Arial" w:cs="Arial" w:eastAsia="Arial" w:hAnsi="Arial"/>
          <w:sz w:val="18"/>
          <w:szCs w:val="18"/>
          <w:u w:val="single" w:color="auto"/>
          <w:color w:val="0000FF"/>
        </w:rPr>
      </w:pPr>
      <w:hyperlink r:id="rId135">
        <w:r>
          <w:rPr>
            <w:rFonts w:ascii="Arial" w:cs="Arial" w:eastAsia="Arial" w:hAnsi="Arial"/>
            <w:sz w:val="18"/>
            <w:szCs w:val="18"/>
            <w:u w:val="single" w:color="auto"/>
            <w:color w:val="0000FF"/>
          </w:rPr>
          <w:t>10.3</w:t>
        </w:r>
      </w:hyperlink>
    </w:p>
    <w:p>
      <w:pPr>
        <w:spacing w:after="0" w:line="279" w:lineRule="exact"/>
        <w:rPr>
          <w:sz w:val="20"/>
          <w:szCs w:val="20"/>
          <w:color w:val="auto"/>
        </w:rPr>
      </w:pPr>
    </w:p>
    <w:p>
      <w:pPr>
        <w:ind w:left="480"/>
        <w:spacing w:after="0"/>
        <w:rPr>
          <w:rFonts w:ascii="Arial" w:cs="Arial" w:eastAsia="Arial" w:hAnsi="Arial"/>
          <w:sz w:val="18"/>
          <w:szCs w:val="18"/>
          <w:u w:val="single" w:color="auto"/>
          <w:color w:val="0000FF"/>
        </w:rPr>
      </w:pPr>
      <w:hyperlink r:id="rId136">
        <w:r>
          <w:rPr>
            <w:rFonts w:ascii="Arial" w:cs="Arial" w:eastAsia="Arial" w:hAnsi="Arial"/>
            <w:sz w:val="18"/>
            <w:szCs w:val="18"/>
            <w:u w:val="single" w:color="auto"/>
            <w:color w:val="0000FF"/>
          </w:rPr>
          <w:t>10.4</w:t>
        </w:r>
      </w:hyperlink>
    </w:p>
    <w:p>
      <w:pPr>
        <w:spacing w:after="0" w:line="279" w:lineRule="exact"/>
        <w:rPr>
          <w:sz w:val="20"/>
          <w:szCs w:val="20"/>
          <w:color w:val="auto"/>
        </w:rPr>
      </w:pPr>
    </w:p>
    <w:p>
      <w:pPr>
        <w:ind w:left="480"/>
        <w:spacing w:after="0"/>
        <w:rPr>
          <w:rFonts w:ascii="Arial" w:cs="Arial" w:eastAsia="Arial" w:hAnsi="Arial"/>
          <w:sz w:val="18"/>
          <w:szCs w:val="18"/>
          <w:u w:val="single" w:color="auto"/>
          <w:color w:val="0000FF"/>
        </w:rPr>
      </w:pPr>
      <w:hyperlink r:id="rId137">
        <w:r>
          <w:rPr>
            <w:rFonts w:ascii="Arial" w:cs="Arial" w:eastAsia="Arial" w:hAnsi="Arial"/>
            <w:sz w:val="18"/>
            <w:szCs w:val="18"/>
            <w:u w:val="single" w:color="auto"/>
            <w:color w:val="0000FF"/>
          </w:rPr>
          <w:t>10.5</w:t>
        </w:r>
      </w:hyperlink>
    </w:p>
    <w:p>
      <w:pPr>
        <w:spacing w:after="0" w:line="279" w:lineRule="exact"/>
        <w:rPr>
          <w:sz w:val="20"/>
          <w:szCs w:val="20"/>
          <w:color w:val="auto"/>
        </w:rPr>
      </w:pPr>
    </w:p>
    <w:p>
      <w:pPr>
        <w:ind w:left="480"/>
        <w:spacing w:after="0"/>
        <w:rPr>
          <w:rFonts w:ascii="Arial" w:cs="Arial" w:eastAsia="Arial" w:hAnsi="Arial"/>
          <w:sz w:val="18"/>
          <w:szCs w:val="18"/>
          <w:u w:val="single" w:color="auto"/>
          <w:color w:val="0000FF"/>
        </w:rPr>
      </w:pPr>
      <w:hyperlink r:id="rId138">
        <w:r>
          <w:rPr>
            <w:rFonts w:ascii="Arial" w:cs="Arial" w:eastAsia="Arial" w:hAnsi="Arial"/>
            <w:sz w:val="18"/>
            <w:szCs w:val="18"/>
            <w:u w:val="single" w:color="auto"/>
            <w:color w:val="0000FF"/>
          </w:rPr>
          <w:t>10.6</w:t>
        </w:r>
      </w:hyperlink>
    </w:p>
    <w:p>
      <w:pPr>
        <w:spacing w:after="0" w:line="279" w:lineRule="exact"/>
        <w:rPr>
          <w:sz w:val="20"/>
          <w:szCs w:val="20"/>
          <w:color w:val="auto"/>
        </w:rPr>
      </w:pPr>
    </w:p>
    <w:p>
      <w:pPr>
        <w:ind w:left="480"/>
        <w:spacing w:after="0"/>
        <w:rPr>
          <w:rFonts w:ascii="Arial" w:cs="Arial" w:eastAsia="Arial" w:hAnsi="Arial"/>
          <w:sz w:val="18"/>
          <w:szCs w:val="18"/>
          <w:u w:val="single" w:color="auto"/>
          <w:color w:val="0000FF"/>
        </w:rPr>
      </w:pPr>
      <w:hyperlink r:id="rId139">
        <w:r>
          <w:rPr>
            <w:rFonts w:ascii="Arial" w:cs="Arial" w:eastAsia="Arial" w:hAnsi="Arial"/>
            <w:sz w:val="18"/>
            <w:szCs w:val="18"/>
            <w:u w:val="single" w:color="auto"/>
            <w:color w:val="0000FF"/>
          </w:rPr>
          <w:t>10.7</w:t>
        </w:r>
      </w:hyperlink>
    </w:p>
    <w:p>
      <w:pPr>
        <w:spacing w:after="0" w:line="279" w:lineRule="exact"/>
        <w:rPr>
          <w:sz w:val="20"/>
          <w:szCs w:val="20"/>
          <w:color w:val="auto"/>
        </w:rPr>
      </w:pPr>
    </w:p>
    <w:p>
      <w:pPr>
        <w:ind w:left="480"/>
        <w:spacing w:after="0"/>
        <w:rPr>
          <w:rFonts w:ascii="Arial" w:cs="Arial" w:eastAsia="Arial" w:hAnsi="Arial"/>
          <w:sz w:val="18"/>
          <w:szCs w:val="18"/>
          <w:u w:val="single" w:color="auto"/>
          <w:color w:val="0000FF"/>
        </w:rPr>
      </w:pPr>
      <w:hyperlink r:id="rId140">
        <w:r>
          <w:rPr>
            <w:rFonts w:ascii="Arial" w:cs="Arial" w:eastAsia="Arial" w:hAnsi="Arial"/>
            <w:sz w:val="18"/>
            <w:szCs w:val="18"/>
            <w:u w:val="single" w:color="auto"/>
            <w:color w:val="0000FF"/>
          </w:rPr>
          <w:t>10.8</w:t>
        </w:r>
      </w:hyperlink>
    </w:p>
    <w:p>
      <w:pPr>
        <w:spacing w:after="0" w:line="279" w:lineRule="exact"/>
        <w:rPr>
          <w:sz w:val="20"/>
          <w:szCs w:val="20"/>
          <w:color w:val="auto"/>
        </w:rPr>
      </w:pPr>
    </w:p>
    <w:p>
      <w:pPr>
        <w:ind w:left="480"/>
        <w:spacing w:after="0"/>
        <w:rPr>
          <w:rFonts w:ascii="Arial" w:cs="Arial" w:eastAsia="Arial" w:hAnsi="Arial"/>
          <w:sz w:val="18"/>
          <w:szCs w:val="18"/>
          <w:u w:val="single" w:color="auto"/>
          <w:color w:val="0000FF"/>
        </w:rPr>
      </w:pPr>
      <w:hyperlink r:id="rId141">
        <w:r>
          <w:rPr>
            <w:rFonts w:ascii="Arial" w:cs="Arial" w:eastAsia="Arial" w:hAnsi="Arial"/>
            <w:sz w:val="18"/>
            <w:szCs w:val="18"/>
            <w:u w:val="single" w:color="auto"/>
            <w:color w:val="0000FF"/>
          </w:rPr>
          <w:t>10.9</w:t>
        </w:r>
      </w:hyperlink>
    </w:p>
    <w:p>
      <w:pPr>
        <w:spacing w:after="0" w:line="279" w:lineRule="exact"/>
        <w:rPr>
          <w:sz w:val="20"/>
          <w:szCs w:val="20"/>
          <w:color w:val="auto"/>
        </w:rPr>
      </w:pPr>
    </w:p>
    <w:p>
      <w:pPr>
        <w:ind w:left="440"/>
        <w:spacing w:after="0"/>
        <w:rPr>
          <w:rFonts w:ascii="Arial" w:cs="Arial" w:eastAsia="Arial" w:hAnsi="Arial"/>
          <w:sz w:val="15"/>
          <w:szCs w:val="15"/>
          <w:u w:val="single" w:color="auto"/>
          <w:color w:val="0000FF"/>
        </w:rPr>
      </w:pPr>
      <w:hyperlink r:id="rId142">
        <w:r>
          <w:rPr>
            <w:rFonts w:ascii="Arial" w:cs="Arial" w:eastAsia="Arial" w:hAnsi="Arial"/>
            <w:sz w:val="15"/>
            <w:szCs w:val="15"/>
            <w:u w:val="single" w:color="auto"/>
            <w:color w:val="0000FF"/>
          </w:rPr>
          <w:t>10.10</w:t>
        </w:r>
      </w:hyperlink>
    </w:p>
    <w:p>
      <w:pPr>
        <w:spacing w:after="0" w:line="314" w:lineRule="exact"/>
        <w:rPr>
          <w:sz w:val="20"/>
          <w:szCs w:val="20"/>
          <w:color w:val="auto"/>
        </w:rPr>
      </w:pPr>
    </w:p>
    <w:p>
      <w:pPr>
        <w:ind w:left="440"/>
        <w:spacing w:after="0"/>
        <w:rPr>
          <w:rFonts w:ascii="Arial" w:cs="Arial" w:eastAsia="Arial" w:hAnsi="Arial"/>
          <w:sz w:val="15"/>
          <w:szCs w:val="15"/>
          <w:u w:val="single" w:color="auto"/>
          <w:color w:val="0000FF"/>
        </w:rPr>
      </w:pPr>
      <w:hyperlink r:id="rId143">
        <w:r>
          <w:rPr>
            <w:rFonts w:ascii="Arial" w:cs="Arial" w:eastAsia="Arial" w:hAnsi="Arial"/>
            <w:sz w:val="15"/>
            <w:szCs w:val="15"/>
            <w:u w:val="single" w:color="auto"/>
            <w:color w:val="0000FF"/>
          </w:rPr>
          <w:t>10.11</w:t>
        </w:r>
      </w:hyperlink>
    </w:p>
    <w:p>
      <w:pPr>
        <w:spacing w:after="0" w:line="20" w:lineRule="exact"/>
        <w:rPr>
          <w:sz w:val="20"/>
          <w:szCs w:val="20"/>
          <w:color w:val="auto"/>
        </w:rPr>
      </w:pPr>
      <w:r>
        <w:rPr>
          <w:sz w:val="20"/>
          <w:szCs w:val="20"/>
          <w:color w:val="auto"/>
        </w:rPr>
        <w:br w:type="column"/>
      </w:r>
    </w:p>
    <w:p>
      <w:pPr>
        <w:ind w:right="40"/>
        <w:spacing w:after="0" w:line="277" w:lineRule="auto"/>
        <w:rPr>
          <w:sz w:val="20"/>
          <w:szCs w:val="20"/>
          <w:color w:val="auto"/>
        </w:rPr>
      </w:pPr>
      <w:r>
        <w:rPr>
          <w:rFonts w:ascii="Arial" w:cs="Arial" w:eastAsia="Arial" w:hAnsi="Arial"/>
          <w:sz w:val="18"/>
          <w:szCs w:val="18"/>
          <w:color w:val="auto"/>
        </w:rPr>
        <w:t>Form of Restricted Stock Grant Agreement (incorporated by reference to Exhibit 10(q)(4) to the Company’s Current Report on Form 8-K filed February 28,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-1905</wp:posOffset>
            </wp:positionV>
            <wp:extent cx="7246620" cy="3086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44">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right="20"/>
        <w:spacing w:after="0" w:line="277" w:lineRule="auto"/>
        <w:rPr>
          <w:sz w:val="20"/>
          <w:szCs w:val="20"/>
          <w:color w:val="auto"/>
        </w:rPr>
      </w:pPr>
      <w:r>
        <w:rPr>
          <w:rFonts w:ascii="Arial" w:cs="Arial" w:eastAsia="Arial" w:hAnsi="Arial"/>
          <w:sz w:val="18"/>
          <w:szCs w:val="18"/>
          <w:color w:val="auto"/>
        </w:rPr>
        <w:t>Credit Acceptance Corporation Amended and Restated Incentive Compensation Plan, as amended, April 6, 2009 (incorporated by reference to Annex A to the Company’s Definitive Proxy Statement on Schedule 14A filed April 10, 2009).*</w:t>
      </w:r>
    </w:p>
    <w:p>
      <w:pPr>
        <w:spacing w:after="0" w:line="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Form of Restricted Stock Unit Award Agreement (incorporated by reference to Exhibit 10(q)(11) to the Company’s Quarterly Report on Form 10-Q for the quarterly period ended September 30,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-1905</wp:posOffset>
            </wp:positionV>
            <wp:extent cx="7246620" cy="3086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45">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right="40"/>
        <w:spacing w:after="0" w:line="277" w:lineRule="auto"/>
        <w:rPr>
          <w:sz w:val="20"/>
          <w:szCs w:val="20"/>
          <w:color w:val="auto"/>
        </w:rPr>
      </w:pPr>
      <w:r>
        <w:rPr>
          <w:rFonts w:ascii="Arial" w:cs="Arial" w:eastAsia="Arial" w:hAnsi="Arial"/>
          <w:sz w:val="18"/>
          <w:szCs w:val="18"/>
          <w:color w:val="auto"/>
        </w:rPr>
        <w:t>Form of Board of Directors Restricted Stock Unit Award Agreement (incorporated by reference to Exhibit 10(q)(12) to the Company’s Quarterly Report on Form 10-Q for the quarterly period ended September 30, 2009).*</w:t>
      </w:r>
    </w:p>
    <w:p>
      <w:pPr>
        <w:spacing w:after="0" w:line="8" w:lineRule="exact"/>
        <w:rPr>
          <w:sz w:val="20"/>
          <w:szCs w:val="20"/>
          <w:color w:val="auto"/>
        </w:rPr>
      </w:pPr>
    </w:p>
    <w:p>
      <w:pPr>
        <w:ind w:right="40"/>
        <w:spacing w:after="0" w:line="298" w:lineRule="auto"/>
        <w:rPr>
          <w:sz w:val="20"/>
          <w:szCs w:val="20"/>
          <w:color w:val="auto"/>
        </w:rPr>
      </w:pPr>
      <w:r>
        <w:rPr>
          <w:rFonts w:ascii="Arial" w:cs="Arial" w:eastAsia="Arial" w:hAnsi="Arial"/>
          <w:sz w:val="17"/>
          <w:szCs w:val="17"/>
          <w:color w:val="auto"/>
        </w:rPr>
        <w:t>Restricted Stock Unit Award Agreement, dated March 26, 2012, between the Company and Brett A. Roberts (incorporated by reference to Exhibit 10.16 to the Company’s Quarterly Report on Form 10-Q for the quarterly period ended March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-6985</wp:posOffset>
            </wp:positionV>
            <wp:extent cx="7246620" cy="3086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46">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right="40"/>
        <w:spacing w:after="0" w:line="298" w:lineRule="auto"/>
        <w:rPr>
          <w:sz w:val="20"/>
          <w:szCs w:val="20"/>
          <w:color w:val="auto"/>
        </w:rPr>
      </w:pPr>
      <w:r>
        <w:rPr>
          <w:rFonts w:ascii="Arial" w:cs="Arial" w:eastAsia="Arial" w:hAnsi="Arial"/>
          <w:sz w:val="17"/>
          <w:szCs w:val="17"/>
          <w:color w:val="auto"/>
        </w:rPr>
        <w:t>Restricted Stock Award Agreement, dated March 26, 2012, between the Company and Brett A. Roberts (incorporated by reference to Exhibit 10.17 to the Company’s Quarterly Report on Form 10-Q for the quarterly period ended March 31, 2012).*</w:t>
      </w:r>
    </w:p>
    <w:p>
      <w:pPr>
        <w:spacing w:after="0" w:line="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Credit Acceptance Corporation Amended and Restated Incentive Compensation Plan, as amended, March 26, 2012 (incorporated by reference to Annex A to the Company’s Definitive Proxy Statement on Schedule 14A filed April 5,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-1905</wp:posOffset>
            </wp:positionV>
            <wp:extent cx="7246620" cy="3086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47">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right="40"/>
        <w:spacing w:after="0" w:line="277" w:lineRule="auto"/>
        <w:rPr>
          <w:sz w:val="20"/>
          <w:szCs w:val="20"/>
          <w:color w:val="auto"/>
        </w:rPr>
      </w:pPr>
      <w:r>
        <w:rPr>
          <w:rFonts w:ascii="Arial" w:cs="Arial" w:eastAsia="Arial" w:hAnsi="Arial"/>
          <w:sz w:val="18"/>
          <w:szCs w:val="18"/>
          <w:color w:val="auto"/>
        </w:rPr>
        <w:t>Form of Restricted Stock Unit Award Agreement (incorporated by reference to Exhibit 10.19 to the Company's Annual Report on Form 10-K for the fiscal year ended December 31, 2013).*</w:t>
      </w:r>
    </w:p>
    <w:p>
      <w:pPr>
        <w:spacing w:after="0" w:line="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Shareholder Agreement, dated as of January 3, 2017, between the Company and Donald A. Foss (incorporated by reference to Exhibit 10.18 to the Company’s Current Report on Form 8-K filed January 4,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-1905</wp:posOffset>
            </wp:positionV>
            <wp:extent cx="7246620" cy="3086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48">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right="40"/>
        <w:spacing w:after="0" w:line="277" w:lineRule="auto"/>
        <w:rPr>
          <w:sz w:val="20"/>
          <w:szCs w:val="20"/>
          <w:color w:val="auto"/>
        </w:rPr>
      </w:pPr>
      <w:r>
        <w:rPr>
          <w:rFonts w:ascii="Arial" w:cs="Arial" w:eastAsia="Arial" w:hAnsi="Arial"/>
          <w:sz w:val="18"/>
          <w:szCs w:val="18"/>
          <w:color w:val="auto"/>
        </w:rPr>
        <w:t>Form of Restricted Stock Unit Award Agreement (incorporated by reference to Exhibit 10.19 to the Company’s Quarterly Report on Form 10-Q for the quarterly period ended March 31, 2017).*</w:t>
      </w:r>
    </w:p>
    <w:p>
      <w:pPr>
        <w:spacing w:after="0" w:line="8"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Amendment to Shareholder Agreement dated September 15, 2017, between the Company and Donald A. Foss (incorporated by reference to Exhibit 10.19 to the Company’s Quarterly Report on Form 10-Q for the quarterly period ended September 30, 2017).*</w:t>
      </w:r>
    </w:p>
    <w:p>
      <w:pPr>
        <w:spacing w:after="0" w:line="200" w:lineRule="exact"/>
        <w:rPr>
          <w:sz w:val="20"/>
          <w:szCs w:val="20"/>
          <w:color w:val="auto"/>
        </w:rPr>
      </w:pPr>
    </w:p>
    <w:p>
      <w:pPr>
        <w:sectPr>
          <w:pgSz w:w="11900" w:h="16838" w:orient="portrait"/>
          <w:cols w:equalWidth="0" w:num="2">
            <w:col w:w="840" w:space="680"/>
            <w:col w:w="9900"/>
          </w:cols>
          <w:pgMar w:left="240" w:top="337" w:right="239" w:bottom="1440" w:gutter="0" w:footer="0" w:header="0"/>
          <w:type w:val="continuous"/>
        </w:sectPr>
      </w:pP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420"/>
          </w:cols>
          <w:pgMar w:left="240" w:top="337" w:right="239" w:bottom="1440" w:gutter="0" w:footer="0" w:header="0"/>
          <w:type w:val="continuous"/>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840" w:type="dxa"/>
            <w:vAlign w:val="bottom"/>
            <w:gridSpan w:val="2"/>
            <w:vMerge w:val="restart"/>
            <w:shd w:val="clear" w:color="auto" w:fill="CCEEFF"/>
          </w:tcPr>
          <w:p>
            <w:pPr>
              <w:jc w:val="right"/>
              <w:spacing w:after="0"/>
              <w:rPr>
                <w:rFonts w:ascii="Arial" w:cs="Arial" w:eastAsia="Arial" w:hAnsi="Arial"/>
                <w:sz w:val="18"/>
                <w:szCs w:val="18"/>
                <w:color w:val="0000FF"/>
              </w:rPr>
            </w:pPr>
            <w:hyperlink w:anchor="page100">
              <w:r>
                <w:rPr>
                  <w:rFonts w:ascii="Arial" w:cs="Arial" w:eastAsia="Arial" w:hAnsi="Arial"/>
                  <w:sz w:val="18"/>
                  <w:szCs w:val="18"/>
                  <w:color w:val="0000FF"/>
                </w:rPr>
                <w:t>10.</w:t>
              </w:r>
              <w:r>
                <w:rPr>
                  <w:rFonts w:ascii="Arial" w:cs="Arial" w:eastAsia="Arial" w:hAnsi="Arial"/>
                  <w:sz w:val="18"/>
                  <w:szCs w:val="18"/>
                  <w:u w:val="single" w:color="auto"/>
                  <w:color w:val="0000FF"/>
                </w:rPr>
                <w:t>12</w:t>
              </w:r>
            </w:hyperlink>
          </w:p>
        </w:tc>
        <w:tc>
          <w:tcPr>
            <w:tcW w:w="105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Amendment to Shareholder Agreement dated November 29, 2017, between the Company and Donald A. Foss.*</w:t>
            </w:r>
          </w:p>
        </w:tc>
        <w:tc>
          <w:tcPr>
            <w:tcW w:w="0" w:type="dxa"/>
            <w:vAlign w:val="bottom"/>
          </w:tcPr>
          <w:p>
            <w:pPr>
              <w:spacing w:after="0"/>
              <w:rPr>
                <w:sz w:val="1"/>
                <w:szCs w:val="1"/>
                <w:color w:val="auto"/>
              </w:rPr>
            </w:pPr>
          </w:p>
        </w:tc>
      </w:tr>
      <w:tr>
        <w:trPr>
          <w:trHeight w:val="60"/>
        </w:trPr>
        <w:tc>
          <w:tcPr>
            <w:tcW w:w="840" w:type="dxa"/>
            <w:vAlign w:val="bottom"/>
            <w:gridSpan w:val="2"/>
            <w:vMerge w:val="continue"/>
            <w:shd w:val="clear" w:color="auto" w:fill="CCEEFF"/>
          </w:tcPr>
          <w:p>
            <w:pPr>
              <w:spacing w:after="0"/>
              <w:rPr>
                <w:sz w:val="5"/>
                <w:szCs w:val="5"/>
                <w:color w:val="auto"/>
              </w:rPr>
            </w:pPr>
          </w:p>
        </w:tc>
        <w:tc>
          <w:tcPr>
            <w:tcW w:w="105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44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0000FF"/>
            </w:tcBorders>
            <w:shd w:val="clear" w:color="auto" w:fill="CCEEFF"/>
          </w:tcPr>
          <w:p>
            <w:pPr>
              <w:spacing w:after="0"/>
              <w:rPr>
                <w:sz w:val="13"/>
                <w:szCs w:val="13"/>
                <w:color w:val="auto"/>
              </w:rPr>
            </w:pPr>
          </w:p>
        </w:tc>
        <w:tc>
          <w:tcPr>
            <w:tcW w:w="105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520" w:hanging="974"/>
        <w:spacing w:after="0"/>
        <w:tabs>
          <w:tab w:leader="none" w:pos="1520" w:val="left"/>
        </w:tabs>
        <w:numPr>
          <w:ilvl w:val="0"/>
          <w:numId w:val="81"/>
        </w:numPr>
        <w:rPr>
          <w:rFonts w:ascii="Arial" w:cs="Arial" w:eastAsia="Arial" w:hAnsi="Arial"/>
          <w:sz w:val="18"/>
          <w:szCs w:val="18"/>
          <w:u w:val="single" w:color="auto"/>
          <w:color w:val="0000FF"/>
        </w:rPr>
      </w:pPr>
      <w:r>
        <w:rPr>
          <w:rFonts w:ascii="Arial" w:cs="Arial" w:eastAsia="Arial" w:hAnsi="Arial"/>
          <w:sz w:val="18"/>
          <w:szCs w:val="18"/>
          <w:color w:val="auto"/>
        </w:rPr>
        <w:t>Ratio of Earnings to Fixed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520" w:hanging="974"/>
        <w:spacing w:after="0"/>
        <w:tabs>
          <w:tab w:leader="none" w:pos="1520" w:val="left"/>
        </w:tabs>
        <w:numPr>
          <w:ilvl w:val="0"/>
          <w:numId w:val="82"/>
        </w:numPr>
        <w:rPr>
          <w:rFonts w:ascii="Arial" w:cs="Arial" w:eastAsia="Arial" w:hAnsi="Arial"/>
          <w:sz w:val="18"/>
          <w:szCs w:val="18"/>
          <w:u w:val="single" w:color="auto"/>
          <w:color w:val="0000FF"/>
        </w:rPr>
      </w:pPr>
      <w:r>
        <w:rPr>
          <w:rFonts w:ascii="Arial" w:cs="Arial" w:eastAsia="Arial" w:hAnsi="Arial"/>
          <w:sz w:val="18"/>
          <w:szCs w:val="18"/>
          <w:color w:val="auto"/>
        </w:rPr>
        <w:t>Schedule of Credit Acceptance Corporation Subsidiaries.</w:t>
      </w:r>
    </w:p>
    <w:p>
      <w:pPr>
        <w:spacing w:after="0" w:line="63" w:lineRule="exact"/>
        <w:rPr>
          <w:sz w:val="20"/>
          <w:szCs w:val="20"/>
          <w:color w:val="auto"/>
        </w:rPr>
      </w:pPr>
    </w:p>
    <w:p>
      <w:pPr>
        <w:ind w:left="1520" w:hanging="974"/>
        <w:spacing w:after="0"/>
        <w:tabs>
          <w:tab w:leader="none" w:pos="1520" w:val="left"/>
        </w:tabs>
        <w:numPr>
          <w:ilvl w:val="0"/>
          <w:numId w:val="83"/>
        </w:numPr>
        <w:rPr>
          <w:rFonts w:ascii="Arial" w:cs="Arial" w:eastAsia="Arial" w:hAnsi="Arial"/>
          <w:sz w:val="18"/>
          <w:szCs w:val="18"/>
          <w:u w:val="single" w:color="auto"/>
          <w:color w:val="0000FF"/>
        </w:rPr>
      </w:pPr>
      <w:r>
        <w:rPr>
          <w:rFonts w:ascii="Arial" w:cs="Arial" w:eastAsia="Arial" w:hAnsi="Arial"/>
          <w:sz w:val="18"/>
          <w:szCs w:val="18"/>
          <w:color w:val="auto"/>
        </w:rPr>
        <w:t>Consent of Grant Thornton LLP.</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gridSpan w:val="3"/>
            <w:shd w:val="clear" w:color="auto" w:fill="CCEEFF"/>
          </w:tcPr>
          <w:p>
            <w:pPr>
              <w:jc w:val="center"/>
              <w:spacing w:after="0"/>
              <w:rPr>
                <w:rFonts w:ascii="Arial" w:cs="Arial" w:eastAsia="Arial" w:hAnsi="Arial"/>
                <w:sz w:val="18"/>
                <w:szCs w:val="18"/>
                <w:color w:val="0000FF"/>
                <w:w w:val="91"/>
              </w:rPr>
            </w:pPr>
            <w:hyperlink w:anchor="page105">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1</w:t>
              </w:r>
            </w:hyperlink>
          </w:p>
        </w:tc>
        <w:tc>
          <w:tcPr>
            <w:tcW w:w="10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Certification of Chief Executive Officer pursuant to Rule 13a-14(a) of the Securities Exchange Act.</w:t>
            </w:r>
          </w:p>
        </w:tc>
        <w:tc>
          <w:tcPr>
            <w:tcW w:w="0" w:type="dxa"/>
            <w:vAlign w:val="bottom"/>
          </w:tcPr>
          <w:p>
            <w:pPr>
              <w:spacing w:after="0"/>
              <w:rPr>
                <w:sz w:val="1"/>
                <w:szCs w:val="1"/>
                <w:color w:val="auto"/>
              </w:rPr>
            </w:pPr>
          </w:p>
        </w:tc>
      </w:tr>
      <w:tr>
        <w:trPr>
          <w:trHeight w:val="48"/>
        </w:trPr>
        <w:tc>
          <w:tcPr>
            <w:tcW w:w="4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01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260" w:type="dxa"/>
            <w:vAlign w:val="bottom"/>
            <w:gridSpan w:val="3"/>
          </w:tcPr>
          <w:p>
            <w:pPr>
              <w:jc w:val="center"/>
              <w:spacing w:after="0" w:line="202" w:lineRule="exact"/>
              <w:rPr>
                <w:rFonts w:ascii="Arial" w:cs="Arial" w:eastAsia="Arial" w:hAnsi="Arial"/>
                <w:sz w:val="18"/>
                <w:szCs w:val="18"/>
                <w:color w:val="0000FF"/>
                <w:w w:val="91"/>
              </w:rPr>
            </w:pPr>
            <w:hyperlink w:anchor="page106">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2</w:t>
              </w:r>
            </w:hyperlink>
          </w:p>
        </w:tc>
        <w:tc>
          <w:tcPr>
            <w:tcW w:w="10160" w:type="dxa"/>
            <w:vAlign w:val="bottom"/>
          </w:tcPr>
          <w:p>
            <w:pPr>
              <w:ind w:left="260"/>
              <w:spacing w:after="0" w:line="202" w:lineRule="exact"/>
              <w:rPr>
                <w:sz w:val="20"/>
                <w:szCs w:val="20"/>
                <w:color w:val="auto"/>
              </w:rPr>
            </w:pPr>
            <w:r>
              <w:rPr>
                <w:rFonts w:ascii="Arial" w:cs="Arial" w:eastAsia="Arial" w:hAnsi="Arial"/>
                <w:sz w:val="18"/>
                <w:szCs w:val="18"/>
                <w:color w:val="auto"/>
              </w:rPr>
              <w:t>Certification of Chief Financial Officer pursuant to Rule 13a-14(a) of the Securities Exchange Act.</w:t>
            </w:r>
          </w:p>
        </w:tc>
        <w:tc>
          <w:tcPr>
            <w:tcW w:w="0" w:type="dxa"/>
            <w:vAlign w:val="bottom"/>
          </w:tcPr>
          <w:p>
            <w:pPr>
              <w:spacing w:after="0"/>
              <w:rPr>
                <w:sz w:val="1"/>
                <w:szCs w:val="1"/>
                <w:color w:val="auto"/>
              </w:rPr>
            </w:pPr>
          </w:p>
        </w:tc>
      </w:tr>
      <w:tr>
        <w:trPr>
          <w:trHeight w:val="48"/>
        </w:trPr>
        <w:tc>
          <w:tcPr>
            <w:tcW w:w="480" w:type="dxa"/>
            <w:vAlign w:val="bottom"/>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c>
          <w:tcPr>
            <w:tcW w:w="10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260" w:type="dxa"/>
            <w:vAlign w:val="bottom"/>
            <w:gridSpan w:val="3"/>
            <w:vMerge w:val="restart"/>
            <w:shd w:val="clear" w:color="auto" w:fill="CCEEFF"/>
          </w:tcPr>
          <w:p>
            <w:pPr>
              <w:jc w:val="center"/>
              <w:spacing w:after="0"/>
              <w:rPr>
                <w:rFonts w:ascii="Arial" w:cs="Arial" w:eastAsia="Arial" w:hAnsi="Arial"/>
                <w:sz w:val="18"/>
                <w:szCs w:val="18"/>
                <w:color w:val="0000FF"/>
                <w:w w:val="91"/>
              </w:rPr>
            </w:pPr>
            <w:hyperlink w:anchor="page107">
              <w:r>
                <w:rPr>
                  <w:rFonts w:ascii="Arial" w:cs="Arial" w:eastAsia="Arial" w:hAnsi="Arial"/>
                  <w:sz w:val="18"/>
                  <w:szCs w:val="18"/>
                  <w:color w:val="0000FF"/>
                  <w:w w:val="91"/>
                </w:rPr>
                <w:t>32.</w:t>
              </w:r>
              <w:r>
                <w:rPr>
                  <w:rFonts w:ascii="Arial" w:cs="Arial" w:eastAsia="Arial" w:hAnsi="Arial"/>
                  <w:sz w:val="18"/>
                  <w:szCs w:val="18"/>
                  <w:u w:val="single" w:color="auto"/>
                  <w:color w:val="0000FF"/>
                  <w:w w:val="91"/>
                </w:rPr>
                <w:t>1</w:t>
              </w:r>
            </w:hyperlink>
          </w:p>
        </w:tc>
        <w:tc>
          <w:tcPr>
            <w:tcW w:w="101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1"/>
              </w:rPr>
              <w:t>Certification of Chief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82"/>
        </w:trPr>
        <w:tc>
          <w:tcPr>
            <w:tcW w:w="1260" w:type="dxa"/>
            <w:vAlign w:val="bottom"/>
            <w:gridSpan w:val="3"/>
            <w:vMerge w:val="continue"/>
            <w:shd w:val="clear" w:color="auto" w:fill="CCEEFF"/>
          </w:tcPr>
          <w:p>
            <w:pPr>
              <w:spacing w:after="0"/>
              <w:rPr>
                <w:sz w:val="7"/>
                <w:szCs w:val="7"/>
                <w:color w:val="auto"/>
              </w:rPr>
            </w:pPr>
          </w:p>
        </w:tc>
        <w:tc>
          <w:tcPr>
            <w:tcW w:w="10160" w:type="dxa"/>
            <w:vAlign w:val="bottom"/>
            <w:vMerge w:val="restart"/>
            <w:shd w:val="clear" w:color="auto" w:fill="CCEEFF"/>
          </w:tcPr>
          <w:p>
            <w:pPr>
              <w:ind w:left="260"/>
              <w:spacing w:after="0"/>
              <w:rPr>
                <w:sz w:val="20"/>
                <w:szCs w:val="20"/>
                <w:color w:val="auto"/>
              </w:rPr>
            </w:pPr>
            <w:r>
              <w:rPr>
                <w:rFonts w:ascii="Arial" w:cs="Arial" w:eastAsia="Arial" w:hAnsi="Arial"/>
                <w:sz w:val="18"/>
                <w:szCs w:val="18"/>
                <w:color w:val="auto"/>
              </w:rPr>
              <w:t>Act of 2002.</w:t>
            </w:r>
          </w:p>
        </w:tc>
        <w:tc>
          <w:tcPr>
            <w:tcW w:w="0" w:type="dxa"/>
            <w:vAlign w:val="bottom"/>
          </w:tcPr>
          <w:p>
            <w:pPr>
              <w:spacing w:after="0"/>
              <w:rPr>
                <w:sz w:val="1"/>
                <w:szCs w:val="1"/>
                <w:color w:val="auto"/>
              </w:rPr>
            </w:pPr>
          </w:p>
        </w:tc>
      </w:tr>
      <w:tr>
        <w:trPr>
          <w:trHeight w:val="136"/>
        </w:trPr>
        <w:tc>
          <w:tcPr>
            <w:tcW w:w="480" w:type="dxa"/>
            <w:vAlign w:val="bottom"/>
            <w:tcBorders>
              <w:top w:val="single" w:sz="8" w:color="CCEEFF"/>
              <w:bottom w:val="single" w:sz="8" w:color="CCEEFF"/>
            </w:tcBorders>
            <w:shd w:val="clear" w:color="auto" w:fill="CCEEFF"/>
          </w:tcPr>
          <w:p>
            <w:pPr>
              <w:spacing w:after="0"/>
              <w:rPr>
                <w:sz w:val="11"/>
                <w:szCs w:val="11"/>
                <w:color w:val="auto"/>
              </w:rPr>
            </w:pPr>
          </w:p>
        </w:tc>
        <w:tc>
          <w:tcPr>
            <w:tcW w:w="320" w:type="dxa"/>
            <w:vAlign w:val="bottom"/>
            <w:tcBorders>
              <w:top w:val="single" w:sz="8" w:color="0000FF"/>
              <w:bottom w:val="single" w:sz="8" w:color="CCEEFF"/>
            </w:tcBorders>
            <w:shd w:val="clear" w:color="auto" w:fill="CCEEFF"/>
          </w:tcPr>
          <w:p>
            <w:pPr>
              <w:spacing w:after="0"/>
              <w:rPr>
                <w:sz w:val="11"/>
                <w:szCs w:val="11"/>
                <w:color w:val="auto"/>
              </w:rPr>
            </w:pPr>
          </w:p>
        </w:tc>
        <w:tc>
          <w:tcPr>
            <w:tcW w:w="460" w:type="dxa"/>
            <w:vAlign w:val="bottom"/>
            <w:tcBorders>
              <w:top w:val="single" w:sz="8" w:color="CCEEFF"/>
              <w:bottom w:val="single" w:sz="8" w:color="CCEEFF"/>
            </w:tcBorders>
            <w:shd w:val="clear" w:color="auto" w:fill="CCEEFF"/>
          </w:tcPr>
          <w:p>
            <w:pPr>
              <w:spacing w:after="0"/>
              <w:rPr>
                <w:sz w:val="11"/>
                <w:szCs w:val="11"/>
                <w:color w:val="auto"/>
              </w:rPr>
            </w:pPr>
          </w:p>
        </w:tc>
        <w:tc>
          <w:tcPr>
            <w:tcW w:w="10160" w:type="dxa"/>
            <w:vAlign w:val="bottom"/>
            <w:tcBorders>
              <w:top w:val="single" w:sz="8" w:color="CCEEFF"/>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1260" w:type="dxa"/>
            <w:vAlign w:val="bottom"/>
            <w:gridSpan w:val="3"/>
            <w:vMerge w:val="restart"/>
          </w:tcPr>
          <w:p>
            <w:pPr>
              <w:jc w:val="center"/>
              <w:spacing w:after="0"/>
              <w:rPr>
                <w:rFonts w:ascii="Arial" w:cs="Arial" w:eastAsia="Arial" w:hAnsi="Arial"/>
                <w:sz w:val="18"/>
                <w:szCs w:val="18"/>
                <w:color w:val="0000FF"/>
                <w:w w:val="91"/>
              </w:rPr>
            </w:pPr>
            <w:hyperlink w:anchor="page108">
              <w:r>
                <w:rPr>
                  <w:rFonts w:ascii="Arial" w:cs="Arial" w:eastAsia="Arial" w:hAnsi="Arial"/>
                  <w:sz w:val="18"/>
                  <w:szCs w:val="18"/>
                  <w:color w:val="0000FF"/>
                  <w:w w:val="91"/>
                </w:rPr>
                <w:t>32.</w:t>
              </w:r>
              <w:r>
                <w:rPr>
                  <w:rFonts w:ascii="Arial" w:cs="Arial" w:eastAsia="Arial" w:hAnsi="Arial"/>
                  <w:sz w:val="18"/>
                  <w:szCs w:val="18"/>
                  <w:u w:val="single" w:color="auto"/>
                  <w:color w:val="0000FF"/>
                  <w:w w:val="91"/>
                </w:rPr>
                <w:t>2</w:t>
              </w:r>
            </w:hyperlink>
          </w:p>
        </w:tc>
        <w:tc>
          <w:tcPr>
            <w:tcW w:w="10160" w:type="dxa"/>
            <w:vAlign w:val="bottom"/>
          </w:tcPr>
          <w:p>
            <w:pPr>
              <w:ind w:left="260"/>
              <w:spacing w:after="0"/>
              <w:rPr>
                <w:sz w:val="20"/>
                <w:szCs w:val="20"/>
                <w:color w:val="auto"/>
              </w:rPr>
            </w:pPr>
            <w:r>
              <w:rPr>
                <w:rFonts w:ascii="Arial" w:cs="Arial" w:eastAsia="Arial" w:hAnsi="Arial"/>
                <w:sz w:val="18"/>
                <w:szCs w:val="18"/>
                <w:color w:val="auto"/>
                <w:w w:val="92"/>
              </w:rPr>
              <w:t>Certification of Chief Financial Officer, Pursuant to 18 U.S.C. Section 1350, as adopted Pursuant to Section 906 of the Sarbanes-Oxley</w:t>
            </w:r>
          </w:p>
        </w:tc>
        <w:tc>
          <w:tcPr>
            <w:tcW w:w="0" w:type="dxa"/>
            <w:vAlign w:val="bottom"/>
          </w:tcPr>
          <w:p>
            <w:pPr>
              <w:spacing w:after="0"/>
              <w:rPr>
                <w:sz w:val="1"/>
                <w:szCs w:val="1"/>
                <w:color w:val="auto"/>
              </w:rPr>
            </w:pPr>
          </w:p>
        </w:tc>
      </w:tr>
      <w:tr>
        <w:trPr>
          <w:trHeight w:val="82"/>
        </w:trPr>
        <w:tc>
          <w:tcPr>
            <w:tcW w:w="1260" w:type="dxa"/>
            <w:vAlign w:val="bottom"/>
            <w:gridSpan w:val="3"/>
            <w:vMerge w:val="continue"/>
          </w:tcPr>
          <w:p>
            <w:pPr>
              <w:spacing w:after="0"/>
              <w:rPr>
                <w:sz w:val="7"/>
                <w:szCs w:val="7"/>
                <w:color w:val="auto"/>
              </w:rPr>
            </w:pPr>
          </w:p>
        </w:tc>
        <w:tc>
          <w:tcPr>
            <w:tcW w:w="10160" w:type="dxa"/>
            <w:vAlign w:val="bottom"/>
            <w:vMerge w:val="restart"/>
          </w:tcPr>
          <w:p>
            <w:pPr>
              <w:ind w:left="260"/>
              <w:spacing w:after="0"/>
              <w:rPr>
                <w:sz w:val="20"/>
                <w:szCs w:val="20"/>
                <w:color w:val="auto"/>
              </w:rPr>
            </w:pPr>
            <w:r>
              <w:rPr>
                <w:rFonts w:ascii="Arial" w:cs="Arial" w:eastAsia="Arial" w:hAnsi="Arial"/>
                <w:sz w:val="18"/>
                <w:szCs w:val="18"/>
                <w:color w:val="auto"/>
              </w:rPr>
              <w:t>Act of 2002.</w:t>
            </w:r>
          </w:p>
        </w:tc>
        <w:tc>
          <w:tcPr>
            <w:tcW w:w="0" w:type="dxa"/>
            <w:vAlign w:val="bottom"/>
          </w:tcPr>
          <w:p>
            <w:pPr>
              <w:spacing w:after="0"/>
              <w:rPr>
                <w:sz w:val="1"/>
                <w:szCs w:val="1"/>
                <w:color w:val="auto"/>
              </w:rPr>
            </w:pPr>
          </w:p>
        </w:tc>
      </w:tr>
      <w:tr>
        <w:trPr>
          <w:trHeight w:val="129"/>
        </w:trPr>
        <w:tc>
          <w:tcPr>
            <w:tcW w:w="480" w:type="dxa"/>
            <w:vAlign w:val="bottom"/>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460" w:type="dxa"/>
            <w:vAlign w:val="bottom"/>
          </w:tcPr>
          <w:p>
            <w:pPr>
              <w:spacing w:after="0"/>
              <w:rPr>
                <w:sz w:val="11"/>
                <w:szCs w:val="11"/>
                <w:color w:val="auto"/>
              </w:rPr>
            </w:pPr>
          </w:p>
        </w:tc>
        <w:tc>
          <w:tcPr>
            <w:tcW w:w="10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4"/>
              </w:rPr>
              <w:t>101(INS)</w:t>
            </w:r>
          </w:p>
        </w:tc>
        <w:tc>
          <w:tcPr>
            <w:tcW w:w="10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43"/>
        </w:trPr>
        <w:tc>
          <w:tcPr>
            <w:tcW w:w="1260" w:type="dxa"/>
            <w:vAlign w:val="bottom"/>
            <w:gridSpan w:val="3"/>
          </w:tcPr>
          <w:p>
            <w:pPr>
              <w:jc w:val="center"/>
              <w:spacing w:after="0"/>
              <w:rPr>
                <w:sz w:val="20"/>
                <w:szCs w:val="20"/>
                <w:color w:val="auto"/>
              </w:rPr>
            </w:pPr>
            <w:r>
              <w:rPr>
                <w:rFonts w:ascii="Arial" w:cs="Arial" w:eastAsia="Arial" w:hAnsi="Arial"/>
                <w:sz w:val="18"/>
                <w:szCs w:val="18"/>
                <w:color w:val="auto"/>
                <w:w w:val="92"/>
              </w:rPr>
              <w:t>101(SCH)</w:t>
            </w:r>
          </w:p>
        </w:tc>
        <w:tc>
          <w:tcPr>
            <w:tcW w:w="10160" w:type="dxa"/>
            <w:vAlign w:val="bottom"/>
          </w:tcPr>
          <w:p>
            <w:pPr>
              <w:ind w:left="26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8"/>
              </w:rPr>
              <w:t>101(CAL)</w:t>
            </w:r>
          </w:p>
        </w:tc>
        <w:tc>
          <w:tcPr>
            <w:tcW w:w="10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43"/>
        </w:trPr>
        <w:tc>
          <w:tcPr>
            <w:tcW w:w="1260" w:type="dxa"/>
            <w:vAlign w:val="bottom"/>
            <w:gridSpan w:val="3"/>
          </w:tcPr>
          <w:p>
            <w:pPr>
              <w:jc w:val="center"/>
              <w:spacing w:after="0"/>
              <w:rPr>
                <w:sz w:val="20"/>
                <w:szCs w:val="20"/>
                <w:color w:val="auto"/>
              </w:rPr>
            </w:pPr>
            <w:r>
              <w:rPr>
                <w:rFonts w:ascii="Arial" w:cs="Arial" w:eastAsia="Arial" w:hAnsi="Arial"/>
                <w:sz w:val="18"/>
                <w:szCs w:val="18"/>
                <w:color w:val="auto"/>
                <w:w w:val="92"/>
              </w:rPr>
              <w:t>101(DEF)</w:t>
            </w:r>
          </w:p>
        </w:tc>
        <w:tc>
          <w:tcPr>
            <w:tcW w:w="10160" w:type="dxa"/>
            <w:vAlign w:val="bottom"/>
          </w:tcPr>
          <w:p>
            <w:pPr>
              <w:ind w:left="26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9"/>
              </w:rPr>
              <w:t>101(LAB)</w:t>
            </w:r>
          </w:p>
        </w:tc>
        <w:tc>
          <w:tcPr>
            <w:tcW w:w="10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XBRL Taxonomy Label Linkbase Document.</w:t>
            </w:r>
          </w:p>
        </w:tc>
        <w:tc>
          <w:tcPr>
            <w:tcW w:w="0" w:type="dxa"/>
            <w:vAlign w:val="bottom"/>
          </w:tcPr>
          <w:p>
            <w:pPr>
              <w:spacing w:after="0"/>
              <w:rPr>
                <w:sz w:val="1"/>
                <w:szCs w:val="1"/>
                <w:color w:val="auto"/>
              </w:rPr>
            </w:pPr>
          </w:p>
        </w:tc>
      </w:tr>
      <w:tr>
        <w:trPr>
          <w:trHeight w:val="243"/>
        </w:trPr>
        <w:tc>
          <w:tcPr>
            <w:tcW w:w="1260" w:type="dxa"/>
            <w:vAlign w:val="bottom"/>
            <w:gridSpan w:val="3"/>
          </w:tcPr>
          <w:p>
            <w:pPr>
              <w:jc w:val="center"/>
              <w:spacing w:after="0"/>
              <w:rPr>
                <w:sz w:val="20"/>
                <w:szCs w:val="20"/>
                <w:color w:val="auto"/>
              </w:rPr>
            </w:pPr>
            <w:r>
              <w:rPr>
                <w:rFonts w:ascii="Arial" w:cs="Arial" w:eastAsia="Arial" w:hAnsi="Arial"/>
                <w:sz w:val="18"/>
                <w:szCs w:val="18"/>
                <w:color w:val="auto"/>
                <w:w w:val="91"/>
              </w:rPr>
              <w:t>101(PRE)</w:t>
            </w:r>
          </w:p>
        </w:tc>
        <w:tc>
          <w:tcPr>
            <w:tcW w:w="10160" w:type="dxa"/>
            <w:vAlign w:val="bottom"/>
          </w:tcPr>
          <w:p>
            <w:pPr>
              <w:ind w:left="26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300" w:hanging="709"/>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3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Other instruments, notes or extracts from agreements defining the rights of holders of long-term debt of the Company or its subsidiaries have not been filed because (i) in each case the total amount of long-term debt permitted thereunder does not exceed 10% of the Company's consolidated assets and (ii) the Company hereby agrees that it will furnish such instruments, notes and extracts to the Securities and Exchange Commission upon its request.</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Amendments and modifications to other exhibits previously filed have been omitted when in the opinion of the registrant such exhibits as amended or modified are no longer material or, in certain instances, are no longer required to be filed as exhibits.</w:t>
      </w:r>
    </w:p>
    <w:p>
      <w:pPr>
        <w:spacing w:after="0" w:line="166"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16.</w:t>
        <w:tab/>
        <w:t>FORM 10-K SUMMARY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337" w:right="239" w:bottom="1440" w:gutter="0" w:footer="0" w:header="0"/>
        </w:sectPr>
      </w:pPr>
    </w:p>
    <w:bookmarkStart w:id="98" w:name="page99"/>
    <w:bookmarkEnd w:id="98"/>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CREDIT ACCEPTANCE CORPORATION</w:t>
      </w:r>
    </w:p>
    <w:p>
      <w:pPr>
        <w:spacing w:after="0" w:line="337" w:lineRule="exact"/>
        <w:rPr>
          <w:sz w:val="20"/>
          <w:szCs w:val="20"/>
          <w:color w:val="auto"/>
        </w:rPr>
      </w:pPr>
    </w:p>
    <w:tbl>
      <w:tblPr>
        <w:tblLayout w:type="fixed"/>
        <w:tblInd w:w="46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Pr>
          <w:p>
            <w:pPr>
              <w:ind w:left="40"/>
              <w:spacing w:after="0"/>
              <w:rPr>
                <w:sz w:val="20"/>
                <w:szCs w:val="20"/>
                <w:color w:val="auto"/>
              </w:rPr>
            </w:pPr>
            <w:r>
              <w:rPr>
                <w:rFonts w:ascii="Arial" w:cs="Arial" w:eastAsia="Arial" w:hAnsi="Arial"/>
                <w:sz w:val="18"/>
                <w:szCs w:val="18"/>
                <w:color w:val="auto"/>
              </w:rPr>
              <w:t>/s/ BRETT A. ROBERTS</w:t>
            </w:r>
          </w:p>
        </w:tc>
      </w:tr>
      <w:tr>
        <w:trPr>
          <w:trHeight w:val="34"/>
        </w:trPr>
        <w:tc>
          <w:tcPr>
            <w:tcW w:w="76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243"/>
        </w:trPr>
        <w:tc>
          <w:tcPr>
            <w:tcW w:w="760" w:type="dxa"/>
            <w:vAlign w:val="bottom"/>
          </w:tcPr>
          <w:p>
            <w:pPr>
              <w:spacing w:after="0"/>
              <w:rPr>
                <w:sz w:val="21"/>
                <w:szCs w:val="21"/>
                <w:color w:val="auto"/>
              </w:rPr>
            </w:pPr>
          </w:p>
        </w:tc>
        <w:tc>
          <w:tcPr>
            <w:tcW w:w="4560" w:type="dxa"/>
            <w:vAlign w:val="bottom"/>
          </w:tcPr>
          <w:p>
            <w:pPr>
              <w:ind w:left="40"/>
              <w:spacing w:after="0"/>
              <w:rPr>
                <w:sz w:val="20"/>
                <w:szCs w:val="20"/>
                <w:color w:val="auto"/>
              </w:rPr>
            </w:pPr>
            <w:r>
              <w:rPr>
                <w:rFonts w:ascii="Arial" w:cs="Arial" w:eastAsia="Arial" w:hAnsi="Arial"/>
                <w:sz w:val="18"/>
                <w:szCs w:val="18"/>
                <w:color w:val="auto"/>
              </w:rPr>
              <w:t>Brett A. Roberts</w:t>
            </w:r>
          </w:p>
        </w:tc>
      </w:tr>
      <w:tr>
        <w:trPr>
          <w:trHeight w:val="270"/>
        </w:trPr>
        <w:tc>
          <w:tcPr>
            <w:tcW w:w="760" w:type="dxa"/>
            <w:vAlign w:val="bottom"/>
          </w:tcPr>
          <w:p>
            <w:pPr>
              <w:spacing w:after="0"/>
              <w:rPr>
                <w:sz w:val="23"/>
                <w:szCs w:val="23"/>
                <w:color w:val="auto"/>
              </w:rPr>
            </w:pPr>
          </w:p>
        </w:tc>
        <w:tc>
          <w:tcPr>
            <w:tcW w:w="4560" w:type="dxa"/>
            <w:vAlign w:val="bottom"/>
          </w:tcPr>
          <w:p>
            <w:pPr>
              <w:ind w:left="40"/>
              <w:spacing w:after="0"/>
              <w:rPr>
                <w:sz w:val="20"/>
                <w:szCs w:val="20"/>
                <w:color w:val="auto"/>
              </w:rPr>
            </w:pPr>
            <w:r>
              <w:rPr>
                <w:rFonts w:ascii="Arial" w:cs="Arial" w:eastAsia="Arial" w:hAnsi="Arial"/>
                <w:sz w:val="18"/>
                <w:szCs w:val="18"/>
                <w:i w:val="1"/>
                <w:iCs w:val="1"/>
                <w:color w:val="auto"/>
              </w:rPr>
              <w:t>Chief Executive Officer</w:t>
            </w:r>
          </w:p>
        </w:tc>
      </w:tr>
      <w:tr>
        <w:trPr>
          <w:trHeight w:val="270"/>
        </w:trPr>
        <w:tc>
          <w:tcPr>
            <w:tcW w:w="760" w:type="dxa"/>
            <w:vAlign w:val="bottom"/>
          </w:tcPr>
          <w:p>
            <w:pPr>
              <w:spacing w:after="0"/>
              <w:rPr>
                <w:sz w:val="23"/>
                <w:szCs w:val="23"/>
                <w:color w:val="auto"/>
              </w:rPr>
            </w:pPr>
          </w:p>
        </w:tc>
        <w:tc>
          <w:tcPr>
            <w:tcW w:w="4560" w:type="dxa"/>
            <w:vAlign w:val="bottom"/>
          </w:tcPr>
          <w:p>
            <w:pPr>
              <w:ind w:left="40"/>
              <w:spacing w:after="0"/>
              <w:rPr>
                <w:sz w:val="20"/>
                <w:szCs w:val="20"/>
                <w:color w:val="auto"/>
              </w:rPr>
            </w:pPr>
            <w:r>
              <w:rPr>
                <w:rFonts w:ascii="Arial" w:cs="Arial" w:eastAsia="Arial" w:hAnsi="Arial"/>
                <w:sz w:val="18"/>
                <w:szCs w:val="18"/>
                <w:i w:val="1"/>
                <w:iCs w:val="1"/>
                <w:color w:val="auto"/>
              </w:rPr>
              <w:t>(Principal Executive Officer)</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Date:</w:t>
            </w:r>
          </w:p>
        </w:tc>
        <w:tc>
          <w:tcPr>
            <w:tcW w:w="4560" w:type="dxa"/>
            <w:vAlign w:val="bottom"/>
          </w:tcPr>
          <w:p>
            <w:pPr>
              <w:ind w:left="40"/>
              <w:spacing w:after="0"/>
              <w:rPr>
                <w:sz w:val="20"/>
                <w:szCs w:val="20"/>
                <w:color w:val="auto"/>
              </w:rPr>
            </w:pPr>
            <w:r>
              <w:rPr>
                <w:rFonts w:ascii="Arial" w:cs="Arial" w:eastAsia="Arial" w:hAnsi="Arial"/>
                <w:sz w:val="18"/>
                <w:szCs w:val="18"/>
                <w:color w:val="auto"/>
              </w:rPr>
              <w:t>February 9, 2018</w:t>
            </w:r>
          </w:p>
        </w:tc>
      </w:tr>
    </w:tbl>
    <w:p>
      <w:pPr>
        <w:spacing w:after="0" w:line="229"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February 9, 2018 on behalf of the registrant and in the capacities indicated.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ind w:left="1460"/>
              <w:spacing w:after="0"/>
              <w:rPr>
                <w:sz w:val="20"/>
                <w:szCs w:val="20"/>
                <w:color w:val="auto"/>
              </w:rPr>
            </w:pPr>
            <w:r>
              <w:rPr>
                <w:rFonts w:ascii="Arial" w:cs="Arial" w:eastAsia="Arial" w:hAnsi="Arial"/>
                <w:sz w:val="18"/>
                <w:szCs w:val="18"/>
                <w:b w:val="1"/>
                <w:bCs w:val="1"/>
                <w:color w:val="auto"/>
              </w:rPr>
              <w:t>Signature</w:t>
            </w:r>
          </w:p>
        </w:tc>
        <w:tc>
          <w:tcPr>
            <w:tcW w:w="5320" w:type="dxa"/>
            <w:vAlign w:val="bottom"/>
          </w:tcPr>
          <w:p>
            <w:pPr>
              <w:ind w:left="4100"/>
              <w:spacing w:after="0"/>
              <w:rPr>
                <w:sz w:val="20"/>
                <w:szCs w:val="20"/>
                <w:color w:val="auto"/>
              </w:rPr>
            </w:pPr>
            <w:r>
              <w:rPr>
                <w:rFonts w:ascii="Arial" w:cs="Arial" w:eastAsia="Arial" w:hAnsi="Arial"/>
                <w:sz w:val="18"/>
                <w:szCs w:val="18"/>
                <w:b w:val="1"/>
                <w:bCs w:val="1"/>
                <w:color w:val="auto"/>
              </w:rPr>
              <w:t>Title</w:t>
            </w:r>
          </w:p>
        </w:tc>
        <w:tc>
          <w:tcPr>
            <w:tcW w:w="0" w:type="dxa"/>
            <w:vAlign w:val="bottom"/>
          </w:tcPr>
          <w:p>
            <w:pPr>
              <w:spacing w:after="0"/>
              <w:rPr>
                <w:sz w:val="1"/>
                <w:szCs w:val="1"/>
                <w:color w:val="auto"/>
              </w:rPr>
            </w:pPr>
          </w:p>
        </w:tc>
      </w:tr>
      <w:tr>
        <w:trPr>
          <w:trHeight w:val="540"/>
        </w:trPr>
        <w:tc>
          <w:tcPr>
            <w:tcW w:w="3660" w:type="dxa"/>
            <w:vAlign w:val="bottom"/>
          </w:tcPr>
          <w:p>
            <w:pPr>
              <w:ind w:left="40"/>
              <w:spacing w:after="0"/>
              <w:rPr>
                <w:sz w:val="20"/>
                <w:szCs w:val="20"/>
                <w:color w:val="auto"/>
              </w:rPr>
            </w:pPr>
            <w:r>
              <w:rPr>
                <w:rFonts w:ascii="Arial" w:cs="Arial" w:eastAsia="Arial" w:hAnsi="Arial"/>
                <w:sz w:val="18"/>
                <w:szCs w:val="18"/>
                <w:color w:val="auto"/>
              </w:rPr>
              <w:t>/s/ BRETT A. ROBERTS</w:t>
            </w:r>
          </w:p>
        </w:tc>
        <w:tc>
          <w:tcPr>
            <w:tcW w:w="5320" w:type="dxa"/>
            <w:vAlign w:val="bottom"/>
          </w:tcPr>
          <w:p>
            <w:pPr>
              <w:ind w:left="840"/>
              <w:spacing w:after="0"/>
              <w:rPr>
                <w:sz w:val="20"/>
                <w:szCs w:val="20"/>
                <w:color w:val="auto"/>
              </w:rPr>
            </w:pPr>
            <w:r>
              <w:rPr>
                <w:rFonts w:ascii="Arial" w:cs="Arial" w:eastAsia="Arial" w:hAnsi="Arial"/>
                <w:sz w:val="18"/>
                <w:szCs w:val="18"/>
                <w:color w:val="auto"/>
              </w:rPr>
              <w:t>Chief Executive Officer and Director</w:t>
            </w:r>
          </w:p>
        </w:tc>
        <w:tc>
          <w:tcPr>
            <w:tcW w:w="0" w:type="dxa"/>
            <w:vAlign w:val="bottom"/>
          </w:tcPr>
          <w:p>
            <w:pPr>
              <w:spacing w:after="0"/>
              <w:rPr>
                <w:sz w:val="1"/>
                <w:szCs w:val="1"/>
                <w:color w:val="auto"/>
              </w:rPr>
            </w:pPr>
          </w:p>
        </w:tc>
      </w:tr>
      <w:tr>
        <w:trPr>
          <w:trHeight w:val="34"/>
        </w:trPr>
        <w:tc>
          <w:tcPr>
            <w:tcW w:w="3660" w:type="dxa"/>
            <w:vAlign w:val="bottom"/>
            <w:tcBorders>
              <w:bottom w:val="single" w:sz="8" w:color="auto"/>
            </w:tcBorders>
          </w:tcPr>
          <w:p>
            <w:pPr>
              <w:spacing w:after="0"/>
              <w:rPr>
                <w:sz w:val="2"/>
                <w:szCs w:val="2"/>
                <w:color w:val="auto"/>
              </w:rPr>
            </w:pPr>
          </w:p>
        </w:tc>
        <w:tc>
          <w:tcPr>
            <w:tcW w:w="5320" w:type="dxa"/>
            <w:vAlign w:val="bottom"/>
            <w:vMerge w:val="restart"/>
          </w:tcPr>
          <w:p>
            <w:pPr>
              <w:ind w:left="84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Brett A. Roberts</w:t>
            </w:r>
          </w:p>
        </w:tc>
        <w:tc>
          <w:tcPr>
            <w:tcW w:w="53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3660" w:type="dxa"/>
            <w:vAlign w:val="bottom"/>
          </w:tcPr>
          <w:p>
            <w:pPr>
              <w:ind w:left="40"/>
              <w:spacing w:after="0"/>
              <w:rPr>
                <w:sz w:val="20"/>
                <w:szCs w:val="20"/>
                <w:color w:val="auto"/>
              </w:rPr>
            </w:pPr>
            <w:r>
              <w:rPr>
                <w:rFonts w:ascii="Arial" w:cs="Arial" w:eastAsia="Arial" w:hAnsi="Arial"/>
                <w:sz w:val="18"/>
                <w:szCs w:val="18"/>
                <w:color w:val="auto"/>
              </w:rPr>
              <w:t>/s/ KENNETH S. BOOTH</w:t>
            </w:r>
          </w:p>
        </w:tc>
        <w:tc>
          <w:tcPr>
            <w:tcW w:w="5320" w:type="dxa"/>
            <w:vAlign w:val="bottom"/>
          </w:tcPr>
          <w:p>
            <w:pPr>
              <w:ind w:left="84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34"/>
        </w:trPr>
        <w:tc>
          <w:tcPr>
            <w:tcW w:w="3660" w:type="dxa"/>
            <w:vAlign w:val="bottom"/>
            <w:tcBorders>
              <w:bottom w:val="single" w:sz="8" w:color="auto"/>
            </w:tcBorders>
          </w:tcPr>
          <w:p>
            <w:pPr>
              <w:spacing w:after="0"/>
              <w:rPr>
                <w:sz w:val="2"/>
                <w:szCs w:val="2"/>
                <w:color w:val="auto"/>
              </w:rPr>
            </w:pPr>
          </w:p>
        </w:tc>
        <w:tc>
          <w:tcPr>
            <w:tcW w:w="5320" w:type="dxa"/>
            <w:vAlign w:val="bottom"/>
            <w:vMerge w:val="restart"/>
          </w:tcPr>
          <w:p>
            <w:pPr>
              <w:ind w:left="840"/>
              <w:spacing w:after="0"/>
              <w:rPr>
                <w:sz w:val="20"/>
                <w:szCs w:val="20"/>
                <w:color w:val="auto"/>
              </w:rPr>
            </w:pPr>
            <w:r>
              <w:rPr>
                <w:rFonts w:ascii="Arial" w:cs="Arial" w:eastAsia="Arial" w:hAnsi="Arial"/>
                <w:sz w:val="18"/>
                <w:szCs w:val="18"/>
                <w:color w:val="auto"/>
                <w:w w:val="93"/>
              </w:rPr>
              <w:t>(Principal Financial Officer and Principal Accounting Officer)</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Kenneth S. Booth</w:t>
            </w:r>
          </w:p>
        </w:tc>
        <w:tc>
          <w:tcPr>
            <w:tcW w:w="53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3660" w:type="dxa"/>
            <w:vAlign w:val="bottom"/>
          </w:tcPr>
          <w:p>
            <w:pPr>
              <w:ind w:left="40"/>
              <w:spacing w:after="0"/>
              <w:rPr>
                <w:sz w:val="20"/>
                <w:szCs w:val="20"/>
                <w:color w:val="auto"/>
              </w:rPr>
            </w:pPr>
            <w:r>
              <w:rPr>
                <w:rFonts w:ascii="Arial" w:cs="Arial" w:eastAsia="Arial" w:hAnsi="Arial"/>
                <w:sz w:val="18"/>
                <w:szCs w:val="18"/>
                <w:color w:val="auto"/>
              </w:rPr>
              <w:t>/s/ THOMAS N. TRYFOROS</w:t>
            </w:r>
          </w:p>
        </w:tc>
        <w:tc>
          <w:tcPr>
            <w:tcW w:w="5320" w:type="dxa"/>
            <w:vAlign w:val="bottom"/>
          </w:tcPr>
          <w:p>
            <w:pPr>
              <w:ind w:left="840"/>
              <w:spacing w:after="0"/>
              <w:rPr>
                <w:sz w:val="20"/>
                <w:szCs w:val="20"/>
                <w:color w:val="auto"/>
              </w:rPr>
            </w:pPr>
            <w:r>
              <w:rPr>
                <w:rFonts w:ascii="Arial" w:cs="Arial" w:eastAsia="Arial" w:hAnsi="Arial"/>
                <w:sz w:val="18"/>
                <w:szCs w:val="18"/>
                <w:color w:val="auto"/>
              </w:rPr>
              <w:t>Lead Director</w:t>
            </w:r>
          </w:p>
        </w:tc>
        <w:tc>
          <w:tcPr>
            <w:tcW w:w="0" w:type="dxa"/>
            <w:vAlign w:val="bottom"/>
          </w:tcPr>
          <w:p>
            <w:pPr>
              <w:spacing w:after="0"/>
              <w:rPr>
                <w:sz w:val="1"/>
                <w:szCs w:val="1"/>
                <w:color w:val="auto"/>
              </w:rPr>
            </w:pPr>
          </w:p>
        </w:tc>
      </w:tr>
      <w:tr>
        <w:trPr>
          <w:trHeight w:val="34"/>
        </w:trPr>
        <w:tc>
          <w:tcPr>
            <w:tcW w:w="3660" w:type="dxa"/>
            <w:vAlign w:val="bottom"/>
            <w:tcBorders>
              <w:bottom w:val="single" w:sz="8" w:color="auto"/>
            </w:tcBorders>
          </w:tcPr>
          <w:p>
            <w:pPr>
              <w:spacing w:after="0"/>
              <w:rPr>
                <w:sz w:val="2"/>
                <w:szCs w:val="2"/>
                <w:color w:val="auto"/>
              </w:rPr>
            </w:pPr>
          </w:p>
        </w:tc>
        <w:tc>
          <w:tcPr>
            <w:tcW w:w="5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Thomas N. Tryforos</w:t>
            </w:r>
          </w:p>
        </w:tc>
        <w:tc>
          <w:tcPr>
            <w:tcW w:w="5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4"/>
        </w:trPr>
        <w:tc>
          <w:tcPr>
            <w:tcW w:w="3660" w:type="dxa"/>
            <w:vAlign w:val="bottom"/>
          </w:tcPr>
          <w:p>
            <w:pPr>
              <w:ind w:left="40"/>
              <w:spacing w:after="0"/>
              <w:rPr>
                <w:sz w:val="20"/>
                <w:szCs w:val="20"/>
                <w:color w:val="auto"/>
              </w:rPr>
            </w:pPr>
            <w:r>
              <w:rPr>
                <w:rFonts w:ascii="Arial" w:cs="Arial" w:eastAsia="Arial" w:hAnsi="Arial"/>
                <w:sz w:val="18"/>
                <w:szCs w:val="18"/>
                <w:color w:val="auto"/>
              </w:rPr>
              <w:t>/s/ GLENDA J. FLANAGAN</w:t>
            </w:r>
          </w:p>
        </w:tc>
        <w:tc>
          <w:tcPr>
            <w:tcW w:w="5320" w:type="dxa"/>
            <w:vAlign w:val="bottom"/>
          </w:tcPr>
          <w:p>
            <w:pPr>
              <w:ind w:left="8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34"/>
        </w:trPr>
        <w:tc>
          <w:tcPr>
            <w:tcW w:w="3660" w:type="dxa"/>
            <w:vAlign w:val="bottom"/>
            <w:tcBorders>
              <w:bottom w:val="single" w:sz="8" w:color="auto"/>
            </w:tcBorders>
          </w:tcPr>
          <w:p>
            <w:pPr>
              <w:spacing w:after="0"/>
              <w:rPr>
                <w:sz w:val="2"/>
                <w:szCs w:val="2"/>
                <w:color w:val="auto"/>
              </w:rPr>
            </w:pPr>
          </w:p>
        </w:tc>
        <w:tc>
          <w:tcPr>
            <w:tcW w:w="5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Glenda J. Flanagan</w:t>
            </w:r>
          </w:p>
        </w:tc>
        <w:tc>
          <w:tcPr>
            <w:tcW w:w="5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3660" w:type="dxa"/>
            <w:vAlign w:val="bottom"/>
          </w:tcPr>
          <w:p>
            <w:pPr>
              <w:ind w:left="40"/>
              <w:spacing w:after="0"/>
              <w:rPr>
                <w:sz w:val="20"/>
                <w:szCs w:val="20"/>
                <w:color w:val="auto"/>
              </w:rPr>
            </w:pPr>
            <w:r>
              <w:rPr>
                <w:rFonts w:ascii="Arial" w:cs="Arial" w:eastAsia="Arial" w:hAnsi="Arial"/>
                <w:sz w:val="18"/>
                <w:szCs w:val="18"/>
                <w:color w:val="auto"/>
              </w:rPr>
              <w:t>/s/ SCOTT J. VASSALLUZZO</w:t>
            </w:r>
          </w:p>
        </w:tc>
        <w:tc>
          <w:tcPr>
            <w:tcW w:w="5320" w:type="dxa"/>
            <w:vAlign w:val="bottom"/>
          </w:tcPr>
          <w:p>
            <w:pPr>
              <w:ind w:left="8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34"/>
        </w:trPr>
        <w:tc>
          <w:tcPr>
            <w:tcW w:w="3660" w:type="dxa"/>
            <w:vAlign w:val="bottom"/>
            <w:tcBorders>
              <w:bottom w:val="single" w:sz="8" w:color="auto"/>
            </w:tcBorders>
          </w:tcPr>
          <w:p>
            <w:pPr>
              <w:spacing w:after="0"/>
              <w:rPr>
                <w:sz w:val="2"/>
                <w:szCs w:val="2"/>
                <w:color w:val="auto"/>
              </w:rPr>
            </w:pPr>
          </w:p>
        </w:tc>
        <w:tc>
          <w:tcPr>
            <w:tcW w:w="5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Scott J. Vassalluzzo</w:t>
            </w:r>
          </w:p>
        </w:tc>
        <w:tc>
          <w:tcPr>
            <w:tcW w:w="53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364" w:right="259" w:bottom="1440" w:gutter="0" w:footer="0" w:header="0"/>
        </w:sectPr>
      </w:pPr>
    </w:p>
    <w:bookmarkStart w:id="99" w:name="page100"/>
    <w:bookmarkEnd w:id="99"/>
    <w:p>
      <w:pPr>
        <w:jc w:val="center"/>
        <w:spacing w:after="0"/>
        <w:rPr>
          <w:sz w:val="20"/>
          <w:szCs w:val="20"/>
          <w:color w:val="auto"/>
        </w:rPr>
      </w:pPr>
      <w:r>
        <w:rPr>
          <w:rFonts w:ascii="Arial" w:cs="Arial" w:eastAsia="Arial" w:hAnsi="Arial"/>
          <w:sz w:val="20"/>
          <w:szCs w:val="20"/>
          <w:color w:val="auto"/>
        </w:rPr>
        <w:t>Credit Acceptance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25505 W. Twelve Mile Road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Southfield, Michigan 48034-8339</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November 29, 2017</w:t>
      </w:r>
    </w:p>
    <w:p>
      <w:pPr>
        <w:spacing w:after="0" w:line="200" w:lineRule="exact"/>
        <w:rPr>
          <w:sz w:val="20"/>
          <w:szCs w:val="20"/>
          <w:color w:val="auto"/>
        </w:rPr>
      </w:pPr>
    </w:p>
    <w:p>
      <w:pPr>
        <w:spacing w:after="0" w:line="205" w:lineRule="exact"/>
        <w:rPr>
          <w:sz w:val="20"/>
          <w:szCs w:val="20"/>
          <w:color w:val="auto"/>
        </w:rPr>
      </w:pPr>
    </w:p>
    <w:p>
      <w:pPr>
        <w:ind w:left="40"/>
        <w:spacing w:after="0"/>
        <w:rPr>
          <w:sz w:val="20"/>
          <w:szCs w:val="20"/>
          <w:color w:val="auto"/>
        </w:rPr>
      </w:pPr>
      <w:r>
        <w:rPr>
          <w:rFonts w:ascii="Arial" w:cs="Arial" w:eastAsia="Arial" w:hAnsi="Arial"/>
          <w:sz w:val="20"/>
          <w:szCs w:val="20"/>
          <w:color w:val="auto"/>
        </w:rPr>
        <w:t>Donald A. Foss</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20"/>
          <w:szCs w:val="20"/>
          <w:color w:val="auto"/>
        </w:rPr>
        <w:t>26155 Hawthorne</w:t>
      </w:r>
    </w:p>
    <w:p>
      <w:pPr>
        <w:ind w:left="40"/>
        <w:spacing w:after="0"/>
        <w:rPr>
          <w:sz w:val="20"/>
          <w:szCs w:val="20"/>
          <w:color w:val="auto"/>
        </w:rPr>
      </w:pPr>
      <w:r>
        <w:rPr>
          <w:rFonts w:ascii="Arial" w:cs="Arial" w:eastAsia="Arial" w:hAnsi="Arial"/>
          <w:sz w:val="20"/>
          <w:szCs w:val="20"/>
          <w:color w:val="auto"/>
        </w:rPr>
        <w:t>Franklin, MI 48025</w:t>
      </w: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color w:val="auto"/>
        </w:rPr>
        <w:t>Dear Mr. Foss:</w:t>
      </w:r>
    </w:p>
    <w:p>
      <w:pPr>
        <w:spacing w:after="0" w:line="2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0"/>
          <w:szCs w:val="20"/>
          <w:color w:val="auto"/>
        </w:rPr>
        <w:t>Reference is made to the following sentence included in Section 5(c) of the Shareholder Agreement (the “</w:t>
      </w:r>
      <w:r>
        <w:rPr>
          <w:rFonts w:ascii="Arial" w:cs="Arial" w:eastAsia="Arial" w:hAnsi="Arial"/>
          <w:sz w:val="20"/>
          <w:szCs w:val="20"/>
          <w:u w:val="single" w:color="auto"/>
          <w:color w:val="auto"/>
        </w:rPr>
        <w:t>Shareholder Agreement</w:t>
      </w:r>
      <w:r>
        <w:rPr>
          <w:rFonts w:ascii="Arial" w:cs="Arial" w:eastAsia="Arial" w:hAnsi="Arial"/>
          <w:sz w:val="20"/>
          <w:szCs w:val="20"/>
          <w:color w:val="auto"/>
        </w:rPr>
        <w:t>”) dated January 3, 2017 and amended on September 15, 2017 between Credit Acceptance Corporation, a Michigan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and Donald A. Foss (“</w:t>
      </w:r>
      <w:r>
        <w:rPr>
          <w:rFonts w:ascii="Arial" w:cs="Arial" w:eastAsia="Arial" w:hAnsi="Arial"/>
          <w:sz w:val="20"/>
          <w:szCs w:val="20"/>
          <w:u w:val="single" w:color="auto"/>
          <w:color w:val="auto"/>
        </w:rPr>
        <w:t>Shareholder</w:t>
      </w:r>
      <w:r>
        <w:rPr>
          <w:rFonts w:ascii="Arial" w:cs="Arial" w:eastAsia="Arial" w:hAnsi="Arial"/>
          <w:sz w:val="20"/>
          <w:szCs w:val="20"/>
          <w:color w:val="auto"/>
        </w:rPr>
        <w:t>”) (italics added):</w:t>
      </w:r>
    </w:p>
    <w:p>
      <w:pPr>
        <w:spacing w:after="0" w:line="200" w:lineRule="exact"/>
        <w:rPr>
          <w:sz w:val="20"/>
          <w:szCs w:val="20"/>
          <w:color w:val="auto"/>
        </w:rPr>
      </w:pPr>
    </w:p>
    <w:p>
      <w:pPr>
        <w:jc w:val="both"/>
        <w:ind w:left="340"/>
        <w:spacing w:after="0" w:line="334" w:lineRule="auto"/>
        <w:rPr>
          <w:sz w:val="20"/>
          <w:szCs w:val="20"/>
          <w:color w:val="auto"/>
        </w:rPr>
      </w:pPr>
      <w:r>
        <w:rPr>
          <w:rFonts w:ascii="Arial" w:cs="Arial" w:eastAsia="Arial" w:hAnsi="Arial"/>
          <w:sz w:val="16"/>
          <w:szCs w:val="16"/>
          <w:color w:val="auto"/>
        </w:rPr>
        <w:t xml:space="preserve">“The Shareholder shall cause Holdings to in good faith use its best efforts to deliver to the Company by May 31, 2017 (and, if such delivery is not effected by May 31, 2017, shall cause Holdings to in good faith use its best efforts to effect such delivery as soon as practicable thereafter), and shall in any event cause Holdings to deliver to the Company by </w:t>
      </w:r>
      <w:r>
        <w:rPr>
          <w:rFonts w:ascii="Arial" w:cs="Arial" w:eastAsia="Arial" w:hAnsi="Arial"/>
          <w:sz w:val="16"/>
          <w:szCs w:val="16"/>
          <w:i w:val="1"/>
          <w:iCs w:val="1"/>
          <w:color w:val="auto"/>
        </w:rPr>
        <w:t>November 30, 2017</w:t>
      </w:r>
      <w:r>
        <w:rPr>
          <w:rFonts w:ascii="Arial" w:cs="Arial" w:eastAsia="Arial" w:hAnsi="Arial"/>
          <w:sz w:val="16"/>
          <w:szCs w:val="16"/>
          <w:color w:val="auto"/>
        </w:rPr>
        <w:t>, the audited consolidated balance sheet of Holdings as of December 31, 2016 (including accompanying notes and audit opinion, which opinion shall be prepared by a Designated Accounting Firm (as defined below) and shall state in substance that such balance sheet fairly presents the consolidated financial position of Holdings and is prepared in accordance with U.S. generally accepted accounting principles) (the “</w:t>
      </w:r>
      <w:r>
        <w:rPr>
          <w:rFonts w:ascii="Arial" w:cs="Arial" w:eastAsia="Arial" w:hAnsi="Arial"/>
          <w:sz w:val="16"/>
          <w:szCs w:val="16"/>
          <w:b w:val="1"/>
          <w:bCs w:val="1"/>
          <w:color w:val="auto"/>
        </w:rPr>
        <w:t>2016 Year-End Balance Sheet</w:t>
      </w:r>
      <w:r>
        <w:rPr>
          <w:rFonts w:ascii="Arial" w:cs="Arial" w:eastAsia="Arial" w:hAnsi="Arial"/>
          <w:sz w:val="16"/>
          <w:szCs w:val="16"/>
          <w:color w:val="auto"/>
        </w:rPr>
        <w:t>”).”</w:t>
      </w:r>
    </w:p>
    <w:p>
      <w:pPr>
        <w:spacing w:after="0" w:line="152" w:lineRule="exact"/>
        <w:rPr>
          <w:sz w:val="20"/>
          <w:szCs w:val="20"/>
          <w:color w:val="auto"/>
        </w:rPr>
      </w:pPr>
    </w:p>
    <w:p>
      <w:pPr>
        <w:ind w:firstLine="648"/>
        <w:spacing w:after="0" w:line="275" w:lineRule="auto"/>
        <w:rPr>
          <w:sz w:val="20"/>
          <w:szCs w:val="20"/>
          <w:color w:val="auto"/>
        </w:rPr>
      </w:pPr>
      <w:r>
        <w:rPr>
          <w:rFonts w:ascii="Arial" w:cs="Arial" w:eastAsia="Arial" w:hAnsi="Arial"/>
          <w:sz w:val="20"/>
          <w:szCs w:val="20"/>
          <w:color w:val="auto"/>
        </w:rPr>
        <w:t>The Company and Shareholder agree that the foregoing italicized reference to “November 30, 2017” is hereby changed to “December 15, 2017” and that all other provisions in the Shareholder Agreement remain in full force and effect.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firstLine="648"/>
        <w:spacing w:after="0" w:line="275" w:lineRule="auto"/>
        <w:rPr>
          <w:sz w:val="20"/>
          <w:szCs w:val="20"/>
          <w:color w:val="auto"/>
        </w:rPr>
      </w:pPr>
      <w:r>
        <w:rPr>
          <w:rFonts w:ascii="Arial" w:cs="Arial" w:eastAsia="Arial" w:hAnsi="Arial"/>
          <w:sz w:val="20"/>
          <w:szCs w:val="20"/>
          <w:color w:val="auto"/>
        </w:rPr>
        <w:t>If you agree with the foregoing, please sign and return a copy of this letter agreement to us, which will constitute our agreement with respect to the subject matter of this letter agreement.</w:t>
      </w:r>
    </w:p>
    <w:p>
      <w:pPr>
        <w:spacing w:after="0" w:line="189" w:lineRule="exact"/>
        <w:rPr>
          <w:sz w:val="20"/>
          <w:szCs w:val="20"/>
          <w:color w:val="auto"/>
        </w:rPr>
      </w:pPr>
    </w:p>
    <w:p>
      <w:pPr>
        <w:ind w:left="7140"/>
        <w:spacing w:after="0"/>
        <w:rPr>
          <w:sz w:val="20"/>
          <w:szCs w:val="20"/>
          <w:color w:val="auto"/>
        </w:rPr>
      </w:pPr>
      <w:r>
        <w:rPr>
          <w:rFonts w:ascii="Arial" w:cs="Arial" w:eastAsia="Arial" w:hAnsi="Arial"/>
          <w:sz w:val="20"/>
          <w:szCs w:val="20"/>
          <w:color w:val="auto"/>
        </w:rPr>
        <w:t>Very truly yours,</w:t>
      </w: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CREDIT ACCEPTANCE CORPORATION</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/s/ Brett A.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2656205</wp:posOffset>
            </wp:positionH>
            <wp:positionV relativeFrom="paragraph">
              <wp:posOffset>-14605</wp:posOffset>
            </wp:positionV>
            <wp:extent cx="113474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50">
                      <a:extLst>
                        <a:ext uri="{28A0092B-C50C-407E-A947-70E740481C1C}"/>
                      </a:extLst>
                    </a:blip>
                    <a:srcRect/>
                    <a:stretch>
                      <a:fillRect/>
                    </a:stretch>
                  </pic:blipFill>
                  <pic:spPr bwMode="auto">
                    <a:xfrm>
                      <a:off x="0" y="0"/>
                      <a:ext cx="1134745"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Name: Brett A. Roberts</w:t>
      </w:r>
    </w:p>
    <w:p>
      <w:pPr>
        <w:spacing w:after="0" w:line="1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Title: CEO</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color w:val="auto"/>
        </w:rPr>
        <w:t>CONFIRMED AND AGREED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As of November 29, 2017:</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SHAREHOLDER</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color w:val="auto"/>
        </w:rPr>
        <w:t>/s/ Donald A. Foss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18681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51">
                      <a:extLst>
                        <a:ext uri="{28A0092B-C50C-407E-A947-70E740481C1C}"/>
                      </a:extLst>
                    </a:blip>
                    <a:srcRect/>
                    <a:stretch>
                      <a:fillRect/>
                    </a:stretch>
                  </pic:blipFill>
                  <pic:spPr bwMode="auto">
                    <a:xfrm>
                      <a:off x="0" y="0"/>
                      <a:ext cx="118681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Donald A. Foss</w:t>
      </w:r>
    </w:p>
    <w:p>
      <w:pPr>
        <w:sectPr>
          <w:pgSz w:w="11900" w:h="16838" w:orient="portrait"/>
          <w:cols w:equalWidth="0" w:num="1">
            <w:col w:w="11420"/>
          </w:cols>
          <w:pgMar w:left="240" w:top="379" w:right="239" w:bottom="239" w:gutter="0" w:footer="0" w:header="0"/>
        </w:sectPr>
      </w:pPr>
    </w:p>
    <w:bookmarkStart w:id="100" w:name="page101"/>
    <w:bookmarkEnd w:id="10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01" w:name="page102"/>
    <w:bookmarkEnd w:id="101"/>
    <w:p>
      <w:pPr>
        <w:jc w:val="right"/>
        <w:spacing w:after="0"/>
        <w:rPr>
          <w:sz w:val="20"/>
          <w:szCs w:val="20"/>
          <w:color w:val="auto"/>
        </w:rPr>
      </w:pPr>
      <w:r>
        <w:rPr>
          <w:rFonts w:ascii="Arial" w:cs="Arial" w:eastAsia="Arial" w:hAnsi="Arial"/>
          <w:sz w:val="20"/>
          <w:szCs w:val="20"/>
          <w:b w:val="1"/>
          <w:bCs w:val="1"/>
          <w:color w:val="auto"/>
        </w:rPr>
        <w:t>EXHIBIT 12</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CREDIT ACCEPTANCE CORPORATION</w:t>
      </w:r>
    </w:p>
    <w:p>
      <w:pPr>
        <w:jc w:val="center"/>
        <w:spacing w:after="0"/>
        <w:rPr>
          <w:sz w:val="20"/>
          <w:szCs w:val="20"/>
          <w:color w:val="auto"/>
        </w:rPr>
      </w:pPr>
      <w:r>
        <w:rPr>
          <w:rFonts w:ascii="Arial" w:cs="Arial" w:eastAsia="Arial" w:hAnsi="Arial"/>
          <w:sz w:val="20"/>
          <w:szCs w:val="20"/>
          <w:b w:val="1"/>
          <w:bCs w:val="1"/>
          <w:color w:val="auto"/>
        </w:rPr>
        <w:t>COMPUTATION OF RATIO OF EARNINGS TO FIXED CHARGES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vMerge w:val="restart"/>
          </w:tcPr>
          <w:p>
            <w:pPr>
              <w:ind w:left="40"/>
              <w:spacing w:after="0"/>
              <w:rPr>
                <w:sz w:val="20"/>
                <w:szCs w:val="20"/>
                <w:color w:val="auto"/>
              </w:rPr>
            </w:pPr>
            <w:r>
              <w:rPr>
                <w:rFonts w:ascii="Arial" w:cs="Arial" w:eastAsia="Arial" w:hAnsi="Arial"/>
                <w:sz w:val="14"/>
                <w:szCs w:val="14"/>
                <w:color w:val="auto"/>
              </w:rPr>
              <w:t>(In millions, except ratios)</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20" w:type="dxa"/>
            <w:vAlign w:val="bottom"/>
            <w:gridSpan w:val="8"/>
          </w:tcPr>
          <w:p>
            <w:pPr>
              <w:ind w:left="400"/>
              <w:spacing w:after="0"/>
              <w:rPr>
                <w:sz w:val="20"/>
                <w:szCs w:val="20"/>
                <w:color w:val="auto"/>
              </w:rPr>
            </w:pPr>
            <w:r>
              <w:rPr>
                <w:rFonts w:ascii="Arial" w:cs="Arial" w:eastAsia="Arial" w:hAnsi="Arial"/>
                <w:sz w:val="14"/>
                <w:szCs w:val="14"/>
                <w:b w:val="1"/>
                <w:bCs w:val="1"/>
                <w:color w:val="auto"/>
              </w:rPr>
              <w:t>For the Years Ended December 31,</w:t>
            </w: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0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50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50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521"/>
        </w:trPr>
        <w:tc>
          <w:tcPr>
            <w:tcW w:w="5040" w:type="dxa"/>
            <w:vAlign w:val="bottom"/>
          </w:tcPr>
          <w:p>
            <w:pPr>
              <w:ind w:left="40"/>
              <w:spacing w:after="0"/>
              <w:rPr>
                <w:sz w:val="20"/>
                <w:szCs w:val="20"/>
                <w:color w:val="auto"/>
              </w:rPr>
            </w:pPr>
            <w:r>
              <w:rPr>
                <w:rFonts w:ascii="Arial" w:cs="Arial" w:eastAsia="Arial" w:hAnsi="Arial"/>
                <w:sz w:val="16"/>
                <w:szCs w:val="16"/>
                <w:b w:val="1"/>
                <w:bCs w:val="1"/>
                <w:color w:val="auto"/>
              </w:rPr>
              <w:t>Earnings Available for Fixed Charges</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5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before provision for income taxes</w:t>
            </w:r>
          </w:p>
        </w:tc>
        <w:tc>
          <w:tcPr>
            <w:tcW w:w="26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583.8</w:t>
            </w:r>
          </w:p>
        </w:tc>
        <w:tc>
          <w:tcPr>
            <w:tcW w:w="120" w:type="dxa"/>
            <w:vAlign w:val="bottom"/>
            <w:shd w:val="clear" w:color="auto" w:fill="CCEEFF"/>
          </w:tcPr>
          <w:p>
            <w:pPr>
              <w:spacing w:after="0"/>
              <w:rPr>
                <w:sz w:val="19"/>
                <w:szCs w:val="19"/>
                <w:color w:val="auto"/>
              </w:rPr>
            </w:pPr>
          </w:p>
        </w:tc>
        <w:tc>
          <w:tcPr>
            <w:tcW w:w="26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531.2</w:t>
            </w:r>
          </w:p>
        </w:tc>
        <w:tc>
          <w:tcPr>
            <w:tcW w:w="120" w:type="dxa"/>
            <w:vAlign w:val="bottom"/>
            <w:shd w:val="clear" w:color="auto" w:fill="CCEEFF"/>
          </w:tcPr>
          <w:p>
            <w:pPr>
              <w:spacing w:after="0"/>
              <w:rPr>
                <w:sz w:val="19"/>
                <w:szCs w:val="19"/>
                <w:color w:val="auto"/>
              </w:rPr>
            </w:pP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474.5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420.9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398.2</w:t>
            </w:r>
          </w:p>
        </w:tc>
        <w:tc>
          <w:tcPr>
            <w:tcW w:w="0" w:type="dxa"/>
            <w:vAlign w:val="bottom"/>
          </w:tcPr>
          <w:p>
            <w:pPr>
              <w:spacing w:after="0"/>
              <w:rPr>
                <w:sz w:val="1"/>
                <w:szCs w:val="1"/>
                <w:color w:val="auto"/>
              </w:rPr>
            </w:pPr>
          </w:p>
        </w:tc>
      </w:tr>
      <w:tr>
        <w:trPr>
          <w:trHeight w:val="149"/>
        </w:trPr>
        <w:tc>
          <w:tcPr>
            <w:tcW w:w="5040" w:type="dxa"/>
            <w:vAlign w:val="bottom"/>
            <w:shd w:val="clear" w:color="auto" w:fill="CCEEFF"/>
          </w:tcPr>
          <w:p>
            <w:pPr>
              <w:spacing w:after="0"/>
              <w:rPr>
                <w:sz w:val="12"/>
                <w:szCs w:val="12"/>
                <w:color w:val="auto"/>
              </w:rPr>
            </w:pPr>
          </w:p>
        </w:tc>
        <w:tc>
          <w:tcPr>
            <w:tcW w:w="260" w:type="dxa"/>
            <w:vAlign w:val="bottom"/>
            <w:vMerge w:val="continue"/>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vMerge w:val="continue"/>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vMerge w:val="continue"/>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040" w:type="dxa"/>
            <w:vAlign w:val="bottom"/>
          </w:tcPr>
          <w:p>
            <w:pPr>
              <w:ind w:left="40"/>
              <w:spacing w:after="0"/>
              <w:rPr>
                <w:sz w:val="20"/>
                <w:szCs w:val="20"/>
                <w:color w:val="auto"/>
              </w:rPr>
            </w:pPr>
            <w:r>
              <w:rPr>
                <w:rFonts w:ascii="Arial" w:cs="Arial" w:eastAsia="Arial" w:hAnsi="Arial"/>
                <w:sz w:val="16"/>
                <w:szCs w:val="16"/>
                <w:color w:val="auto"/>
              </w:rPr>
              <w:t>Add fixed charges included in earnings: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0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Interest expense</w:t>
            </w:r>
          </w:p>
        </w:tc>
        <w:tc>
          <w:tcPr>
            <w:tcW w:w="260" w:type="dxa"/>
            <w:vAlign w:val="bottom"/>
            <w:shd w:val="clear" w:color="auto" w:fill="CCEEFF"/>
          </w:tcPr>
          <w:p>
            <w:pPr>
              <w:spacing w:after="0"/>
              <w:rPr>
                <w:sz w:val="19"/>
                <w:szCs w:val="19"/>
                <w:color w:val="auto"/>
              </w:rPr>
            </w:pPr>
          </w:p>
        </w:tc>
        <w:tc>
          <w:tcPr>
            <w:tcW w:w="86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120.2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97.7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76.0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65.0</w:t>
            </w:r>
          </w:p>
        </w:tc>
        <w:tc>
          <w:tcPr>
            <w:tcW w:w="0" w:type="dxa"/>
            <w:vAlign w:val="bottom"/>
          </w:tcPr>
          <w:p>
            <w:pPr>
              <w:spacing w:after="0"/>
              <w:rPr>
                <w:sz w:val="1"/>
                <w:szCs w:val="1"/>
                <w:color w:val="auto"/>
              </w:rPr>
            </w:pPr>
          </w:p>
        </w:tc>
      </w:tr>
      <w:tr>
        <w:trPr>
          <w:trHeight w:val="149"/>
        </w:trPr>
        <w:tc>
          <w:tcPr>
            <w:tcW w:w="50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040" w:type="dxa"/>
            <w:vAlign w:val="bottom"/>
          </w:tcPr>
          <w:p>
            <w:pPr>
              <w:ind w:left="200"/>
              <w:spacing w:after="0"/>
              <w:rPr>
                <w:sz w:val="20"/>
                <w:szCs w:val="20"/>
                <w:color w:val="auto"/>
              </w:rPr>
            </w:pPr>
            <w:r>
              <w:rPr>
                <w:rFonts w:ascii="Arial" w:cs="Arial" w:eastAsia="Arial" w:hAnsi="Arial"/>
                <w:sz w:val="16"/>
                <w:szCs w:val="16"/>
                <w:color w:val="auto"/>
              </w:rPr>
              <w:t>Interest element of rentals</w:t>
            </w:r>
          </w:p>
        </w:tc>
        <w:tc>
          <w:tcPr>
            <w:tcW w:w="260" w:type="dxa"/>
            <w:vAlign w:val="bottom"/>
          </w:tcPr>
          <w:p>
            <w:pPr>
              <w:spacing w:after="0"/>
              <w:rPr>
                <w:sz w:val="19"/>
                <w:szCs w:val="19"/>
                <w:color w:val="auto"/>
              </w:rPr>
            </w:pPr>
          </w:p>
        </w:tc>
        <w:tc>
          <w:tcPr>
            <w:tcW w:w="860" w:type="dxa"/>
            <w:vAlign w:val="bottom"/>
            <w:vMerge w:val="restart"/>
          </w:tcPr>
          <w:p>
            <w:pPr>
              <w:jc w:val="right"/>
              <w:ind w:right="40"/>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0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fixed charges (1)</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120.8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98.2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76.5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57.2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65.4</w:t>
            </w:r>
          </w:p>
        </w:tc>
        <w:tc>
          <w:tcPr>
            <w:tcW w:w="0" w:type="dxa"/>
            <w:vAlign w:val="bottom"/>
          </w:tcPr>
          <w:p>
            <w:pPr>
              <w:spacing w:after="0"/>
              <w:rPr>
                <w:sz w:val="1"/>
                <w:szCs w:val="1"/>
                <w:color w:val="auto"/>
              </w:rPr>
            </w:pPr>
          </w:p>
        </w:tc>
      </w:tr>
      <w:tr>
        <w:trPr>
          <w:trHeight w:val="357"/>
        </w:trPr>
        <w:tc>
          <w:tcPr>
            <w:tcW w:w="504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04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earnings available for fixed charges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704.6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629.4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551.0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478.1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463.6</w:t>
            </w:r>
          </w:p>
        </w:tc>
        <w:tc>
          <w:tcPr>
            <w:tcW w:w="0" w:type="dxa"/>
            <w:vAlign w:val="bottom"/>
          </w:tcPr>
          <w:p>
            <w:pPr>
              <w:spacing w:after="0"/>
              <w:rPr>
                <w:sz w:val="1"/>
                <w:szCs w:val="1"/>
                <w:color w:val="auto"/>
              </w:rPr>
            </w:pPr>
          </w:p>
        </w:tc>
      </w:tr>
      <w:tr>
        <w:trPr>
          <w:trHeight w:val="357"/>
        </w:trPr>
        <w:tc>
          <w:tcPr>
            <w:tcW w:w="50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Ratio of earnings to fixed charges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357"/>
        </w:trPr>
        <w:tc>
          <w:tcPr>
            <w:tcW w:w="50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359" w:lineRule="exact"/>
        <w:rPr>
          <w:sz w:val="20"/>
          <w:szCs w:val="20"/>
          <w:color w:val="auto"/>
        </w:rPr>
      </w:pPr>
    </w:p>
    <w:p>
      <w:pPr>
        <w:spacing w:after="0"/>
        <w:rPr>
          <w:sz w:val="20"/>
          <w:szCs w:val="20"/>
          <w:color w:val="auto"/>
        </w:rPr>
      </w:pPr>
      <w:r>
        <w:rPr>
          <w:rFonts w:ascii="Arial" w:cs="Arial" w:eastAsia="Arial" w:hAnsi="Arial"/>
          <w:sz w:val="14"/>
          <w:szCs w:val="14"/>
          <w:color w:val="auto"/>
        </w:rPr>
        <w:t>(1) “Fixed charges” are defined as interest on borrowings (whether expensed or capitalized) and the portion of rental and operating lease expenses applicable to interest.</w:t>
      </w:r>
    </w:p>
    <w:p>
      <w:pPr>
        <w:sectPr>
          <w:pgSz w:w="11900" w:h="16838" w:orient="portrait"/>
          <w:cols w:equalWidth="0" w:num="1">
            <w:col w:w="11340"/>
          </w:cols>
          <w:pgMar w:left="320" w:top="833"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20"/>
          <w:szCs w:val="20"/>
          <w:b w:val="1"/>
          <w:bCs w:val="1"/>
          <w:color w:val="auto"/>
        </w:rPr>
        <w:t>EXHIBIT 21</w:t>
      </w:r>
    </w:p>
    <w:p>
      <w:pPr>
        <w:spacing w:after="0" w:line="200" w:lineRule="exact"/>
        <w:rPr>
          <w:sz w:val="20"/>
          <w:szCs w:val="20"/>
          <w:color w:val="auto"/>
        </w:rPr>
      </w:pPr>
    </w:p>
    <w:p>
      <w:pPr>
        <w:spacing w:after="0" w:line="259" w:lineRule="exact"/>
        <w:rPr>
          <w:sz w:val="20"/>
          <w:szCs w:val="20"/>
          <w:color w:val="auto"/>
        </w:rPr>
      </w:pPr>
    </w:p>
    <w:p>
      <w:pPr>
        <w:jc w:val="center"/>
        <w:spacing w:after="0" w:line="253" w:lineRule="auto"/>
        <w:rPr>
          <w:sz w:val="20"/>
          <w:szCs w:val="20"/>
          <w:color w:val="auto"/>
        </w:rPr>
      </w:pPr>
      <w:r>
        <w:rPr>
          <w:rFonts w:ascii="Arial" w:cs="Arial" w:eastAsia="Arial" w:hAnsi="Arial"/>
          <w:sz w:val="20"/>
          <w:szCs w:val="20"/>
          <w:b w:val="1"/>
          <w:bCs w:val="1"/>
          <w:color w:val="auto"/>
        </w:rPr>
        <w:t>CREDIT ACCEPTANCE CORPORATION SCHEDULE OF CREDIT ACCEPTANCE CORPORATION SUBSIDIARIES AS OF December 31, 2017</w:t>
      </w:r>
    </w:p>
    <w:p>
      <w:pPr>
        <w:spacing w:after="0" w:line="200"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 following is a list of subsidiaries as of the date of this filing of Credit Acceptance Corporation, other than subsidiaries which, considered in the aggregate as a single subsidiary, would not constitute a significant subsidiary, as defined by the Securities and Exchange Commission Regulation S-X.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196215</wp:posOffset>
            </wp:positionV>
            <wp:extent cx="6749415"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52">
                      <a:extLst>
                        <a:ext uri="{28A0092B-C50C-407E-A947-70E740481C1C}"/>
                      </a:extLst>
                    </a:blip>
                    <a:srcRect/>
                    <a:stretch>
                      <a:fillRect/>
                    </a:stretch>
                  </pic:blipFill>
                  <pic:spPr bwMode="auto">
                    <a:xfrm>
                      <a:off x="0" y="0"/>
                      <a:ext cx="6749415" cy="171450"/>
                    </a:xfrm>
                    <a:prstGeom prst="rect">
                      <a:avLst/>
                    </a:prstGeom>
                    <a:noFill/>
                  </pic:spPr>
                </pic:pic>
              </a:graphicData>
            </a:graphic>
          </wp:anchor>
        </w:drawing>
      </w:r>
    </w:p>
    <w:p>
      <w:pPr>
        <w:spacing w:after="0" w:line="30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Buyers Vehicle Protection Plan, Inc</w:t>
      </w:r>
    </w:p>
    <w:p>
      <w:pPr>
        <w:spacing w:after="0" w:line="6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CAC International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31750</wp:posOffset>
            </wp:positionV>
            <wp:extent cx="6749415"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53">
                      <a:extLst>
                        <a:ext uri="{28A0092B-C50C-407E-A947-70E740481C1C}"/>
                      </a:extLst>
                    </a:blip>
                    <a:srcRect/>
                    <a:stretch>
                      <a:fillRect/>
                    </a:stretch>
                  </pic:blipFill>
                  <pic:spPr bwMode="auto">
                    <a:xfrm>
                      <a:off x="0" y="0"/>
                      <a:ext cx="6749415" cy="171450"/>
                    </a:xfrm>
                    <a:prstGeom prst="rect">
                      <a:avLst/>
                    </a:prstGeom>
                    <a:noFill/>
                  </pic:spPr>
                </pic:pic>
              </a:graphicData>
            </a:graphic>
          </wp:anchor>
        </w:drawing>
      </w:r>
    </w:p>
    <w:p>
      <w:pPr>
        <w:spacing w:after="0" w:line="4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CAC of Canada Company</w:t>
      </w:r>
    </w:p>
    <w:p>
      <w:pPr>
        <w:spacing w:after="0" w:line="6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CAC Reinsurance,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31750</wp:posOffset>
            </wp:positionV>
            <wp:extent cx="6749415"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54">
                      <a:extLst>
                        <a:ext uri="{28A0092B-C50C-407E-A947-70E740481C1C}"/>
                      </a:extLst>
                    </a:blip>
                    <a:srcRect/>
                    <a:stretch>
                      <a:fillRect/>
                    </a:stretch>
                  </pic:blipFill>
                  <pic:spPr bwMode="auto">
                    <a:xfrm>
                      <a:off x="0" y="0"/>
                      <a:ext cx="6749415" cy="171450"/>
                    </a:xfrm>
                    <a:prstGeom prst="rect">
                      <a:avLst/>
                    </a:prstGeom>
                    <a:noFill/>
                  </pic:spPr>
                </pic:pic>
              </a:graphicData>
            </a:graphic>
          </wp:anchor>
        </w:drawing>
      </w:r>
    </w:p>
    <w:p>
      <w:pPr>
        <w:spacing w:after="0" w:line="4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CAC Scotland</w:t>
      </w:r>
    </w:p>
    <w:p>
      <w:pPr>
        <w:spacing w:after="0" w:line="6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CAC Warehouse Funding Corporation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31750</wp:posOffset>
            </wp:positionV>
            <wp:extent cx="6749415"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55">
                      <a:extLst>
                        <a:ext uri="{28A0092B-C50C-407E-A947-70E740481C1C}"/>
                      </a:extLst>
                    </a:blip>
                    <a:srcRect/>
                    <a:stretch>
                      <a:fillRect/>
                    </a:stretch>
                  </pic:blipFill>
                  <pic:spPr bwMode="auto">
                    <a:xfrm>
                      <a:off x="0" y="0"/>
                      <a:ext cx="6749415" cy="171450"/>
                    </a:xfrm>
                    <a:prstGeom prst="rect">
                      <a:avLst/>
                    </a:prstGeom>
                    <a:noFill/>
                  </pic:spPr>
                </pic:pic>
              </a:graphicData>
            </a:graphic>
          </wp:anchor>
        </w:drawing>
      </w:r>
    </w:p>
    <w:p>
      <w:pPr>
        <w:spacing w:after="0" w:line="4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CAC Warehouse Funding LLC IV</w:t>
      </w:r>
    </w:p>
    <w:p>
      <w:pPr>
        <w:spacing w:after="0" w:line="6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CAC Warehouse Funding LLC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31750</wp:posOffset>
            </wp:positionV>
            <wp:extent cx="6749415"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56">
                      <a:extLst>
                        <a:ext uri="{28A0092B-C50C-407E-A947-70E740481C1C}"/>
                      </a:extLst>
                    </a:blip>
                    <a:srcRect/>
                    <a:stretch>
                      <a:fillRect/>
                    </a:stretch>
                  </pic:blipFill>
                  <pic:spPr bwMode="auto">
                    <a:xfrm>
                      <a:off x="0" y="0"/>
                      <a:ext cx="6749415" cy="171450"/>
                    </a:xfrm>
                    <a:prstGeom prst="rect">
                      <a:avLst/>
                    </a:prstGeom>
                    <a:noFill/>
                  </pic:spPr>
                </pic:pic>
              </a:graphicData>
            </a:graphic>
          </wp:anchor>
        </w:drawing>
      </w:r>
    </w:p>
    <w:p>
      <w:pPr>
        <w:spacing w:after="0" w:line="4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CAC Warehouse Funding LLC VI</w:t>
      </w:r>
    </w:p>
    <w:p>
      <w:pPr>
        <w:spacing w:after="0" w:line="6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CAC Warehouse Funding LLC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31750</wp:posOffset>
            </wp:positionV>
            <wp:extent cx="6749415"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57">
                      <a:extLst>
                        <a:ext uri="{28A0092B-C50C-407E-A947-70E740481C1C}"/>
                      </a:extLst>
                    </a:blip>
                    <a:srcRect/>
                    <a:stretch>
                      <a:fillRect/>
                    </a:stretch>
                  </pic:blipFill>
                  <pic:spPr bwMode="auto">
                    <a:xfrm>
                      <a:off x="0" y="0"/>
                      <a:ext cx="6749415" cy="171450"/>
                    </a:xfrm>
                    <a:prstGeom prst="rect">
                      <a:avLst/>
                    </a:prstGeom>
                    <a:noFill/>
                  </pic:spPr>
                </pic:pic>
              </a:graphicData>
            </a:graphic>
          </wp:anchor>
        </w:drawing>
      </w:r>
    </w:p>
    <w:p>
      <w:pPr>
        <w:spacing w:after="0" w:line="4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Credit Acceptance Auto Loan Trust 2015-1</w:t>
      </w:r>
    </w:p>
    <w:p>
      <w:pPr>
        <w:spacing w:after="0" w:line="6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Credit Acceptance Auto Loan Trust 2015-2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31750</wp:posOffset>
            </wp:positionV>
            <wp:extent cx="6749415"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58">
                      <a:extLst>
                        <a:ext uri="{28A0092B-C50C-407E-A947-70E740481C1C}"/>
                      </a:extLst>
                    </a:blip>
                    <a:srcRect/>
                    <a:stretch>
                      <a:fillRect/>
                    </a:stretch>
                  </pic:blipFill>
                  <pic:spPr bwMode="auto">
                    <a:xfrm>
                      <a:off x="0" y="0"/>
                      <a:ext cx="6749415" cy="171450"/>
                    </a:xfrm>
                    <a:prstGeom prst="rect">
                      <a:avLst/>
                    </a:prstGeom>
                    <a:noFill/>
                  </pic:spPr>
                </pic:pic>
              </a:graphicData>
            </a:graphic>
          </wp:anchor>
        </w:drawing>
      </w:r>
    </w:p>
    <w:p>
      <w:pPr>
        <w:spacing w:after="0" w:line="4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Credit Acceptance Auto Loan Trust 2016-2</w:t>
      </w:r>
    </w:p>
    <w:p>
      <w:pPr>
        <w:spacing w:after="0" w:line="6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Credit Acceptance Auto Loan Trust 2016-3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31750</wp:posOffset>
            </wp:positionV>
            <wp:extent cx="6749415"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59">
                      <a:extLst>
                        <a:ext uri="{28A0092B-C50C-407E-A947-70E740481C1C}"/>
                      </a:extLst>
                    </a:blip>
                    <a:srcRect/>
                    <a:stretch>
                      <a:fillRect/>
                    </a:stretch>
                  </pic:blipFill>
                  <pic:spPr bwMode="auto">
                    <a:xfrm>
                      <a:off x="0" y="0"/>
                      <a:ext cx="6749415" cy="171450"/>
                    </a:xfrm>
                    <a:prstGeom prst="rect">
                      <a:avLst/>
                    </a:prstGeom>
                    <a:noFill/>
                  </pic:spPr>
                </pic:pic>
              </a:graphicData>
            </a:graphic>
          </wp:anchor>
        </w:drawing>
      </w:r>
    </w:p>
    <w:p>
      <w:pPr>
        <w:spacing w:after="0" w:line="4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Credit Acceptance Auto Loan Trust 2017-1</w:t>
      </w:r>
    </w:p>
    <w:p>
      <w:pPr>
        <w:spacing w:after="0" w:line="6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Credit Acceptance Auto Loan Trust 2017-2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31750</wp:posOffset>
            </wp:positionV>
            <wp:extent cx="6749415"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60">
                      <a:extLst>
                        <a:ext uri="{28A0092B-C50C-407E-A947-70E740481C1C}"/>
                      </a:extLst>
                    </a:blip>
                    <a:srcRect/>
                    <a:stretch>
                      <a:fillRect/>
                    </a:stretch>
                  </pic:blipFill>
                  <pic:spPr bwMode="auto">
                    <a:xfrm>
                      <a:off x="0" y="0"/>
                      <a:ext cx="6749415" cy="171450"/>
                    </a:xfrm>
                    <a:prstGeom prst="rect">
                      <a:avLst/>
                    </a:prstGeom>
                    <a:noFill/>
                  </pic:spPr>
                </pic:pic>
              </a:graphicData>
            </a:graphic>
          </wp:anchor>
        </w:drawing>
      </w:r>
    </w:p>
    <w:p>
      <w:pPr>
        <w:spacing w:after="0" w:line="4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Credit Acceptance Auto Loan Trust 2017-3</w:t>
      </w:r>
    </w:p>
    <w:p>
      <w:pPr>
        <w:spacing w:after="0" w:line="6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Credit Acceptance Auto Loan Trust 2018-1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31750</wp:posOffset>
            </wp:positionV>
            <wp:extent cx="6749415"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61">
                      <a:extLst>
                        <a:ext uri="{28A0092B-C50C-407E-A947-70E740481C1C}"/>
                      </a:extLst>
                    </a:blip>
                    <a:srcRect/>
                    <a:stretch>
                      <a:fillRect/>
                    </a:stretch>
                  </pic:blipFill>
                  <pic:spPr bwMode="auto">
                    <a:xfrm>
                      <a:off x="0" y="0"/>
                      <a:ext cx="6749415" cy="171450"/>
                    </a:xfrm>
                    <a:prstGeom prst="rect">
                      <a:avLst/>
                    </a:prstGeom>
                    <a:noFill/>
                  </pic:spPr>
                </pic:pic>
              </a:graphicData>
            </a:graphic>
          </wp:anchor>
        </w:drawing>
      </w:r>
    </w:p>
    <w:p>
      <w:pPr>
        <w:spacing w:after="0" w:line="4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Credit Acceptance Corporation of South Dakota, Inc.</w:t>
      </w:r>
    </w:p>
    <w:p>
      <w:pPr>
        <w:spacing w:after="0" w:line="6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Credit Acceptance Funding LLC 2014-1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31750</wp:posOffset>
            </wp:positionV>
            <wp:extent cx="6749415"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62">
                      <a:extLst>
                        <a:ext uri="{28A0092B-C50C-407E-A947-70E740481C1C}"/>
                      </a:extLst>
                    </a:blip>
                    <a:srcRect/>
                    <a:stretch>
                      <a:fillRect/>
                    </a:stretch>
                  </pic:blipFill>
                  <pic:spPr bwMode="auto">
                    <a:xfrm>
                      <a:off x="0" y="0"/>
                      <a:ext cx="6749415" cy="171450"/>
                    </a:xfrm>
                    <a:prstGeom prst="rect">
                      <a:avLst/>
                    </a:prstGeom>
                    <a:noFill/>
                  </pic:spPr>
                </pic:pic>
              </a:graphicData>
            </a:graphic>
          </wp:anchor>
        </w:drawing>
      </w:r>
    </w:p>
    <w:p>
      <w:pPr>
        <w:spacing w:after="0" w:line="4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Credit Acceptance Funding LLC 2014-2</w:t>
      </w:r>
    </w:p>
    <w:p>
      <w:pPr>
        <w:spacing w:after="0" w:line="6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Credit Acceptance Funding LLC 2015-1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31750</wp:posOffset>
            </wp:positionV>
            <wp:extent cx="6749415"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63">
                      <a:extLst>
                        <a:ext uri="{28A0092B-C50C-407E-A947-70E740481C1C}"/>
                      </a:extLst>
                    </a:blip>
                    <a:srcRect/>
                    <a:stretch>
                      <a:fillRect/>
                    </a:stretch>
                  </pic:blipFill>
                  <pic:spPr bwMode="auto">
                    <a:xfrm>
                      <a:off x="0" y="0"/>
                      <a:ext cx="6749415" cy="171450"/>
                    </a:xfrm>
                    <a:prstGeom prst="rect">
                      <a:avLst/>
                    </a:prstGeom>
                    <a:noFill/>
                  </pic:spPr>
                </pic:pic>
              </a:graphicData>
            </a:graphic>
          </wp:anchor>
        </w:drawing>
      </w:r>
    </w:p>
    <w:p>
      <w:pPr>
        <w:spacing w:after="0" w:line="4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Credit Acceptance Funding LLC 2015-2</w:t>
      </w:r>
    </w:p>
    <w:p>
      <w:pPr>
        <w:spacing w:after="0" w:line="6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Credit Acceptance Funding LLC 2016-1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31750</wp:posOffset>
            </wp:positionV>
            <wp:extent cx="6749415"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64">
                      <a:extLst>
                        <a:ext uri="{28A0092B-C50C-407E-A947-70E740481C1C}"/>
                      </a:extLst>
                    </a:blip>
                    <a:srcRect/>
                    <a:stretch>
                      <a:fillRect/>
                    </a:stretch>
                  </pic:blipFill>
                  <pic:spPr bwMode="auto">
                    <a:xfrm>
                      <a:off x="0" y="0"/>
                      <a:ext cx="6749415" cy="171450"/>
                    </a:xfrm>
                    <a:prstGeom prst="rect">
                      <a:avLst/>
                    </a:prstGeom>
                    <a:noFill/>
                  </pic:spPr>
                </pic:pic>
              </a:graphicData>
            </a:graphic>
          </wp:anchor>
        </w:drawing>
      </w:r>
    </w:p>
    <w:p>
      <w:pPr>
        <w:spacing w:after="0" w:line="4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Credit Acceptance Funding LLC 2016-2</w:t>
      </w:r>
    </w:p>
    <w:p>
      <w:pPr>
        <w:spacing w:after="0" w:line="6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Credit Acceptance Funding LLC 2016-3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31750</wp:posOffset>
            </wp:positionV>
            <wp:extent cx="6749415"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65">
                      <a:extLst>
                        <a:ext uri="{28A0092B-C50C-407E-A947-70E740481C1C}"/>
                      </a:extLst>
                    </a:blip>
                    <a:srcRect/>
                    <a:stretch>
                      <a:fillRect/>
                    </a:stretch>
                  </pic:blipFill>
                  <pic:spPr bwMode="auto">
                    <a:xfrm>
                      <a:off x="0" y="0"/>
                      <a:ext cx="6749415" cy="171450"/>
                    </a:xfrm>
                    <a:prstGeom prst="rect">
                      <a:avLst/>
                    </a:prstGeom>
                    <a:noFill/>
                  </pic:spPr>
                </pic:pic>
              </a:graphicData>
            </a:graphic>
          </wp:anchor>
        </w:drawing>
      </w:r>
    </w:p>
    <w:p>
      <w:pPr>
        <w:spacing w:after="0" w:line="4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Credit Acceptance Funding LLC 2017-1</w:t>
      </w:r>
    </w:p>
    <w:p>
      <w:pPr>
        <w:spacing w:after="0" w:line="6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Credit Acceptance Funding LLC 2017-2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31750</wp:posOffset>
            </wp:positionV>
            <wp:extent cx="6749415"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66">
                      <a:extLst>
                        <a:ext uri="{28A0092B-C50C-407E-A947-70E740481C1C}"/>
                      </a:extLst>
                    </a:blip>
                    <a:srcRect/>
                    <a:stretch>
                      <a:fillRect/>
                    </a:stretch>
                  </pic:blipFill>
                  <pic:spPr bwMode="auto">
                    <a:xfrm>
                      <a:off x="0" y="0"/>
                      <a:ext cx="6749415" cy="171450"/>
                    </a:xfrm>
                    <a:prstGeom prst="rect">
                      <a:avLst/>
                    </a:prstGeom>
                    <a:noFill/>
                  </pic:spPr>
                </pic:pic>
              </a:graphicData>
            </a:graphic>
          </wp:anchor>
        </w:drawing>
      </w:r>
    </w:p>
    <w:p>
      <w:pPr>
        <w:spacing w:after="0" w:line="4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Credit Acceptance Funding LLC 2017-3</w:t>
      </w:r>
    </w:p>
    <w:p>
      <w:pPr>
        <w:spacing w:after="0" w:line="6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Credit Acceptance Funding LLC 2018-1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31750</wp:posOffset>
            </wp:positionV>
            <wp:extent cx="6749415"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67">
                      <a:extLst>
                        <a:ext uri="{28A0092B-C50C-407E-A947-70E740481C1C}"/>
                      </a:extLst>
                    </a:blip>
                    <a:srcRect/>
                    <a:stretch>
                      <a:fillRect/>
                    </a:stretch>
                  </pic:blipFill>
                  <pic:spPr bwMode="auto">
                    <a:xfrm>
                      <a:off x="0" y="0"/>
                      <a:ext cx="6749415" cy="171450"/>
                    </a:xfrm>
                    <a:prstGeom prst="rect">
                      <a:avLst/>
                    </a:prstGeom>
                    <a:noFill/>
                  </pic:spPr>
                </pic:pic>
              </a:graphicData>
            </a:graphic>
          </wp:anchor>
        </w:drawing>
      </w:r>
    </w:p>
    <w:p>
      <w:pPr>
        <w:spacing w:after="0" w:line="4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Credit Acceptance Wholesale Buyers Club, Inc.</w:t>
      </w:r>
    </w:p>
    <w:p>
      <w:pPr>
        <w:spacing w:after="0" w:line="6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Vehicle Remarketing Services,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31750</wp:posOffset>
            </wp:positionV>
            <wp:extent cx="6749415"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68">
                      <a:extLst>
                        <a:ext uri="{28A0092B-C50C-407E-A947-70E740481C1C}"/>
                      </a:extLst>
                    </a:blip>
                    <a:srcRect/>
                    <a:stretch>
                      <a:fillRect/>
                    </a:stretch>
                  </pic:blipFill>
                  <pic:spPr bwMode="auto">
                    <a:xfrm>
                      <a:off x="0" y="0"/>
                      <a:ext cx="6749415" cy="171450"/>
                    </a:xfrm>
                    <a:prstGeom prst="rect">
                      <a:avLst/>
                    </a:prstGeom>
                    <a:noFill/>
                  </pic:spPr>
                </pic:pic>
              </a:graphicData>
            </a:graphic>
          </wp:anchor>
        </w:drawing>
      </w:r>
    </w:p>
    <w:p>
      <w:pPr>
        <w:spacing w:after="0" w:line="4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VSC Re Company</w:t>
      </w:r>
    </w:p>
    <w:p>
      <w:pPr>
        <w:spacing w:after="0" w:line="27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360"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20"/>
          <w:szCs w:val="20"/>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00" w:lineRule="exact"/>
        <w:rPr>
          <w:sz w:val="20"/>
          <w:szCs w:val="20"/>
          <w:color w:val="auto"/>
        </w:rPr>
      </w:pPr>
    </w:p>
    <w:p>
      <w:pPr>
        <w:spacing w:after="0" w:line="29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We have issued our reports dated February 9, 2018, with respect to the consolidated financial statements and internal control over financial reporting included in the Annual Report of Credit Acceptance Corporation and subsidiaries on Form 10-K for the year ended December 31, 2017. We consent to the incorporation by reference of said reports in the Registration Statements of Credit Acceptance Corporation and subsidiaries on Forms S-3 (File No. 333-18301 and File No. 333-187778) and on Forms S-8 (File No. 333-67348, File No. 333-91734, File No. 333-111831, File No. 333-120756 and File No. 333-187105).</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/s/ GRANT THORNTON LLP</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Southfield, Michigan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February 9, 2018</w:t>
      </w:r>
    </w:p>
    <w:p>
      <w:pPr>
        <w:sectPr>
          <w:pgSz w:w="11900" w:h="16838" w:orient="portrait"/>
          <w:cols w:equalWidth="0" w:num="1">
            <w:col w:w="11420"/>
          </w:cols>
          <w:pgMar w:left="240" w:top="360"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Credit Acceptance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Brett A. Roberts, certify that:</w:t>
      </w:r>
    </w:p>
    <w:p>
      <w:pPr>
        <w:spacing w:after="0" w:line="225" w:lineRule="exact"/>
        <w:rPr>
          <w:sz w:val="20"/>
          <w:szCs w:val="20"/>
          <w:color w:val="auto"/>
        </w:rPr>
      </w:pPr>
    </w:p>
    <w:p>
      <w:pPr>
        <w:ind w:left="520" w:hanging="188"/>
        <w:spacing w:after="0"/>
        <w:tabs>
          <w:tab w:leader="none" w:pos="5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2017 of Credit Acceptance Corporation;</w:t>
      </w:r>
    </w:p>
    <w:p>
      <w:pPr>
        <w:spacing w:after="0" w:line="225" w:lineRule="exact"/>
        <w:rPr>
          <w:rFonts w:ascii="Arial" w:cs="Arial" w:eastAsia="Arial" w:hAnsi="Arial"/>
          <w:sz w:val="18"/>
          <w:szCs w:val="18"/>
          <w:color w:val="auto"/>
        </w:rPr>
      </w:pPr>
    </w:p>
    <w:p>
      <w:pPr>
        <w:ind w:firstLine="332"/>
        <w:spacing w:after="0" w:line="342" w:lineRule="auto"/>
        <w:tabs>
          <w:tab w:leader="none" w:pos="520" w:val="left"/>
        </w:tabs>
        <w:numPr>
          <w:ilvl w:val="0"/>
          <w:numId w:val="8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332"/>
        <w:spacing w:after="0" w:line="277" w:lineRule="auto"/>
        <w:tabs>
          <w:tab w:leader="none" w:pos="522"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332"/>
        <w:spacing w:after="0" w:line="264" w:lineRule="auto"/>
        <w:tabs>
          <w:tab w:leader="none" w:pos="526"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firstLine="656"/>
        <w:spacing w:after="0" w:line="264" w:lineRule="auto"/>
        <w:tabs>
          <w:tab w:leader="none" w:pos="908"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656"/>
        <w:spacing w:after="0" w:line="264" w:lineRule="auto"/>
        <w:tabs>
          <w:tab w:leader="none" w:pos="938"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656"/>
        <w:spacing w:after="0" w:line="308" w:lineRule="auto"/>
        <w:tabs>
          <w:tab w:leader="none" w:pos="936" w:val="left"/>
        </w:tabs>
        <w:numPr>
          <w:ilvl w:val="1"/>
          <w:numId w:val="8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656"/>
        <w:spacing w:after="0" w:line="264" w:lineRule="auto"/>
        <w:tabs>
          <w:tab w:leader="none" w:pos="919" w:val="left"/>
        </w:tabs>
        <w:numPr>
          <w:ilvl w:val="1"/>
          <w:numId w:val="8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332"/>
        <w:spacing w:after="0" w:line="308" w:lineRule="auto"/>
        <w:tabs>
          <w:tab w:leader="none" w:pos="511"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firstLine="656"/>
        <w:spacing w:after="0" w:line="277" w:lineRule="auto"/>
        <w:tabs>
          <w:tab w:leader="none" w:pos="903" w:val="left"/>
        </w:tabs>
        <w:numPr>
          <w:ilvl w:val="1"/>
          <w:numId w:val="8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656"/>
        <w:spacing w:after="0" w:line="277" w:lineRule="auto"/>
        <w:tabs>
          <w:tab w:leader="none" w:pos="911"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40"/>
        <w:spacing w:after="0"/>
        <w:tabs>
          <w:tab w:leader="none" w:pos="5400" w:val="left"/>
          <w:tab w:leader="none" w:pos="6180" w:val="left"/>
        </w:tabs>
        <w:rPr>
          <w:sz w:val="20"/>
          <w:szCs w:val="20"/>
          <w:color w:val="auto"/>
        </w:rPr>
      </w:pPr>
      <w:r>
        <w:rPr>
          <w:rFonts w:ascii="Arial" w:cs="Arial" w:eastAsia="Arial" w:hAnsi="Arial"/>
          <w:sz w:val="18"/>
          <w:szCs w:val="18"/>
          <w:color w:val="auto"/>
        </w:rPr>
        <w:t>Date: February 9,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Brett A.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75272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69">
                      <a:extLst>
                        <a:ext uri="{28A0092B-C50C-407E-A947-70E740481C1C}"/>
                      </a:extLst>
                    </a:blip>
                    <a:srcRect/>
                    <a:stretch>
                      <a:fillRect/>
                    </a:stretch>
                  </pic:blipFill>
                  <pic:spPr bwMode="auto">
                    <a:xfrm>
                      <a:off x="0" y="0"/>
                      <a:ext cx="2752725" cy="1714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Brett A. Roberts</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Credit Acceptance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Kenneth S. Booth, certify that:</w:t>
      </w:r>
    </w:p>
    <w:p>
      <w:pPr>
        <w:spacing w:after="0" w:line="225" w:lineRule="exact"/>
        <w:rPr>
          <w:sz w:val="20"/>
          <w:szCs w:val="20"/>
          <w:color w:val="auto"/>
        </w:rPr>
      </w:pPr>
    </w:p>
    <w:p>
      <w:pPr>
        <w:ind w:left="520" w:hanging="188"/>
        <w:spacing w:after="0"/>
        <w:tabs>
          <w:tab w:leader="none" w:pos="5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2017 of Credit Acceptance Corporation;</w:t>
      </w:r>
    </w:p>
    <w:p>
      <w:pPr>
        <w:spacing w:after="0" w:line="225" w:lineRule="exact"/>
        <w:rPr>
          <w:rFonts w:ascii="Arial" w:cs="Arial" w:eastAsia="Arial" w:hAnsi="Arial"/>
          <w:sz w:val="18"/>
          <w:szCs w:val="18"/>
          <w:color w:val="auto"/>
        </w:rPr>
      </w:pPr>
    </w:p>
    <w:p>
      <w:pPr>
        <w:ind w:firstLine="332"/>
        <w:spacing w:after="0" w:line="342" w:lineRule="auto"/>
        <w:tabs>
          <w:tab w:leader="none" w:pos="5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332"/>
        <w:spacing w:after="0" w:line="277" w:lineRule="auto"/>
        <w:tabs>
          <w:tab w:leader="none" w:pos="522" w:val="left"/>
        </w:tabs>
        <w:numPr>
          <w:ilvl w:val="0"/>
          <w:numId w:val="8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332"/>
        <w:spacing w:after="0" w:line="264" w:lineRule="auto"/>
        <w:tabs>
          <w:tab w:leader="none" w:pos="526"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firstLine="656"/>
        <w:spacing w:after="0" w:line="264" w:lineRule="auto"/>
        <w:tabs>
          <w:tab w:leader="none" w:pos="908"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656"/>
        <w:spacing w:after="0" w:line="264" w:lineRule="auto"/>
        <w:tabs>
          <w:tab w:leader="none" w:pos="938"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656"/>
        <w:spacing w:after="0" w:line="308" w:lineRule="auto"/>
        <w:tabs>
          <w:tab w:leader="none" w:pos="936" w:val="left"/>
        </w:tabs>
        <w:numPr>
          <w:ilvl w:val="1"/>
          <w:numId w:val="8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656"/>
        <w:spacing w:after="0" w:line="264" w:lineRule="auto"/>
        <w:tabs>
          <w:tab w:leader="none" w:pos="919" w:val="left"/>
        </w:tabs>
        <w:numPr>
          <w:ilvl w:val="1"/>
          <w:numId w:val="8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332"/>
        <w:spacing w:after="0" w:line="308" w:lineRule="auto"/>
        <w:tabs>
          <w:tab w:leader="none" w:pos="511"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firstLine="656"/>
        <w:spacing w:after="0" w:line="277" w:lineRule="auto"/>
        <w:tabs>
          <w:tab w:leader="none" w:pos="903" w:val="left"/>
        </w:tabs>
        <w:numPr>
          <w:ilvl w:val="1"/>
          <w:numId w:val="8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656"/>
        <w:spacing w:after="0" w:line="277" w:lineRule="auto"/>
        <w:tabs>
          <w:tab w:leader="none" w:pos="911"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40"/>
        <w:spacing w:after="0"/>
        <w:tabs>
          <w:tab w:leader="none" w:pos="5400" w:val="left"/>
          <w:tab w:leader="none" w:pos="6180" w:val="left"/>
        </w:tabs>
        <w:rPr>
          <w:sz w:val="20"/>
          <w:szCs w:val="20"/>
          <w:color w:val="auto"/>
        </w:rPr>
      </w:pPr>
      <w:r>
        <w:rPr>
          <w:rFonts w:ascii="Arial" w:cs="Arial" w:eastAsia="Arial" w:hAnsi="Arial"/>
          <w:sz w:val="18"/>
          <w:szCs w:val="18"/>
          <w:color w:val="auto"/>
        </w:rPr>
        <w:t>Date: February 9,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Kenneth S. Booth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75272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70">
                      <a:extLst>
                        <a:ext uri="{28A0092B-C50C-407E-A947-70E740481C1C}"/>
                      </a:extLst>
                    </a:blip>
                    <a:srcRect/>
                    <a:stretch>
                      <a:fillRect/>
                    </a:stretch>
                  </pic:blipFill>
                  <pic:spPr bwMode="auto">
                    <a:xfrm>
                      <a:off x="0" y="0"/>
                      <a:ext cx="2752725" cy="1714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Kenneth S. Booth</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Credit Acceptance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connection with the Annual Report on Form 10-K of Credit Acceptance Corporation (the "Company") for the period ending December 31, 2017 as filed with the Securities and Exchange Commission on the date hereof (the "Report"), I, Brett A. Roberts, as Chief Executive Officer of the Company, hereby certify, pursuant to 18 U.S.C. §1350, as adopted pursuant to §906 of the Sarbanes-Oxley Act of 2002, that, to the best of my knowledge:</w:t>
      </w:r>
    </w:p>
    <w:p>
      <w:pPr>
        <w:spacing w:after="0" w:line="147" w:lineRule="exact"/>
        <w:rPr>
          <w:sz w:val="20"/>
          <w:szCs w:val="20"/>
          <w:color w:val="auto"/>
        </w:rPr>
      </w:pPr>
    </w:p>
    <w:p>
      <w:pPr>
        <w:ind w:left="260" w:hanging="252"/>
        <w:spacing w:after="0"/>
        <w:tabs>
          <w:tab w:leader="none" w:pos="2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0"/>
        <w:spacing w:after="0"/>
        <w:tabs>
          <w:tab w:leader="none" w:pos="5400" w:val="left"/>
          <w:tab w:leader="none" w:pos="6180" w:val="left"/>
        </w:tabs>
        <w:rPr>
          <w:sz w:val="20"/>
          <w:szCs w:val="20"/>
          <w:color w:val="auto"/>
        </w:rPr>
      </w:pPr>
      <w:r>
        <w:rPr>
          <w:rFonts w:ascii="Arial" w:cs="Arial" w:eastAsia="Arial" w:hAnsi="Arial"/>
          <w:sz w:val="18"/>
          <w:szCs w:val="18"/>
          <w:color w:val="auto"/>
        </w:rPr>
        <w:t>Date: February 9,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Brett A.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75272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71">
                      <a:extLst>
                        <a:ext uri="{28A0092B-C50C-407E-A947-70E740481C1C}"/>
                      </a:extLst>
                    </a:blip>
                    <a:srcRect/>
                    <a:stretch>
                      <a:fillRect/>
                    </a:stretch>
                  </pic:blipFill>
                  <pic:spPr bwMode="auto">
                    <a:xfrm>
                      <a:off x="0" y="0"/>
                      <a:ext cx="2752725" cy="1714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Brett A. Roberts</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Credit Acceptance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connection with the Annual Report on Form 10-K of Credit Acceptance Corporation (the "Company") for the period ending December 31, 2017 as filed with the Securities and Exchange Commission on the date hereof (the "Report"), I, Kenneth S. Booth, as Chief Financial Officer of the Company, hereby certify, pursuant to 18 U.S.C. §1350, as adopted pursuant to §906 of the Sarbanes-Oxley Act of 2002, that, to the best of my knowledge:</w:t>
      </w:r>
    </w:p>
    <w:p>
      <w:pPr>
        <w:spacing w:after="0" w:line="147" w:lineRule="exact"/>
        <w:rPr>
          <w:sz w:val="20"/>
          <w:szCs w:val="20"/>
          <w:color w:val="auto"/>
        </w:rPr>
      </w:pPr>
    </w:p>
    <w:p>
      <w:pPr>
        <w:ind w:left="260" w:hanging="252"/>
        <w:spacing w:after="0"/>
        <w:tabs>
          <w:tab w:leader="none" w:pos="2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0"/>
        <w:spacing w:after="0"/>
        <w:tabs>
          <w:tab w:leader="none" w:pos="5400" w:val="left"/>
          <w:tab w:leader="none" w:pos="6180" w:val="left"/>
        </w:tabs>
        <w:rPr>
          <w:sz w:val="20"/>
          <w:szCs w:val="20"/>
          <w:color w:val="auto"/>
        </w:rPr>
      </w:pPr>
      <w:r>
        <w:rPr>
          <w:rFonts w:ascii="Arial" w:cs="Arial" w:eastAsia="Arial" w:hAnsi="Arial"/>
          <w:sz w:val="18"/>
          <w:szCs w:val="18"/>
          <w:color w:val="auto"/>
        </w:rPr>
        <w:t>Date: February 9,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Kenneth S. Booth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75272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72">
                      <a:extLst>
                        <a:ext uri="{28A0092B-C50C-407E-A947-70E740481C1C}"/>
                      </a:extLst>
                    </a:blip>
                    <a:srcRect/>
                    <a:stretch>
                      <a:fillRect/>
                    </a:stretch>
                  </pic:blipFill>
                  <pic:spPr bwMode="auto">
                    <a:xfrm>
                      <a:off x="0" y="0"/>
                      <a:ext cx="2752725" cy="1714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Kenneth S. Booth</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abstractNum>
  <w:abstractNum w:abstractNumId="1">
    <w:nsid w:val="57E4CCAF"/>
    <w:multiLevelType w:val="hybridMultilevel"/>
    <w:lvl w:ilvl="0">
      <w:lvlJc w:val="left"/>
      <w:lvlText w:val="o"/>
      <w:numFmt w:val="bullet"/>
      <w:start w:val="1"/>
    </w:lvl>
  </w:abstractNum>
  <w:abstractNum w:abstractNumId="2">
    <w:nsid w:val="7A6D8D3C"/>
    <w:multiLevelType w:val="hybridMultilevel"/>
    <w:lvl w:ilvl="0">
      <w:lvlJc w:val="left"/>
      <w:lvlText w:val="(%1)"/>
      <w:numFmt w:val="decimal"/>
      <w:start w:val="1"/>
    </w:lvl>
  </w:abstractNum>
  <w:abstractNum w:abstractNumId="3">
    <w:nsid w:val="4B588F54"/>
    <w:multiLevelType w:val="hybridMultilevel"/>
    <w:lvl w:ilvl="0">
      <w:lvlJc w:val="left"/>
      <w:lvlText w:val="•"/>
      <w:numFmt w:val="bullet"/>
      <w:start w:val="1"/>
    </w:lvl>
  </w:abstractNum>
  <w:abstractNum w:abstractNumId="4">
    <w:nsid w:val="542289EC"/>
    <w:multiLevelType w:val="hybridMultilevel"/>
    <w:lvl w:ilvl="0">
      <w:lvlJc w:val="left"/>
      <w:lvlText w:val="•"/>
      <w:numFmt w:val="bullet"/>
      <w:start w:val="1"/>
    </w:lvl>
  </w:abstractNum>
  <w:abstractNum w:abstractNumId="5">
    <w:nsid w:val="6DE91B18"/>
    <w:multiLevelType w:val="hybridMultilevel"/>
    <w:lvl w:ilvl="0">
      <w:lvlJc w:val="left"/>
      <w:lvlText w:val="•"/>
      <w:numFmt w:val="bullet"/>
      <w:start w:val="1"/>
    </w:lvl>
  </w:abstractNum>
  <w:abstractNum w:abstractNumId="6">
    <w:nsid w:val="38437FDB"/>
    <w:multiLevelType w:val="hybridMultilevel"/>
    <w:lvl w:ilvl="0">
      <w:lvlJc w:val="left"/>
      <w:lvlText w:val="•"/>
      <w:numFmt w:val="bullet"/>
      <w:start w:val="1"/>
    </w:lvl>
  </w:abstractNum>
  <w:abstractNum w:abstractNumId="7">
    <w:nsid w:val="7644A45C"/>
    <w:multiLevelType w:val="hybridMultilevel"/>
    <w:lvl w:ilvl="0">
      <w:lvlJc w:val="left"/>
      <w:lvlText w:val="(%1)"/>
      <w:numFmt w:val="decimal"/>
      <w:start w:val="1"/>
    </w:lvl>
  </w:abstractNum>
  <w:abstractNum w:abstractNumId="8">
    <w:nsid w:val="32FFF902"/>
    <w:multiLevelType w:val="hybridMultilevel"/>
    <w:lvl w:ilvl="0">
      <w:lvlJc w:val="left"/>
      <w:lvlText w:val="•"/>
      <w:numFmt w:val="bullet"/>
      <w:start w:val="1"/>
    </w:lvl>
  </w:abstractNum>
  <w:abstractNum w:abstractNumId="9">
    <w:nsid w:val="684A481A"/>
    <w:multiLevelType w:val="hybridMultilevel"/>
    <w:lvl w:ilvl="0">
      <w:lvlJc w:val="left"/>
      <w:lvlText w:val="•"/>
      <w:numFmt w:val="bullet"/>
      <w:start w:val="1"/>
    </w:lvl>
  </w:abstractNum>
  <w:abstractNum w:abstractNumId="10">
    <w:nsid w:val="579478FE"/>
    <w:multiLevelType w:val="hybridMultilevel"/>
    <w:lvl w:ilvl="0">
      <w:lvlJc w:val="left"/>
      <w:lvlText w:val="•"/>
      <w:numFmt w:val="bullet"/>
      <w:start w:val="1"/>
    </w:lvl>
  </w:abstractNum>
  <w:abstractNum w:abstractNumId="11">
    <w:nsid w:val="749ABB43"/>
    <w:multiLevelType w:val="hybridMultilevel"/>
    <w:lvl w:ilvl="0">
      <w:lvlJc w:val="left"/>
      <w:lvlText w:val="•"/>
      <w:numFmt w:val="bullet"/>
      <w:start w:val="1"/>
    </w:lvl>
  </w:abstractNum>
  <w:abstractNum w:abstractNumId="12">
    <w:nsid w:val="3DC240FB"/>
    <w:multiLevelType w:val="hybridMultilevel"/>
    <w:lvl w:ilvl="0">
      <w:lvlJc w:val="left"/>
      <w:lvlText w:val="•"/>
      <w:numFmt w:val="bullet"/>
      <w:start w:val="1"/>
    </w:lvl>
  </w:abstractNum>
  <w:abstractNum w:abstractNumId="13">
    <w:nsid w:val="1BA026FA"/>
    <w:multiLevelType w:val="hybridMultilevel"/>
    <w:lvl w:ilvl="0">
      <w:lvlJc w:val="left"/>
      <w:lvlText w:val="•"/>
      <w:numFmt w:val="bullet"/>
      <w:start w:val="1"/>
    </w:lvl>
  </w:abstractNum>
  <w:abstractNum w:abstractNumId="14">
    <w:nsid w:val="79A1DEAA"/>
    <w:multiLevelType w:val="hybridMultilevel"/>
    <w:lvl w:ilvl="0">
      <w:lvlJc w:val="left"/>
      <w:lvlText w:val="•"/>
      <w:numFmt w:val="bullet"/>
      <w:start w:val="1"/>
    </w:lvl>
    <w:lvl w:ilvl="1">
      <w:lvlJc w:val="left"/>
      <w:lvlText w:val="•"/>
      <w:numFmt w:val="bullet"/>
      <w:start w:val="1"/>
    </w:lvl>
  </w:abstractNum>
  <w:abstractNum w:abstractNumId="15">
    <w:nsid w:val="75C6C33A"/>
    <w:multiLevelType w:val="hybridMultilevel"/>
    <w:lvl w:ilvl="0">
      <w:lvlJc w:val="left"/>
      <w:lvlText w:val="(%1)"/>
      <w:numFmt w:val="decimal"/>
      <w:start w:val="1"/>
    </w:lvl>
  </w:abstractNum>
  <w:abstractNum w:abstractNumId="16">
    <w:nsid w:val="12E685FB"/>
    <w:multiLevelType w:val="hybridMultilevel"/>
    <w:lvl w:ilvl="0">
      <w:lvlJc w:val="left"/>
      <w:lvlText w:val="•"/>
      <w:numFmt w:val="bullet"/>
      <w:start w:val="1"/>
    </w:lvl>
  </w:abstractNum>
  <w:abstractNum w:abstractNumId="17">
    <w:nsid w:val="70C6A529"/>
    <w:multiLevelType w:val="hybridMultilevel"/>
    <w:lvl w:ilvl="0">
      <w:lvlJc w:val="left"/>
      <w:lvlText w:val="•"/>
      <w:numFmt w:val="bullet"/>
      <w:start w:val="1"/>
    </w:lvl>
  </w:abstractNum>
  <w:abstractNum w:abstractNumId="18">
    <w:nsid w:val="520EEDD1"/>
    <w:multiLevelType w:val="hybridMultilevel"/>
    <w:lvl w:ilvl="0">
      <w:lvlJc w:val="left"/>
      <w:lvlText w:val="(%1)"/>
      <w:numFmt w:val="decimal"/>
      <w:start w:val="1"/>
    </w:lvl>
  </w:abstractNum>
  <w:abstractNum w:abstractNumId="19">
    <w:nsid w:val="374A3FE6"/>
    <w:multiLevelType w:val="hybridMultilevel"/>
    <w:lvl w:ilvl="0">
      <w:lvlJc w:val="left"/>
      <w:lvlText w:val="(%1)"/>
      <w:numFmt w:val="decimal"/>
      <w:start w:val="1"/>
    </w:lvl>
  </w:abstractNum>
  <w:abstractNum w:abstractNumId="20">
    <w:nsid w:val="4F4EF005"/>
    <w:multiLevelType w:val="hybridMultilevel"/>
    <w:lvl w:ilvl="0">
      <w:lvlJc w:val="left"/>
      <w:lvlText w:val="(%1)"/>
      <w:numFmt w:val="decimal"/>
      <w:start w:val="1"/>
    </w:lvl>
  </w:abstractNum>
  <w:abstractNum w:abstractNumId="21">
    <w:nsid w:val="23F9C13C"/>
    <w:multiLevelType w:val="hybridMultilevel"/>
    <w:lvl w:ilvl="0">
      <w:lvlJc w:val="left"/>
      <w:lvlText w:val="(%1)"/>
      <w:numFmt w:val="decimal"/>
      <w:start w:val="1"/>
    </w:lvl>
  </w:abstractNum>
  <w:abstractNum w:abstractNumId="22">
    <w:nsid w:val="649BB77C"/>
    <w:multiLevelType w:val="hybridMultilevel"/>
    <w:lvl w:ilvl="0">
      <w:lvlJc w:val="left"/>
      <w:lvlText w:val="(%1)"/>
      <w:numFmt w:val="decimal"/>
      <w:start w:val="1"/>
    </w:lvl>
  </w:abstractNum>
  <w:abstractNum w:abstractNumId="23">
    <w:nsid w:val="275AC794"/>
    <w:multiLevelType w:val="hybridMultilevel"/>
    <w:lvl w:ilvl="0">
      <w:lvlJc w:val="left"/>
      <w:lvlText w:val="(%1)"/>
      <w:numFmt w:val="decimal"/>
      <w:start w:val="1"/>
    </w:lvl>
  </w:abstractNum>
  <w:abstractNum w:abstractNumId="24">
    <w:nsid w:val="39386575"/>
    <w:multiLevelType w:val="hybridMultilevel"/>
    <w:lvl w:ilvl="0">
      <w:lvlJc w:val="left"/>
      <w:lvlText w:val="(%1)"/>
      <w:numFmt w:val="decimal"/>
      <w:start w:val="1"/>
    </w:lvl>
  </w:abstractNum>
  <w:abstractNum w:abstractNumId="25">
    <w:nsid w:val="1CF10FD8"/>
    <w:multiLevelType w:val="hybridMultilevel"/>
    <w:lvl w:ilvl="0">
      <w:lvlJc w:val="left"/>
      <w:lvlText w:val="(%1)"/>
      <w:numFmt w:val="decimal"/>
      <w:start w:val="1"/>
    </w:lvl>
  </w:abstractNum>
  <w:abstractNum w:abstractNumId="26">
    <w:nsid w:val="180115BE"/>
    <w:multiLevelType w:val="hybridMultilevel"/>
    <w:lvl w:ilvl="0">
      <w:lvlJc w:val="left"/>
      <w:lvlText w:val="(%1)"/>
      <w:numFmt w:val="decimal"/>
      <w:start w:val="1"/>
    </w:lvl>
  </w:abstractNum>
  <w:abstractNum w:abstractNumId="27">
    <w:nsid w:val="235BA861"/>
    <w:multiLevelType w:val="hybridMultilevel"/>
    <w:lvl w:ilvl="0">
      <w:lvlJc w:val="left"/>
      <w:lvlText w:val="(%1)"/>
      <w:numFmt w:val="decimal"/>
      <w:start w:val="1"/>
    </w:lvl>
  </w:abstractNum>
  <w:abstractNum w:abstractNumId="28">
    <w:nsid w:val="47398C89"/>
    <w:multiLevelType w:val="hybridMultilevel"/>
    <w:lvl w:ilvl="0">
      <w:lvlJc w:val="left"/>
      <w:lvlText w:val="•"/>
      <w:numFmt w:val="bullet"/>
      <w:start w:val="1"/>
    </w:lvl>
    <w:lvl w:ilvl="1">
      <w:lvlJc w:val="left"/>
      <w:lvlText w:val="•"/>
      <w:numFmt w:val="bullet"/>
      <w:start w:val="1"/>
    </w:lvl>
  </w:abstractNum>
  <w:abstractNum w:abstractNumId="29">
    <w:nsid w:val="354FE9F9"/>
    <w:multiLevelType w:val="hybridMultilevel"/>
    <w:lvl w:ilvl="0">
      <w:lvlJc w:val="left"/>
      <w:lvlText w:val="•"/>
      <w:numFmt w:val="bullet"/>
      <w:start w:val="1"/>
    </w:lvl>
    <w:lvl w:ilvl="1">
      <w:lvlJc w:val="left"/>
      <w:lvlText w:val="•"/>
      <w:numFmt w:val="bullet"/>
      <w:start w:val="1"/>
    </w:lvl>
  </w:abstractNum>
  <w:abstractNum w:abstractNumId="30">
    <w:nsid w:val="15B5AF5C"/>
    <w:multiLevelType w:val="hybridMultilevel"/>
    <w:lvl w:ilvl="0">
      <w:lvlJc w:val="left"/>
      <w:lvlText w:val="(%1)"/>
      <w:numFmt w:val="decimal"/>
      <w:start w:val="1"/>
    </w:lvl>
  </w:abstractNum>
  <w:abstractNum w:abstractNumId="31">
    <w:nsid w:val="741226BB"/>
    <w:multiLevelType w:val="hybridMultilevel"/>
    <w:lvl w:ilvl="0">
      <w:lvlJc w:val="left"/>
      <w:lvlText w:val="•"/>
      <w:numFmt w:val="bullet"/>
      <w:start w:val="1"/>
    </w:lvl>
  </w:abstractNum>
  <w:abstractNum w:abstractNumId="32">
    <w:nsid w:val="D34B6A8"/>
    <w:multiLevelType w:val="hybridMultilevel"/>
    <w:lvl w:ilvl="0">
      <w:lvlJc w:val="left"/>
      <w:lvlText w:val="%1."/>
      <w:numFmt w:val="decimal"/>
      <w:start w:val="1"/>
    </w:lvl>
  </w:abstractNum>
  <w:abstractNum w:abstractNumId="33">
    <w:nsid w:val="10233C99"/>
    <w:multiLevelType w:val="hybridMultilevel"/>
    <w:lvl w:ilvl="0">
      <w:lvlJc w:val="left"/>
      <w:lvlText w:val="(%1)"/>
      <w:numFmt w:val="decimal"/>
      <w:start w:val="1"/>
    </w:lvl>
  </w:abstractNum>
  <w:abstractNum w:abstractNumId="34">
    <w:nsid w:val="3F6AB60F"/>
    <w:multiLevelType w:val="hybridMultilevel"/>
    <w:lvl w:ilvl="0">
      <w:lvlJc w:val="left"/>
      <w:lvlText w:val="•"/>
      <w:numFmt w:val="bullet"/>
      <w:start w:val="1"/>
    </w:lvl>
  </w:abstractNum>
  <w:abstractNum w:abstractNumId="35">
    <w:nsid w:val="61574095"/>
    <w:multiLevelType w:val="hybridMultilevel"/>
    <w:lvl w:ilvl="0">
      <w:lvlJc w:val="left"/>
      <w:lvlText w:val="•"/>
      <w:numFmt w:val="bullet"/>
      <w:start w:val="1"/>
    </w:lvl>
  </w:abstractNum>
  <w:abstractNum w:abstractNumId="36">
    <w:nsid w:val="7E0C57B1"/>
    <w:multiLevelType w:val="hybridMultilevel"/>
    <w:lvl w:ilvl="0">
      <w:lvlJc w:val="left"/>
      <w:lvlText w:val="•"/>
      <w:numFmt w:val="bullet"/>
      <w:start w:val="1"/>
    </w:lvl>
  </w:abstractNum>
  <w:abstractNum w:abstractNumId="37">
    <w:nsid w:val="77AE35EB"/>
    <w:multiLevelType w:val="hybridMultilevel"/>
    <w:lvl w:ilvl="0">
      <w:lvlJc w:val="left"/>
      <w:lvlText w:val="%1."/>
      <w:numFmt w:val="decimal"/>
      <w:start w:val="2"/>
    </w:lvl>
  </w:abstractNum>
  <w:abstractNum w:abstractNumId="38">
    <w:nsid w:val="579BE4F1"/>
    <w:multiLevelType w:val="hybridMultilevel"/>
    <w:lvl w:ilvl="0">
      <w:lvlJc w:val="left"/>
      <w:lvlText w:val="•"/>
      <w:numFmt w:val="bullet"/>
      <w:start w:val="1"/>
    </w:lvl>
  </w:abstractNum>
  <w:abstractNum w:abstractNumId="39">
    <w:nsid w:val="310C50B3"/>
    <w:multiLevelType w:val="hybridMultilevel"/>
    <w:lvl w:ilvl="0">
      <w:lvlJc w:val="left"/>
      <w:lvlText w:val="•"/>
      <w:numFmt w:val="bullet"/>
      <w:start w:val="1"/>
    </w:lvl>
  </w:abstractNum>
  <w:abstractNum w:abstractNumId="40">
    <w:nsid w:val="5FF87E05"/>
    <w:multiLevelType w:val="hybridMultilevel"/>
    <w:lvl w:ilvl="0">
      <w:lvlJc w:val="left"/>
      <w:lvlText w:val="•"/>
      <w:numFmt w:val="bullet"/>
      <w:start w:val="1"/>
    </w:lvl>
  </w:abstractNum>
  <w:abstractNum w:abstractNumId="41">
    <w:nsid w:val="2F305DEF"/>
    <w:multiLevelType w:val="hybridMultilevel"/>
    <w:lvl w:ilvl="0">
      <w:lvlJc w:val="left"/>
      <w:lvlText w:val="•"/>
      <w:numFmt w:val="bullet"/>
      <w:start w:val="1"/>
    </w:lvl>
  </w:abstractNum>
  <w:abstractNum w:abstractNumId="42">
    <w:nsid w:val="25A70BF7"/>
    <w:multiLevelType w:val="hybridMultilevel"/>
    <w:lvl w:ilvl="0">
      <w:lvlJc w:val="left"/>
      <w:lvlText w:val="•"/>
      <w:numFmt w:val="bullet"/>
      <w:start w:val="1"/>
    </w:lvl>
  </w:abstractNum>
  <w:abstractNum w:abstractNumId="43">
    <w:nsid w:val="1DBABF00"/>
    <w:multiLevelType w:val="hybridMultilevel"/>
    <w:lvl w:ilvl="0">
      <w:lvlJc w:val="left"/>
      <w:lvlText w:val="•"/>
      <w:numFmt w:val="bullet"/>
      <w:start w:val="1"/>
    </w:lvl>
  </w:abstractNum>
  <w:abstractNum w:abstractNumId="44">
    <w:nsid w:val="4AD084E9"/>
    <w:multiLevelType w:val="hybridMultilevel"/>
    <w:lvl w:ilvl="0">
      <w:lvlJc w:val="left"/>
      <w:lvlText w:val="•"/>
      <w:numFmt w:val="bullet"/>
      <w:start w:val="1"/>
    </w:lvl>
  </w:abstractNum>
  <w:abstractNum w:abstractNumId="45">
    <w:nsid w:val="1F48EAA1"/>
    <w:multiLevelType w:val="hybridMultilevel"/>
    <w:lvl w:ilvl="0">
      <w:lvlJc w:val="left"/>
      <w:lvlText w:val="•"/>
      <w:numFmt w:val="bullet"/>
      <w:start w:val="1"/>
    </w:lvl>
  </w:abstractNum>
  <w:abstractNum w:abstractNumId="46">
    <w:nsid w:val="1381823A"/>
    <w:multiLevelType w:val="hybridMultilevel"/>
    <w:lvl w:ilvl="0">
      <w:lvlJc w:val="left"/>
      <w:lvlText w:val="\endash "/>
      <w:numFmt w:val="bullet"/>
      <w:start w:val="1"/>
    </w:lvl>
  </w:abstractNum>
  <w:abstractNum w:abstractNumId="47">
    <w:nsid w:val="5DB70AE5"/>
    <w:multiLevelType w:val="hybridMultilevel"/>
    <w:lvl w:ilvl="0">
      <w:lvlJc w:val="left"/>
      <w:lvlText w:val="•"/>
      <w:numFmt w:val="bullet"/>
      <w:start w:val="1"/>
    </w:lvl>
  </w:abstractNum>
  <w:abstractNum w:abstractNumId="48">
    <w:nsid w:val="100F8FCA"/>
    <w:multiLevelType w:val="hybridMultilevel"/>
    <w:lvl w:ilvl="0">
      <w:lvlJc w:val="left"/>
      <w:lvlText w:val="%1."/>
      <w:numFmt w:val="decimal"/>
      <w:start w:val="3"/>
    </w:lvl>
  </w:abstractNum>
  <w:abstractNum w:abstractNumId="49">
    <w:nsid w:val="6590700B"/>
    <w:multiLevelType w:val="hybridMultilevel"/>
    <w:lvl w:ilvl="0">
      <w:lvlJc w:val="left"/>
      <w:lvlText w:val="(%1)"/>
      <w:numFmt w:val="decimal"/>
      <w:start w:val="1"/>
    </w:lvl>
  </w:abstractNum>
  <w:abstractNum w:abstractNumId="50">
    <w:nsid w:val="15014ACB"/>
    <w:multiLevelType w:val="hybridMultilevel"/>
    <w:lvl w:ilvl="0">
      <w:lvlJc w:val="left"/>
      <w:lvlText w:val="%1."/>
      <w:numFmt w:val="decimal"/>
      <w:start w:val="4"/>
    </w:lvl>
  </w:abstractNum>
  <w:abstractNum w:abstractNumId="51">
    <w:nsid w:val="5F5E7FD0"/>
    <w:multiLevelType w:val="hybridMultilevel"/>
    <w:lvl w:ilvl="0">
      <w:lvlJc w:val="left"/>
      <w:lvlText w:val="(%1)"/>
      <w:numFmt w:val="decimal"/>
      <w:start w:val="1"/>
    </w:lvl>
  </w:abstractNum>
  <w:abstractNum w:abstractNumId="52">
    <w:nsid w:val="98A3148"/>
    <w:multiLevelType w:val="hybridMultilevel"/>
    <w:lvl w:ilvl="0">
      <w:lvlJc w:val="left"/>
      <w:lvlText w:val="(%1)"/>
      <w:numFmt w:val="decimal"/>
      <w:start w:val="1"/>
    </w:lvl>
  </w:abstractNum>
  <w:abstractNum w:abstractNumId="53">
    <w:nsid w:val="799D0247"/>
    <w:multiLevelType w:val="hybridMultilevel"/>
    <w:lvl w:ilvl="0">
      <w:lvlJc w:val="left"/>
      <w:lvlText w:val="(%1)"/>
      <w:numFmt w:val="decimal"/>
      <w:start w:val="1"/>
    </w:lvl>
  </w:abstractNum>
  <w:abstractNum w:abstractNumId="54">
    <w:nsid w:val="6B94764"/>
    <w:multiLevelType w:val="hybridMultilevel"/>
    <w:lvl w:ilvl="0">
      <w:lvlJc w:val="left"/>
      <w:lvlText w:val="(%1)"/>
      <w:numFmt w:val="decimal"/>
      <w:start w:val="1"/>
    </w:lvl>
  </w:abstractNum>
  <w:abstractNum w:abstractNumId="55">
    <w:nsid w:val="42C296BD"/>
    <w:multiLevelType w:val="hybridMultilevel"/>
    <w:lvl w:ilvl="0">
      <w:lvlJc w:val="left"/>
      <w:lvlText w:val="%1"/>
      <w:numFmt w:val="decimal"/>
      <w:start w:val="1"/>
    </w:lvl>
    <w:lvl w:ilvl="1">
      <w:lvlJc w:val="left"/>
      <w:lvlText w:val="(%2)"/>
      <w:numFmt w:val="decimal"/>
      <w:start w:val="1"/>
    </w:lvl>
  </w:abstractNum>
  <w:abstractNum w:abstractNumId="56">
    <w:nsid w:val="168E121F"/>
    <w:multiLevelType w:val="hybridMultilevel"/>
    <w:lvl w:ilvl="0">
      <w:lvlJc w:val="left"/>
      <w:lvlText w:val="%1."/>
      <w:numFmt w:val="decimal"/>
      <w:start w:val="6"/>
    </w:lvl>
    <w:lvl w:ilvl="1">
      <w:lvlJc w:val="left"/>
      <w:lvlText w:val="%2"/>
      <w:numFmt w:val="decimal"/>
      <w:start w:val="1"/>
    </w:lvl>
  </w:abstractNum>
  <w:abstractNum w:abstractNumId="57">
    <w:nsid w:val="1EBA5D23"/>
    <w:multiLevelType w:val="hybridMultilevel"/>
    <w:lvl w:ilvl="0">
      <w:lvlJc w:val="left"/>
      <w:lvlText w:val="(%1)"/>
      <w:numFmt w:val="decimal"/>
      <w:start w:val="1"/>
    </w:lvl>
  </w:abstractNum>
  <w:abstractNum w:abstractNumId="58">
    <w:nsid w:val="661E3F1E"/>
    <w:multiLevelType w:val="hybridMultilevel"/>
    <w:lvl w:ilvl="0">
      <w:lvlJc w:val="left"/>
      <w:lvlText w:val="(%1)"/>
      <w:numFmt w:val="decimal"/>
      <w:start w:val="1"/>
    </w:lvl>
  </w:abstractNum>
  <w:abstractNum w:abstractNumId="59">
    <w:nsid w:val="5DC79EA8"/>
    <w:multiLevelType w:val="hybridMultilevel"/>
    <w:lvl w:ilvl="0">
      <w:lvlJc w:val="left"/>
      <w:lvlText w:val="(%1)"/>
      <w:numFmt w:val="decimal"/>
      <w:start w:val="1"/>
    </w:lvl>
  </w:abstractNum>
  <w:abstractNum w:abstractNumId="60">
    <w:nsid w:val="540A471C"/>
    <w:multiLevelType w:val="hybridMultilevel"/>
    <w:lvl w:ilvl="0">
      <w:lvlJc w:val="left"/>
      <w:lvlText w:val="(%1)"/>
      <w:numFmt w:val="decimal"/>
      <w:start w:val="1"/>
    </w:lvl>
  </w:abstractNum>
  <w:abstractNum w:abstractNumId="61">
    <w:nsid w:val="7BD3EE7B"/>
    <w:multiLevelType w:val="hybridMultilevel"/>
    <w:lvl w:ilvl="0">
      <w:lvlJc w:val="left"/>
      <w:lvlText w:val="(%1)"/>
      <w:numFmt w:val="decimal"/>
      <w:start w:val="1"/>
    </w:lvl>
  </w:abstractNum>
  <w:abstractNum w:abstractNumId="62">
    <w:nsid w:val="51D9C564"/>
    <w:multiLevelType w:val="hybridMultilevel"/>
    <w:lvl w:ilvl="0">
      <w:lvlJc w:val="left"/>
      <w:lvlText w:val="%1."/>
      <w:numFmt w:val="decimal"/>
      <w:start w:val="9"/>
    </w:lvl>
  </w:abstractNum>
  <w:abstractNum w:abstractNumId="63">
    <w:nsid w:val="613EFDC5"/>
    <w:multiLevelType w:val="hybridMultilevel"/>
    <w:lvl w:ilvl="0">
      <w:lvlJc w:val="left"/>
      <w:lvlText w:val="(%1)"/>
      <w:numFmt w:val="decimal"/>
      <w:start w:val="1"/>
    </w:lvl>
  </w:abstractNum>
  <w:abstractNum w:abstractNumId="64">
    <w:nsid w:val="BF72B14"/>
    <w:multiLevelType w:val="hybridMultilevel"/>
    <w:lvl w:ilvl="0">
      <w:lvlJc w:val="left"/>
      <w:lvlText w:val="%1."/>
      <w:numFmt w:val="decimal"/>
      <w:start w:val="10"/>
    </w:lvl>
  </w:abstractNum>
  <w:abstractNum w:abstractNumId="65">
    <w:nsid w:val="11447B73"/>
    <w:multiLevelType w:val="hybridMultilevel"/>
    <w:lvl w:ilvl="0">
      <w:lvlJc w:val="left"/>
      <w:lvlText w:val="(%1)"/>
      <w:numFmt w:val="decimal"/>
      <w:start w:val="1"/>
    </w:lvl>
  </w:abstractNum>
  <w:abstractNum w:abstractNumId="66">
    <w:nsid w:val="42963E5A"/>
    <w:multiLevelType w:val="hybridMultilevel"/>
    <w:lvl w:ilvl="0">
      <w:lvlJc w:val="left"/>
      <w:lvlText w:val="%1."/>
      <w:numFmt w:val="decimal"/>
      <w:start w:val="13"/>
    </w:lvl>
  </w:abstractNum>
  <w:abstractNum w:abstractNumId="67">
    <w:nsid w:val="A0382C5"/>
    <w:multiLevelType w:val="hybridMultilevel"/>
    <w:lvl w:ilvl="0">
      <w:lvlJc w:val="left"/>
      <w:lvlText w:val="%1"/>
      <w:numFmt w:val="decimal"/>
      <w:start w:val="1"/>
    </w:lvl>
    <w:lvl w:ilvl="1">
      <w:lvlJc w:val="left"/>
      <w:lvlText w:val="(%2)"/>
      <w:numFmt w:val="decimal"/>
      <w:start w:val="1"/>
    </w:lvl>
  </w:abstractNum>
  <w:abstractNum w:abstractNumId="68">
    <w:nsid w:val="8F2B15E"/>
    <w:multiLevelType w:val="hybridMultilevel"/>
    <w:lvl w:ilvl="0">
      <w:lvlJc w:val="left"/>
      <w:lvlText w:val="%1."/>
      <w:numFmt w:val="decimal"/>
      <w:start w:val="14"/>
    </w:lvl>
    <w:lvl w:ilvl="1">
      <w:lvlJc w:val="left"/>
      <w:lvlText w:val="%2"/>
      <w:numFmt w:val="decimal"/>
      <w:start w:val="1"/>
    </w:lvl>
  </w:abstractNum>
  <w:abstractNum w:abstractNumId="69">
    <w:nsid w:val="1A32234B"/>
    <w:multiLevelType w:val="hybridMultilevel"/>
    <w:lvl w:ilvl="0">
      <w:lvlJc w:val="left"/>
      <w:lvlText w:val="•"/>
      <w:numFmt w:val="bullet"/>
      <w:start w:val="1"/>
    </w:lvl>
  </w:abstractNum>
  <w:abstractNum w:abstractNumId="70">
    <w:nsid w:val="3B0FD379"/>
    <w:multiLevelType w:val="hybridMultilevel"/>
    <w:lvl w:ilvl="0">
      <w:lvlJc w:val="left"/>
      <w:lvlText w:val="•"/>
      <w:numFmt w:val="bullet"/>
      <w:start w:val="1"/>
    </w:lvl>
  </w:abstractNum>
  <w:abstractNum w:abstractNumId="71">
    <w:nsid w:val="68EB2F63"/>
    <w:multiLevelType w:val="hybridMultilevel"/>
    <w:lvl w:ilvl="0">
      <w:lvlJc w:val="left"/>
      <w:lvlText w:val="(%1)"/>
      <w:numFmt w:val="decimal"/>
      <w:start w:val="1"/>
    </w:lvl>
  </w:abstractNum>
  <w:abstractNum w:abstractNumId="72">
    <w:nsid w:val="4962813B"/>
    <w:multiLevelType w:val="hybridMultilevel"/>
    <w:lvl w:ilvl="0">
      <w:lvlJc w:val="left"/>
      <w:lvlText w:val="%1."/>
      <w:numFmt w:val="decimal"/>
      <w:start w:val="15"/>
    </w:lvl>
  </w:abstractNum>
  <w:abstractNum w:abstractNumId="73">
    <w:nsid w:val="60B6DF70"/>
    <w:multiLevelType w:val="hybridMultilevel"/>
    <w:lvl w:ilvl="0">
      <w:lvlJc w:val="left"/>
      <w:lvlText w:val="%1."/>
      <w:numFmt w:val="decimal"/>
      <w:start w:val="16"/>
    </w:lvl>
  </w:abstractNum>
  <w:abstractNum w:abstractNumId="74">
    <w:nsid w:val="6A5EE64"/>
    <w:multiLevelType w:val="hybridMultilevel"/>
    <w:lvl w:ilvl="0">
      <w:lvlJc w:val="left"/>
      <w:lvlText w:val="(%1)"/>
      <w:numFmt w:val="decimal"/>
      <w:start w:val="1"/>
    </w:lvl>
  </w:abstractNum>
  <w:abstractNum w:abstractNumId="75">
    <w:nsid w:val="14330624"/>
    <w:multiLevelType w:val="hybridMultilevel"/>
    <w:lvl w:ilvl="0">
      <w:lvlJc w:val="left"/>
      <w:lvlText w:val="(%1)"/>
      <w:numFmt w:val="lowerLetter"/>
      <w:start w:val="1"/>
    </w:lvl>
  </w:abstractNum>
  <w:abstractNum w:abstractNumId="76">
    <w:nsid w:val="7FFFCA11"/>
    <w:multiLevelType w:val="hybridMultilevel"/>
    <w:lvl w:ilvl="0">
      <w:lvlJc w:val="left"/>
      <w:lvlText w:val="•"/>
      <w:numFmt w:val="bullet"/>
      <w:start w:val="1"/>
    </w:lvl>
  </w:abstractNum>
  <w:abstractNum w:abstractNumId="77">
    <w:nsid w:val="1A27709E"/>
    <w:multiLevelType w:val="hybridMultilevel"/>
    <w:lvl w:ilvl="0">
      <w:lvlJc w:val="left"/>
      <w:lvlText w:val="(%1)"/>
      <w:numFmt w:val="decimal"/>
      <w:start w:val="2"/>
    </w:lvl>
  </w:abstractNum>
  <w:abstractNum w:abstractNumId="78">
    <w:nsid w:val="71EA1109"/>
    <w:multiLevelType w:val="hybridMultilevel"/>
    <w:lvl w:ilvl="0">
      <w:lvlJc w:val="left"/>
      <w:lvlText w:val="(%1)"/>
      <w:numFmt w:val="lowerLetter"/>
      <w:start w:val="1"/>
    </w:lvl>
  </w:abstractNum>
  <w:abstractNum w:abstractNumId="79">
    <w:nsid w:val="100F59DC"/>
    <w:multiLevelType w:val="hybridMultilevel"/>
    <w:lvl w:ilvl="0">
      <w:lvlJc w:val="left"/>
      <w:lvlText w:val="(%1)"/>
      <w:numFmt w:val="decimal"/>
      <w:start w:val="2"/>
    </w:lvl>
  </w:abstractNum>
  <w:abstractNum w:abstractNumId="80">
    <w:nsid w:val="7FB7E0AA"/>
    <w:multiLevelType w:val="hybridMultilevel"/>
    <w:lvl w:ilvl="0">
      <w:lvlJc w:val="left"/>
      <w:lvlText w:val="%1"/>
      <w:numFmt w:val="decimal"/>
      <w:start w:val="12"/>
    </w:lvl>
  </w:abstractNum>
  <w:abstractNum w:abstractNumId="81">
    <w:nsid w:val="6EB5BD4"/>
    <w:multiLevelType w:val="hybridMultilevel"/>
    <w:lvl w:ilvl="0">
      <w:lvlJc w:val="left"/>
      <w:lvlText w:val="%1"/>
      <w:numFmt w:val="decimal"/>
      <w:start w:val="21"/>
    </w:lvl>
  </w:abstractNum>
  <w:abstractNum w:abstractNumId="82">
    <w:nsid w:val="6F6DD9AC"/>
    <w:multiLevelType w:val="hybridMultilevel"/>
    <w:lvl w:ilvl="0">
      <w:lvlJc w:val="left"/>
      <w:lvlText w:val="%1"/>
      <w:numFmt w:val="decimal"/>
      <w:start w:val="23"/>
    </w:lvl>
  </w:abstractNum>
  <w:abstractNum w:abstractNumId="83">
    <w:nsid w:val="94211F2"/>
    <w:multiLevelType w:val="hybridMultilevel"/>
    <w:lvl w:ilvl="0">
      <w:lvlJc w:val="left"/>
      <w:lvlText w:val="*"/>
      <w:numFmt w:val="bullet"/>
      <w:start w:val="1"/>
    </w:lvl>
  </w:abstractNum>
  <w:abstractNum w:abstractNumId="84">
    <w:nsid w:val="885E1B"/>
    <w:multiLevelType w:val="hybridMultilevel"/>
    <w:lvl w:ilvl="0">
      <w:lvlJc w:val="left"/>
      <w:lvlText w:val="%1."/>
      <w:numFmt w:val="decimal"/>
      <w:start w:val="1"/>
    </w:lvl>
    <w:lvl w:ilvl="1">
      <w:lvlJc w:val="left"/>
      <w:lvlText w:val="(%2)"/>
      <w:numFmt w:val="lowerLetter"/>
      <w:start w:val="1"/>
    </w:lvl>
  </w:abstractNum>
  <w:abstractNum w:abstractNumId="85">
    <w:nsid w:val="76272110"/>
    <w:multiLevelType w:val="hybridMultilevel"/>
    <w:lvl w:ilvl="0">
      <w:lvlJc w:val="left"/>
      <w:lvlText w:val="%1."/>
      <w:numFmt w:val="decimal"/>
      <w:start w:val="1"/>
    </w:lvl>
    <w:lvl w:ilvl="1">
      <w:lvlJc w:val="left"/>
      <w:lvlText w:val="(%2)"/>
      <w:numFmt w:val="lowerLetter"/>
      <w:start w:val="1"/>
    </w:lvl>
  </w:abstractNum>
  <w:abstractNum w:abstractNumId="86">
    <w:nsid w:val="4C04A8AF"/>
    <w:multiLevelType w:val="hybridMultilevel"/>
    <w:lvl w:ilvl="0">
      <w:lvlJc w:val="left"/>
      <w:lvlText w:val="(%1)"/>
      <w:numFmt w:val="decimal"/>
      <w:start w:val="1"/>
    </w:lvl>
  </w:abstractNum>
  <w:abstractNum w:abstractNumId="87">
    <w:nsid w:val="1716703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38" Type="http://schemas.openxmlformats.org/officeDocument/2006/relationships/image" Target="media/image14.png"/><Relationship Id="rId39" Type="http://schemas.openxmlformats.org/officeDocument/2006/relationships/image" Target="media/image15.png"/><Relationship Id="rId40" Type="http://schemas.openxmlformats.org/officeDocument/2006/relationships/image" Target="media/image16.png"/><Relationship Id="rId41" Type="http://schemas.openxmlformats.org/officeDocument/2006/relationships/image" Target="media/image17.png"/><Relationship Id="rId42" Type="http://schemas.openxmlformats.org/officeDocument/2006/relationships/image" Target="media/image18.png"/><Relationship Id="rId43" Type="http://schemas.openxmlformats.org/officeDocument/2006/relationships/image" Target="media/image19.png"/><Relationship Id="rId44" Type="http://schemas.openxmlformats.org/officeDocument/2006/relationships/image" Target="media/image20.png"/><Relationship Id="rId45" Type="http://schemas.openxmlformats.org/officeDocument/2006/relationships/image" Target="media/image21.png"/><Relationship Id="rId46" Type="http://schemas.openxmlformats.org/officeDocument/2006/relationships/image" Target="media/image22.png"/><Relationship Id="rId64" Type="http://schemas.openxmlformats.org/officeDocument/2006/relationships/image" Target="media/image23.png"/><Relationship Id="rId65" Type="http://schemas.openxmlformats.org/officeDocument/2006/relationships/image" Target="media/image24.png"/><Relationship Id="rId66" Type="http://schemas.openxmlformats.org/officeDocument/2006/relationships/image" Target="media/image25.png"/><Relationship Id="rId67" Type="http://schemas.openxmlformats.org/officeDocument/2006/relationships/image" Target="media/image26.png"/><Relationship Id="rId68" Type="http://schemas.openxmlformats.org/officeDocument/2006/relationships/image" Target="media/image27.png"/><Relationship Id="rId69" Type="http://schemas.openxmlformats.org/officeDocument/2006/relationships/image" Target="media/image28.png"/><Relationship Id="rId70" Type="http://schemas.openxmlformats.org/officeDocument/2006/relationships/image" Target="media/image29.png"/><Relationship Id="rId71" Type="http://schemas.openxmlformats.org/officeDocument/2006/relationships/image" Target="media/image30.png"/><Relationship Id="rId72" Type="http://schemas.openxmlformats.org/officeDocument/2006/relationships/image" Target="media/image31.png"/><Relationship Id="rId76" Type="http://schemas.openxmlformats.org/officeDocument/2006/relationships/image" Target="media/image32.png"/><Relationship Id="rId77" Type="http://schemas.openxmlformats.org/officeDocument/2006/relationships/image" Target="media/image33.png"/><Relationship Id="rId80" Type="http://schemas.openxmlformats.org/officeDocument/2006/relationships/image" Target="media/image34.png"/><Relationship Id="rId91" Type="http://schemas.openxmlformats.org/officeDocument/2006/relationships/image" Target="media/image35.png"/><Relationship Id="rId94" Type="http://schemas.openxmlformats.org/officeDocument/2006/relationships/image" Target="media/image36.png"/><Relationship Id="rId115" Type="http://schemas.openxmlformats.org/officeDocument/2006/relationships/image" Target="media/image37.png"/><Relationship Id="rId116" Type="http://schemas.openxmlformats.org/officeDocument/2006/relationships/image" Target="media/image38.png"/><Relationship Id="rId117" Type="http://schemas.openxmlformats.org/officeDocument/2006/relationships/image" Target="media/image39.png"/><Relationship Id="rId118" Type="http://schemas.openxmlformats.org/officeDocument/2006/relationships/image" Target="media/image40.png"/><Relationship Id="rId119" Type="http://schemas.openxmlformats.org/officeDocument/2006/relationships/image" Target="media/image41.png"/><Relationship Id="rId120" Type="http://schemas.openxmlformats.org/officeDocument/2006/relationships/image" Target="media/image42.png"/><Relationship Id="rId121" Type="http://schemas.openxmlformats.org/officeDocument/2006/relationships/image" Target="media/image43.png"/><Relationship Id="rId122" Type="http://schemas.openxmlformats.org/officeDocument/2006/relationships/image" Target="media/image44.png"/><Relationship Id="rId123" Type="http://schemas.openxmlformats.org/officeDocument/2006/relationships/image" Target="media/image45.png"/><Relationship Id="rId124" Type="http://schemas.openxmlformats.org/officeDocument/2006/relationships/image" Target="media/image46.png"/><Relationship Id="rId144" Type="http://schemas.openxmlformats.org/officeDocument/2006/relationships/image" Target="media/image47.png"/><Relationship Id="rId145" Type="http://schemas.openxmlformats.org/officeDocument/2006/relationships/image" Target="media/image48.png"/><Relationship Id="rId146" Type="http://schemas.openxmlformats.org/officeDocument/2006/relationships/image" Target="media/image49.png"/><Relationship Id="rId147" Type="http://schemas.openxmlformats.org/officeDocument/2006/relationships/image" Target="media/image50.png"/><Relationship Id="rId148" Type="http://schemas.openxmlformats.org/officeDocument/2006/relationships/image" Target="media/image51.png"/><Relationship Id="rId149" Type="http://schemas.openxmlformats.org/officeDocument/2006/relationships/image" Target="media/image52.png"/><Relationship Id="rId150" Type="http://schemas.openxmlformats.org/officeDocument/2006/relationships/image" Target="media/image53.png"/><Relationship Id="rId151" Type="http://schemas.openxmlformats.org/officeDocument/2006/relationships/image" Target="media/image54.png"/><Relationship Id="rId152" Type="http://schemas.openxmlformats.org/officeDocument/2006/relationships/image" Target="media/image55.png"/><Relationship Id="rId153" Type="http://schemas.openxmlformats.org/officeDocument/2006/relationships/image" Target="media/image56.png"/><Relationship Id="rId154" Type="http://schemas.openxmlformats.org/officeDocument/2006/relationships/image" Target="media/image57.png"/><Relationship Id="rId155" Type="http://schemas.openxmlformats.org/officeDocument/2006/relationships/image" Target="media/image58.png"/><Relationship Id="rId156" Type="http://schemas.openxmlformats.org/officeDocument/2006/relationships/image" Target="media/image59.png"/><Relationship Id="rId157" Type="http://schemas.openxmlformats.org/officeDocument/2006/relationships/image" Target="media/image60.png"/><Relationship Id="rId158" Type="http://schemas.openxmlformats.org/officeDocument/2006/relationships/image" Target="media/image61.png"/><Relationship Id="rId159" Type="http://schemas.openxmlformats.org/officeDocument/2006/relationships/image" Target="media/image62.png"/><Relationship Id="rId160" Type="http://schemas.openxmlformats.org/officeDocument/2006/relationships/image" Target="media/image63.png"/><Relationship Id="rId161" Type="http://schemas.openxmlformats.org/officeDocument/2006/relationships/image" Target="media/image64.png"/><Relationship Id="rId162" Type="http://schemas.openxmlformats.org/officeDocument/2006/relationships/image" Target="media/image65.png"/><Relationship Id="rId163" Type="http://schemas.openxmlformats.org/officeDocument/2006/relationships/image" Target="media/image66.png"/><Relationship Id="rId164" Type="http://schemas.openxmlformats.org/officeDocument/2006/relationships/image" Target="media/image67.png"/><Relationship Id="rId165" Type="http://schemas.openxmlformats.org/officeDocument/2006/relationships/image" Target="media/image68.png"/><Relationship Id="rId166" Type="http://schemas.openxmlformats.org/officeDocument/2006/relationships/image" Target="media/image69.png"/><Relationship Id="rId167" Type="http://schemas.openxmlformats.org/officeDocument/2006/relationships/image" Target="media/image70.png"/><Relationship Id="rId168" Type="http://schemas.openxmlformats.org/officeDocument/2006/relationships/image" Target="media/image71.png"/><Relationship Id="rId169" Type="http://schemas.openxmlformats.org/officeDocument/2006/relationships/image" Target="media/image72.png"/><Relationship Id="rId170" Type="http://schemas.openxmlformats.org/officeDocument/2006/relationships/image" Target="media/image73.png"/><Relationship Id="rId171" Type="http://schemas.openxmlformats.org/officeDocument/2006/relationships/image" Target="media/image74.png"/><Relationship Id="rId172" Type="http://schemas.openxmlformats.org/officeDocument/2006/relationships/image" Target="media/image75.png"/><Relationship Id="rId21" Type="http://schemas.openxmlformats.org/officeDocument/2006/relationships/hyperlink" Target="http://www.sec.gov/Archives/edgar/data/885550/0000950124-97-004326.txt" TargetMode="External"/><Relationship Id="rId22" Type="http://schemas.openxmlformats.org/officeDocument/2006/relationships/hyperlink" Target="http://www.sec.gov/Archives/edgar/data/885550/000095012406000325/k01897exv3wxby.txt" TargetMode="External"/><Relationship Id="rId23" Type="http://schemas.openxmlformats.org/officeDocument/2006/relationships/hyperlink" Target="http://www.sec.gov/Archives/edgar/data/885550/000088555011000038/cacc_061711loc.htm" TargetMode="External"/><Relationship Id="rId24" Type="http://schemas.openxmlformats.org/officeDocument/2006/relationships/hyperlink" Target="http://www.sec.gov/Archives/edgar/data/885550/000088555011000046/cacc_081911lsa.htm" TargetMode="External"/><Relationship Id="rId25" Type="http://schemas.openxmlformats.org/officeDocument/2006/relationships/hyperlink" Target="http://www.sec.gov/Archives/edgar/data/885550/000088555011000046/cacc_081911bsa.htm" TargetMode="External"/><Relationship Id="rId26" Type="http://schemas.openxmlformats.org/officeDocument/2006/relationships/hyperlink" Target="http://www.sec.gov/Archives/edgar/data/885550/000095012310009043/k48819exv4wgw6.htm" TargetMode="External"/><Relationship Id="rId27" Type="http://schemas.openxmlformats.org/officeDocument/2006/relationships/hyperlink" Target="http://www.sec.gov/Archives/edgar/data/885550/000088555012000048/cacc_8k061512loc.htm" TargetMode="External"/><Relationship Id="rId28" Type="http://schemas.openxmlformats.org/officeDocument/2006/relationships/hyperlink" Target="http://www.sec.gov/Archives/edgar/data/885550/000088555013000002/cacc_8k122712bsa.htm" TargetMode="External"/><Relationship Id="rId29" Type="http://schemas.openxmlformats.org/officeDocument/2006/relationships/hyperlink" Target="http://www.sec.gov/Archives/edgar/data/885550/000088555013000036/cacc_8k040513lsa.htm" TargetMode="External"/><Relationship Id="rId30" Type="http://schemas.openxmlformats.org/officeDocument/2006/relationships/hyperlink" Target="http://www.sec.gov/Archives/edgar/data/885550/000088555013000036/cacc_8k040513sca.htm" TargetMode="External"/><Relationship Id="rId31" Type="http://schemas.openxmlformats.org/officeDocument/2006/relationships/hyperlink" Target="http://www.sec.gov/Archives/edgar/data/885550/000088555013000051/cacc_8k062013loc.htm" TargetMode="External"/><Relationship Id="rId32" Type="http://schemas.openxmlformats.org/officeDocument/2006/relationships/hyperlink" Target="http://www.sec.gov/Archives/edgar/data/885550/000088555014000015/cacc_ex4-103.htm" TargetMode="External"/><Relationship Id="rId33" Type="http://schemas.openxmlformats.org/officeDocument/2006/relationships/hyperlink" Target="http://www.sec.gov/Archives/edgar/data/885550/000088555014000015/cacc_ex4-117.htm" TargetMode="External"/><Relationship Id="rId34" Type="http://schemas.openxmlformats.org/officeDocument/2006/relationships/hyperlink" Target="http://www.sec.gov/Archives/edgar/data/885550/000088555014000005/cacc_012214ex41.htm" TargetMode="External"/><Relationship Id="rId35" Type="http://schemas.openxmlformats.org/officeDocument/2006/relationships/hyperlink" Target="http://www.sec.gov/Archives/edgar/data/885550/000088555014000015/cacc_ex4-106.htm" TargetMode="External"/><Relationship Id="rId36" Type="http://schemas.openxmlformats.org/officeDocument/2006/relationships/hyperlink" Target="http://www.sec.gov/Archives/edgar/data/885550/000088555014000015/cacc_ex4-107.htm" TargetMode="External"/><Relationship Id="rId37" Type="http://schemas.openxmlformats.org/officeDocument/2006/relationships/hyperlink" Target="http://www.sec.gov/Archives/edgar/data/885550/000088555014000045/cacc_8k062314loc.htm" TargetMode="External"/><Relationship Id="rId47" Type="http://schemas.openxmlformats.org/officeDocument/2006/relationships/hyperlink" Target="http://www.sec.gov/Archives/edgar/data/885550/000088555014000047/amendmentno1toarbackupserv.htm" TargetMode="External"/><Relationship Id="rId48" Type="http://schemas.openxmlformats.org/officeDocument/2006/relationships/hyperlink" Target="http://www.sec.gov/Archives/edgar/data/885550/000088555014000057/cacc_8k20140915lsa.htm" TargetMode="External"/><Relationship Id="rId49" Type="http://schemas.openxmlformats.org/officeDocument/2006/relationships/hyperlink" Target="http://www.sec.gov/Archives/edgar/data/885550/000088555014000057/cacc_8k20140915bsa.htm" TargetMode="External"/><Relationship Id="rId50" Type="http://schemas.openxmlformats.org/officeDocument/2006/relationships/hyperlink" Target="http://www.sec.gov/Archives/edgar/data/885550/000088555014000057/cacc_8k20140915ca.htm" TargetMode="External"/><Relationship Id="rId51" Type="http://schemas.openxmlformats.org/officeDocument/2006/relationships/hyperlink" Target="http://www.sec.gov/Archives/edgar/data/885550/000088555015000007/cacc_8k20150203ia.htm" TargetMode="External"/><Relationship Id="rId52" Type="http://schemas.openxmlformats.org/officeDocument/2006/relationships/hyperlink" Target="http://www.sec.gov/Archives/edgar/data/885550/000088555015000007/cacc_8k20150203ssa.htm" TargetMode="External"/><Relationship Id="rId53" Type="http://schemas.openxmlformats.org/officeDocument/2006/relationships/hyperlink" Target="http://www.sec.gov/Archives/edgar/data/885550/000088555015000007/cacc_8k20150203bsa.htm" TargetMode="External"/><Relationship Id="rId54" Type="http://schemas.openxmlformats.org/officeDocument/2006/relationships/hyperlink" Target="http://www.sec.gov/Archives/edgar/data/885550/000088555015000007/cacc_8k20150203arta.htm" TargetMode="External"/><Relationship Id="rId55" Type="http://schemas.openxmlformats.org/officeDocument/2006/relationships/hyperlink" Target="http://www.sec.gov/Archives/edgar/data/885550/000088555015000007/cacc_8k20150203sca.htm" TargetMode="External"/><Relationship Id="rId56" Type="http://schemas.openxmlformats.org/officeDocument/2006/relationships/hyperlink" Target="http://www.sec.gov/Archives/edgar/data/885550/000119312515114322/d898991dex41.htm" TargetMode="External"/><Relationship Id="rId57" Type="http://schemas.openxmlformats.org/officeDocument/2006/relationships/hyperlink" Target="http://www.sec.gov/Archives/edgar/data/885550/000088555015000042/cacc_8k20150513lsa.htm" TargetMode="External"/><Relationship Id="rId58" Type="http://schemas.openxmlformats.org/officeDocument/2006/relationships/hyperlink" Target="http://www.sec.gov/Archives/edgar/data/885550/000088555015000042/cacc_8k20150513bsa.htm" TargetMode="External"/><Relationship Id="rId59" Type="http://schemas.openxmlformats.org/officeDocument/2006/relationships/hyperlink" Target="http://www.sec.gov/Archives/edgar/data/885550/000088555015000050/cacc_8k20150611lsa.htm" TargetMode="External"/><Relationship Id="rId60" Type="http://schemas.openxmlformats.org/officeDocument/2006/relationships/hyperlink" Target="http://www.sec.gov/Archives/edgar/data/885550/000088555015000059/cacc_8k20150820ia.htm" TargetMode="External"/><Relationship Id="rId61" Type="http://schemas.openxmlformats.org/officeDocument/2006/relationships/hyperlink" Target="http://www.sec.gov/Archives/edgar/data/885550/000088555015000059/cacc_8k20150820ssa.htm" TargetMode="External"/><Relationship Id="rId62" Type="http://schemas.openxmlformats.org/officeDocument/2006/relationships/hyperlink" Target="http://www.sec.gov/Archives/edgar/data/885550/000088555015000059/cacc_8k20150820bsa.htm" TargetMode="External"/><Relationship Id="rId63" Type="http://schemas.openxmlformats.org/officeDocument/2006/relationships/hyperlink" Target="http://www.sec.gov/Archives/edgar/data/885550/000088555015000059/cacc_8k20150820arta.htm" TargetMode="External"/><Relationship Id="rId73" Type="http://schemas.openxmlformats.org/officeDocument/2006/relationships/hyperlink" Target="http://www.sec.gov/Archives/edgar/data/885550/000088555015000059/cacc_8k20150820sca.htm" TargetMode="External"/><Relationship Id="rId74" Type="http://schemas.openxmlformats.org/officeDocument/2006/relationships/hyperlink" Target="http://www.sec.gov/Archives/edgar/data/885550/000088555015000062/cacc_8k20150930lsa.htm" TargetMode="External"/><Relationship Id="rId75" Type="http://schemas.openxmlformats.org/officeDocument/2006/relationships/hyperlink" Target="http://www.sec.gov/Archives/edgar/data/885550/000088555015000062/cacc_8k20150930ca.htm" TargetMode="External"/><Relationship Id="rId78" Type="http://schemas.openxmlformats.org/officeDocument/2006/relationships/hyperlink" Target="http://www.sec.gov/Archives/edgar/data/885550/000088555016000091/cacc_8k20160226lsa.htm" TargetMode="External"/><Relationship Id="rId79" Type="http://schemas.openxmlformats.org/officeDocument/2006/relationships/hyperlink" Target="http://www.sec.gov/Archives/edgar/data/885550/000088555016000091/cacc_8k20160226bsa.htm" TargetMode="External"/><Relationship Id="rId81" Type="http://schemas.openxmlformats.org/officeDocument/2006/relationships/hyperlink" Target="http://www.sec.gov/Archives/edgar/data/885550/000088555016000091/cacc_8k20160226sca.htm" TargetMode="External"/><Relationship Id="rId82" Type="http://schemas.openxmlformats.org/officeDocument/2006/relationships/hyperlink" Target="http://www.sec.gov/Archives/edgar/data/885550/000088555016000116/cacc_8k20160512ia.htm" TargetMode="External"/><Relationship Id="rId83" Type="http://schemas.openxmlformats.org/officeDocument/2006/relationships/hyperlink" Target="http://www.sec.gov/Archives/edgar/data/885550/000088555016000116/cacc_8k20160512ssa.htm" TargetMode="External"/><Relationship Id="rId84" Type="http://schemas.openxmlformats.org/officeDocument/2006/relationships/hyperlink" Target="http://www.sec.gov/Archives/edgar/data/885550/000088555016000116/cacc_8k20160512bsa.htm" TargetMode="External"/><Relationship Id="rId85" Type="http://schemas.openxmlformats.org/officeDocument/2006/relationships/hyperlink" Target="http://www.sec.gov/Archives/edgar/data/885550/000088555016000116/cacc_8k20160512arta.htm" TargetMode="External"/><Relationship Id="rId86" Type="http://schemas.openxmlformats.org/officeDocument/2006/relationships/hyperlink" Target="http://www.sec.gov/Archives/edgar/data/885550/000088555016000116/cacc_8k20160512sca.htm" TargetMode="External"/><Relationship Id="rId87" Type="http://schemas.openxmlformats.org/officeDocument/2006/relationships/hyperlink" Target="http://www.sec.gov/Archives/edgar/data/885550/000088555016000125/cacc_8k20160615sasarca.htm" TargetMode="External"/><Relationship Id="rId88" Type="http://schemas.openxmlformats.org/officeDocument/2006/relationships/hyperlink" Target="http://www.sec.gov/Archives/edgar/data/885550/000088555016000128/cacc_8k20160623lsa.htm" TargetMode="External"/><Relationship Id="rId89" Type="http://schemas.openxmlformats.org/officeDocument/2006/relationships/hyperlink" Target="http://www.sec.gov/Archives/edgar/data/885550/000088555016000128/cacc_8k20160623sca.htm" TargetMode="External"/><Relationship Id="rId90" Type="http://schemas.openxmlformats.org/officeDocument/2006/relationships/hyperlink" Target="http://www.sec.gov/Archives/edgar/data/885550/000088555016000136/cacc_8k20160818lsa1.htm" TargetMode="External"/><Relationship Id="rId92" Type="http://schemas.openxmlformats.org/officeDocument/2006/relationships/hyperlink" Target="http://www.sec.gov/Archives/edgar/data/885550/000088555016000136/cacc_8k20160818ca.htm" TargetMode="External"/><Relationship Id="rId93" Type="http://schemas.openxmlformats.org/officeDocument/2006/relationships/hyperlink" Target="http://www.sec.gov/Archives/edgar/data/885550/000088555016000141/cacc_8k20161027ia.htm" TargetMode="External"/><Relationship Id="rId95" Type="http://schemas.openxmlformats.org/officeDocument/2006/relationships/hyperlink" Target="http://www.sec.gov/Archives/edgar/data/885550/000088555016000141/cacc_8k20161027ssa.htm" TargetMode="External"/><Relationship Id="rId96" Type="http://schemas.openxmlformats.org/officeDocument/2006/relationships/hyperlink" Target="http://www.sec.gov/Archives/edgar/data/885550/000088555016000141/cacc_8k20161027bsa.htm" TargetMode="External"/><Relationship Id="rId97" Type="http://schemas.openxmlformats.org/officeDocument/2006/relationships/hyperlink" Target="http://www.sec.gov/Archives/edgar/data/885550/000088555016000141/cacc_8k20161027arta.htm" TargetMode="External"/><Relationship Id="rId98" Type="http://schemas.openxmlformats.org/officeDocument/2006/relationships/hyperlink" Target="http://www.sec.gov/Archives/edgar/data/885550/000088555016000141/cacc_8k20161027sca.htm" TargetMode="External"/><Relationship Id="rId99" Type="http://schemas.openxmlformats.org/officeDocument/2006/relationships/hyperlink" Target="http://www.sec.gov/Archives/edgar/data/885550/000088555017000019/cacc_8k20170223ia.htm" TargetMode="External"/><Relationship Id="rId100" Type="http://schemas.openxmlformats.org/officeDocument/2006/relationships/hyperlink" Target="http://www.sec.gov/Archives/edgar/data/885550/000088555017000019/cacc_8k20170223ssa.htm" TargetMode="External"/><Relationship Id="rId101" Type="http://schemas.openxmlformats.org/officeDocument/2006/relationships/hyperlink" Target="http://www.sec.gov/Archives/edgar/data/885550/000088555017000019/cacc_8k20170223bsa.htm" TargetMode="External"/><Relationship Id="rId102" Type="http://schemas.openxmlformats.org/officeDocument/2006/relationships/hyperlink" Target="http://www.sec.gov/Archives/edgar/data/885550/000088555017000019/cacc_8k20170223arta.htm" TargetMode="External"/><Relationship Id="rId103" Type="http://schemas.openxmlformats.org/officeDocument/2006/relationships/hyperlink" Target="http://www.sec.gov/Archives/edgar/data/885550/000088555017000019/cacc_8k20170223sca.htm" TargetMode="External"/><Relationship Id="rId104" Type="http://schemas.openxmlformats.org/officeDocument/2006/relationships/hyperlink" Target="http://www.sec.gov/Archives/edgar/data/885550/000088555017000037/cacc_8k20170428lsa.htm" TargetMode="External"/><Relationship Id="rId105" Type="http://schemas.openxmlformats.org/officeDocument/2006/relationships/hyperlink" Target="http://www.sec.gov/Archives/edgar/data/885550/000088555017000046/cacc_8k20170628arca.htm" TargetMode="External"/><Relationship Id="rId106" Type="http://schemas.openxmlformats.org/officeDocument/2006/relationships/hyperlink" Target="http://www.sec.gov/Archives/edgar/data/885550/000088555017000048/cacc_8k20170629ia.htm" TargetMode="External"/><Relationship Id="rId107" Type="http://schemas.openxmlformats.org/officeDocument/2006/relationships/hyperlink" Target="http://www.sec.gov/Archives/edgar/data/885550/000088555017000048/cacc_8k20170629ssa.htm" TargetMode="External"/><Relationship Id="rId108" Type="http://schemas.openxmlformats.org/officeDocument/2006/relationships/hyperlink" Target="http://www.sec.gov/Archives/edgar/data/885550/000088555017000048/cacc_8k20170629bsa.htm" TargetMode="External"/><Relationship Id="rId109" Type="http://schemas.openxmlformats.org/officeDocument/2006/relationships/hyperlink" Target="http://www.sec.gov/Archives/edgar/data/885550/000088555017000048/cacc_8k20170629arta.htm" TargetMode="External"/><Relationship Id="rId110" Type="http://schemas.openxmlformats.org/officeDocument/2006/relationships/hyperlink" Target="http://www.sec.gov/Archives/edgar/data/885550/000088555017000048/cacc_8k20170629sca.htm" TargetMode="External"/><Relationship Id="rId111" Type="http://schemas.openxmlformats.org/officeDocument/2006/relationships/hyperlink" Target="http://www.sec.gov/Archives/edgar/data/885550/000088555017000051/cacc_8k20170718lsa.htm" TargetMode="External"/><Relationship Id="rId112" Type="http://schemas.openxmlformats.org/officeDocument/2006/relationships/hyperlink" Target="http://www.sec.gov/Archives/edgar/data/885550/000088555017000069/cacc-20170930xex494.htm" TargetMode="External"/><Relationship Id="rId113" Type="http://schemas.openxmlformats.org/officeDocument/2006/relationships/hyperlink" Target="http://www.sec.gov/Archives/edgar/data/885550/000088555017000069/cacc-20170930xex495.htm" TargetMode="External"/><Relationship Id="rId114" Type="http://schemas.openxmlformats.org/officeDocument/2006/relationships/hyperlink" Target="http://www.sec.gov/Archives/edgar/data/885550/000088555017000064/cacc_8k20171026ssa.htm" TargetMode="External"/><Relationship Id="rId125" Type="http://schemas.openxmlformats.org/officeDocument/2006/relationships/hyperlink" Target="http://www.sec.gov/Archives/edgar/data/885550/000088555017000064/cacc_8k20171026bsa.htm" TargetMode="External"/><Relationship Id="rId126" Type="http://schemas.openxmlformats.org/officeDocument/2006/relationships/hyperlink" Target="http://www.sec.gov/Archives/edgar/data/885550/000088555017000064/cacc_8k20171026arta.htm" TargetMode="External"/><Relationship Id="rId127" Type="http://schemas.openxmlformats.org/officeDocument/2006/relationships/hyperlink" Target="http://www.sec.gov/Archives/edgar/data/885550/000088555017000064/cacc_8k20171026sca.htm" TargetMode="External"/><Relationship Id="rId128" Type="http://schemas.openxmlformats.org/officeDocument/2006/relationships/hyperlink" Target="http://www.sec.gov/Archives/edgar/data/885550/000088555017000071/cacc_8k20171201lsa.htm" TargetMode="External"/><Relationship Id="rId129" Type="http://schemas.openxmlformats.org/officeDocument/2006/relationships/hyperlink" Target="http://www.sec.gov/Archives/edgar/data/885550/000088555017000071/cacc_8k20171201ca.htm" TargetMode="External"/><Relationship Id="rId130" Type="http://schemas.openxmlformats.org/officeDocument/2006/relationships/hyperlink" Target="http://www.sec.gov/Archives/edgar/data/885550/000088555017000071/cacc_8k20171201bsa.htm" TargetMode="External"/><Relationship Id="rId131" Type="http://schemas.openxmlformats.org/officeDocument/2006/relationships/hyperlink" Target="http://www.sec.gov/Archives/edgar/data/885550/000088555017000071/cacc_8k20171201ia.htm" TargetMode="External"/><Relationship Id="rId132" Type="http://schemas.openxmlformats.org/officeDocument/2006/relationships/hyperlink" Target="http://www.sec.gov/Archives/edgar/data/885550/000088555017000073/cacc_8k20171220lsa.htm" TargetMode="External"/><Relationship Id="rId133" Type="http://schemas.openxmlformats.org/officeDocument/2006/relationships/hyperlink" Target="http://www.sec.gov/Archives/edgar/data/885550/000095012407001196/k12821exv10wxqyx4y.txt" TargetMode="External"/><Relationship Id="rId134" Type="http://schemas.openxmlformats.org/officeDocument/2006/relationships/hyperlink" Target="http://www.sec.gov/Archives/edgar/data/885550/000095012309006377/k47674ddef14a.htm" TargetMode="External"/><Relationship Id="rId135" Type="http://schemas.openxmlformats.org/officeDocument/2006/relationships/hyperlink" Target="http://www.sec.gov/Archives/edgar/data/885550/000095012309054843/k48458exv10wxqyx11y.htm" TargetMode="External"/><Relationship Id="rId136" Type="http://schemas.openxmlformats.org/officeDocument/2006/relationships/hyperlink" Target="http://www.sec.gov/Archives/edgar/data/885550/000095012309054843/k48458exv10wxqyx12y.htm" TargetMode="External"/><Relationship Id="rId137" Type="http://schemas.openxmlformats.org/officeDocument/2006/relationships/hyperlink" Target="http://www.sec.gov/Archives/edgar/data/885550/000088555012000035/cacc_ex1016.htm" TargetMode="External"/><Relationship Id="rId138" Type="http://schemas.openxmlformats.org/officeDocument/2006/relationships/hyperlink" Target="http://www.sec.gov/Archives/edgar/data/885550/000088555012000035/cacc_ex1017.htm" TargetMode="External"/><Relationship Id="rId139" Type="http://schemas.openxmlformats.org/officeDocument/2006/relationships/hyperlink" Target="http://www.sec.gov/Archives/edgar/data/885550/000088555012000028/cacc_proxy040512.htm" TargetMode="External"/><Relationship Id="rId140" Type="http://schemas.openxmlformats.org/officeDocument/2006/relationships/hyperlink" Target="http://www.sec.gov/Archives/edgar/data/885550/000088555014000015/cacc_ex10-19.htm" TargetMode="External"/><Relationship Id="rId141" Type="http://schemas.openxmlformats.org/officeDocument/2006/relationships/hyperlink" Target="http://www.sec.gov/Archives/edgar/data/885550/000088555017000003/cacc_8k20170103sa.htm" TargetMode="External"/><Relationship Id="rId142" Type="http://schemas.openxmlformats.org/officeDocument/2006/relationships/hyperlink" Target="http://www.sec.gov/Archives/edgar/data/885550/000088555017000035/cacc-20170331xex1019rsutem.htm" TargetMode="External"/><Relationship Id="rId143" Type="http://schemas.openxmlformats.org/officeDocument/2006/relationships/hyperlink" Target="http://www.sec.gov/Archives/edgar/data/885550/000088555017000069/cacc-20170930xex101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2019-12-29T01:48:02Z</dcterms:created>
  <dcterms:modified xsi:type="dcterms:W3CDTF">2019-12-29T01:48:02Z</dcterms:modified>
</cp:coreProperties>
</file>