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20, 2026, the Board of Directors of Credit Acceptance Corporation (referred to as the “Company,” “Credit Acceptance,” “we,” “our” or “us”) and Ravi Mohan, the Company’s Chief Technology Officer, mutually agreed that Mr. Mohan would resign as Chief Technology Officer, effective August 14, 2026 (the “Effective Date”) and separate from the Company on October 25,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Mohan’s resignation, the Company and Mr. Mohan are expected to enter into a separation and advisory agreement pursuant to which, subject to his execution and non-revocation of a general release of claims, Mr. Mohan will retain the opportunity to vest in his restricted stock units and stock options scheduled to vest on October 24, 2026, and will receive a monthly consulting fee of $64,375 for an advisory services period from the Effective Date to February 14,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claim the protection of the safe harbor for forward-looking statements contained in the Private Securities Litigation Reform Act of 1995 for all of our forward-looking statements. Statements in this report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report.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filed with the Securities and Exchange Commission (the “SEC”) on February 13, 2026, and other risk factors discussed or listed from time to time in our reports filed with the SEC. We do not undertake, and expressly disclaim any obligation, to update or alter our statements, whether as a result of new information or future events or otherwise, except as required by applicable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40"/>
        <w:jc w:val="both"/>
        <w:rPr/>
      </w:pPr>
      <w:r>
        <w:rPr/>
      </w:r>
    </w:p>
    <w:tbl>
      <w:tblPr>
        <w:tblW w:w="8827" w:type="dxa"/>
        <w:jc w:val="left"/>
        <w:tblInd w:w="0" w:type="dxa"/>
        <w:tblLayout w:type="fixed"/>
        <w:tblCellMar>
          <w:top w:w="28" w:type="dxa"/>
          <w:left w:w="28" w:type="dxa"/>
          <w:bottom w:w="28" w:type="dxa"/>
          <w:right w:w="28" w:type="dxa"/>
        </w:tblCellMar>
      </w:tblPr>
      <w:tblGrid>
        <w:gridCol w:w="618"/>
        <w:gridCol w:w="544"/>
        <w:gridCol w:w="547"/>
        <w:gridCol w:w="589"/>
        <w:gridCol w:w="589"/>
        <w:gridCol w:w="589"/>
        <w:gridCol w:w="1657"/>
        <w:gridCol w:w="1657"/>
        <w:gridCol w:w="166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Chief Compliance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4061</Characters>
  <CharactersWithSpaces>4758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