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16, 2013</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40" w:type="dxa"/>
            <w:vAlign w:val="bottom"/>
            <w:gridSpan w:val="5"/>
          </w:tcPr>
          <w:p>
            <w:pPr>
              <w:jc w:val="right"/>
              <w:ind w:right="3768"/>
              <w:spacing w:after="0"/>
              <w:rPr>
                <w:sz w:val="20"/>
                <w:szCs w:val="20"/>
                <w:color w:val="auto"/>
              </w:rPr>
            </w:pPr>
            <w:r>
              <w:rPr>
                <w:rFonts w:ascii="Arial" w:cs="Arial" w:eastAsia="Arial" w:hAnsi="Arial"/>
                <w:sz w:val="18"/>
                <w:szCs w:val="18"/>
                <w:color w:val="auto"/>
                <w:w w:val="94"/>
              </w:rPr>
              <w:t>(Exact name of registrant as specified in its charter)</w:t>
            </w:r>
          </w:p>
        </w:tc>
      </w:tr>
      <w:tr>
        <w:trPr>
          <w:trHeight w:val="936"/>
        </w:trPr>
        <w:tc>
          <w:tcPr>
            <w:tcW w:w="3180" w:type="dxa"/>
            <w:vAlign w:val="bottom"/>
          </w:tcPr>
          <w:p>
            <w:pPr>
              <w:jc w:val="center"/>
              <w:ind w:left="417"/>
              <w:spacing w:after="0"/>
              <w:rPr>
                <w:sz w:val="20"/>
                <w:szCs w:val="20"/>
                <w:color w:val="auto"/>
              </w:rPr>
            </w:pPr>
            <w:r>
              <w:rPr>
                <w:rFonts w:ascii="Arial" w:cs="Arial" w:eastAsia="Arial" w:hAnsi="Arial"/>
                <w:sz w:val="18"/>
                <w:szCs w:val="18"/>
                <w:color w:val="auto"/>
                <w:w w:val="94"/>
              </w:rPr>
              <w:t>Michigan</w:t>
            </w:r>
          </w:p>
        </w:tc>
        <w:tc>
          <w:tcPr>
            <w:tcW w:w="3380" w:type="dxa"/>
            <w:vAlign w:val="bottom"/>
            <w:gridSpan w:val="3"/>
          </w:tcPr>
          <w:p>
            <w:pPr>
              <w:jc w:val="right"/>
              <w:ind w:right="648"/>
              <w:spacing w:after="0"/>
              <w:rPr>
                <w:sz w:val="20"/>
                <w:szCs w:val="20"/>
                <w:color w:val="auto"/>
              </w:rPr>
            </w:pPr>
            <w:r>
              <w:rPr>
                <w:rFonts w:ascii="Arial" w:cs="Arial" w:eastAsia="Arial" w:hAnsi="Arial"/>
                <w:sz w:val="18"/>
                <w:szCs w:val="18"/>
                <w:color w:val="auto"/>
              </w:rPr>
              <w:t>000-20202</w:t>
            </w: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182"/>
        </w:trPr>
        <w:tc>
          <w:tcPr>
            <w:tcW w:w="3180" w:type="dxa"/>
            <w:vAlign w:val="bottom"/>
            <w:tcBorders>
              <w:top w:val="single" w:sz="8" w:color="auto"/>
            </w:tcBorders>
          </w:tcPr>
          <w:p>
            <w:pPr>
              <w:jc w:val="center"/>
              <w:ind w:left="417"/>
              <w:spacing w:after="0"/>
              <w:rPr>
                <w:sz w:val="20"/>
                <w:szCs w:val="20"/>
                <w:color w:val="auto"/>
              </w:rPr>
            </w:pPr>
            <w:r>
              <w:rPr>
                <w:rFonts w:ascii="Arial" w:cs="Arial" w:eastAsia="Arial" w:hAnsi="Arial"/>
                <w:sz w:val="14"/>
                <w:szCs w:val="14"/>
                <w:color w:val="auto"/>
                <w:w w:val="95"/>
              </w:rPr>
              <w:t>(State or other jurisdiction of incorporation)</w:t>
            </w:r>
          </w:p>
        </w:tc>
        <w:tc>
          <w:tcPr>
            <w:tcW w:w="50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17"/>
        </w:trPr>
        <w:tc>
          <w:tcPr>
            <w:tcW w:w="3180" w:type="dxa"/>
            <w:vAlign w:val="bottom"/>
          </w:tcPr>
          <w:p>
            <w:pPr>
              <w:jc w:val="center"/>
              <w:ind w:left="517"/>
              <w:spacing w:after="0"/>
              <w:rPr>
                <w:sz w:val="20"/>
                <w:szCs w:val="20"/>
                <w:color w:val="auto"/>
              </w:rPr>
            </w:pPr>
            <w:r>
              <w:rPr>
                <w:rFonts w:ascii="Arial" w:cs="Arial" w:eastAsia="Arial" w:hAnsi="Arial"/>
                <w:sz w:val="18"/>
                <w:szCs w:val="18"/>
                <w:color w:val="auto"/>
                <w:w w:val="90"/>
              </w:rPr>
              <w:t>25505 West Twelve Mile Road</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37"/>
        </w:trPr>
        <w:tc>
          <w:tcPr>
            <w:tcW w:w="318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3"/>
              </w:rPr>
              <w:t>Southfield, Michigan</w:t>
            </w:r>
          </w:p>
        </w:tc>
        <w:tc>
          <w:tcPr>
            <w:tcW w:w="50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r>
      <w:tr>
        <w:trPr>
          <w:trHeight w:val="182"/>
        </w:trPr>
        <w:tc>
          <w:tcPr>
            <w:tcW w:w="3180" w:type="dxa"/>
            <w:vAlign w:val="bottom"/>
          </w:tcPr>
          <w:p>
            <w:pPr>
              <w:jc w:val="center"/>
              <w:ind w:left="497"/>
              <w:spacing w:after="0"/>
              <w:rPr>
                <w:sz w:val="20"/>
                <w:szCs w:val="20"/>
                <w:color w:val="auto"/>
              </w:rPr>
            </w:pPr>
            <w:r>
              <w:rPr>
                <w:rFonts w:ascii="Arial" w:cs="Arial" w:eastAsia="Arial" w:hAnsi="Arial"/>
                <w:sz w:val="14"/>
                <w:szCs w:val="14"/>
                <w:color w:val="auto"/>
                <w:w w:val="95"/>
              </w:rPr>
              <w:t>(Address of principal executive offices)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669"/>
        </w:trPr>
        <w:tc>
          <w:tcPr>
            <w:tcW w:w="3180" w:type="dxa"/>
            <w:vAlign w:val="bottom"/>
          </w:tcPr>
          <w:p>
            <w:pPr>
              <w:spacing w:after="0"/>
              <w:rPr>
                <w:sz w:val="24"/>
                <w:szCs w:val="24"/>
                <w:color w:val="auto"/>
              </w:rPr>
            </w:pPr>
          </w:p>
        </w:tc>
        <w:tc>
          <w:tcPr>
            <w:tcW w:w="3900" w:type="dxa"/>
            <w:vAlign w:val="bottom"/>
            <w:gridSpan w:val="4"/>
          </w:tcPr>
          <w:p>
            <w:pPr>
              <w:ind w:left="8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3876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Acceptance Corporation is furnishing materials, included as Exhibit 99.1 to this report and incorporated herein by reference, which were prepared for inclusion on its investor relations website. Credit Acceptance Corporation is not undertaking to update these materials. This report should not be deemed an admission as to the materiality of any information contained in these materials.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report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Materials added to website on or about September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1136015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ACCEPTANCE CORPORATION</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16, 2013</w:t>
      </w:r>
      <w:r>
        <w:rPr>
          <w:sz w:val="20"/>
          <w:szCs w:val="20"/>
          <w:color w:val="auto"/>
        </w:rPr>
        <w:tab/>
      </w:r>
      <w:r>
        <w:rPr>
          <w:rFonts w:ascii="Arial" w:cs="Arial" w:eastAsia="Arial" w:hAnsi="Arial"/>
          <w:sz w:val="16"/>
          <w:szCs w:val="16"/>
          <w:color w:val="auto"/>
        </w:rPr>
        <w:t>By:  /s/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1109980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Materials added to website on or about September 16,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Question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loans that you originated in Q2 2013, what impact would a 1% increase in the advance rate have on the yield of these loans?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Answer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Assuming that the loans performed exactly as expected, a 1% increase in the advance rate would have reduced our yield on these loans by approximately 1%.</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2019-12-06T07:10:50Z</dcterms:created>
  <dcterms:modified xsi:type="dcterms:W3CDTF">2019-12-06T07:10:50Z</dcterms:modified>
</cp:coreProperties>
</file>