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FORM 8-K</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30, 2021</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36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0"/>
                <w:szCs w:val="20"/>
                <w:color w:val="auto"/>
              </w:rPr>
            </w:pPr>
          </w:p>
        </w:tc>
      </w:tr>
      <w:tr>
        <w:trPr>
          <w:trHeight w:val="241"/>
        </w:trPr>
        <w:tc>
          <w:tcPr>
            <w:tcW w:w="3480" w:type="dxa"/>
            <w:vAlign w:val="bottom"/>
          </w:tcPr>
          <w:p>
            <w:pPr>
              <w:jc w:val="center"/>
              <w:ind w:left="357"/>
              <w:spacing w:after="0"/>
              <w:rPr>
                <w:sz w:val="20"/>
                <w:szCs w:val="20"/>
                <w:color w:val="auto"/>
              </w:rPr>
            </w:pPr>
            <w:r>
              <w:rPr>
                <w:rFonts w:ascii="Arial" w:cs="Arial" w:eastAsia="Arial" w:hAnsi="Arial"/>
                <w:sz w:val="18"/>
                <w:szCs w:val="18"/>
                <w:color w:val="auto"/>
                <w:w w:val="94"/>
              </w:rPr>
              <w:t>Michigan</w:t>
            </w:r>
          </w:p>
        </w:tc>
        <w:tc>
          <w:tcPr>
            <w:tcW w:w="3520" w:type="dxa"/>
            <w:vAlign w:val="bottom"/>
            <w:gridSpan w:val="3"/>
          </w:tcPr>
          <w:p>
            <w:pPr>
              <w:jc w:val="center"/>
              <w:ind w:left="650"/>
              <w:spacing w:after="0"/>
              <w:rPr>
                <w:sz w:val="20"/>
                <w:szCs w:val="20"/>
                <w:color w:val="auto"/>
              </w:rPr>
            </w:pPr>
            <w:r>
              <w:rPr>
                <w:rFonts w:ascii="Arial" w:cs="Arial" w:eastAsia="Arial" w:hAnsi="Arial"/>
                <w:sz w:val="18"/>
                <w:szCs w:val="18"/>
                <w:color w:val="auto"/>
                <w:w w:val="90"/>
              </w:rPr>
              <w:t>000-20202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jc w:val="center"/>
              <w:ind w:right="479"/>
              <w:spacing w:after="0"/>
              <w:rPr>
                <w:sz w:val="20"/>
                <w:szCs w:val="20"/>
                <w:color w:val="auto"/>
              </w:rPr>
            </w:pPr>
            <w:r>
              <w:rPr>
                <w:rFonts w:ascii="Arial" w:cs="Arial" w:eastAsia="Arial" w:hAnsi="Arial"/>
                <w:sz w:val="18"/>
                <w:szCs w:val="18"/>
                <w:color w:val="auto"/>
                <w:w w:val="89"/>
              </w:rPr>
              <w:t>38-1999511</w:t>
            </w:r>
          </w:p>
        </w:tc>
      </w:tr>
      <w:tr>
        <w:trPr>
          <w:trHeight w:val="40"/>
        </w:trPr>
        <w:tc>
          <w:tcPr>
            <w:tcW w:w="3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3340" w:type="dxa"/>
            <w:vAlign w:val="bottom"/>
          </w:tcPr>
          <w:p>
            <w:pPr>
              <w:spacing w:after="0"/>
              <w:rPr>
                <w:sz w:val="3"/>
                <w:szCs w:val="3"/>
                <w:color w:val="auto"/>
              </w:rPr>
            </w:pPr>
          </w:p>
        </w:tc>
      </w:tr>
      <w:tr>
        <w:trPr>
          <w:trHeight w:val="176"/>
        </w:trPr>
        <w:tc>
          <w:tcPr>
            <w:tcW w:w="3480" w:type="dxa"/>
            <w:vAlign w:val="bottom"/>
            <w:tcBorders>
              <w:top w:val="single" w:sz="8" w:color="auto"/>
            </w:tcBorders>
          </w:tcPr>
          <w:p>
            <w:pPr>
              <w:jc w:val="center"/>
              <w:ind w:left="357"/>
              <w:spacing w:after="0"/>
              <w:rPr>
                <w:sz w:val="20"/>
                <w:szCs w:val="20"/>
                <w:color w:val="auto"/>
              </w:rPr>
            </w:pPr>
            <w:r>
              <w:rPr>
                <w:rFonts w:ascii="Arial" w:cs="Arial" w:eastAsia="Arial" w:hAnsi="Arial"/>
                <w:sz w:val="14"/>
                <w:szCs w:val="14"/>
                <w:color w:val="auto"/>
                <w:w w:val="95"/>
              </w:rPr>
              <w:t>(State or other jurisdiction of incorporation)</w:t>
            </w:r>
          </w:p>
        </w:tc>
        <w:tc>
          <w:tcPr>
            <w:tcW w:w="4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3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jc w:val="center"/>
              <w:ind w:right="479"/>
              <w:spacing w:after="0"/>
              <w:rPr>
                <w:sz w:val="20"/>
                <w:szCs w:val="20"/>
                <w:color w:val="auto"/>
              </w:rPr>
            </w:pPr>
            <w:r>
              <w:rPr>
                <w:rFonts w:ascii="Arial" w:cs="Arial" w:eastAsia="Arial" w:hAnsi="Arial"/>
                <w:sz w:val="14"/>
                <w:szCs w:val="14"/>
                <w:color w:val="auto"/>
                <w:w w:val="97"/>
              </w:rPr>
              <w:t>(IRS Employer Identification No.)</w:t>
            </w:r>
          </w:p>
        </w:tc>
      </w:tr>
      <w:tr>
        <w:trPr>
          <w:trHeight w:val="533"/>
        </w:trPr>
        <w:tc>
          <w:tcPr>
            <w:tcW w:w="3480" w:type="dxa"/>
            <w:vAlign w:val="bottom"/>
          </w:tcPr>
          <w:p>
            <w:pPr>
              <w:jc w:val="center"/>
              <w:ind w:left="437"/>
              <w:spacing w:after="0"/>
              <w:rPr>
                <w:sz w:val="20"/>
                <w:szCs w:val="20"/>
                <w:color w:val="auto"/>
              </w:rPr>
            </w:pPr>
            <w:r>
              <w:rPr>
                <w:rFonts w:ascii="Arial" w:cs="Arial" w:eastAsia="Arial" w:hAnsi="Arial"/>
                <w:sz w:val="18"/>
                <w:szCs w:val="18"/>
                <w:color w:val="auto"/>
                <w:w w:val="91"/>
              </w:rPr>
              <w:t>25505 West Twelve Mile Road</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3480" w:type="dxa"/>
            <w:vAlign w:val="bottom"/>
          </w:tcPr>
          <w:p>
            <w:pPr>
              <w:jc w:val="center"/>
              <w:ind w:left="477"/>
              <w:spacing w:after="0"/>
              <w:rPr>
                <w:sz w:val="20"/>
                <w:szCs w:val="20"/>
                <w:color w:val="auto"/>
              </w:rPr>
            </w:pPr>
            <w:r>
              <w:rPr>
                <w:rFonts w:ascii="Arial" w:cs="Arial" w:eastAsia="Arial" w:hAnsi="Arial"/>
                <w:sz w:val="18"/>
                <w:szCs w:val="18"/>
                <w:color w:val="auto"/>
                <w:w w:val="95"/>
              </w:rPr>
              <w:t>Southfield,  Michigan</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40" w:type="dxa"/>
            <w:vAlign w:val="bottom"/>
          </w:tcPr>
          <w:p>
            <w:pPr>
              <w:jc w:val="center"/>
              <w:ind w:right="479"/>
              <w:spacing w:after="0"/>
              <w:rPr>
                <w:sz w:val="20"/>
                <w:szCs w:val="20"/>
                <w:color w:val="auto"/>
              </w:rPr>
            </w:pPr>
            <w:r>
              <w:rPr>
                <w:rFonts w:ascii="Arial" w:cs="Arial" w:eastAsia="Arial" w:hAnsi="Arial"/>
                <w:sz w:val="18"/>
                <w:szCs w:val="18"/>
                <w:color w:val="auto"/>
                <w:w w:val="89"/>
              </w:rPr>
              <w:t>48034-8339</w:t>
            </w:r>
          </w:p>
        </w:tc>
      </w:tr>
      <w:tr>
        <w:trPr>
          <w:trHeight w:val="41"/>
        </w:trPr>
        <w:tc>
          <w:tcPr>
            <w:tcW w:w="3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176"/>
        </w:trPr>
        <w:tc>
          <w:tcPr>
            <w:tcW w:w="3480" w:type="dxa"/>
            <w:vAlign w:val="bottom"/>
          </w:tcPr>
          <w:p>
            <w:pPr>
              <w:jc w:val="center"/>
              <w:ind w:left="437"/>
              <w:spacing w:after="0"/>
              <w:rPr>
                <w:sz w:val="20"/>
                <w:szCs w:val="20"/>
                <w:color w:val="auto"/>
              </w:rPr>
            </w:pPr>
            <w:r>
              <w:rPr>
                <w:rFonts w:ascii="Arial" w:cs="Arial" w:eastAsia="Arial" w:hAnsi="Arial"/>
                <w:sz w:val="14"/>
                <w:szCs w:val="14"/>
                <w:color w:val="auto"/>
                <w:w w:val="95"/>
              </w:rPr>
              <w:t>(Address of principal executive offices)</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40" w:type="dxa"/>
            <w:vAlign w:val="bottom"/>
          </w:tcPr>
          <w:p>
            <w:pPr>
              <w:jc w:val="center"/>
              <w:ind w:right="479"/>
              <w:spacing w:after="0"/>
              <w:rPr>
                <w:sz w:val="20"/>
                <w:szCs w:val="20"/>
                <w:color w:val="auto"/>
              </w:rPr>
            </w:pPr>
            <w:r>
              <w:rPr>
                <w:rFonts w:ascii="Arial" w:cs="Arial" w:eastAsia="Arial" w:hAnsi="Arial"/>
                <w:sz w:val="14"/>
                <w:szCs w:val="14"/>
                <w:color w:val="auto"/>
                <w:w w:val="93"/>
              </w:rPr>
              <w:t>(Zip Code)</w:t>
            </w:r>
          </w:p>
        </w:tc>
      </w:tr>
    </w:tbl>
    <w:p>
      <w:pPr>
        <w:spacing w:after="0" w:line="39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Registrant’s telephone number, including area code:  (248) 353-2700</w:t>
      </w:r>
    </w:p>
    <w:p>
      <w:pPr>
        <w:spacing w:after="0" w:line="158"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-130175</wp:posOffset>
            </wp:positionV>
            <wp:extent cx="3943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Title of each class</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Trading symbol(s)</w:t>
            </w: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7"/>
        </w:trPr>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CACC</w:t>
            </w:r>
          </w:p>
        </w:tc>
        <w:tc>
          <w:tcPr>
            <w:tcW w:w="12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6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under Item 2.03 is hereby incorporated by reference into this Item 1.01.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30, 2021, we entered into a New Bank Addendum to the Sixth Amended and Restated Credit Agreement dated as of June 23, 2014 (as otherwise amended, restated or modified from time to time, the “Credit Agreement”), by and among the Company, each of the financial institutions parties thereto (collectively, the “Banks”) and Comerica Bank, as agent for the Banks. The New Bank Addendum increased the amount of our revolving secured line of credit facility from $385.0 million to $435.0 million. The amount of the facility will continue to decrease by $35.0 million on June 22, 2022, and will continue to further decrease by $25.0 million on June 22, 2023. There were no other material changes to the terms of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2021, we did not have a balance outstanding under the line of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5"/>
          </w:tcPr>
          <w:p>
            <w:pPr>
              <w:ind w:left="400"/>
              <w:spacing w:after="0"/>
              <w:rPr>
                <w:sz w:val="20"/>
                <w:szCs w:val="20"/>
                <w:color w:val="auto"/>
              </w:rPr>
            </w:pPr>
            <w:r>
              <w:rPr>
                <w:rFonts w:ascii="Arial" w:cs="Arial" w:eastAsia="Arial" w:hAnsi="Arial"/>
                <w:sz w:val="18"/>
                <w:szCs w:val="18"/>
                <w:color w:val="auto"/>
              </w:rPr>
              <w:t>(d) Exhibits.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40" w:type="dxa"/>
            <w:vAlign w:val="bottom"/>
          </w:tcPr>
          <w:p>
            <w:pPr>
              <w:spacing w:after="0"/>
              <w:rPr>
                <w:sz w:val="20"/>
                <w:szCs w:val="20"/>
                <w:color w:val="auto"/>
              </w:rPr>
            </w:pPr>
          </w:p>
        </w:tc>
      </w:tr>
      <w:tr>
        <w:trPr>
          <w:trHeight w:val="459"/>
        </w:trPr>
        <w:tc>
          <w:tcPr>
            <w:tcW w:w="78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4"/>
                <w:szCs w:val="24"/>
                <w:color w:val="auto"/>
              </w:rPr>
            </w:pPr>
          </w:p>
        </w:tc>
        <w:tc>
          <w:tcPr>
            <w:tcW w:w="87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840" w:type="dxa"/>
            <w:vAlign w:val="bottom"/>
            <w:gridSpan w:val="3"/>
          </w:tcPr>
          <w:p>
            <w:pPr>
              <w:jc w:val="center"/>
              <w:ind w:right="18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r>
              <w:rPr>
                <w:rFonts w:ascii="Arial" w:cs="Arial" w:eastAsia="Arial" w:hAnsi="Arial"/>
                <w:sz w:val="18"/>
                <w:szCs w:val="18"/>
                <w:u w:val="single" w:color="auto"/>
                <w:color w:val="0000FF"/>
              </w:rPr>
              <w:t>128</w:t>
            </w:r>
          </w:p>
        </w:tc>
        <w:tc>
          <w:tcPr>
            <w:tcW w:w="440" w:type="dxa"/>
            <w:vAlign w:val="bottom"/>
          </w:tcPr>
          <w:p>
            <w:pPr>
              <w:spacing w:after="0"/>
              <w:rPr>
                <w:sz w:val="19"/>
                <w:szCs w:val="19"/>
                <w:color w:val="auto"/>
              </w:rPr>
            </w:pPr>
          </w:p>
        </w:tc>
        <w:tc>
          <w:tcPr>
            <w:tcW w:w="9180" w:type="dxa"/>
            <w:vAlign w:val="bottom"/>
            <w:gridSpan w:val="3"/>
          </w:tcPr>
          <w:p>
            <w:pPr>
              <w:ind w:left="400"/>
              <w:spacing w:after="0"/>
              <w:rPr>
                <w:sz w:val="20"/>
                <w:szCs w:val="20"/>
                <w:color w:val="auto"/>
              </w:rPr>
            </w:pPr>
            <w:r>
              <w:rPr>
                <w:rFonts w:ascii="Arial" w:cs="Arial" w:eastAsia="Arial" w:hAnsi="Arial"/>
                <w:sz w:val="18"/>
                <w:szCs w:val="18"/>
                <w:color w:val="auto"/>
                <w:w w:val="90"/>
              </w:rPr>
              <w:t>New Bank Addendum, dated November 30, 2021, to the Sixth Amended and Restated Credit Agreement dated as of June</w:t>
            </w:r>
          </w:p>
        </w:tc>
      </w:tr>
      <w:tr>
        <w:trPr>
          <w:trHeight w:val="168"/>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180" w:type="dxa"/>
            <w:vAlign w:val="bottom"/>
            <w:gridSpan w:val="3"/>
          </w:tcPr>
          <w:p>
            <w:pPr>
              <w:ind w:left="400"/>
              <w:spacing w:after="0" w:line="168" w:lineRule="exact"/>
              <w:rPr>
                <w:sz w:val="20"/>
                <w:szCs w:val="20"/>
                <w:color w:val="auto"/>
              </w:rPr>
            </w:pPr>
            <w:r>
              <w:rPr>
                <w:rFonts w:ascii="Arial" w:cs="Arial" w:eastAsia="Arial" w:hAnsi="Arial"/>
                <w:sz w:val="18"/>
                <w:szCs w:val="18"/>
                <w:color w:val="auto"/>
                <w:w w:val="96"/>
              </w:rPr>
              <w:t>23, 2014 (as otherwise amended, restated or modified from time to time), by and among the Company, each of the</w:t>
            </w:r>
          </w:p>
        </w:tc>
      </w:t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80" w:type="dxa"/>
            <w:vAlign w:val="bottom"/>
            <w:gridSpan w:val="3"/>
          </w:tcPr>
          <w:p>
            <w:pPr>
              <w:ind w:left="400"/>
              <w:spacing w:after="0"/>
              <w:rPr>
                <w:sz w:val="20"/>
                <w:szCs w:val="20"/>
                <w:color w:val="auto"/>
              </w:rPr>
            </w:pPr>
            <w:r>
              <w:rPr>
                <w:rFonts w:ascii="Arial" w:cs="Arial" w:eastAsia="Arial" w:hAnsi="Arial"/>
                <w:sz w:val="18"/>
                <w:szCs w:val="18"/>
                <w:color w:val="auto"/>
              </w:rPr>
              <w:t>financial institutions parties thereto and Comerica Bank, as agent for the Banks.</w:t>
            </w:r>
          </w:p>
        </w:tc>
      </w:tr>
      <w:tr>
        <w:trPr>
          <w:trHeight w:val="243"/>
        </w:trPr>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80" w:type="dxa"/>
            <w:vAlign w:val="bottom"/>
            <w:gridSpan w:val="3"/>
          </w:tcPr>
          <w:p>
            <w:pPr>
              <w:ind w:left="400"/>
              <w:spacing w:after="0"/>
              <w:rPr>
                <w:sz w:val="20"/>
                <w:szCs w:val="20"/>
                <w:color w:val="auto"/>
              </w:rPr>
            </w:pPr>
            <w:r>
              <w:rPr>
                <w:rFonts w:ascii="Arial" w:cs="Arial" w:eastAsia="Arial" w:hAnsi="Arial"/>
                <w:sz w:val="18"/>
                <w:szCs w:val="18"/>
                <w:color w:val="auto"/>
                <w:w w:val="99"/>
              </w:rPr>
              <w:t>Cover Page Interactive Data File – the cover page XBRL tags are embedded within the Inline XBRL document.</w:t>
            </w:r>
          </w:p>
        </w:tc>
      </w:tr>
      <w:tr>
        <w:trPr>
          <w:trHeight w:val="1519"/>
        </w:trPr>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6640" w:type="dxa"/>
            <w:vAlign w:val="bottom"/>
            <w:gridSpan w:val="2"/>
          </w:tcPr>
          <w:p>
            <w:pPr>
              <w:ind w:left="1380"/>
              <w:spacing w:after="0"/>
              <w:rPr>
                <w:sz w:val="20"/>
                <w:szCs w:val="20"/>
                <w:color w:val="auto"/>
              </w:rPr>
            </w:pPr>
            <w:r>
              <w:rPr>
                <w:rFonts w:ascii="Arial" w:cs="Arial" w:eastAsia="Arial" w:hAnsi="Arial"/>
                <w:sz w:val="18"/>
                <w:szCs w:val="18"/>
                <w:color w:val="auto"/>
              </w:rPr>
              <w:t>CREDIT ACCEPTANCE CORPORATION</w:t>
            </w:r>
          </w:p>
        </w:tc>
      </w:tr>
      <w:tr>
        <w:trPr>
          <w:trHeight w:val="486"/>
        </w:trPr>
        <w:tc>
          <w:tcPr>
            <w:tcW w:w="3160" w:type="dxa"/>
            <w:vAlign w:val="bottom"/>
          </w:tcPr>
          <w:p>
            <w:pPr>
              <w:spacing w:after="0"/>
              <w:rPr>
                <w:sz w:val="20"/>
                <w:szCs w:val="20"/>
                <w:color w:val="auto"/>
              </w:rPr>
            </w:pPr>
            <w:r>
              <w:rPr>
                <w:rFonts w:ascii="Arial" w:cs="Arial" w:eastAsia="Arial" w:hAnsi="Arial"/>
                <w:sz w:val="18"/>
                <w:szCs w:val="18"/>
                <w:color w:val="auto"/>
              </w:rPr>
              <w:t>Date: December 6, 2021</w:t>
            </w:r>
          </w:p>
        </w:tc>
        <w:tc>
          <w:tcPr>
            <w:tcW w:w="2040" w:type="dxa"/>
            <w:vAlign w:val="bottom"/>
          </w:tcPr>
          <w:p>
            <w:pPr>
              <w:ind w:left="13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W. Busk</w:t>
            </w:r>
          </w:p>
        </w:tc>
      </w:tr>
      <w:tr>
        <w:trPr>
          <w:trHeight w:val="222"/>
        </w:trPr>
        <w:tc>
          <w:tcPr>
            <w:tcW w:w="3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Douglas W. Busk</w:t>
            </w:r>
          </w:p>
        </w:tc>
      </w:tr>
      <w:tr>
        <w:trPr>
          <w:trHeight w:val="230"/>
        </w:trPr>
        <w:tc>
          <w:tcPr>
            <w:tcW w:w="3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Treasury Officer</w:t>
            </w:r>
          </w:p>
        </w:tc>
      </w:tr>
    </w:tbl>
    <w:p>
      <w:pPr>
        <w:sectPr>
          <w:pgSz w:w="11900" w:h="16838" w:orient="portrait"/>
          <w:cols w:equalWidth="0" w:num="1">
            <w:col w:w="11240"/>
          </w:cols>
          <w:pgMar w:left="320" w:top="117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780"/>
        <w:spacing w:after="0"/>
        <w:rPr>
          <w:sz w:val="20"/>
          <w:szCs w:val="20"/>
          <w:color w:val="auto"/>
        </w:rPr>
      </w:pPr>
      <w:r>
        <w:rPr>
          <w:rFonts w:ascii="Arial" w:cs="Arial" w:eastAsia="Arial" w:hAnsi="Arial"/>
          <w:sz w:val="20"/>
          <w:szCs w:val="20"/>
          <w:b w:val="1"/>
          <w:bCs w:val="1"/>
          <w:u w:val="single" w:color="auto"/>
          <w:color w:val="auto"/>
        </w:rPr>
        <w:t>NEW BANK ADDENDUM</w:t>
      </w:r>
    </w:p>
    <w:p>
      <w:pPr>
        <w:spacing w:after="0" w:line="200" w:lineRule="exact"/>
        <w:rPr>
          <w:sz w:val="20"/>
          <w:szCs w:val="20"/>
          <w:color w:val="auto"/>
        </w:rPr>
      </w:pPr>
    </w:p>
    <w:p>
      <w:pPr>
        <w:spacing w:after="0" w:line="292" w:lineRule="exact"/>
        <w:rPr>
          <w:sz w:val="20"/>
          <w:szCs w:val="20"/>
          <w:color w:val="auto"/>
        </w:rPr>
      </w:pPr>
    </w:p>
    <w:p>
      <w:pPr>
        <w:jc w:val="both"/>
        <w:ind w:firstLine="756"/>
        <w:spacing w:after="0" w:line="291" w:lineRule="auto"/>
        <w:rPr>
          <w:sz w:val="20"/>
          <w:szCs w:val="20"/>
          <w:color w:val="auto"/>
        </w:rPr>
      </w:pPr>
      <w:r>
        <w:rPr>
          <w:rFonts w:ascii="Arial" w:cs="Arial" w:eastAsia="Arial" w:hAnsi="Arial"/>
          <w:sz w:val="18"/>
          <w:szCs w:val="18"/>
          <w:color w:val="auto"/>
        </w:rPr>
        <w:t>NEW BANK ADDENDUM, dated November 30, 2021, to the Sixth Amended and Restated Credit Agreement dated as of June 23, 2014 (as otherwise amended, restated or modified from time to time, the “Credit Agreement”), by and among Credit Acceptance Corporation (“Company”), each of the financial institutions parties thereto (collectively, the “Banks”) and Comerica Bank, as Agent for the Banks.</w:t>
      </w:r>
    </w:p>
    <w:p>
      <w:pPr>
        <w:spacing w:after="0" w:line="179"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W I T N E S S E T H:</w:t>
      </w:r>
    </w:p>
    <w:p>
      <w:pPr>
        <w:spacing w:after="0" w:line="243" w:lineRule="exact"/>
        <w:rPr>
          <w:sz w:val="20"/>
          <w:szCs w:val="20"/>
          <w:color w:val="auto"/>
        </w:rPr>
      </w:pPr>
    </w:p>
    <w:p>
      <w:pPr>
        <w:jc w:val="both"/>
        <w:ind w:firstLine="756"/>
        <w:spacing w:after="0" w:line="269" w:lineRule="auto"/>
        <w:rPr>
          <w:sz w:val="20"/>
          <w:szCs w:val="20"/>
          <w:color w:val="auto"/>
        </w:rPr>
      </w:pPr>
      <w:r>
        <w:rPr>
          <w:rFonts w:ascii="Arial" w:cs="Arial" w:eastAsia="Arial" w:hAnsi="Arial"/>
          <w:sz w:val="19"/>
          <w:szCs w:val="19"/>
          <w:color w:val="auto"/>
        </w:rPr>
        <w:t>WHEREAS, the Credit Agreement provides in Section 2.17 thereof that a financial institution, although not originally a party thereto, may become a party to the Credit Agreement with the consent of the Company and the Agent by executing and delivering to the Agent a New Bank Addendum to the Credit Agreement in substantially the form of this new bank addendum (this “Agreement”);</w:t>
      </w:r>
    </w:p>
    <w:p>
      <w:pPr>
        <w:spacing w:after="0" w:line="197" w:lineRule="exact"/>
        <w:rPr>
          <w:sz w:val="20"/>
          <w:szCs w:val="20"/>
          <w:color w:val="auto"/>
        </w:rPr>
      </w:pPr>
    </w:p>
    <w:p>
      <w:pPr>
        <w:jc w:val="both"/>
        <w:ind w:right="20" w:firstLine="755"/>
        <w:spacing w:after="0" w:line="260" w:lineRule="auto"/>
        <w:rPr>
          <w:sz w:val="20"/>
          <w:szCs w:val="20"/>
          <w:color w:val="auto"/>
        </w:rPr>
      </w:pPr>
      <w:r>
        <w:rPr>
          <w:rFonts w:ascii="Arial" w:cs="Arial" w:eastAsia="Arial" w:hAnsi="Arial"/>
          <w:sz w:val="20"/>
          <w:szCs w:val="20"/>
          <w:color w:val="auto"/>
        </w:rPr>
        <w:t>WHEREAS, the undersigned New Bank was not an original party to the Credit Agreement but now desires to become a party thereto; and</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NOW, THEREFORE, the New Bank hereby agrees as follows:</w:t>
      </w:r>
    </w:p>
    <w:p>
      <w:pPr>
        <w:spacing w:after="0" w:line="243" w:lineRule="exact"/>
        <w:rPr>
          <w:sz w:val="20"/>
          <w:szCs w:val="20"/>
          <w:color w:val="auto"/>
        </w:rPr>
      </w:pPr>
    </w:p>
    <w:p>
      <w:pPr>
        <w:jc w:val="both"/>
        <w:ind w:firstLine="755"/>
        <w:spacing w:after="0" w:line="272" w:lineRule="auto"/>
        <w:rPr>
          <w:sz w:val="20"/>
          <w:szCs w:val="20"/>
          <w:color w:val="auto"/>
        </w:rPr>
      </w:pPr>
      <w:r>
        <w:rPr>
          <w:rFonts w:ascii="Arial" w:cs="Arial" w:eastAsia="Arial" w:hAnsi="Arial"/>
          <w:sz w:val="18"/>
          <w:szCs w:val="18"/>
          <w:color w:val="auto"/>
        </w:rPr>
        <w:t>The New Bank hereby confirms that it has received a copy of the Credit Agreement and the exhibits and schedules referred to therein, and all other Loan Documents which it considers necessary, together with copies of the other documents which were required to be delivered under the Credit Agreement as a condition to the making of the loans thereunder. The New Bank acknowledges and agrees that it:</w:t>
      </w:r>
    </w:p>
    <w:p>
      <w:pPr>
        <w:spacing w:after="0" w:line="1" w:lineRule="exact"/>
        <w:rPr>
          <w:sz w:val="20"/>
          <w:szCs w:val="20"/>
          <w:color w:val="auto"/>
        </w:rPr>
      </w:pPr>
    </w:p>
    <w:p>
      <w:pPr>
        <w:jc w:val="both"/>
        <w:ind w:firstLine="8"/>
        <w:spacing w:after="0" w:line="271" w:lineRule="auto"/>
        <w:tabs>
          <w:tab w:leader="none" w:pos="279" w:val="left"/>
        </w:tabs>
        <w:numPr>
          <w:ilvl w:val="0"/>
          <w:numId w:val="2"/>
        </w:numPr>
        <w:rPr>
          <w:rFonts w:ascii="Arial" w:cs="Arial" w:eastAsia="Arial" w:hAnsi="Arial"/>
          <w:sz w:val="18"/>
          <w:szCs w:val="18"/>
          <w:color w:val="auto"/>
        </w:rPr>
      </w:pPr>
      <w:r>
        <w:rPr>
          <w:rFonts w:ascii="Arial" w:cs="Arial" w:eastAsia="Arial" w:hAnsi="Arial"/>
          <w:sz w:val="18"/>
          <w:szCs w:val="18"/>
          <w:color w:val="auto"/>
        </w:rPr>
        <w:t>has made and will continue to make such inquiries and has taken and will take such care on its own behalf as would have been the case had its commitment been granted and its loans been made directly by such New Bank to the Company without the intervention of the Agent or any other Bank; and (b) has made and will continue to make, independently and without reliance upon the Agent or any other Bank, and based on such documents and information as it has deemed appropriate, its own credit analysis and decisions relating to the Credit Agreement. The New Bank further acknowledges and agrees that the Agent has not made any representations or warranties about the creditworthiness of the Company or any other party to the Credit Agreement or any other of the Loan Documents, or with respect to the legality, validity, sufficiency or enforceability of the Credit Agreement, or any other of the Loan Documents.</w:t>
      </w:r>
    </w:p>
    <w:p>
      <w:pPr>
        <w:spacing w:after="0" w:line="197" w:lineRule="exact"/>
        <w:rPr>
          <w:sz w:val="20"/>
          <w:szCs w:val="20"/>
          <w:color w:val="auto"/>
        </w:rPr>
      </w:pPr>
    </w:p>
    <w:p>
      <w:pPr>
        <w:ind w:firstLine="755"/>
        <w:spacing w:after="0" w:line="260" w:lineRule="auto"/>
        <w:rPr>
          <w:sz w:val="20"/>
          <w:szCs w:val="20"/>
          <w:color w:val="auto"/>
        </w:rPr>
      </w:pPr>
      <w:r>
        <w:rPr>
          <w:rFonts w:ascii="Arial" w:cs="Arial" w:eastAsia="Arial" w:hAnsi="Arial"/>
          <w:sz w:val="20"/>
          <w:szCs w:val="20"/>
          <w:color w:val="auto"/>
        </w:rPr>
        <w:t>New Bank represents and warrants that it is: (a) legally authorized to enter into this Agreement, and (b) a Person to which assignments are permitted pursuant to Sections 13.8(c) and (d) of the Credit Agreement.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Except as otherwise provided in the Credit Agreement, effective as of the Effective Date (as defined below):</w:t>
      </w:r>
    </w:p>
    <w:p>
      <w:pPr>
        <w:spacing w:after="0" w:line="243" w:lineRule="exact"/>
        <w:rPr>
          <w:sz w:val="20"/>
          <w:szCs w:val="20"/>
          <w:color w:val="auto"/>
        </w:rPr>
      </w:pPr>
    </w:p>
    <w:p>
      <w:pPr>
        <w:jc w:val="both"/>
        <w:ind w:left="1300" w:hanging="320"/>
        <w:spacing w:after="0" w:line="246" w:lineRule="auto"/>
        <w:tabs>
          <w:tab w:leader="none" w:pos="129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New Bank (i) shall be deemed automatically to have become a party to the Credit Agreement and the other Loan Documents, and to have all the rights and obligations of a Bank under the Credit Agreement and the other Loan Documents, as if it were an original signatory; and (ii) agrees to be bound by the terms and conditions set forth in the Credit Agreement and the other Loan Documents as if it were an original signatory thereto; and</w:t>
      </w:r>
    </w:p>
    <w:p>
      <w:pPr>
        <w:sectPr>
          <w:pgSz w:w="11900" w:h="16838" w:orient="portrait"/>
          <w:cols w:equalWidth="0" w:num="1">
            <w:col w:w="11240"/>
          </w:cols>
          <w:pgMar w:left="320" w:top="126" w:right="339" w:bottom="1440" w:gutter="0" w:footer="0" w:header="0"/>
        </w:sectPr>
      </w:pPr>
    </w:p>
    <w:bookmarkStart w:id="4" w:name="page5"/>
    <w:bookmarkEnd w:id="4"/>
    <w:p>
      <w:pPr>
        <w:spacing w:after="0" w:line="222" w:lineRule="exact"/>
        <w:rPr>
          <w:sz w:val="20"/>
          <w:szCs w:val="20"/>
          <w:color w:val="auto"/>
        </w:rPr>
      </w:pPr>
    </w:p>
    <w:p>
      <w:pPr>
        <w:jc w:val="both"/>
        <w:ind w:left="1300" w:hanging="320"/>
        <w:spacing w:after="0" w:line="260" w:lineRule="auto"/>
        <w:tabs>
          <w:tab w:leader="none" w:pos="1288"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New Bank shall be a Bank and its Percentage after giving effect to Section 2.17 of the Credit Agreement of the Revolving Credit (and its risk participation in Letters of Credit) shall be as set forth (i) on revised Schedule 1.2 (Percentages)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as of the Effective Date and (ii) on revised Schedule 1.2 (Percentages)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as of June 22, 2023; provided that any fees paid prior to the Effective Date, including any Letter of Credit Fees, shall not be recalculated, redistributed or reallocated by Company, Agent or the Banks.</w:t>
      </w:r>
    </w:p>
    <w:p>
      <w:pPr>
        <w:spacing w:after="0" w:line="207" w:lineRule="exact"/>
        <w:rPr>
          <w:sz w:val="20"/>
          <w:szCs w:val="20"/>
          <w:color w:val="auto"/>
        </w:rPr>
      </w:pPr>
    </w:p>
    <w:p>
      <w:pPr>
        <w:ind w:right="20" w:firstLine="755"/>
        <w:spacing w:after="0" w:line="260" w:lineRule="auto"/>
        <w:rPr>
          <w:sz w:val="20"/>
          <w:szCs w:val="20"/>
          <w:color w:val="auto"/>
        </w:rPr>
      </w:pPr>
      <w:r>
        <w:rPr>
          <w:rFonts w:ascii="Arial" w:cs="Arial" w:eastAsia="Arial" w:hAnsi="Arial"/>
          <w:sz w:val="20"/>
          <w:szCs w:val="20"/>
          <w:color w:val="auto"/>
        </w:rPr>
        <w:t>As used herein, the term “Effective Date” means the date on which all of the following have occurred or have been completed, as reasonably determined by the Agent:</w:t>
      </w:r>
    </w:p>
    <w:p>
      <w:pPr>
        <w:spacing w:after="0" w:line="204" w:lineRule="exact"/>
        <w:rPr>
          <w:sz w:val="20"/>
          <w:szCs w:val="20"/>
          <w:color w:val="auto"/>
        </w:rPr>
      </w:pPr>
    </w:p>
    <w:p>
      <w:pPr>
        <w:ind w:left="1300" w:hanging="320"/>
        <w:spacing w:after="0" w:line="316" w:lineRule="auto"/>
        <w:tabs>
          <w:tab w:leader="none" w:pos="1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shall have paid to the Agent all interest, fees (including the Revolving Credit Facility Fee) and other amounts, if any, accrued prior to the Effective Date for which reimbursement is then due and payable under the Credit Agreement;</w:t>
      </w:r>
    </w:p>
    <w:p>
      <w:pPr>
        <w:spacing w:after="0" w:line="156" w:lineRule="exact"/>
        <w:rPr>
          <w:rFonts w:ascii="Arial" w:cs="Arial" w:eastAsia="Arial" w:hAnsi="Arial"/>
          <w:sz w:val="18"/>
          <w:szCs w:val="18"/>
          <w:color w:val="auto"/>
        </w:rPr>
      </w:pPr>
    </w:p>
    <w:p>
      <w:pPr>
        <w:ind w:left="1300" w:hanging="320"/>
        <w:spacing w:after="0" w:line="260" w:lineRule="auto"/>
        <w:tabs>
          <w:tab w:leader="none" w:pos="1288" w:val="left"/>
        </w:tabs>
        <w:numPr>
          <w:ilvl w:val="0"/>
          <w:numId w:val="5"/>
        </w:numPr>
        <w:rPr>
          <w:rFonts w:ascii="Arial" w:cs="Arial" w:eastAsia="Arial" w:hAnsi="Arial"/>
          <w:sz w:val="20"/>
          <w:szCs w:val="20"/>
          <w:color w:val="auto"/>
        </w:rPr>
      </w:pPr>
      <w:r>
        <w:rPr>
          <w:rFonts w:ascii="Arial" w:cs="Arial" w:eastAsia="Arial" w:hAnsi="Arial"/>
          <w:sz w:val="20"/>
          <w:szCs w:val="20"/>
          <w:color w:val="auto"/>
        </w:rPr>
        <w:t>New Bank shall have remitted to the Agent funds in an amount equal to its Percentage of all Advances of the Revolving Credit outstanding as of the Effective Date;</w:t>
      </w:r>
    </w:p>
    <w:p>
      <w:pPr>
        <w:spacing w:after="0" w:line="203" w:lineRule="exact"/>
        <w:rPr>
          <w:rFonts w:ascii="Arial" w:cs="Arial" w:eastAsia="Arial" w:hAnsi="Arial"/>
          <w:sz w:val="20"/>
          <w:szCs w:val="20"/>
          <w:color w:val="auto"/>
        </w:rPr>
      </w:pPr>
    </w:p>
    <w:p>
      <w:pPr>
        <w:jc w:val="both"/>
        <w:ind w:left="1300" w:hanging="320"/>
        <w:spacing w:after="0" w:line="246" w:lineRule="auto"/>
        <w:tabs>
          <w:tab w:leader="none" w:pos="1288"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requested in writing by the New Bank, the Company shall have executed and delivered to the Agent for the New Bank, a new Revolving Credit Note payable to such New Bank in the face amount of such New Bank’s Percentage of the Revolving Credit Aggregate Commitment (after giving effect to this New Bank Addendum, and any other New Bank Addendum executed concurrently herewith); and</w:t>
      </w:r>
    </w:p>
    <w:p>
      <w:pPr>
        <w:spacing w:after="0" w:line="218" w:lineRule="exact"/>
        <w:rPr>
          <w:rFonts w:ascii="Arial" w:cs="Arial" w:eastAsia="Arial" w:hAnsi="Arial"/>
          <w:sz w:val="20"/>
          <w:szCs w:val="20"/>
          <w:color w:val="auto"/>
        </w:rPr>
      </w:pPr>
    </w:p>
    <w:p>
      <w:pPr>
        <w:ind w:left="1300" w:hanging="320"/>
        <w:spacing w:after="0" w:line="260" w:lineRule="auto"/>
        <w:tabs>
          <w:tab w:leader="none" w:pos="128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delivery to the Agent of an .pdf copy of this Agreement executed by the Bank, and acknowledged by the Company (with originals to follow promptly after the Effective Date).</w:t>
      </w:r>
    </w:p>
    <w:p>
      <w:pPr>
        <w:spacing w:after="0" w:line="204" w:lineRule="exact"/>
        <w:rPr>
          <w:sz w:val="20"/>
          <w:szCs w:val="20"/>
          <w:color w:val="auto"/>
        </w:rPr>
      </w:pPr>
    </w:p>
    <w:p>
      <w:pPr>
        <w:ind w:firstLine="756"/>
        <w:spacing w:after="0" w:line="287" w:lineRule="auto"/>
        <w:rPr>
          <w:sz w:val="20"/>
          <w:szCs w:val="20"/>
          <w:color w:val="auto"/>
        </w:rPr>
      </w:pPr>
      <w:r>
        <w:rPr>
          <w:rFonts w:ascii="Arial" w:cs="Arial" w:eastAsia="Arial" w:hAnsi="Arial"/>
          <w:sz w:val="19"/>
          <w:szCs w:val="19"/>
          <w:color w:val="auto"/>
        </w:rPr>
        <w:t>The Agent shall notify the New Bank, along with Company, of the Effective Date. The New Bank shall deliver herewith to the Agent administrative details with respect to the funding and distribution of Advances (and Letters of Credit) as requested by Agent.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Terms defined in the Credit Agreement and not otherwise defined herein shall have their defined meanings when used herein.</w:t>
      </w:r>
    </w:p>
    <w:p>
      <w:pPr>
        <w:spacing w:after="0" w:line="260" w:lineRule="exact"/>
        <w:rPr>
          <w:sz w:val="20"/>
          <w:szCs w:val="20"/>
          <w:color w:val="auto"/>
        </w:rPr>
      </w:pPr>
    </w:p>
    <w:p>
      <w:pPr>
        <w:ind w:left="6080"/>
        <w:spacing w:after="0"/>
        <w:rPr>
          <w:sz w:val="20"/>
          <w:szCs w:val="20"/>
          <w:color w:val="auto"/>
        </w:rPr>
      </w:pPr>
      <w:r>
        <w:rPr>
          <w:rFonts w:ascii="Arial" w:cs="Arial" w:eastAsia="Arial" w:hAnsi="Arial"/>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ind w:firstLine="741"/>
        <w:spacing w:after="0" w:line="260" w:lineRule="auto"/>
        <w:rPr>
          <w:sz w:val="20"/>
          <w:szCs w:val="20"/>
          <w:color w:val="auto"/>
        </w:rPr>
      </w:pPr>
      <w:r>
        <w:rPr>
          <w:rFonts w:ascii="Arial" w:cs="Arial" w:eastAsia="Arial" w:hAnsi="Arial"/>
          <w:sz w:val="20"/>
          <w:szCs w:val="20"/>
          <w:color w:val="auto"/>
        </w:rPr>
        <w:t>IN WITNESS WHEREOF, the undersigned has caused this New Bank Addendum to be executed and delivered by a duly authorized officer on the date first above written.</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FIRST HORIZON BANK</w:t>
      </w: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Morgan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1386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Morgan Stanford</w:t>
      </w:r>
    </w:p>
    <w:p>
      <w:pPr>
        <w:ind w:left="3900"/>
        <w:spacing w:after="0"/>
        <w:tabs>
          <w:tab w:leader="none" w:pos="454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360"/>
          </w:cols>
          <w:pgMar w:left="320" w:top="1419" w:right="121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Acknowledged and accepted as of the day and year first above written.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ACCEPTANCE CORPORATION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By: /s/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79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Douglas W. Busk</w:t>
      </w:r>
    </w:p>
    <w:p>
      <w:pPr>
        <w:spacing w:after="0"/>
        <w:tabs>
          <w:tab w:leader="none" w:pos="660" w:val="left"/>
        </w:tabs>
        <w:rPr>
          <w:sz w:val="20"/>
          <w:szCs w:val="20"/>
          <w:color w:val="auto"/>
        </w:rPr>
      </w:pPr>
      <w:r>
        <w:rPr>
          <w:rFonts w:ascii="Arial" w:cs="Arial" w:eastAsia="Arial" w:hAnsi="Arial"/>
          <w:sz w:val="20"/>
          <w:szCs w:val="20"/>
          <w:color w:val="auto"/>
        </w:rPr>
        <w:t>Title:</w:t>
        <w:tab/>
        <w:t>Chief Treasury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1619"/>
        <w:spacing w:after="0"/>
        <w:rPr>
          <w:sz w:val="20"/>
          <w:szCs w:val="20"/>
          <w:color w:val="auto"/>
        </w:rPr>
      </w:pPr>
      <w:r>
        <w:rPr>
          <w:rFonts w:ascii="Arial" w:cs="Arial" w:eastAsia="Arial" w:hAnsi="Arial"/>
          <w:sz w:val="17"/>
          <w:szCs w:val="17"/>
          <w:color w:val="auto"/>
        </w:rPr>
        <w:t>Signature Page to New Bank Addendum (First Horizon)</w:t>
      </w:r>
    </w:p>
    <w:p>
      <w:pPr>
        <w:sectPr>
          <w:pgSz w:w="11900" w:h="16838" w:orient="portrait"/>
          <w:cols w:equalWidth="0" w:num="1">
            <w:col w:w="10139"/>
          </w:cols>
          <w:pgMar w:left="32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39"/>
          </w:cols>
          <w:pgMar w:left="320" w:top="1419"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color w:val="auto"/>
        </w:rPr>
        <w:t>Acknowledged and accepted as of the day and year first above written.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COMERICA BANK, </w:t>
      </w:r>
      <w:r>
        <w:rPr>
          <w:rFonts w:ascii="Arial" w:cs="Arial" w:eastAsia="Arial" w:hAnsi="Arial"/>
          <w:sz w:val="20"/>
          <w:szCs w:val="20"/>
          <w:color w:val="auto"/>
        </w:rPr>
        <w:t>as Agent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By: /s/ Minh Huong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03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Minh Huong</w:t>
      </w:r>
    </w:p>
    <w:p>
      <w:pPr>
        <w:spacing w:after="0"/>
        <w:tabs>
          <w:tab w:leader="none" w:pos="660" w:val="left"/>
        </w:tabs>
        <w:rPr>
          <w:sz w:val="20"/>
          <w:szCs w:val="20"/>
          <w:color w:val="auto"/>
        </w:rPr>
      </w:pPr>
      <w:r>
        <w:rPr>
          <w:rFonts w:ascii="Arial" w:cs="Arial" w:eastAsia="Arial" w:hAnsi="Arial"/>
          <w:sz w:val="20"/>
          <w:szCs w:val="20"/>
          <w:color w:val="auto"/>
        </w:rPr>
        <w:t>Title:</w:t>
        <w:tab/>
        <w:t>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619"/>
        <w:spacing w:after="0"/>
        <w:rPr>
          <w:sz w:val="20"/>
          <w:szCs w:val="20"/>
          <w:color w:val="auto"/>
        </w:rPr>
      </w:pPr>
      <w:r>
        <w:rPr>
          <w:rFonts w:ascii="Arial" w:cs="Arial" w:eastAsia="Arial" w:hAnsi="Arial"/>
          <w:sz w:val="17"/>
          <w:szCs w:val="17"/>
          <w:color w:val="auto"/>
        </w:rPr>
        <w:t>Signature Page to New Bank Addendum (First Horizon)</w:t>
      </w:r>
    </w:p>
    <w:p>
      <w:pPr>
        <w:sectPr>
          <w:pgSz w:w="11900" w:h="16838" w:orient="portrait"/>
          <w:cols w:equalWidth="0" w:num="1">
            <w:col w:w="10139"/>
          </w:cols>
          <w:pgMar w:left="32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39"/>
          </w:cols>
          <w:pgMar w:left="320" w:top="1419" w:right="1440" w:bottom="1440" w:gutter="0" w:footer="0" w:header="0"/>
          <w:type w:val="continuous"/>
        </w:sectPr>
      </w:pPr>
    </w:p>
    <w:bookmarkStart w:id="8" w:name="page9"/>
    <w:bookmarkEnd w:id="8"/>
    <w:p>
      <w:pPr>
        <w:ind w:left="60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160" w:type="dxa"/>
            <w:vAlign w:val="bottom"/>
          </w:tcPr>
          <w:p>
            <w:pPr>
              <w:spacing w:after="0"/>
              <w:rPr>
                <w:sz w:val="24"/>
                <w:szCs w:val="24"/>
                <w:color w:val="auto"/>
              </w:rPr>
            </w:pPr>
          </w:p>
        </w:tc>
        <w:tc>
          <w:tcPr>
            <w:tcW w:w="3120" w:type="dxa"/>
            <w:vAlign w:val="bottom"/>
          </w:tcPr>
          <w:p>
            <w:pPr>
              <w:jc w:val="right"/>
              <w:ind w:right="219"/>
              <w:spacing w:after="0"/>
              <w:rPr>
                <w:sz w:val="20"/>
                <w:szCs w:val="20"/>
                <w:color w:val="auto"/>
              </w:rPr>
            </w:pPr>
            <w:r>
              <w:rPr>
                <w:rFonts w:ascii="Arial" w:cs="Arial" w:eastAsia="Arial" w:hAnsi="Arial"/>
                <w:sz w:val="22"/>
                <w:szCs w:val="22"/>
                <w:b w:val="1"/>
                <w:bCs w:val="1"/>
                <w:color w:val="auto"/>
              </w:rPr>
              <w:t>Schedule 1.2</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5160" w:type="dxa"/>
            <w:vAlign w:val="bottom"/>
          </w:tcPr>
          <w:p>
            <w:pPr>
              <w:spacing w:after="0"/>
              <w:rPr>
                <w:sz w:val="24"/>
                <w:szCs w:val="24"/>
                <w:color w:val="auto"/>
              </w:rPr>
            </w:pPr>
          </w:p>
        </w:tc>
        <w:tc>
          <w:tcPr>
            <w:tcW w:w="3120" w:type="dxa"/>
            <w:vAlign w:val="bottom"/>
          </w:tcPr>
          <w:p>
            <w:pPr>
              <w:jc w:val="right"/>
              <w:ind w:right="39"/>
              <w:spacing w:after="0"/>
              <w:rPr>
                <w:sz w:val="20"/>
                <w:szCs w:val="20"/>
                <w:color w:val="auto"/>
              </w:rPr>
            </w:pPr>
            <w:r>
              <w:rPr>
                <w:rFonts w:ascii="Arial" w:cs="Arial" w:eastAsia="Arial" w:hAnsi="Arial"/>
                <w:sz w:val="20"/>
                <w:szCs w:val="20"/>
                <w:color w:val="auto"/>
              </w:rPr>
              <w:t>(PERCENTAGES)</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5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Borders>
              <w:left w:val="single" w:sz="8" w:color="auto"/>
              <w:right w:val="single" w:sz="8" w:color="auto"/>
            </w:tcBorders>
          </w:tcPr>
          <w:p>
            <w:pPr>
              <w:ind w:left="3120"/>
              <w:spacing w:after="0" w:line="223" w:lineRule="exact"/>
              <w:rPr>
                <w:sz w:val="20"/>
                <w:szCs w:val="20"/>
                <w:color w:val="auto"/>
              </w:rPr>
            </w:pPr>
            <w:r>
              <w:rPr>
                <w:rFonts w:ascii="Arial" w:cs="Arial" w:eastAsia="Arial" w:hAnsi="Arial"/>
                <w:sz w:val="22"/>
                <w:szCs w:val="22"/>
                <w:b w:val="1"/>
                <w:bCs w:val="1"/>
                <w:color w:val="auto"/>
              </w:rPr>
              <w:t>Banks</w:t>
            </w:r>
          </w:p>
        </w:tc>
        <w:tc>
          <w:tcPr>
            <w:tcW w:w="3120" w:type="dxa"/>
            <w:vAlign w:val="bottom"/>
            <w:tcBorders>
              <w:right w:val="single" w:sz="8" w:color="auto"/>
            </w:tcBorders>
          </w:tcPr>
          <w:p>
            <w:pPr>
              <w:jc w:val="right"/>
              <w:ind w:right="539"/>
              <w:spacing w:after="0" w:line="223" w:lineRule="exact"/>
              <w:rPr>
                <w:sz w:val="20"/>
                <w:szCs w:val="20"/>
                <w:color w:val="auto"/>
              </w:rPr>
            </w:pPr>
            <w:r>
              <w:rPr>
                <w:rFonts w:ascii="Arial" w:cs="Arial" w:eastAsia="Arial" w:hAnsi="Arial"/>
                <w:sz w:val="22"/>
                <w:szCs w:val="22"/>
                <w:b w:val="1"/>
                <w:bCs w:val="1"/>
                <w:color w:val="auto"/>
              </w:rPr>
              <w:t>Revolving Credit</w:t>
            </w:r>
          </w:p>
        </w:tc>
        <w:tc>
          <w:tcPr>
            <w:tcW w:w="2960" w:type="dxa"/>
            <w:vAlign w:val="bottom"/>
            <w:tcBorders>
              <w:right w:val="single" w:sz="8" w:color="auto"/>
            </w:tcBorders>
          </w:tcPr>
          <w:p>
            <w:pPr>
              <w:jc w:val="right"/>
              <w:ind w:right="560"/>
              <w:spacing w:after="0" w:line="223" w:lineRule="exact"/>
              <w:rPr>
                <w:sz w:val="20"/>
                <w:szCs w:val="20"/>
                <w:color w:val="auto"/>
              </w:rPr>
            </w:pPr>
            <w:r>
              <w:rPr>
                <w:rFonts w:ascii="Arial" w:cs="Arial" w:eastAsia="Arial" w:hAnsi="Arial"/>
                <w:sz w:val="22"/>
                <w:szCs w:val="22"/>
                <w:b w:val="1"/>
                <w:bCs w:val="1"/>
                <w:color w:val="auto"/>
              </w:rPr>
              <w:t>Percentage</w:t>
            </w:r>
          </w:p>
        </w:tc>
        <w:tc>
          <w:tcPr>
            <w:tcW w:w="0" w:type="dxa"/>
            <w:vAlign w:val="bottom"/>
          </w:tcPr>
          <w:p>
            <w:pPr>
              <w:spacing w:after="0"/>
              <w:rPr>
                <w:sz w:val="1"/>
                <w:szCs w:val="1"/>
                <w:color w:val="auto"/>
              </w:rPr>
            </w:pPr>
          </w:p>
        </w:tc>
      </w:tr>
      <w:tr>
        <w:trPr>
          <w:trHeight w:val="282"/>
        </w:trPr>
        <w:tc>
          <w:tcPr>
            <w:tcW w:w="516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jc w:val="right"/>
              <w:ind w:right="859"/>
              <w:spacing w:after="0"/>
              <w:rPr>
                <w:sz w:val="20"/>
                <w:szCs w:val="20"/>
                <w:color w:val="auto"/>
              </w:rPr>
            </w:pPr>
            <w:r>
              <w:rPr>
                <w:rFonts w:ascii="Arial" w:cs="Arial" w:eastAsia="Arial" w:hAnsi="Arial"/>
                <w:sz w:val="22"/>
                <w:szCs w:val="22"/>
                <w:b w:val="1"/>
                <w:bCs w:val="1"/>
                <w:color w:val="auto"/>
              </w:rPr>
              <w:t>Commitment</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60" w:type="dxa"/>
            <w:vAlign w:val="bottom"/>
            <w:tcBorders>
              <w:left w:val="single" w:sz="8" w:color="auto"/>
              <w:right w:val="single" w:sz="8" w:color="auto"/>
            </w:tcBorders>
          </w:tcPr>
          <w:p>
            <w:pPr>
              <w:ind w:left="40"/>
              <w:spacing w:after="0" w:line="194" w:lineRule="exact"/>
              <w:rPr>
                <w:sz w:val="20"/>
                <w:szCs w:val="20"/>
                <w:color w:val="auto"/>
              </w:rPr>
            </w:pPr>
            <w:r>
              <w:rPr>
                <w:rFonts w:ascii="Arial" w:cs="Arial" w:eastAsia="Arial" w:hAnsi="Arial"/>
                <w:sz w:val="20"/>
                <w:szCs w:val="20"/>
                <w:color w:val="auto"/>
                <w:w w:val="99"/>
              </w:rPr>
              <w:t>Comerica Bank (Co-Lead Arranger, Joint Bookrunner and</w:t>
            </w:r>
          </w:p>
        </w:tc>
        <w:tc>
          <w:tcPr>
            <w:tcW w:w="3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$60,000,000</w:t>
            </w:r>
          </w:p>
        </w:tc>
        <w:tc>
          <w:tcPr>
            <w:tcW w:w="2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13.793103448%</w:t>
            </w:r>
          </w:p>
        </w:tc>
        <w:tc>
          <w:tcPr>
            <w:tcW w:w="0" w:type="dxa"/>
            <w:vAlign w:val="bottom"/>
          </w:tcPr>
          <w:p>
            <w:pPr>
              <w:spacing w:after="0"/>
              <w:rPr>
                <w:sz w:val="1"/>
                <w:szCs w:val="1"/>
                <w:color w:val="auto"/>
              </w:rPr>
            </w:pPr>
          </w:p>
        </w:tc>
      </w:tr>
      <w:tr>
        <w:trPr>
          <w:trHeight w:val="156"/>
        </w:trPr>
        <w:tc>
          <w:tcPr>
            <w:tcW w:w="51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Administrative Agent)</w:t>
            </w:r>
          </w:p>
        </w:tc>
        <w:tc>
          <w:tcPr>
            <w:tcW w:w="3120" w:type="dxa"/>
            <w:vAlign w:val="bottom"/>
            <w:tcBorders>
              <w:right w:val="single" w:sz="8" w:color="auto"/>
            </w:tcBorders>
            <w:vMerge w:val="continue"/>
          </w:tcPr>
          <w:p>
            <w:pPr>
              <w:spacing w:after="0"/>
              <w:rPr>
                <w:sz w:val="13"/>
                <w:szCs w:val="13"/>
                <w:color w:val="auto"/>
              </w:rPr>
            </w:pPr>
          </w:p>
        </w:tc>
        <w:tc>
          <w:tcPr>
            <w:tcW w:w="2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1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3120" w:type="dxa"/>
            <w:vAlign w:val="bottom"/>
            <w:tcBorders>
              <w:bottom w:val="single" w:sz="8" w:color="auto"/>
              <w:right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2"/>
              </w:rPr>
              <w:t>Citizens Bank, N.A. (Joint Bookrunner and Co-Lead Arranger)</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$55,000,000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12.643678161%</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KeyBank, National Association (Documentation Agent)</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$50,000,000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11.494252874%</w:t>
            </w:r>
          </w:p>
        </w:tc>
        <w:tc>
          <w:tcPr>
            <w:tcW w:w="0" w:type="dxa"/>
            <w:vAlign w:val="bottom"/>
          </w:tcPr>
          <w:p>
            <w:pPr>
              <w:spacing w:after="0"/>
              <w:rPr>
                <w:sz w:val="1"/>
                <w:szCs w:val="1"/>
                <w:color w:val="auto"/>
              </w:rPr>
            </w:pPr>
          </w:p>
        </w:tc>
      </w:tr>
      <w:tr>
        <w:trPr>
          <w:trHeight w:val="264"/>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First Horizon Bank</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$50,000,000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11.494252874%</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5"/>
              </w:rPr>
              <w:t>Bank of Montreal (Joint Bookrunner and Co- Lead Arranger)</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9.195402299%</w:t>
            </w:r>
          </w:p>
        </w:tc>
        <w:tc>
          <w:tcPr>
            <w:tcW w:w="0" w:type="dxa"/>
            <w:vAlign w:val="bottom"/>
          </w:tcPr>
          <w:p>
            <w:pPr>
              <w:spacing w:after="0"/>
              <w:rPr>
                <w:sz w:val="1"/>
                <w:szCs w:val="1"/>
                <w:color w:val="auto"/>
              </w:rPr>
            </w:pPr>
          </w:p>
        </w:tc>
      </w:tr>
      <w:tr>
        <w:trPr>
          <w:trHeight w:val="268"/>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Bank of America, N.A.</w:t>
            </w:r>
          </w:p>
        </w:tc>
        <w:tc>
          <w:tcPr>
            <w:tcW w:w="3120" w:type="dxa"/>
            <w:vAlign w:val="bottom"/>
            <w:tcBorders>
              <w:bottom w:val="single" w:sz="8" w:color="auto"/>
              <w:right w:val="single" w:sz="8" w:color="auto"/>
            </w:tcBorders>
          </w:tcPr>
          <w:p>
            <w:pPr>
              <w:jc w:val="right"/>
              <w:spacing w:after="0" w:line="268" w:lineRule="exact"/>
              <w:rPr>
                <w:sz w:val="20"/>
                <w:szCs w:val="20"/>
                <w:color w:val="auto"/>
              </w:rPr>
            </w:pPr>
            <w:r>
              <w:rPr>
                <w:rFonts w:ascii="Arial" w:cs="Arial" w:eastAsia="Arial" w:hAnsi="Arial"/>
                <w:sz w:val="20"/>
                <w:szCs w:val="20"/>
                <w:color w:val="auto"/>
              </w:rPr>
              <w:t>$35,000,000</w:t>
            </w:r>
            <w:r>
              <w:rPr>
                <w:rFonts w:ascii="Arial" w:cs="Arial" w:eastAsia="Arial" w:hAnsi="Arial"/>
                <w:sz w:val="25"/>
                <w:szCs w:val="25"/>
                <w:color w:val="auto"/>
                <w:vertAlign w:val="superscript"/>
              </w:rPr>
              <w:t>1</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8.045977011%</w:t>
            </w:r>
          </w:p>
        </w:tc>
        <w:tc>
          <w:tcPr>
            <w:tcW w:w="0" w:type="dxa"/>
            <w:vAlign w:val="bottom"/>
          </w:tcPr>
          <w:p>
            <w:pPr>
              <w:spacing w:after="0"/>
              <w:rPr>
                <w:sz w:val="1"/>
                <w:szCs w:val="1"/>
                <w:color w:val="auto"/>
              </w:rPr>
            </w:pPr>
          </w:p>
        </w:tc>
      </w:tr>
      <w:tr>
        <w:trPr>
          <w:trHeight w:val="193"/>
        </w:trPr>
        <w:tc>
          <w:tcPr>
            <w:tcW w:w="516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w w:val="94"/>
              </w:rPr>
              <w:t>Fifth Third Bank, National Association (Joint Bookrunner and</w:t>
            </w:r>
          </w:p>
        </w:tc>
        <w:tc>
          <w:tcPr>
            <w:tcW w:w="3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$35,000,000</w:t>
            </w:r>
          </w:p>
        </w:tc>
        <w:tc>
          <w:tcPr>
            <w:tcW w:w="2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8.045977011%</w:t>
            </w:r>
          </w:p>
        </w:tc>
        <w:tc>
          <w:tcPr>
            <w:tcW w:w="0" w:type="dxa"/>
            <w:vAlign w:val="bottom"/>
          </w:tcPr>
          <w:p>
            <w:pPr>
              <w:spacing w:after="0"/>
              <w:rPr>
                <w:sz w:val="1"/>
                <w:szCs w:val="1"/>
                <w:color w:val="auto"/>
              </w:rPr>
            </w:pPr>
          </w:p>
        </w:tc>
      </w:tr>
      <w:tr>
        <w:trPr>
          <w:trHeight w:val="156"/>
        </w:trPr>
        <w:tc>
          <w:tcPr>
            <w:tcW w:w="51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Co-Lead Arranger)</w:t>
            </w:r>
          </w:p>
        </w:tc>
        <w:tc>
          <w:tcPr>
            <w:tcW w:w="3120" w:type="dxa"/>
            <w:vAlign w:val="bottom"/>
            <w:tcBorders>
              <w:right w:val="single" w:sz="8" w:color="auto"/>
            </w:tcBorders>
            <w:vMerge w:val="continue"/>
          </w:tcPr>
          <w:p>
            <w:pPr>
              <w:spacing w:after="0"/>
              <w:rPr>
                <w:sz w:val="13"/>
                <w:szCs w:val="13"/>
                <w:color w:val="auto"/>
              </w:rPr>
            </w:pPr>
          </w:p>
        </w:tc>
        <w:tc>
          <w:tcPr>
            <w:tcW w:w="2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1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3120" w:type="dxa"/>
            <w:vAlign w:val="bottom"/>
            <w:tcBorders>
              <w:bottom w:val="single" w:sz="8" w:color="auto"/>
              <w:right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5160" w:type="dxa"/>
            <w:vAlign w:val="bottom"/>
            <w:tcBorders>
              <w:left w:val="single" w:sz="8" w:color="auto"/>
              <w:right w:val="single" w:sz="8" w:color="auto"/>
            </w:tcBorders>
          </w:tcPr>
          <w:p>
            <w:pPr>
              <w:ind w:left="40"/>
              <w:spacing w:after="0" w:line="198" w:lineRule="exact"/>
              <w:rPr>
                <w:sz w:val="20"/>
                <w:szCs w:val="20"/>
                <w:color w:val="auto"/>
              </w:rPr>
            </w:pPr>
            <w:r>
              <w:rPr>
                <w:rFonts w:ascii="Arial" w:cs="Arial" w:eastAsia="Arial" w:hAnsi="Arial"/>
                <w:sz w:val="20"/>
                <w:szCs w:val="20"/>
                <w:color w:val="auto"/>
                <w:w w:val="94"/>
              </w:rPr>
              <w:t>The Huntington National Bank, Successor By Merger to TCF</w:t>
            </w:r>
          </w:p>
        </w:tc>
        <w:tc>
          <w:tcPr>
            <w:tcW w:w="3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$60,000,000</w:t>
            </w:r>
            <w:r>
              <w:rPr>
                <w:rFonts w:ascii="Arial" w:cs="Arial" w:eastAsia="Arial" w:hAnsi="Arial"/>
                <w:sz w:val="25"/>
                <w:szCs w:val="25"/>
                <w:color w:val="auto"/>
                <w:vertAlign w:val="superscript"/>
              </w:rPr>
              <w:t>2</w:t>
            </w:r>
          </w:p>
        </w:tc>
        <w:tc>
          <w:tcPr>
            <w:tcW w:w="2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13.793103448%</w:t>
            </w:r>
          </w:p>
        </w:tc>
        <w:tc>
          <w:tcPr>
            <w:tcW w:w="0" w:type="dxa"/>
            <w:vAlign w:val="bottom"/>
          </w:tcPr>
          <w:p>
            <w:pPr>
              <w:spacing w:after="0"/>
              <w:rPr>
                <w:sz w:val="1"/>
                <w:szCs w:val="1"/>
                <w:color w:val="auto"/>
              </w:rPr>
            </w:pPr>
          </w:p>
        </w:tc>
      </w:tr>
      <w:tr>
        <w:trPr>
          <w:trHeight w:val="192"/>
        </w:trPr>
        <w:tc>
          <w:tcPr>
            <w:tcW w:w="51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National Bank</w:t>
            </w:r>
          </w:p>
        </w:tc>
        <w:tc>
          <w:tcPr>
            <w:tcW w:w="3120" w:type="dxa"/>
            <w:vAlign w:val="bottom"/>
            <w:tcBorders>
              <w:right w:val="single" w:sz="8" w:color="auto"/>
            </w:tcBorders>
            <w:vMerge w:val="continue"/>
          </w:tcPr>
          <w:p>
            <w:pPr>
              <w:spacing w:after="0"/>
              <w:rPr>
                <w:sz w:val="16"/>
                <w:szCs w:val="16"/>
                <w:color w:val="auto"/>
              </w:rPr>
            </w:pPr>
          </w:p>
        </w:tc>
        <w:tc>
          <w:tcPr>
            <w:tcW w:w="29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51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3120" w:type="dxa"/>
            <w:vAlign w:val="bottom"/>
            <w:tcBorders>
              <w:bottom w:val="single" w:sz="8" w:color="auto"/>
              <w:right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Flagstar Bank, FSB (Syndication Agent)</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$25,000,000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5.747126437%</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First Merchants Bank</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$25,000,000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5.747126437%</w:t>
            </w:r>
          </w:p>
        </w:tc>
        <w:tc>
          <w:tcPr>
            <w:tcW w:w="0" w:type="dxa"/>
            <w:vAlign w:val="bottom"/>
          </w:tcPr>
          <w:p>
            <w:pPr>
              <w:spacing w:after="0"/>
              <w:rPr>
                <w:sz w:val="1"/>
                <w:szCs w:val="1"/>
                <w:color w:val="auto"/>
              </w:rPr>
            </w:pPr>
          </w:p>
        </w:tc>
      </w:tr>
      <w:tr>
        <w:trPr>
          <w:trHeight w:val="282"/>
        </w:trPr>
        <w:tc>
          <w:tcPr>
            <w:tcW w:w="516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22"/>
                <w:szCs w:val="22"/>
                <w:b w:val="1"/>
                <w:bCs w:val="1"/>
                <w:color w:val="auto"/>
              </w:rPr>
              <w:t>TOTAL</w:t>
            </w:r>
          </w:p>
        </w:tc>
        <w:tc>
          <w:tcPr>
            <w:tcW w:w="3120" w:type="dxa"/>
            <w:vAlign w:val="bottom"/>
            <w:tcBorders>
              <w:bottom w:val="single" w:sz="8" w:color="auto"/>
              <w:right w:val="single" w:sz="8" w:color="auto"/>
            </w:tcBorders>
          </w:tcPr>
          <w:p>
            <w:pPr>
              <w:jc w:val="right"/>
              <w:spacing w:after="0" w:line="282" w:lineRule="exact"/>
              <w:rPr>
                <w:sz w:val="20"/>
                <w:szCs w:val="20"/>
                <w:color w:val="auto"/>
              </w:rPr>
            </w:pPr>
            <w:r>
              <w:rPr>
                <w:rFonts w:ascii="Arial" w:cs="Arial" w:eastAsia="Arial" w:hAnsi="Arial"/>
                <w:sz w:val="20"/>
                <w:szCs w:val="20"/>
                <w:color w:val="auto"/>
              </w:rPr>
              <w:t>$435,000,000</w:t>
            </w:r>
            <w:r>
              <w:rPr>
                <w:rFonts w:ascii="Arial" w:cs="Arial" w:eastAsia="Arial" w:hAnsi="Arial"/>
                <w:sz w:val="25"/>
                <w:szCs w:val="25"/>
                <w:color w:val="auto"/>
                <w:vertAlign w:val="superscript"/>
              </w:rPr>
              <w:t>3</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ind w:left="320" w:hanging="150"/>
        <w:spacing w:after="0" w:line="206" w:lineRule="auto"/>
        <w:tabs>
          <w:tab w:leader="none" w:pos="320" w:val="left"/>
        </w:tabs>
        <w:numPr>
          <w:ilvl w:val="0"/>
          <w:numId w:val="6"/>
        </w:numPr>
        <w:rPr>
          <w:rFonts w:ascii="Arial" w:cs="Arial" w:eastAsia="Arial" w:hAnsi="Arial"/>
          <w:sz w:val="26"/>
          <w:szCs w:val="26"/>
          <w:color w:val="auto"/>
          <w:vertAlign w:val="superscript"/>
        </w:rPr>
      </w:pPr>
      <w:r>
        <w:rPr>
          <w:rFonts w:ascii="Arial" w:cs="Arial" w:eastAsia="Arial" w:hAnsi="Arial"/>
          <w:sz w:val="20"/>
          <w:szCs w:val="20"/>
          <w:color w:val="auto"/>
        </w:rPr>
        <w:t>Commitment reduces to $0 on the Non-Extended Maturity Date</w:t>
      </w:r>
    </w:p>
    <w:p>
      <w:pPr>
        <w:spacing w:after="0" w:line="15" w:lineRule="exact"/>
        <w:rPr>
          <w:sz w:val="20"/>
          <w:szCs w:val="20"/>
          <w:color w:val="auto"/>
        </w:rPr>
      </w:pPr>
    </w:p>
    <w:p>
      <w:pPr>
        <w:ind w:left="340" w:right="720" w:hanging="170"/>
        <w:spacing w:after="0" w:line="208" w:lineRule="auto"/>
        <w:tabs>
          <w:tab w:leader="none" w:pos="330" w:val="left"/>
        </w:tabs>
        <w:numPr>
          <w:ilvl w:val="0"/>
          <w:numId w:val="7"/>
        </w:numPr>
        <w:rPr>
          <w:rFonts w:ascii="Arial" w:cs="Arial" w:eastAsia="Arial" w:hAnsi="Arial"/>
          <w:sz w:val="26"/>
          <w:szCs w:val="26"/>
          <w:color w:val="auto"/>
          <w:vertAlign w:val="superscript"/>
        </w:rPr>
      </w:pPr>
      <w:r>
        <w:rPr>
          <w:rFonts w:ascii="Arial" w:cs="Arial" w:eastAsia="Arial" w:hAnsi="Arial"/>
          <w:sz w:val="20"/>
          <w:szCs w:val="20"/>
          <w:color w:val="auto"/>
        </w:rPr>
        <w:t>Includes $30,000,000 commitment previously held by TCF National Bank immediately prior to its merger with The Huntington National Bank.</w:t>
      </w:r>
    </w:p>
    <w:p>
      <w:pPr>
        <w:ind w:left="320" w:hanging="150"/>
        <w:spacing w:after="0" w:line="194" w:lineRule="auto"/>
        <w:tabs>
          <w:tab w:leader="none" w:pos="320" w:val="left"/>
        </w:tabs>
        <w:numPr>
          <w:ilvl w:val="0"/>
          <w:numId w:val="8"/>
        </w:numPr>
        <w:rPr>
          <w:rFonts w:ascii="Arial" w:cs="Arial" w:eastAsia="Arial" w:hAnsi="Arial"/>
          <w:sz w:val="26"/>
          <w:szCs w:val="26"/>
          <w:color w:val="auto"/>
          <w:vertAlign w:val="superscript"/>
        </w:rPr>
      </w:pPr>
      <w:r>
        <w:rPr>
          <w:rFonts w:ascii="Arial" w:cs="Arial" w:eastAsia="Arial" w:hAnsi="Arial"/>
          <w:sz w:val="20"/>
          <w:szCs w:val="20"/>
          <w:color w:val="auto"/>
        </w:rPr>
        <w:t>Revolving Credit Aggregate Commitment reduces to $400,000,000 on the Non-Extended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20"/>
          </w:cols>
          <w:pgMar w:left="320" w:top="1422" w:right="35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3"/>
        </w:trPr>
        <w:tc>
          <w:tcPr>
            <w:tcW w:w="5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rPr>
              <w:t>EXHIBIT B</w:t>
            </w:r>
          </w:p>
        </w:tc>
        <w:tc>
          <w:tcPr>
            <w:tcW w:w="6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5160" w:type="dxa"/>
            <w:vAlign w:val="bottom"/>
          </w:tcPr>
          <w:p>
            <w:pPr>
              <w:spacing w:after="0"/>
              <w:rPr>
                <w:sz w:val="24"/>
                <w:szCs w:val="24"/>
                <w:color w:val="auto"/>
              </w:rPr>
            </w:pPr>
          </w:p>
        </w:tc>
        <w:tc>
          <w:tcPr>
            <w:tcW w:w="3120" w:type="dxa"/>
            <w:vAlign w:val="bottom"/>
            <w:gridSpan w:val="3"/>
          </w:tcPr>
          <w:p>
            <w:pPr>
              <w:jc w:val="center"/>
              <w:ind w:left="539"/>
              <w:spacing w:after="0"/>
              <w:rPr>
                <w:sz w:val="20"/>
                <w:szCs w:val="20"/>
                <w:color w:val="auto"/>
              </w:rPr>
            </w:pPr>
            <w:r>
              <w:rPr>
                <w:rFonts w:ascii="Arial" w:cs="Arial" w:eastAsia="Arial" w:hAnsi="Arial"/>
                <w:sz w:val="22"/>
                <w:szCs w:val="22"/>
                <w:b w:val="1"/>
                <w:bCs w:val="1"/>
                <w:color w:val="auto"/>
                <w:w w:val="86"/>
              </w:rPr>
              <w:t>Schedule 1.2</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5160" w:type="dxa"/>
            <w:vAlign w:val="bottom"/>
          </w:tcPr>
          <w:p>
            <w:pPr>
              <w:spacing w:after="0"/>
              <w:rPr>
                <w:sz w:val="24"/>
                <w:szCs w:val="24"/>
                <w:color w:val="auto"/>
              </w:rPr>
            </w:pPr>
          </w:p>
        </w:tc>
        <w:tc>
          <w:tcPr>
            <w:tcW w:w="3120" w:type="dxa"/>
            <w:vAlign w:val="bottom"/>
            <w:gridSpan w:val="3"/>
          </w:tcPr>
          <w:p>
            <w:pPr>
              <w:jc w:val="center"/>
              <w:ind w:left="539"/>
              <w:spacing w:after="0"/>
              <w:rPr>
                <w:sz w:val="20"/>
                <w:szCs w:val="20"/>
                <w:color w:val="auto"/>
              </w:rPr>
            </w:pPr>
            <w:r>
              <w:rPr>
                <w:rFonts w:ascii="Arial" w:cs="Arial" w:eastAsia="Arial" w:hAnsi="Arial"/>
                <w:sz w:val="20"/>
                <w:szCs w:val="20"/>
                <w:color w:val="auto"/>
                <w:w w:val="92"/>
              </w:rPr>
              <w:t>(PERCENTAGES)</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160" w:type="dxa"/>
            <w:vAlign w:val="bottom"/>
          </w:tcPr>
          <w:p>
            <w:pPr>
              <w:spacing w:after="0"/>
              <w:rPr>
                <w:sz w:val="24"/>
                <w:szCs w:val="24"/>
                <w:color w:val="auto"/>
              </w:rPr>
            </w:pPr>
          </w:p>
        </w:tc>
        <w:tc>
          <w:tcPr>
            <w:tcW w:w="3120" w:type="dxa"/>
            <w:vAlign w:val="bottom"/>
            <w:gridSpan w:val="3"/>
          </w:tcPr>
          <w:p>
            <w:pPr>
              <w:jc w:val="center"/>
              <w:ind w:left="539"/>
              <w:spacing w:after="0"/>
              <w:rPr>
                <w:sz w:val="20"/>
                <w:szCs w:val="20"/>
                <w:color w:val="auto"/>
              </w:rPr>
            </w:pPr>
            <w:r>
              <w:rPr>
                <w:rFonts w:ascii="Arial" w:cs="Arial" w:eastAsia="Arial" w:hAnsi="Arial"/>
                <w:sz w:val="20"/>
                <w:szCs w:val="20"/>
                <w:color w:val="auto"/>
                <w:w w:val="89"/>
              </w:rPr>
              <w:t>Effective June 22, 2023</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6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gridSpan w:val="3"/>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160" w:type="dxa"/>
            <w:vAlign w:val="bottom"/>
            <w:tcBorders>
              <w:left w:val="single" w:sz="8" w:color="auto"/>
              <w:right w:val="single" w:sz="8" w:color="auto"/>
            </w:tcBorders>
          </w:tcPr>
          <w:p>
            <w:pPr>
              <w:ind w:left="3120"/>
              <w:spacing w:after="0" w:line="223" w:lineRule="exact"/>
              <w:rPr>
                <w:sz w:val="20"/>
                <w:szCs w:val="20"/>
                <w:color w:val="auto"/>
              </w:rPr>
            </w:pPr>
            <w:r>
              <w:rPr>
                <w:rFonts w:ascii="Arial" w:cs="Arial" w:eastAsia="Arial" w:hAnsi="Arial"/>
                <w:sz w:val="22"/>
                <w:szCs w:val="22"/>
                <w:b w:val="1"/>
                <w:bCs w:val="1"/>
                <w:color w:val="auto"/>
              </w:rPr>
              <w:t>Banks</w:t>
            </w:r>
          </w:p>
        </w:tc>
        <w:tc>
          <w:tcPr>
            <w:tcW w:w="3120" w:type="dxa"/>
            <w:vAlign w:val="bottom"/>
            <w:tcBorders>
              <w:right w:val="single" w:sz="8" w:color="auto"/>
            </w:tcBorders>
            <w:gridSpan w:val="3"/>
          </w:tcPr>
          <w:p>
            <w:pPr>
              <w:jc w:val="right"/>
              <w:ind w:right="640"/>
              <w:spacing w:after="0" w:line="223" w:lineRule="exact"/>
              <w:rPr>
                <w:sz w:val="20"/>
                <w:szCs w:val="20"/>
                <w:color w:val="auto"/>
              </w:rPr>
            </w:pPr>
            <w:r>
              <w:rPr>
                <w:rFonts w:ascii="Arial" w:cs="Arial" w:eastAsia="Arial" w:hAnsi="Arial"/>
                <w:sz w:val="22"/>
                <w:szCs w:val="22"/>
                <w:b w:val="1"/>
                <w:bCs w:val="1"/>
                <w:color w:val="auto"/>
              </w:rPr>
              <w:t>Revolving Credit</w:t>
            </w:r>
          </w:p>
        </w:tc>
        <w:tc>
          <w:tcPr>
            <w:tcW w:w="2960" w:type="dxa"/>
            <w:vAlign w:val="bottom"/>
            <w:tcBorders>
              <w:right w:val="single" w:sz="8" w:color="auto"/>
            </w:tcBorders>
          </w:tcPr>
          <w:p>
            <w:pPr>
              <w:jc w:val="right"/>
              <w:ind w:right="560"/>
              <w:spacing w:after="0" w:line="223" w:lineRule="exact"/>
              <w:rPr>
                <w:sz w:val="20"/>
                <w:szCs w:val="20"/>
                <w:color w:val="auto"/>
              </w:rPr>
            </w:pPr>
            <w:r>
              <w:rPr>
                <w:rFonts w:ascii="Arial" w:cs="Arial" w:eastAsia="Arial" w:hAnsi="Arial"/>
                <w:sz w:val="22"/>
                <w:szCs w:val="22"/>
                <w:b w:val="1"/>
                <w:bCs w:val="1"/>
                <w:color w:val="auto"/>
              </w:rPr>
              <w:t>Percentage</w:t>
            </w:r>
          </w:p>
        </w:tc>
        <w:tc>
          <w:tcPr>
            <w:tcW w:w="0" w:type="dxa"/>
            <w:vAlign w:val="bottom"/>
          </w:tcPr>
          <w:p>
            <w:pPr>
              <w:spacing w:after="0"/>
              <w:rPr>
                <w:sz w:val="1"/>
                <w:szCs w:val="1"/>
                <w:color w:val="auto"/>
              </w:rPr>
            </w:pPr>
          </w:p>
        </w:tc>
      </w:tr>
      <w:tr>
        <w:trPr>
          <w:trHeight w:val="282"/>
        </w:trPr>
        <w:tc>
          <w:tcPr>
            <w:tcW w:w="516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3"/>
          </w:tcPr>
          <w:p>
            <w:pPr>
              <w:jc w:val="right"/>
              <w:ind w:right="960"/>
              <w:spacing w:after="0"/>
              <w:rPr>
                <w:sz w:val="20"/>
                <w:szCs w:val="20"/>
                <w:color w:val="auto"/>
              </w:rPr>
            </w:pPr>
            <w:r>
              <w:rPr>
                <w:rFonts w:ascii="Arial" w:cs="Arial" w:eastAsia="Arial" w:hAnsi="Arial"/>
                <w:sz w:val="22"/>
                <w:szCs w:val="22"/>
                <w:b w:val="1"/>
                <w:bCs w:val="1"/>
                <w:color w:val="auto"/>
              </w:rPr>
              <w:t>Commitment</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60" w:type="dxa"/>
            <w:vAlign w:val="bottom"/>
            <w:tcBorders>
              <w:left w:val="single" w:sz="8" w:color="auto"/>
              <w:right w:val="single" w:sz="8" w:color="auto"/>
            </w:tcBorders>
          </w:tcPr>
          <w:p>
            <w:pPr>
              <w:ind w:left="40"/>
              <w:spacing w:after="0" w:line="194" w:lineRule="exact"/>
              <w:rPr>
                <w:sz w:val="20"/>
                <w:szCs w:val="20"/>
                <w:color w:val="auto"/>
              </w:rPr>
            </w:pPr>
            <w:r>
              <w:rPr>
                <w:rFonts w:ascii="Arial" w:cs="Arial" w:eastAsia="Arial" w:hAnsi="Arial"/>
                <w:sz w:val="20"/>
                <w:szCs w:val="20"/>
                <w:color w:val="auto"/>
                <w:w w:val="99"/>
              </w:rPr>
              <w:t>Comerica Bank (Co-Lead Arranger, Joint Bookrunner and</w:t>
            </w:r>
          </w:p>
        </w:tc>
        <w:tc>
          <w:tcPr>
            <w:tcW w:w="3120" w:type="dxa"/>
            <w:vAlign w:val="bottom"/>
            <w:tcBorders>
              <w:right w:val="single" w:sz="8" w:color="auto"/>
            </w:tcBorders>
            <w:gridSpan w:val="3"/>
            <w:vMerge w:val="restart"/>
          </w:tcPr>
          <w:p>
            <w:pPr>
              <w:jc w:val="right"/>
              <w:ind w:right="20"/>
              <w:spacing w:after="0"/>
              <w:rPr>
                <w:sz w:val="20"/>
                <w:szCs w:val="20"/>
                <w:color w:val="auto"/>
              </w:rPr>
            </w:pPr>
            <w:r>
              <w:rPr>
                <w:rFonts w:ascii="Arial" w:cs="Arial" w:eastAsia="Arial" w:hAnsi="Arial"/>
                <w:sz w:val="20"/>
                <w:szCs w:val="20"/>
                <w:color w:val="auto"/>
              </w:rPr>
              <w:t>$60,000,000</w:t>
            </w:r>
          </w:p>
        </w:tc>
        <w:tc>
          <w:tcPr>
            <w:tcW w:w="2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16.000000000%</w:t>
            </w:r>
          </w:p>
        </w:tc>
        <w:tc>
          <w:tcPr>
            <w:tcW w:w="0" w:type="dxa"/>
            <w:vAlign w:val="bottom"/>
          </w:tcPr>
          <w:p>
            <w:pPr>
              <w:spacing w:after="0"/>
              <w:rPr>
                <w:sz w:val="1"/>
                <w:szCs w:val="1"/>
                <w:color w:val="auto"/>
              </w:rPr>
            </w:pPr>
          </w:p>
        </w:tc>
      </w:tr>
      <w:tr>
        <w:trPr>
          <w:trHeight w:val="156"/>
        </w:trPr>
        <w:tc>
          <w:tcPr>
            <w:tcW w:w="51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Administrative Agent)</w:t>
            </w:r>
          </w:p>
        </w:tc>
        <w:tc>
          <w:tcPr>
            <w:tcW w:w="3120" w:type="dxa"/>
            <w:vAlign w:val="bottom"/>
            <w:tcBorders>
              <w:right w:val="single" w:sz="8" w:color="auto"/>
            </w:tcBorders>
            <w:gridSpan w:val="3"/>
            <w:vMerge w:val="continue"/>
          </w:tcPr>
          <w:p>
            <w:pPr>
              <w:spacing w:after="0"/>
              <w:rPr>
                <w:sz w:val="13"/>
                <w:szCs w:val="13"/>
                <w:color w:val="auto"/>
              </w:rPr>
            </w:pPr>
          </w:p>
        </w:tc>
        <w:tc>
          <w:tcPr>
            <w:tcW w:w="2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1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2"/>
              </w:rPr>
              <w:t>Citizens Bank, N.A. (Joint Bookrunner and Co-Lead Arranger)</w:t>
            </w:r>
          </w:p>
        </w:tc>
        <w:tc>
          <w:tcPr>
            <w:tcW w:w="312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$55,000,000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14.666666667%</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KeyBank, National Association (Documentation Agent)</w:t>
            </w:r>
          </w:p>
        </w:tc>
        <w:tc>
          <w:tcPr>
            <w:tcW w:w="312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$50,000,000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13.333333333%</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First Horizon Bank</w:t>
            </w:r>
          </w:p>
        </w:tc>
        <w:tc>
          <w:tcPr>
            <w:tcW w:w="312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$50,000,000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13.333333333%</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5"/>
              </w:rPr>
              <w:t>Bank of Montreal (Joint Bookrunner and Co- Lead Arranger)</w:t>
            </w:r>
          </w:p>
        </w:tc>
        <w:tc>
          <w:tcPr>
            <w:tcW w:w="312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$40,000,000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10.666666667%</w:t>
            </w:r>
          </w:p>
        </w:tc>
        <w:tc>
          <w:tcPr>
            <w:tcW w:w="0" w:type="dxa"/>
            <w:vAlign w:val="bottom"/>
          </w:tcPr>
          <w:p>
            <w:pPr>
              <w:spacing w:after="0"/>
              <w:rPr>
                <w:sz w:val="1"/>
                <w:szCs w:val="1"/>
                <w:color w:val="auto"/>
              </w:rPr>
            </w:pPr>
          </w:p>
        </w:tc>
      </w:tr>
      <w:tr>
        <w:trPr>
          <w:trHeight w:val="197"/>
        </w:trPr>
        <w:tc>
          <w:tcPr>
            <w:tcW w:w="5160" w:type="dxa"/>
            <w:vAlign w:val="bottom"/>
            <w:tcBorders>
              <w:left w:val="single" w:sz="8" w:color="auto"/>
              <w:right w:val="single" w:sz="8" w:color="auto"/>
            </w:tcBorders>
          </w:tcPr>
          <w:p>
            <w:pPr>
              <w:ind w:left="40"/>
              <w:spacing w:after="0" w:line="198" w:lineRule="exact"/>
              <w:rPr>
                <w:sz w:val="20"/>
                <w:szCs w:val="20"/>
                <w:color w:val="auto"/>
              </w:rPr>
            </w:pPr>
            <w:r>
              <w:rPr>
                <w:rFonts w:ascii="Arial" w:cs="Arial" w:eastAsia="Arial" w:hAnsi="Arial"/>
                <w:sz w:val="20"/>
                <w:szCs w:val="20"/>
                <w:color w:val="auto"/>
                <w:w w:val="94"/>
              </w:rPr>
              <w:t>Fifth Third Bank, National Association (Joint Bookrunner and</w:t>
            </w:r>
          </w:p>
        </w:tc>
        <w:tc>
          <w:tcPr>
            <w:tcW w:w="3120" w:type="dxa"/>
            <w:vAlign w:val="bottom"/>
            <w:tcBorders>
              <w:right w:val="single" w:sz="8" w:color="auto"/>
            </w:tcBorders>
            <w:gridSpan w:val="3"/>
            <w:vMerge w:val="restart"/>
          </w:tcPr>
          <w:p>
            <w:pPr>
              <w:jc w:val="right"/>
              <w:ind w:right="20"/>
              <w:spacing w:after="0"/>
              <w:rPr>
                <w:sz w:val="20"/>
                <w:szCs w:val="20"/>
                <w:color w:val="auto"/>
              </w:rPr>
            </w:pPr>
            <w:r>
              <w:rPr>
                <w:rFonts w:ascii="Arial" w:cs="Arial" w:eastAsia="Arial" w:hAnsi="Arial"/>
                <w:sz w:val="20"/>
                <w:szCs w:val="20"/>
                <w:color w:val="auto"/>
              </w:rPr>
              <w:t>$35,000,000</w:t>
            </w:r>
          </w:p>
        </w:tc>
        <w:tc>
          <w:tcPr>
            <w:tcW w:w="2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9.333333333%</w:t>
            </w:r>
          </w:p>
        </w:tc>
        <w:tc>
          <w:tcPr>
            <w:tcW w:w="0" w:type="dxa"/>
            <w:vAlign w:val="bottom"/>
          </w:tcPr>
          <w:p>
            <w:pPr>
              <w:spacing w:after="0"/>
              <w:rPr>
                <w:sz w:val="1"/>
                <w:szCs w:val="1"/>
                <w:color w:val="auto"/>
              </w:rPr>
            </w:pPr>
          </w:p>
        </w:tc>
      </w:tr>
      <w:tr>
        <w:trPr>
          <w:trHeight w:val="156"/>
        </w:trPr>
        <w:tc>
          <w:tcPr>
            <w:tcW w:w="51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Co-Lead Arranger)</w:t>
            </w:r>
          </w:p>
        </w:tc>
        <w:tc>
          <w:tcPr>
            <w:tcW w:w="3120" w:type="dxa"/>
            <w:vAlign w:val="bottom"/>
            <w:tcBorders>
              <w:right w:val="single" w:sz="8" w:color="auto"/>
            </w:tcBorders>
            <w:gridSpan w:val="3"/>
            <w:vMerge w:val="continue"/>
          </w:tcPr>
          <w:p>
            <w:pPr>
              <w:spacing w:after="0"/>
              <w:rPr>
                <w:sz w:val="13"/>
                <w:szCs w:val="13"/>
                <w:color w:val="auto"/>
              </w:rPr>
            </w:pPr>
          </w:p>
        </w:tc>
        <w:tc>
          <w:tcPr>
            <w:tcW w:w="2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1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 Huntington National Bank</w:t>
            </w:r>
          </w:p>
        </w:tc>
        <w:tc>
          <w:tcPr>
            <w:tcW w:w="312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$35,000,000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9.333333333%</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Flagstar Bank, FSB (Syndication Agent)</w:t>
            </w:r>
          </w:p>
        </w:tc>
        <w:tc>
          <w:tcPr>
            <w:tcW w:w="312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$25,000,000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6.666666667%</w:t>
            </w:r>
          </w:p>
        </w:tc>
        <w:tc>
          <w:tcPr>
            <w:tcW w:w="0" w:type="dxa"/>
            <w:vAlign w:val="bottom"/>
          </w:tcPr>
          <w:p>
            <w:pPr>
              <w:spacing w:after="0"/>
              <w:rPr>
                <w:sz w:val="1"/>
                <w:szCs w:val="1"/>
                <w:color w:val="auto"/>
              </w:rPr>
            </w:pPr>
          </w:p>
        </w:tc>
      </w:tr>
      <w:tr>
        <w:trPr>
          <w:trHeight w:val="263"/>
        </w:trPr>
        <w:tc>
          <w:tcPr>
            <w:tcW w:w="5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First Merchants Bank</w:t>
            </w:r>
          </w:p>
        </w:tc>
        <w:tc>
          <w:tcPr>
            <w:tcW w:w="312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$25,000,000</w:t>
            </w:r>
          </w:p>
        </w:tc>
        <w:tc>
          <w:tcPr>
            <w:tcW w:w="2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6.666666667%</w:t>
            </w:r>
          </w:p>
        </w:tc>
        <w:tc>
          <w:tcPr>
            <w:tcW w:w="0" w:type="dxa"/>
            <w:vAlign w:val="bottom"/>
          </w:tcPr>
          <w:p>
            <w:pPr>
              <w:spacing w:after="0"/>
              <w:rPr>
                <w:sz w:val="1"/>
                <w:szCs w:val="1"/>
                <w:color w:val="auto"/>
              </w:rPr>
            </w:pPr>
          </w:p>
        </w:tc>
      </w:tr>
      <w:tr>
        <w:trPr>
          <w:trHeight w:val="280"/>
        </w:trPr>
        <w:tc>
          <w:tcPr>
            <w:tcW w:w="516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22"/>
                <w:szCs w:val="22"/>
                <w:b w:val="1"/>
                <w:bCs w:val="1"/>
                <w:color w:val="auto"/>
              </w:rPr>
              <w:t>TOTAL</w:t>
            </w:r>
          </w:p>
        </w:tc>
        <w:tc>
          <w:tcPr>
            <w:tcW w:w="312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$375,000,000</w:t>
            </w:r>
          </w:p>
        </w:tc>
        <w:tc>
          <w:tcPr>
            <w:tcW w:w="2960" w:type="dxa"/>
            <w:vAlign w:val="bottom"/>
            <w:tcBorders>
              <w:bottom w:val="single" w:sz="8" w:color="auto"/>
              <w:right w:val="single" w:sz="8" w:color="auto"/>
            </w:tcBorders>
          </w:tcPr>
          <w:p>
            <w:pPr>
              <w:jc w:val="right"/>
              <w:ind w:right="1060"/>
              <w:spacing w:after="0"/>
              <w:rPr>
                <w:sz w:val="20"/>
                <w:szCs w:val="20"/>
                <w:color w:val="auto"/>
              </w:rPr>
            </w:pPr>
            <w:r>
              <w:rPr>
                <w:rFonts w:ascii="Arial" w:cs="Arial" w:eastAsia="Arial" w:hAnsi="Arial"/>
                <w:sz w:val="20"/>
                <w:szCs w:val="20"/>
                <w:color w:val="auto"/>
              </w:rPr>
              <w:t>100.000000%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sectPr>
      <w:pgSz w:w="11900" w:h="16838" w:orient="portrait"/>
      <w:cols w:equalWidth="0" w:num="1">
        <w:col w:w="11220"/>
      </w:cols>
      <w:pgMar w:left="320" w:top="139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2021-12-07T08:26:03Z</dcterms:created>
  <dcterms:modified xsi:type="dcterms:W3CDTF">2021-12-07T08:26:03Z</dcterms:modified>
</cp:coreProperties>
</file>