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FORM ABS-15G</w:t>
      </w:r>
    </w:p>
    <w:p>
      <w:pPr>
        <w:spacing w:after="0" w:line="225" w:lineRule="exact"/>
        <w:rPr>
          <w:sz w:val="24"/>
          <w:szCs w:val="24"/>
          <w:color w:val="auto"/>
        </w:rPr>
      </w:pPr>
    </w:p>
    <w:p>
      <w:pPr>
        <w:ind w:left="4460"/>
        <w:spacing w:after="0"/>
        <w:rPr>
          <w:sz w:val="20"/>
          <w:szCs w:val="20"/>
          <w:color w:val="auto"/>
        </w:rPr>
      </w:pPr>
      <w:r>
        <w:rPr>
          <w:rFonts w:ascii="Arial" w:cs="Arial" w:eastAsia="Arial" w:hAnsi="Arial"/>
          <w:sz w:val="18"/>
          <w:szCs w:val="18"/>
          <w:b w:val="1"/>
          <w:bCs w:val="1"/>
          <w:color w:val="auto"/>
        </w:rPr>
        <w:t>Asset-Backed Securitizer Report</w:t>
      </w:r>
    </w:p>
    <w:p>
      <w:pPr>
        <w:spacing w:after="0" w:line="2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Pursuant to Section 15G of The</w:t>
      </w:r>
    </w:p>
    <w:p>
      <w:pPr>
        <w:spacing w:after="0" w:line="9"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indicate the filing obligation to which this form is intended to satisfy:</w:t>
      </w:r>
    </w:p>
    <w:p>
      <w:pPr>
        <w:spacing w:after="0" w:line="225" w:lineRule="exact"/>
        <w:rPr>
          <w:sz w:val="24"/>
          <w:szCs w:val="24"/>
          <w:color w:val="auto"/>
        </w:rPr>
      </w:pPr>
    </w:p>
    <w:p>
      <w:pPr>
        <w:ind w:left="860" w:hanging="204"/>
        <w:spacing w:after="0"/>
        <w:tabs>
          <w:tab w:leader="none" w:pos="86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15Ga-1 under the Exchange Act (17 CFR 240.15Ga-1) for the reporting period: January 1, 2015 to December 31, 2015</w:t>
      </w:r>
    </w:p>
    <w:p>
      <w:pPr>
        <w:spacing w:after="0" w:line="244"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Date of Report (Date of earliest event reported):</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February 12. 2016</w:t>
      </w:r>
    </w:p>
    <w:p>
      <w:pPr>
        <w:spacing w:after="0" w:line="211"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_______________________</w:t>
      </w:r>
    </w:p>
    <w:p>
      <w:pPr>
        <w:spacing w:after="0" w:line="217"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Credit Acceptance Corporation</w:t>
      </w:r>
      <w:r>
        <w:rPr>
          <w:rFonts w:ascii="Arial" w:cs="Arial" w:eastAsia="Arial" w:hAnsi="Arial"/>
          <w:sz w:val="25"/>
          <w:szCs w:val="25"/>
          <w:b w:val="1"/>
          <w:bCs w:val="1"/>
          <w:color w:val="auto"/>
          <w:vertAlign w:val="superscript"/>
        </w:rPr>
        <w:t>1</w:t>
      </w:r>
    </w:p>
    <w:p>
      <w:pPr>
        <w:spacing w:after="0" w:line="4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(Exact name of securitizer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_______________________</w:t>
      </w:r>
    </w:p>
    <w:p>
      <w:pPr>
        <w:sectPr>
          <w:pgSz w:w="11900" w:h="16838" w:orient="portrait"/>
          <w:cols w:equalWidth="0" w:num="1">
            <w:col w:w="11240"/>
          </w:cols>
          <w:pgMar w:left="240" w:top="688" w:right="419" w:bottom="1440" w:gutter="0" w:footer="0" w:header="0"/>
        </w:sectPr>
      </w:pPr>
    </w:p>
    <w:p>
      <w:pPr>
        <w:spacing w:after="0" w:line="373" w:lineRule="exact"/>
        <w:rPr>
          <w:sz w:val="24"/>
          <w:szCs w:val="24"/>
          <w:color w:val="auto"/>
        </w:rPr>
      </w:pPr>
    </w:p>
    <w:p>
      <w:pPr>
        <w:jc w:val="center"/>
        <w:ind w:right="400"/>
        <w:spacing w:after="0"/>
        <w:rPr>
          <w:sz w:val="20"/>
          <w:szCs w:val="20"/>
          <w:color w:val="auto"/>
        </w:rPr>
      </w:pPr>
      <w:r>
        <w:rPr>
          <w:rFonts w:ascii="Arial" w:cs="Arial" w:eastAsia="Arial" w:hAnsi="Arial"/>
          <w:sz w:val="18"/>
          <w:szCs w:val="18"/>
          <w:color w:val="auto"/>
        </w:rPr>
        <w:t>000-20202</w:t>
      </w:r>
    </w:p>
    <w:p>
      <w:pPr>
        <w:spacing w:after="0" w:line="23"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(Commission File Number of securitizer)</w:t>
      </w:r>
    </w:p>
    <w:p>
      <w:pPr>
        <w:spacing w:after="0" w:line="20" w:lineRule="exact"/>
        <w:rPr>
          <w:sz w:val="24"/>
          <w:szCs w:val="24"/>
          <w:color w:val="auto"/>
        </w:rPr>
      </w:pPr>
      <w:r>
        <w:rPr>
          <w:sz w:val="24"/>
          <w:szCs w:val="24"/>
          <w:color w:val="auto"/>
        </w:rPr>
        <w:br w:type="column"/>
      </w:r>
    </w:p>
    <w:p>
      <w:pPr>
        <w:spacing w:after="0" w:line="353" w:lineRule="exact"/>
        <w:rPr>
          <w:sz w:val="24"/>
          <w:szCs w:val="24"/>
          <w:color w:val="auto"/>
        </w:rPr>
      </w:pPr>
    </w:p>
    <w:p>
      <w:pPr>
        <w:jc w:val="center"/>
        <w:ind w:right="1640"/>
        <w:spacing w:after="0"/>
        <w:rPr>
          <w:sz w:val="20"/>
          <w:szCs w:val="20"/>
          <w:color w:val="auto"/>
        </w:rPr>
      </w:pPr>
      <w:r>
        <w:rPr>
          <w:rFonts w:ascii="Arial" w:cs="Arial" w:eastAsia="Arial" w:hAnsi="Arial"/>
          <w:sz w:val="18"/>
          <w:szCs w:val="18"/>
          <w:color w:val="auto"/>
        </w:rPr>
        <w:t>0000885550</w:t>
      </w:r>
    </w:p>
    <w:p>
      <w:pPr>
        <w:spacing w:after="0" w:line="23" w:lineRule="exact"/>
        <w:rPr>
          <w:sz w:val="24"/>
          <w:szCs w:val="24"/>
          <w:color w:val="auto"/>
        </w:rPr>
      </w:pPr>
    </w:p>
    <w:p>
      <w:pPr>
        <w:jc w:val="center"/>
        <w:ind w:right="1720"/>
        <w:spacing w:after="0"/>
        <w:rPr>
          <w:sz w:val="20"/>
          <w:szCs w:val="20"/>
          <w:color w:val="auto"/>
        </w:rPr>
      </w:pPr>
      <w:r>
        <w:rPr>
          <w:rFonts w:ascii="Arial" w:cs="Arial" w:eastAsia="Arial" w:hAnsi="Arial"/>
          <w:sz w:val="16"/>
          <w:szCs w:val="16"/>
          <w:color w:val="auto"/>
        </w:rPr>
        <w:t>(Central Index Key Number of securitizer)</w:t>
      </w:r>
    </w:p>
    <w:p>
      <w:pPr>
        <w:spacing w:after="0" w:line="200" w:lineRule="exact"/>
        <w:rPr>
          <w:sz w:val="24"/>
          <w:szCs w:val="24"/>
          <w:color w:val="auto"/>
        </w:rPr>
      </w:pPr>
    </w:p>
    <w:p>
      <w:pPr>
        <w:sectPr>
          <w:pgSz w:w="11900" w:h="16838" w:orient="portrait"/>
          <w:cols w:equalWidth="0" w:num="2">
            <w:col w:w="5740" w:space="720"/>
            <w:col w:w="4780"/>
          </w:cols>
          <w:pgMar w:left="240" w:top="688" w:right="419" w:bottom="1440" w:gutter="0" w:footer="0" w:header="0"/>
          <w:type w:val="continuous"/>
        </w:sectPr>
      </w:pPr>
    </w:p>
    <w:p>
      <w:pPr>
        <w:spacing w:after="0" w:line="58" w:lineRule="exact"/>
        <w:rPr>
          <w:sz w:val="24"/>
          <w:szCs w:val="24"/>
          <w:color w:val="auto"/>
        </w:rPr>
      </w:pPr>
    </w:p>
    <w:p>
      <w:pPr>
        <w:jc w:val="center"/>
        <w:ind w:right="-179"/>
        <w:spacing w:after="0"/>
        <w:rPr>
          <w:sz w:val="20"/>
          <w:szCs w:val="20"/>
          <w:color w:val="auto"/>
        </w:rPr>
      </w:pPr>
      <w:r>
        <w:rPr>
          <w:rFonts w:ascii="Arial" w:cs="Arial" w:eastAsia="Arial" w:hAnsi="Arial"/>
          <w:sz w:val="20"/>
          <w:szCs w:val="20"/>
          <w:color w:val="auto"/>
        </w:rPr>
        <w:t>Douglas Busk, Senior Vice President and Treasurer, (248) 353-2700 (ext. 4432)</w:t>
      </w:r>
    </w:p>
    <w:p>
      <w:pPr>
        <w:spacing w:after="0" w:line="1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Name and telephone number, including area code,</w:t>
      </w:r>
    </w:p>
    <w:p>
      <w:pPr>
        <w:spacing w:after="0" w:line="7"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of the person to contact in connection with this filing</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securitizer has no activity to report for the initial period pursuant to Rule 15Ga-1(c)(1) [ ]</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securitizer has no activity to report for the quarterly period pursuant to Rule 15Ga-1(c)(2)(i) [ ]</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securitizer has no activity to report for the annual period pursuant to Rule 15Ga-1(c)(2)(ii)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2475230</wp:posOffset>
            </wp:positionH>
            <wp:positionV relativeFrom="paragraph">
              <wp:posOffset>606425</wp:posOffset>
            </wp:positionV>
            <wp:extent cx="6858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8" w:lineRule="exact"/>
        <w:rPr>
          <w:sz w:val="24"/>
          <w:szCs w:val="24"/>
          <w:color w:val="auto"/>
        </w:rPr>
      </w:pPr>
    </w:p>
    <w:p>
      <w:pPr>
        <w:ind w:left="180" w:hanging="172"/>
        <w:spacing w:after="0" w:line="216" w:lineRule="auto"/>
        <w:tabs>
          <w:tab w:leader="none" w:pos="126"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Credit Acceptance Corporation, as securitizer, is filing this Form ABS-15G in respect of all asset-backed securities sponsored by it and outstanding during the reporting period in the auto loan asset class.</w:t>
      </w:r>
    </w:p>
    <w:p>
      <w:pPr>
        <w:sectPr>
          <w:pgSz w:w="11900" w:h="16838" w:orient="portrait"/>
          <w:cols w:equalWidth="0" w:num="1">
            <w:col w:w="11240"/>
          </w:cols>
          <w:pgMar w:left="240" w:top="688" w:right="41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reporting entity has duly caused this report to be signed on its behalf by the undersigned hereunto duly authorized.</w:t>
      </w:r>
    </w:p>
    <w:p>
      <w:pPr>
        <w:spacing w:after="0" w:line="383"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as securitizer</w:t>
      </w:r>
    </w:p>
    <w:p>
      <w:pPr>
        <w:spacing w:after="0" w:line="200" w:lineRule="exact"/>
        <w:rPr>
          <w:sz w:val="20"/>
          <w:szCs w:val="20"/>
          <w:color w:val="auto"/>
        </w:rPr>
      </w:pPr>
    </w:p>
    <w:p>
      <w:pPr>
        <w:spacing w:after="0" w:line="389" w:lineRule="exact"/>
        <w:rPr>
          <w:sz w:val="20"/>
          <w:szCs w:val="20"/>
          <w:color w:val="auto"/>
        </w:rPr>
      </w:pPr>
    </w:p>
    <w:tbl>
      <w:tblPr>
        <w:tblLayout w:type="fixed"/>
        <w:tblInd w:w="32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2840" w:type="dxa"/>
            <w:vAlign w:val="bottom"/>
          </w:tcPr>
          <w:p>
            <w:pPr>
              <w:ind w:left="20"/>
              <w:spacing w:after="0"/>
              <w:rPr>
                <w:sz w:val="20"/>
                <w:szCs w:val="20"/>
                <w:color w:val="auto"/>
              </w:rPr>
            </w:pPr>
            <w:r>
              <w:rPr>
                <w:rFonts w:ascii="Arial" w:cs="Arial" w:eastAsia="Arial" w:hAnsi="Arial"/>
                <w:sz w:val="18"/>
                <w:szCs w:val="18"/>
                <w:color w:val="auto"/>
              </w:rPr>
              <w:t>/s/ Douglas W. Busk</w:t>
            </w:r>
          </w:p>
        </w:tc>
      </w:tr>
      <w:tr>
        <w:trPr>
          <w:trHeight w:val="27"/>
        </w:trPr>
        <w:tc>
          <w:tcPr>
            <w:tcW w:w="58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2840" w:type="dxa"/>
            <w:vAlign w:val="bottom"/>
          </w:tcPr>
          <w:p>
            <w:pPr>
              <w:ind w:left="20"/>
              <w:spacing w:after="0"/>
              <w:rPr>
                <w:sz w:val="20"/>
                <w:szCs w:val="20"/>
                <w:color w:val="auto"/>
              </w:rPr>
            </w:pPr>
            <w:r>
              <w:rPr>
                <w:rFonts w:ascii="Arial" w:cs="Arial" w:eastAsia="Arial" w:hAnsi="Arial"/>
                <w:sz w:val="18"/>
                <w:szCs w:val="18"/>
                <w:color w:val="auto"/>
              </w:rPr>
              <w:t>Douglas W. Busk</w:t>
            </w:r>
          </w:p>
        </w:tc>
      </w:tr>
      <w:tr>
        <w:trPr>
          <w:trHeight w:val="27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2840" w:type="dxa"/>
            <w:vAlign w:val="bottom"/>
          </w:tcPr>
          <w:p>
            <w:pPr>
              <w:ind w:left="20"/>
              <w:spacing w:after="0"/>
              <w:rPr>
                <w:sz w:val="20"/>
                <w:szCs w:val="20"/>
                <w:color w:val="auto"/>
              </w:rPr>
            </w:pPr>
            <w:r>
              <w:rPr>
                <w:rFonts w:ascii="Arial" w:cs="Arial" w:eastAsia="Arial" w:hAnsi="Arial"/>
                <w:sz w:val="18"/>
                <w:szCs w:val="18"/>
                <w:color w:val="auto"/>
                <w:w w:val="96"/>
              </w:rPr>
              <w:t>Senior 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12, 2016</w:t>
      </w: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2019-12-06T01:28:51Z</dcterms:created>
  <dcterms:modified xsi:type="dcterms:W3CDTF">2019-12-06T01:28:51Z</dcterms:modified>
</cp:coreProperties>
</file>