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000-20202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CREDIT ACCEPTANCE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rPr>
              <w:t>MICHIGAN</w:t>
            </w:r>
          </w:p>
        </w:tc>
        <w:tc>
          <w:tcPr>
            <w:tcW w:w="384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38-1999511</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rPr>
              <w:t>25505 WEST TWELVE MILE ROAD</w:t>
            </w:r>
          </w:p>
        </w:tc>
        <w:tc>
          <w:tcPr>
            <w:tcW w:w="3840" w:type="dxa"/>
            <w:vAlign w:val="bottom"/>
          </w:tcPr>
          <w:p>
            <w:pPr>
              <w:spacing w:after="0"/>
              <w:rPr>
                <w:sz w:val="24"/>
                <w:szCs w:val="24"/>
                <w:color w:val="auto"/>
              </w:rPr>
            </w:pPr>
          </w:p>
        </w:tc>
      </w:tr>
      <w:tr>
        <w:trPr>
          <w:trHeight w:val="220"/>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rPr>
              <w:t>SOUTHFIELD, MICHIGAN</w:t>
            </w:r>
          </w:p>
        </w:tc>
        <w:tc>
          <w:tcPr>
            <w:tcW w:w="38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48034-8339</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117"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4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par value $0.01, outstanding on October 22, 2010 was 27,141,367.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8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r>
      <w:tr>
        <w:trPr>
          <w:trHeight w:val="39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80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160" w:type="dxa"/>
            <w:vAlign w:val="bottom"/>
            <w:gridSpan w:val="17"/>
          </w:tcPr>
          <w:p>
            <w:pPr>
              <w:ind w:left="240"/>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104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 Three and nine months ended September 30, 2010 and 2009</w:t>
              </w:r>
            </w:hyperlink>
          </w:p>
        </w:tc>
        <w:tc>
          <w:tcPr>
            <w:tcW w:w="1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 As of September 30, 2010 and December 31, 2009</w:t>
              </w:r>
            </w:hyperlink>
          </w:p>
        </w:tc>
        <w:tc>
          <w:tcPr>
            <w:tcW w:w="272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 Nine months ended September 30, 2010 and 2009</w:t>
              </w:r>
            </w:hyperlink>
          </w:p>
        </w:tc>
        <w:tc>
          <w:tcPr>
            <w:tcW w:w="198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9160" w:type="dxa"/>
            <w:vAlign w:val="bottom"/>
            <w:gridSpan w:val="17"/>
          </w:tcPr>
          <w:p>
            <w:pPr>
              <w:ind w:left="240"/>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MANAGEMENT’S DISCUSSION AND ANALYSIS OF FINANCIAL CONDITION AND RESULTS OF OPERATIONS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160" w:type="dxa"/>
            <w:vAlign w:val="bottom"/>
            <w:gridSpan w:val="17"/>
          </w:tcPr>
          <w:p>
            <w:pPr>
              <w:ind w:left="240"/>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9160" w:type="dxa"/>
            <w:vAlign w:val="bottom"/>
            <w:gridSpan w:val="17"/>
          </w:tcPr>
          <w:p>
            <w:pPr>
              <w:ind w:left="240"/>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6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gridSpan w:val="11"/>
          </w:tcPr>
          <w:p>
            <w:pPr>
              <w:jc w:val="center"/>
              <w:ind w:right="2780"/>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 OTHER INFORMATION</w:t>
              </w:r>
            </w:hyperlink>
          </w:p>
        </w:tc>
        <w:tc>
          <w:tcPr>
            <w:tcW w:w="1040" w:type="dxa"/>
            <w:vAlign w:val="bottom"/>
          </w:tcPr>
          <w:p>
            <w:pPr>
              <w:spacing w:after="0"/>
              <w:rPr>
                <w:sz w:val="24"/>
                <w:szCs w:val="24"/>
                <w:color w:val="auto"/>
              </w:rPr>
            </w:pPr>
          </w:p>
        </w:tc>
      </w:tr>
      <w:tr>
        <w:trPr>
          <w:trHeight w:val="20"/>
        </w:trPr>
        <w:tc>
          <w:tcPr>
            <w:tcW w:w="10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9160" w:type="dxa"/>
            <w:vAlign w:val="bottom"/>
            <w:gridSpan w:val="17"/>
          </w:tcPr>
          <w:p>
            <w:pPr>
              <w:ind w:left="240"/>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40" w:type="dxa"/>
            <w:vAlign w:val="bottom"/>
            <w:gridSpan w:val="7"/>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9160" w:type="dxa"/>
            <w:vAlign w:val="bottom"/>
            <w:gridSpan w:val="17"/>
          </w:tcPr>
          <w:p>
            <w:pPr>
              <w:ind w:left="240"/>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SIGNATURE</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101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INDEX OF EXHIBITS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8"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00" w:type="dxa"/>
            <w:vAlign w:val="bottom"/>
          </w:tcPr>
          <w:p>
            <w:pPr>
              <w:spacing w:after="0"/>
              <w:rPr>
                <w:sz w:val="14"/>
                <w:szCs w:val="14"/>
                <w:color w:val="auto"/>
              </w:rPr>
            </w:pPr>
          </w:p>
        </w:tc>
        <w:tc>
          <w:tcPr>
            <w:tcW w:w="31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4"/>
                <w:szCs w:val="14"/>
                <w:color w:val="auto"/>
              </w:rPr>
            </w:pPr>
          </w:p>
        </w:tc>
        <w:tc>
          <w:tcPr>
            <w:tcW w:w="2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99,255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84,489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284,467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11,596</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111,661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100,268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326,702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280,529</w:t>
            </w: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16,133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16,862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46,293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7,869</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19,670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14,616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12,038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36,010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17,606</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142,413</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100" w:type="dxa"/>
            <w:vAlign w:val="bottom"/>
          </w:tcPr>
          <w:p>
            <w:pPr>
              <w:spacing w:after="0"/>
              <w:rPr>
                <w:sz w:val="24"/>
                <w:szCs w:val="2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65,196</w:t>
            </w:r>
          </w:p>
        </w:tc>
        <w:tc>
          <w:tcPr>
            <w:tcW w:w="100" w:type="dxa"/>
            <w:vAlign w:val="bottom"/>
          </w:tcPr>
          <w:p>
            <w:pPr>
              <w:spacing w:after="0"/>
              <w:rPr>
                <w:sz w:val="24"/>
                <w:szCs w:val="2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62,303</w:t>
            </w:r>
          </w:p>
        </w:tc>
        <w:tc>
          <w:tcPr>
            <w:tcW w:w="10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184,289</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23,149</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61,162</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4"/>
                <w:szCs w:val="2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42,047</w:t>
            </w:r>
          </w:p>
        </w:tc>
        <w:tc>
          <w:tcPr>
            <w:tcW w:w="100" w:type="dxa"/>
            <w:vAlign w:val="bottom"/>
          </w:tcPr>
          <w:p>
            <w:pPr>
              <w:spacing w:after="0"/>
              <w:rPr>
                <w:sz w:val="24"/>
                <w:szCs w:val="2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40,812</w:t>
            </w:r>
          </w:p>
        </w:tc>
        <w:tc>
          <w:tcPr>
            <w:tcW w:w="10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123,127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105,974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Gain (loss) from discontinued United Kingdom operations</w:t>
            </w: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24"/>
                <w:szCs w:val="2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123,097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105,920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28,063,104</w:t>
            </w:r>
          </w:p>
        </w:tc>
        <w:tc>
          <w:tcPr>
            <w:tcW w:w="1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30,658,969</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30,081,696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30,540,274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28,451,721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31,539,119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30,540,150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31,370,580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0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Restricted securities available for sale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Loans receivable (including $9,959 and $12,674 from affiliates as of September 30, 2010 and December 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2009,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1,301,067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(124,949)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 receivable,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1,176,118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1,050,013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16,421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23,932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1,284,285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1,176,236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73,747</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Secured financing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328,100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note and capital lease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244,174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859,860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$.01 par value, 80,000,000 shares authorized, 27,141,593 and 31,038,217 shares issued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 of September 30, 2010 and December 31, 2009,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27,079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200"/>
              <w:spacing w:after="0" w:line="201" w:lineRule="exact"/>
              <w:rPr>
                <w:sz w:val="20"/>
                <w:szCs w:val="20"/>
                <w:color w:val="auto"/>
              </w:rPr>
            </w:pPr>
            <w:r>
              <w:rPr>
                <w:rFonts w:ascii="Arial" w:cs="Arial" w:eastAsia="Arial" w:hAnsi="Arial"/>
                <w:sz w:val="18"/>
                <w:szCs w:val="18"/>
                <w:color w:val="auto"/>
                <w:w w:val="99"/>
              </w:rPr>
              <w:t>Accumulated other comprehensive loss, net of tax of $85 and $526 at September 30, 2010 and 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2009,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1,284,285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1,176,236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123,097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Provision for credit losses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Loss on retirement of property and equipment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deferred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Decrease in accounts payable and accrued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(2,345)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income taxes receivable / decrease in income taxes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Decrease (increase) in other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150,656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128,620</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restricted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Purchases of restricted securities available for sale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restricted securities available for sale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Maturities of restricted securities available for sale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collected on Loans receivable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589,727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Advances to Dealer-Partners and accelerated payments of Dealer Holdback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(612,653)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Consumer Loans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Payments of Dealer Holdback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(33,419)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other loans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(109,199)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(28,854)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line of credit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618,100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523,900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Repayments under line of credit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(612,700)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(482,700)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secured financing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217,200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Repayments of secured financing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(293,697)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under mortgage note and capital lease obligations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Proceeds from sale of senior notes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243,738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debt issuance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(202,247)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options exercised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Tax benefits from stock-based compensation plans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(101,303)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400"/>
              <w:spacing w:after="0"/>
              <w:rPr>
                <w:sz w:val="20"/>
                <w:szCs w:val="20"/>
                <w:color w:val="auto"/>
              </w:rPr>
            </w:pPr>
            <w:r>
              <w:rPr>
                <w:rFonts w:ascii="Arial" w:cs="Arial" w:eastAsia="Arial" w:hAnsi="Arial"/>
                <w:sz w:val="18"/>
                <w:szCs w:val="18"/>
                <w:color w:val="auto"/>
              </w:rPr>
              <w:t>Effect of exchange rate changes on cash</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Cash and cash equivalents, beginning of period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end of period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 interest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Cash paid during the period for income taxes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56,467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38,886</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(“generally accepted accounting principles” or “GAAP”)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The results of operations for interim periods are not necessarily indicative of actual results achieved for full fiscal years. The consolidated balance sheet at December 31, 2009 has been derived from the audited financial statements at that date but does not include all the information and footnotes required by generally accepted accounting principles for complete financial statements. For further information, refer to the consolidated financial statements and footnotes thereto included in the Annual Report on Form 10-K for the year ended December 31, 2009 for Credit Acceptance Corporation (the “Company”, “Credit Acceptance”, “we”, “our” or “us”).</w:t>
      </w:r>
    </w:p>
    <w:p>
      <w:pPr>
        <w:spacing w:after="0" w:line="7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Certain prior period amounts have been reclassified to conform to the current presentation. We have changed the presentation of our consolidated statement of cash flows to reflect the increased significance of debt issuance costs during the current period. Under our current presentation, payments of debt issuance costs are presented as a separate financing activity and the related amortization is presented within operating activities as depreciation and amortization. Under our previous presentation, payments of debt issuance costs and the related amortization were presented as a net change in other assets within operating activities.</w:t>
      </w:r>
    </w:p>
    <w:p>
      <w:pPr>
        <w:spacing w:after="0" w:line="80"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w:t>
      </w:r>
    </w:p>
    <w:p>
      <w:pPr>
        <w:spacing w:after="0" w:line="62"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September 30, 2010 for items that could potentially be recognized or disclosed in these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DESCRIPTION OF BUSINESS</w:t>
      </w:r>
    </w:p>
    <w:p>
      <w:pPr>
        <w:spacing w:after="0" w:line="121" w:lineRule="exact"/>
        <w:rPr>
          <w:sz w:val="20"/>
          <w:szCs w:val="20"/>
          <w:color w:val="auto"/>
        </w:rPr>
      </w:pPr>
    </w:p>
    <w:p>
      <w:pPr>
        <w:ind w:right="460" w:firstLine="225"/>
        <w:spacing w:after="0" w:line="259" w:lineRule="auto"/>
        <w:rPr>
          <w:sz w:val="20"/>
          <w:szCs w:val="20"/>
          <w:color w:val="auto"/>
        </w:rPr>
      </w:pPr>
      <w:r>
        <w:rPr>
          <w:rFonts w:ascii="Arial" w:cs="Arial" w:eastAsia="Arial" w:hAnsi="Arial"/>
          <w:sz w:val="18"/>
          <w:szCs w:val="18"/>
          <w:color w:val="auto"/>
        </w:rPr>
        <w:t>Since 1972, Credit Acceptance has provided auto loans to consumers, regardless of their credit history. Our product is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79"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refer to dealers who participate in our programs and who share our commitment to changing consumers’ lives as “Dealer-Partners”. Upon enrollment in our financing programs, the Dealer-Partner enters into a dealer servicing agreement with us that defines the legal relationship between Credit Acceptance and the Dealer-Partner. The dealer servicing agreement assigns the responsibilities for administering, servicing, and collecting the amounts due on retail installment contracts (referred to as “Consumer Loans”) from the Dealer-Partners to us. A consumer who does not qualify for conventional automobile financing can purchase a used vehicle from a Dealer-Partner and finance the purchase through us. We are an indirect lender from a legal perspective, meaning the Consumer Loan is originated by the Dealer-Partner and assigned to us.</w:t>
      </w:r>
    </w:p>
    <w:p>
      <w:pPr>
        <w:spacing w:after="0" w:line="70"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Dealer-Partners (referred to as a “Dealer Loan”) in exchange for the right to service the underlying Consumer Loan. Under the Purchase Program, we buy the Consumer Loan from the Dealer-Partner (referred to as a “Purchased Loan”) and keep all amounts collected from the consumer. Dealer Loans and Purchased Loans are collectively referred to as “Loans”. The following table shows the percentage of Consumer Loans assigned to us under each of the programs for each of the last seven quarters: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Portfolio Program</w:t>
            </w:r>
          </w:p>
        </w:tc>
        <w:tc>
          <w:tcPr>
            <w:tcW w:w="5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6"/>
              </w:rPr>
              <w:t>Purchase Program</w:t>
            </w: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2009</w:t>
            </w:r>
          </w:p>
        </w:tc>
        <w:tc>
          <w:tcPr>
            <w:tcW w:w="42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82.3%</w:t>
            </w:r>
          </w:p>
        </w:tc>
        <w:tc>
          <w:tcPr>
            <w:tcW w:w="5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June 30, 2009</w:t>
            </w:r>
          </w:p>
        </w:tc>
        <w:tc>
          <w:tcPr>
            <w:tcW w:w="6060" w:type="dxa"/>
            <w:vAlign w:val="bottom"/>
            <w:gridSpan w:val="3"/>
          </w:tcPr>
          <w:p>
            <w:pPr>
              <w:jc w:val="right"/>
              <w:ind w:right="259"/>
              <w:spacing w:after="0"/>
              <w:rPr>
                <w:sz w:val="20"/>
                <w:szCs w:val="20"/>
                <w:color w:val="auto"/>
              </w:rPr>
            </w:pPr>
            <w:r>
              <w:rPr>
                <w:rFonts w:ascii="Arial" w:cs="Arial" w:eastAsia="Arial" w:hAnsi="Arial"/>
                <w:sz w:val="18"/>
                <w:szCs w:val="18"/>
                <w:color w:val="auto"/>
              </w:rPr>
              <w:t>86.0%</w:t>
            </w:r>
          </w:p>
        </w:tc>
        <w:tc>
          <w:tcPr>
            <w:tcW w:w="1800" w:type="dxa"/>
            <w:vAlign w:val="bottom"/>
            <w:gridSpan w:val="2"/>
          </w:tcPr>
          <w:p>
            <w:pPr>
              <w:jc w:val="right"/>
              <w:ind w:right="259"/>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606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89.0%</w:t>
            </w:r>
          </w:p>
        </w:tc>
        <w:tc>
          <w:tcPr>
            <w:tcW w:w="180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December 31, 2009</w:t>
            </w:r>
          </w:p>
        </w:tc>
        <w:tc>
          <w:tcPr>
            <w:tcW w:w="6060" w:type="dxa"/>
            <w:vAlign w:val="bottom"/>
            <w:gridSpan w:val="3"/>
          </w:tcPr>
          <w:p>
            <w:pPr>
              <w:jc w:val="right"/>
              <w:ind w:right="259"/>
              <w:spacing w:after="0"/>
              <w:rPr>
                <w:sz w:val="20"/>
                <w:szCs w:val="20"/>
                <w:color w:val="auto"/>
              </w:rPr>
            </w:pPr>
            <w:r>
              <w:rPr>
                <w:rFonts w:ascii="Arial" w:cs="Arial" w:eastAsia="Arial" w:hAnsi="Arial"/>
                <w:sz w:val="18"/>
                <w:szCs w:val="18"/>
                <w:color w:val="auto"/>
              </w:rPr>
              <w:t>90.8%</w:t>
            </w:r>
          </w:p>
        </w:tc>
        <w:tc>
          <w:tcPr>
            <w:tcW w:w="1800" w:type="dxa"/>
            <w:vAlign w:val="bottom"/>
            <w:gridSpan w:val="2"/>
          </w:tcPr>
          <w:p>
            <w:pPr>
              <w:jc w:val="right"/>
              <w:ind w:right="259"/>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606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90.9%</w:t>
            </w:r>
          </w:p>
        </w:tc>
        <w:tc>
          <w:tcPr>
            <w:tcW w:w="180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June 30, 2010</w:t>
            </w:r>
          </w:p>
        </w:tc>
        <w:tc>
          <w:tcPr>
            <w:tcW w:w="6060" w:type="dxa"/>
            <w:vAlign w:val="bottom"/>
            <w:gridSpan w:val="3"/>
          </w:tcPr>
          <w:p>
            <w:pPr>
              <w:jc w:val="right"/>
              <w:ind w:right="259"/>
              <w:spacing w:after="0"/>
              <w:rPr>
                <w:sz w:val="20"/>
                <w:szCs w:val="20"/>
                <w:color w:val="auto"/>
              </w:rPr>
            </w:pPr>
            <w:r>
              <w:rPr>
                <w:rFonts w:ascii="Arial" w:cs="Arial" w:eastAsia="Arial" w:hAnsi="Arial"/>
                <w:sz w:val="18"/>
                <w:szCs w:val="18"/>
                <w:color w:val="auto"/>
              </w:rPr>
              <w:t>90.5%</w:t>
            </w:r>
          </w:p>
        </w:tc>
        <w:tc>
          <w:tcPr>
            <w:tcW w:w="1800" w:type="dxa"/>
            <w:vAlign w:val="bottom"/>
            <w:gridSpan w:val="2"/>
          </w:tcPr>
          <w:p>
            <w:pPr>
              <w:jc w:val="right"/>
              <w:ind w:right="259"/>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606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90.5%</w:t>
            </w:r>
          </w:p>
        </w:tc>
        <w:tc>
          <w:tcPr>
            <w:tcW w:w="180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9.5%</w:t>
            </w:r>
          </w:p>
        </w:tc>
      </w:tr>
      <w:tr>
        <w:trPr>
          <w:trHeight w:val="40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40" w:type="dxa"/>
            <w:vAlign w:val="bottom"/>
          </w:tcPr>
          <w:p>
            <w:pPr>
              <w:jc w:val="right"/>
              <w:ind w:right="195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240" w:right="7580" w:hanging="232"/>
        <w:spacing w:after="0" w:line="378" w:lineRule="auto"/>
        <w:tabs>
          <w:tab w:leader="none" w:pos="1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 (Continued) </w:t>
      </w:r>
      <w:r>
        <w:rPr>
          <w:rFonts w:ascii="Arial" w:cs="Arial" w:eastAsia="Arial" w:hAnsi="Arial"/>
          <w:sz w:val="18"/>
          <w:szCs w:val="18"/>
          <w:u w:val="single" w:color="auto"/>
          <w:color w:val="auto"/>
        </w:rPr>
        <w:t>Portfolio Program</w:t>
      </w: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As payment for the vehicle, the Dealer-Partner generally receives the following:</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 down payment from the consumer;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 non-recourse cash payment (“advance”) from us; and</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after the advance has been recovered by us, the cash from payments made on the Consumer Loan, net of certain collection costs and our servicing fee (“Dealer Holdback”).</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record the amount advanced to the Dealer-Partner as a Dealer Loan, which is classified within Loans receivable in our consolidated balance sheets. Cash advanced to Dealer-Partners is automatically assigned to the originating Dealer-Partner’s open pool of advances. We require Dealer-Partners to group advances into pools of at least 100 Consumer Loans. At the Dealer-Partner’s option, a pool containing at least 100 Consumer Loans can be closed and subsequent advances assigned to a new pool. All advances within a Dealer-Partner’s pool are secured by the future collections on the related Consumer Loans assigned to the pool. For Dealer-Partners with more than one pool, the pools are cross-collateralized so the performance of other pools is considered in determining eligibility for Dealer Holdback. We perfect our security interest in the Dealer Loans by taking possession of the Consumer Loans, which list us as lien holder on the vehicle title.</w:t>
      </w:r>
    </w:p>
    <w:p>
      <w:pPr>
        <w:spacing w:after="0" w:line="8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Dealer-Partner are applied on a pool-by-pool basis as follows:</w:t>
      </w:r>
    </w:p>
    <w:p>
      <w:pPr>
        <w:spacing w:after="0" w:line="62"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First, to reimburse us for certain collection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Second, to pay us our servicing fee, which generally equals 20% of collections;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Third, to reduce the aggregate advance balance and to pay any other amounts due from the Dealer-Partner to us;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Fourth, to the Dealer-Partner as payment of Dealer Holdback.</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If the collections on Consumer Loans from a Dealer-Partner’s pool are not sufficient to repay the advance balance and any other amounts due to us, the Dealer-Partner will not receive Dealer Holdback.</w:t>
      </w:r>
    </w:p>
    <w:p>
      <w:pPr>
        <w:spacing w:after="0" w:line="62"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Dealer-Partners have an opportunity to receive an accelerated Dealer Holdback payment at the time a pool of 100 or more Consumer Loans is closed. The amount paid to the Dealer-Partner is calculated using a formula that considers the forecasted collections and the advance balance on the closed pool.</w:t>
      </w:r>
    </w:p>
    <w:p>
      <w:pPr>
        <w:spacing w:after="0" w:line="1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Since typically the combination of the advance and the consumer’s down payment provides the Dealer-Partner with a cash profit at the time of sale, the Dealer-Partner’s risk in the Consumer Loan is limited. We cannot demand repayment of the advance from the Dealer-Partner except in the event the Dealer-Partner is in default of the dealer servicing agreement. Advances are made only after the consumer and Dealer-Partner have signed a Consumer Loan contract, we have received the original Consumer Loan contract and supporting documentation, and we have approved all of the related stipulations for funding. The Dealer-Partner can also opt to repurchase Consumer Loans that have been assigned to us under the Portfolio Program, at their discretion, for a fee.</w:t>
      </w:r>
    </w:p>
    <w:p>
      <w:pPr>
        <w:spacing w:after="0" w:line="50" w:lineRule="exact"/>
        <w:rPr>
          <w:sz w:val="20"/>
          <w:szCs w:val="20"/>
          <w:color w:val="auto"/>
        </w:rPr>
      </w:pPr>
    </w:p>
    <w:p>
      <w:pPr>
        <w:jc w:val="both"/>
        <w:ind w:right="400" w:firstLine="225"/>
        <w:spacing w:after="0" w:line="259"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Dealer-Partner. The classification as a Dealer Loan for accounting purposes is primarily a result of (1) the Dealer-Partner’s financial interest in the Consumer Loan and (2) certain elements of our legal relationship with the Dealer-Partner. For each individual Dealer-Partner, the amount of the Dealer Loan recorded in Loans receivable is comprised of the following:</w:t>
      </w:r>
    </w:p>
    <w:p>
      <w:pPr>
        <w:spacing w:after="0" w:line="79"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aggregate amount of all cash advances to the Dealer-Partner;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finance charges;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Dealer Holdback payments;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accelerated Dealer Holdback payments;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recoveries.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Less:</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collections (net of certain collection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write-offs.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240" w:right="7560" w:hanging="232"/>
        <w:spacing w:after="0" w:line="378" w:lineRule="auto"/>
        <w:tabs>
          <w:tab w:leader="none" w:pos="19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 (Concluded) </w:t>
      </w:r>
      <w:r>
        <w:rPr>
          <w:rFonts w:ascii="Arial" w:cs="Arial" w:eastAsia="Arial" w:hAnsi="Arial"/>
          <w:sz w:val="18"/>
          <w:szCs w:val="18"/>
          <w:u w:val="single" w:color="auto"/>
          <w:color w:val="auto"/>
        </w:rPr>
        <w:t>Purchase Program</w:t>
      </w:r>
    </w:p>
    <w:p>
      <w:pPr>
        <w:jc w:val="both"/>
        <w:ind w:right="40" w:firstLine="222"/>
        <w:spacing w:after="0" w:line="312" w:lineRule="auto"/>
        <w:rPr>
          <w:sz w:val="20"/>
          <w:szCs w:val="20"/>
          <w:color w:val="auto"/>
        </w:rPr>
      </w:pPr>
      <w:r>
        <w:rPr>
          <w:rFonts w:ascii="Arial" w:cs="Arial" w:eastAsia="Arial" w:hAnsi="Arial"/>
          <w:sz w:val="16"/>
          <w:szCs w:val="16"/>
          <w:color w:val="auto"/>
        </w:rPr>
        <w:t>The Purchase Program differs from our Portfolio Program in that the Dealer-Partner receives a single payment from us at the time of assignment instead of a cash advance and Dealer Holdback. For accounting purposes, the transactions described under the Purchase Program are considered to be originated by the Dealer-Partner and then purchased by us. The amount of Purchased Loans recorded in Loans receivable is comprised of the following:</w:t>
      </w:r>
    </w:p>
    <w:p>
      <w:pPr>
        <w:spacing w:after="0" w:line="39"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aggregate amount of all amounts paid to purchase Consumer Loans from Dealer-Partners;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finance charges;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recoveries.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Less:</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collections (net of certain collection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write-offs.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Program Enrollment</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Dealer-Partners that enroll in our programs have two enrollment options available to them. The first enrollment option allows Dealer-Partners to assign Consumer Loans under the Portfolio Program and requires payment of an upfront, one-time fee of $9,850. The second enrollment option, which became effective September 1, 2009, allows Dealer-Partners to assign Consumer Loans under the Portfolio Program and requires payment of an upfront, one-time fee of $1,950 and an agreement to allow us to keep 50% of their first accelerated Dealer Holdback payment. Prior to September 1, 2009, we offered Dealer-Partners an enrollment option that allowed us to keep 50% of their first accelerated Dealer Holdback payment with no upfront fee. For all Dealer-Partners enrolling in our program after August 31, 2008, access to the Purchase Program is only granted after the first accelerated Dealer Holdback payment has been made under the Portfolio Program.</w:t>
      </w:r>
    </w:p>
    <w:p>
      <w:pPr>
        <w:spacing w:after="0" w:line="185" w:lineRule="exact"/>
        <w:rPr>
          <w:sz w:val="20"/>
          <w:szCs w:val="20"/>
          <w:color w:val="auto"/>
        </w:rPr>
      </w:pPr>
    </w:p>
    <w:p>
      <w:pPr>
        <w:ind w:right="654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Reinsurance</w:t>
      </w:r>
    </w:p>
    <w:p>
      <w:pPr>
        <w:ind w:right="140" w:firstLine="222"/>
        <w:spacing w:after="0" w:line="255" w:lineRule="auto"/>
        <w:rPr>
          <w:sz w:val="20"/>
          <w:szCs w:val="20"/>
          <w:color w:val="auto"/>
        </w:rPr>
      </w:pPr>
      <w:r>
        <w:rPr>
          <w:rFonts w:ascii="Arial" w:cs="Arial" w:eastAsia="Arial" w:hAnsi="Arial"/>
          <w:sz w:val="18"/>
          <w:szCs w:val="18"/>
          <w:color w:val="auto"/>
        </w:rPr>
        <w:t>VSC Re Company (“VSC Re”), our wholly-owned subsidiary, is engaged in the business of reinsuring coverage under vehicle service contracts sold to consumers by Dealer-Partners on vehicles financed by us. VSC Re currently reinsures vehicle service contracts that are underwritten by one of our two third party insurers. Vehicle service contract premiums, which represent the selling price of the vehicle service contract to the consumer, less commissions and certain administrative costs, are contributed to trust accounts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8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 A summary of reinsurance activity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7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6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8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8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assumed written premiums</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$8,015</w:t>
            </w:r>
          </w:p>
        </w:tc>
        <w:tc>
          <w:tcPr>
            <w:tcW w:w="19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$ 7,324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$26,765</w:t>
            </w:r>
          </w:p>
        </w:tc>
        <w:tc>
          <w:tcPr>
            <w:tcW w:w="18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premiums earned</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8,627</w:t>
            </w:r>
          </w:p>
        </w:tc>
        <w:tc>
          <w:tcPr>
            <w:tcW w:w="1900" w:type="dxa"/>
            <w:vAlign w:val="bottom"/>
            <w:gridSpan w:val="3"/>
          </w:tcPr>
          <w:p>
            <w:pPr>
              <w:jc w:val="right"/>
              <w:ind w:right="248"/>
              <w:spacing w:after="0"/>
              <w:rPr>
                <w:sz w:val="20"/>
                <w:szCs w:val="20"/>
                <w:color w:val="auto"/>
              </w:rPr>
            </w:pPr>
            <w:r>
              <w:rPr>
                <w:rFonts w:ascii="Arial" w:cs="Arial" w:eastAsia="Arial" w:hAnsi="Arial"/>
                <w:sz w:val="18"/>
                <w:szCs w:val="18"/>
                <w:color w:val="auto"/>
              </w:rPr>
              <w:t>11,596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24,577</w:t>
            </w:r>
          </w:p>
        </w:tc>
        <w:tc>
          <w:tcPr>
            <w:tcW w:w="1820" w:type="dxa"/>
            <w:vAlign w:val="bottom"/>
            <w:gridSpan w:val="3"/>
          </w:tcPr>
          <w:p>
            <w:pPr>
              <w:jc w:val="right"/>
              <w:ind w:right="228"/>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claims</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6,112</w:t>
            </w:r>
          </w:p>
        </w:tc>
        <w:tc>
          <w:tcPr>
            <w:tcW w:w="19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5,148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18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Amortization of capitalized acquisition costs</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219</w:t>
            </w:r>
          </w:p>
        </w:tc>
        <w:tc>
          <w:tcPr>
            <w:tcW w:w="1900" w:type="dxa"/>
            <w:vAlign w:val="bottom"/>
            <w:gridSpan w:val="3"/>
          </w:tcPr>
          <w:p>
            <w:pPr>
              <w:jc w:val="right"/>
              <w:ind w:right="248"/>
              <w:spacing w:after="0"/>
              <w:rPr>
                <w:sz w:val="20"/>
                <w:szCs w:val="20"/>
                <w:color w:val="auto"/>
              </w:rPr>
            </w:pPr>
            <w:r>
              <w:rPr>
                <w:rFonts w:ascii="Arial" w:cs="Arial" w:eastAsia="Arial" w:hAnsi="Arial"/>
                <w:sz w:val="18"/>
                <w:szCs w:val="18"/>
                <w:color w:val="auto"/>
              </w:rPr>
              <w:t>534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820" w:type="dxa"/>
            <w:vAlign w:val="bottom"/>
            <w:gridSpan w:val="3"/>
          </w:tcPr>
          <w:p>
            <w:pPr>
              <w:jc w:val="right"/>
              <w:ind w:right="228"/>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391"/>
        </w:trPr>
        <w:tc>
          <w:tcPr>
            <w:tcW w:w="5540" w:type="dxa"/>
            <w:vAlign w:val="bottom"/>
          </w:tcPr>
          <w:p>
            <w:pPr>
              <w:spacing w:after="0"/>
              <w:rPr>
                <w:sz w:val="24"/>
                <w:szCs w:val="24"/>
                <w:color w:val="auto"/>
              </w:rPr>
            </w:pPr>
          </w:p>
        </w:tc>
        <w:tc>
          <w:tcPr>
            <w:tcW w:w="820" w:type="dxa"/>
            <w:vAlign w:val="bottom"/>
          </w:tcPr>
          <w:p>
            <w:pPr>
              <w:jc w:val="right"/>
              <w:ind w:right="515"/>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 (Continued)</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are considered the primary beneficiary of the trusts and as a result, the trusts have been consolidated on our balance sheet. The trust assets and related reinsurance liabilities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20"/>
                <w:szCs w:val="20"/>
                <w:color w:val="auto"/>
              </w:rPr>
            </w:pPr>
            <w:r>
              <w:rPr>
                <w:rFonts w:ascii="Arial" w:cs="Arial" w:eastAsia="Arial" w:hAnsi="Arial"/>
                <w:sz w:val="14"/>
                <w:szCs w:val="14"/>
                <w:color w:val="auto"/>
              </w:rPr>
              <w:t>(Dollars in thousands)</w:t>
            </w:r>
          </w:p>
        </w:tc>
        <w:tc>
          <w:tcPr>
            <w:tcW w:w="30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Balance Sheet location</w:t>
            </w:r>
          </w:p>
        </w:tc>
        <w:tc>
          <w:tcPr>
            <w:tcW w:w="440" w:type="dxa"/>
            <w:vAlign w:val="bottom"/>
          </w:tcPr>
          <w:p>
            <w:pPr>
              <w:spacing w:after="0"/>
              <w:rPr>
                <w:sz w:val="14"/>
                <w:szCs w:val="14"/>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September 30, 2010</w:t>
            </w:r>
          </w:p>
        </w:tc>
        <w:tc>
          <w:tcPr>
            <w:tcW w:w="440" w:type="dxa"/>
            <w:vAlign w:val="bottom"/>
          </w:tcPr>
          <w:p>
            <w:pPr>
              <w:spacing w:after="0"/>
              <w:rPr>
                <w:sz w:val="14"/>
                <w:szCs w:val="14"/>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December 31, 2009</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Trust assets</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9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$29,855</w:t>
            </w:r>
          </w:p>
        </w:tc>
        <w:tc>
          <w:tcPr>
            <w:tcW w:w="19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$39,127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Unearned premium</w:t>
            </w:r>
          </w:p>
        </w:tc>
        <w:tc>
          <w:tcPr>
            <w:tcW w:w="3040" w:type="dxa"/>
            <w:vAlign w:val="bottom"/>
          </w:tcPr>
          <w:p>
            <w:pPr>
              <w:spacing w:after="0"/>
              <w:rPr>
                <w:sz w:val="20"/>
                <w:szCs w:val="20"/>
                <w:color w:val="auto"/>
              </w:rPr>
            </w:pPr>
            <w:r>
              <w:rPr>
                <w:rFonts w:ascii="Arial" w:cs="Arial" w:eastAsia="Arial" w:hAnsi="Arial"/>
                <w:sz w:val="18"/>
                <w:szCs w:val="18"/>
                <w:color w:val="auto"/>
                <w:w w:val="94"/>
              </w:rPr>
              <w:t>Accounts payable and accrued liabilities</w:t>
            </w:r>
          </w:p>
        </w:tc>
        <w:tc>
          <w:tcPr>
            <w:tcW w:w="1980" w:type="dxa"/>
            <w:vAlign w:val="bottom"/>
            <w:gridSpan w:val="2"/>
          </w:tcPr>
          <w:p>
            <w:pPr>
              <w:jc w:val="right"/>
              <w:ind w:right="448"/>
              <w:spacing w:after="0"/>
              <w:rPr>
                <w:sz w:val="20"/>
                <w:szCs w:val="20"/>
                <w:color w:val="auto"/>
              </w:rPr>
            </w:pPr>
            <w:r>
              <w:rPr>
                <w:rFonts w:ascii="Arial" w:cs="Arial" w:eastAsia="Arial" w:hAnsi="Arial"/>
                <w:sz w:val="18"/>
                <w:szCs w:val="18"/>
                <w:color w:val="auto"/>
              </w:rPr>
              <w:t>24,736</w:t>
            </w:r>
          </w:p>
        </w:tc>
        <w:tc>
          <w:tcPr>
            <w:tcW w:w="1940" w:type="dxa"/>
            <w:vAlign w:val="bottom"/>
            <w:gridSpan w:val="2"/>
          </w:tcPr>
          <w:p>
            <w:pPr>
              <w:jc w:val="right"/>
              <w:ind w:right="428"/>
              <w:spacing w:after="0"/>
              <w:rPr>
                <w:sz w:val="20"/>
                <w:szCs w:val="20"/>
                <w:color w:val="auto"/>
              </w:rPr>
            </w:pPr>
            <w:r>
              <w:rPr>
                <w:rFonts w:ascii="Arial" w:cs="Arial" w:eastAsia="Arial" w:hAnsi="Arial"/>
                <w:sz w:val="18"/>
                <w:szCs w:val="18"/>
                <w:color w:val="auto"/>
              </w:rPr>
              <w:t>21,180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Claims reserve (1)</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4"/>
              </w:rPr>
              <w:t>Accounts payable and accrued liabilities</w:t>
            </w:r>
          </w:p>
        </w:tc>
        <w:tc>
          <w:tcPr>
            <w:tcW w:w="19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1,100</w:t>
            </w:r>
          </w:p>
        </w:tc>
        <w:tc>
          <w:tcPr>
            <w:tcW w:w="19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claims reserve is estimated based on historical claims experience.</w:t>
      </w:r>
    </w:p>
    <w:p>
      <w:pPr>
        <w:spacing w:after="0" w:line="117"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Prior to the formation of VSC Re, our agreements with two of our vehicle service contract third party administrators (“TPAs”) allowed us to receive profit sharing payments depending upon the performance of the vehicle service contract programs. The agreements also required that vehicle service contract premiums be placed in trust accounts. Funds in the trust accounts were utilized by the TPA to pay claims on the vehicle service contracts. Upon the formation of VSC Re during the fourth quarter of 2008, the unearned premiums on the majority of the vehicle service contracts that had been written through these two TPAs were ceded to VSC Re along with any related trust assets. Vehicle service contracts written prior to 2008 through one of the TPAs remain under this profit sharing arrangement. Profit sharing payments, if any, on the vehicle service contracts are distributed to us periodically after the term of the vehicle service contracts have substantially expired provided certain loss rates are met. We are considered the primary beneficiary of the remaining trust and as a result, the assets of the trust and the related liabilities have been consolidated on our balance sheet. As of September 30, 2010 and December 31, 2009, the remaining trust had $1.0 million and $4.3 million, respectively, in assets available to pay claims. As of September 30, 2010, there was a nominal related claims reserve and as of December 31, 2009, there was a related claims reserve of $3.5 million. The trust assets are included in restricted cash and cash equivalents and restricted securities available for sale. The claims reserve is included in accounts payable and accrued liabilities in the consolidated balance sheets. A third party insures claims in excess of funds in the trust account.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determination to consolidate the VSC Re trusts and the remaining profit sharing trust was based on the following:</w:t>
      </w:r>
    </w:p>
    <w:p>
      <w:pPr>
        <w:spacing w:after="0" w:line="117" w:lineRule="exact"/>
        <w:rPr>
          <w:sz w:val="20"/>
          <w:szCs w:val="20"/>
          <w:color w:val="auto"/>
        </w:rPr>
      </w:pPr>
    </w:p>
    <w:p>
      <w:pPr>
        <w:ind w:left="660" w:right="3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First, we determined that the trusts qualified as variable interest entities. The trusts have insufficient equity at risk as no parties to the trusts were required to contribute assets that provide them with any ownership interest.</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Next, we determined that we have variable interests in the trusts. We have a residual interest in the assets of the trusts, which is variable in nature, given that it increases or decreases based upon the actual loss experience of the related service contracts. In addition, VSC Re is required to absorb any losses in excess of the trusts’ assets.</w:t>
      </w:r>
    </w:p>
    <w:p>
      <w:pPr>
        <w:spacing w:after="0" w:line="86"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Next, we evaluated the purpose and design of the trusts. The primary purpose of the trusts is to provide TPAs with funds to pay claims on vehicle service contracts and to accumulate and provide us with proceeds from investment income and residual funds.</w:t>
      </w:r>
    </w:p>
    <w:p>
      <w:pPr>
        <w:spacing w:after="0" w:line="75" w:lineRule="exact"/>
        <w:rPr>
          <w:rFonts w:ascii="Arial" w:cs="Arial" w:eastAsia="Arial" w:hAnsi="Arial"/>
          <w:sz w:val="18"/>
          <w:szCs w:val="18"/>
          <w:b w:val="1"/>
          <w:bCs w:val="1"/>
          <w:color w:val="auto"/>
        </w:rPr>
      </w:pPr>
    </w:p>
    <w:p>
      <w:pPr>
        <w:jc w:val="both"/>
        <w:ind w:left="660" w:right="140" w:hanging="436"/>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Finally, we determined that we are the primary beneficiary of the trusts. We control the amount of premium written and placed in the trusts through Consumer Loan assignments under our Programs, which is the activity that most significantly impacts the economic performance of the trusts. We have the right to receive benefits from the trusts that could potentially be significant. In addition, VSC Re has the obligation to absorb losses of the trusts that could potentially be significant.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12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Restricted cash and cash equivalents decreased to $58.5 million at September 30, 2010 from $82.5 million at December 31, 2009. The following table summarizes restricted cash and cash equivalents: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gridSpan w:val="2"/>
            <w:vMerge w:val="continue"/>
          </w:tcPr>
          <w:p>
            <w:pPr>
              <w:spacing w:after="0"/>
              <w:rPr>
                <w:sz w:val="12"/>
                <w:szCs w:val="12"/>
                <w:color w:val="auto"/>
              </w:rPr>
            </w:pPr>
          </w:p>
        </w:tc>
        <w:tc>
          <w:tcPr>
            <w:tcW w:w="128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September 30, 2010</w:t>
            </w:r>
          </w:p>
        </w:tc>
        <w:tc>
          <w:tcPr>
            <w:tcW w:w="1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collections related to secured financings</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28,494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held in trusts for future vehicle service contract claims (1)</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29,992</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cash and cash equivalents</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58,486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31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unearned premium and claims reserve associated with the trusts are included in accounts payable and accrued liabilities in the consolidated balance sheets. As of September 30, 2010, the outstanding balance includes $29,855 related to VSC Re and $137 related to the remaining profit sharing trust. As of December 31, 2009, the outstanding balance includes $39,127 related to VSC Re and $1,214 related to the remaining profit sharing trust.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Securities Available for Sale</w:t>
      </w:r>
    </w:p>
    <w:p>
      <w:pPr>
        <w:spacing w:after="0" w:line="121"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Restricted securities available for sale consist of amounts held in accordance with vehicle service contract trust agreements.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securities available for sale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As of September 30, 2010</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7"/>
              </w:rPr>
              <w:t>Gains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securities available for sale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As of December 31, 2009</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660" w:type="dxa"/>
            <w:vAlign w:val="bottom"/>
            <w:vMerge w:val="restart"/>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7"/>
              </w:rPr>
              <w:t>Gains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securities available for sale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rPr>
              <w:t>As of September 30, 2010</w:t>
            </w:r>
          </w:p>
        </w:tc>
        <w:tc>
          <w:tcPr>
            <w:tcW w:w="160" w:type="dxa"/>
            <w:vAlign w:val="bottom"/>
          </w:tcPr>
          <w:p>
            <w:pPr>
              <w:spacing w:after="0"/>
              <w:rPr>
                <w:sz w:val="14"/>
                <w:szCs w:val="14"/>
                <w:color w:val="auto"/>
              </w:rPr>
            </w:pP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As of December 31, 2009</w:t>
            </w: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Estimated</w:t>
            </w:r>
          </w:p>
        </w:tc>
        <w:tc>
          <w:tcPr>
            <w:tcW w:w="6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20"/>
                <w:szCs w:val="20"/>
                <w:color w:val="auto"/>
              </w:rPr>
            </w:pPr>
            <w:r>
              <w:rPr>
                <w:rFonts w:ascii="Arial" w:cs="Arial" w:eastAsia="Arial" w:hAnsi="Arial"/>
                <w:sz w:val="14"/>
                <w:szCs w:val="14"/>
                <w:color w:val="auto"/>
              </w:rPr>
              <w:t>(Dollars in thousands)</w:t>
            </w: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Contractual Maturity</w:t>
            </w:r>
          </w:p>
        </w:tc>
        <w:tc>
          <w:tcPr>
            <w:tcW w:w="19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Within one year</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499</w:t>
            </w:r>
          </w:p>
        </w:tc>
        <w:tc>
          <w:tcPr>
            <w:tcW w:w="60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1,486</w:t>
            </w:r>
          </w:p>
        </w:tc>
        <w:tc>
          <w:tcPr>
            <w:tcW w:w="52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Over one year to five years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23"/>
        </w:trPr>
        <w:tc>
          <w:tcPr>
            <w:tcW w:w="4580" w:type="dxa"/>
            <w:vAlign w:val="bottom"/>
          </w:tcPr>
          <w:p>
            <w:pPr>
              <w:ind w:left="420"/>
              <w:spacing w:after="0"/>
              <w:rPr>
                <w:sz w:val="20"/>
                <w:szCs w:val="20"/>
                <w:color w:val="auto"/>
              </w:rPr>
            </w:pPr>
            <w:r>
              <w:rPr>
                <w:rFonts w:ascii="Arial" w:cs="Arial" w:eastAsia="Arial" w:hAnsi="Arial"/>
                <w:sz w:val="18"/>
                <w:szCs w:val="18"/>
                <w:color w:val="auto"/>
              </w:rPr>
              <w:t>Total restricted securities available for sale</w:t>
            </w: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3,107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960" w:type="dxa"/>
            <w:vAlign w:val="bottom"/>
            <w:vMerge w:val="restart"/>
          </w:tcPr>
          <w:p>
            <w:pPr>
              <w:jc w:val="right"/>
              <w:ind w:right="69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320" w:firstLine="8"/>
        <w:spacing w:after="0" w:line="378"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(Concluded) Deferred Debt Issuance Costs</w:t>
      </w:r>
    </w:p>
    <w:p>
      <w:pPr>
        <w:ind w:right="120" w:firstLine="215"/>
        <w:spacing w:after="0" w:line="302" w:lineRule="auto"/>
        <w:rPr>
          <w:sz w:val="20"/>
          <w:szCs w:val="20"/>
          <w:color w:val="auto"/>
        </w:rPr>
      </w:pPr>
      <w:r>
        <w:rPr>
          <w:rFonts w:ascii="Arial" w:cs="Arial" w:eastAsia="Arial" w:hAnsi="Arial"/>
          <w:sz w:val="16"/>
          <w:szCs w:val="16"/>
          <w:color w:val="auto"/>
        </w:rPr>
        <w:t>As of September 30, 2010 and December 31, 2009, deferred debt issuance costs were $15.1 million (net of accumulated amortization of $2.0 million) and $6.4 million (net of accumulated amortization of $2.8 million), respectively, and are included in other assets in the consolidated balance sheets. Expenses associated with the issuance of debt instruments are capitalized and amortized as interest expense over the term of the debt instrument using the effective interest method for term secured financings and senior notes and the straight-line method for lines of credit and revolving secured financings.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and Updates</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i w:val="1"/>
          <w:iCs w:val="1"/>
          <w:color w:val="auto"/>
        </w:rPr>
        <w:t xml:space="preserve">Accounting for Transfers of Financial Assets. </w:t>
      </w:r>
      <w:r>
        <w:rPr>
          <w:rFonts w:ascii="Arial" w:cs="Arial" w:eastAsia="Arial" w:hAnsi="Arial"/>
          <w:sz w:val="16"/>
          <w:szCs w:val="16"/>
          <w:color w:val="auto"/>
        </w:rPr>
        <w:t>In June 2009, the FASB issued SFAS No. 166, “Accounting for Transfers of Financial Assets an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of FASB Statement No. 140” (“SFAS 166”). SFAS 166 was incorporated into the Financial Accounting Standards Board Accounting Standards Codification (“FASB ASC”) through Accounting Standards Update (“ASU”) No. 2009-16 and is intended to improve the information provided in financial statements about the transfer of financial assets and the effects of the transfer on financial position and performance, and cash flows for transfers occurring on or after the effective date. The adoption on January 1, 2010 did not have a material impact on our consolidated financial statements.</w:t>
      </w:r>
    </w:p>
    <w:p>
      <w:pPr>
        <w:spacing w:after="0" w:line="50"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i w:val="1"/>
          <w:iCs w:val="1"/>
          <w:color w:val="auto"/>
        </w:rPr>
        <w:t xml:space="preserve">Amendments to FASB Interpretation No. 46(R). </w:t>
      </w:r>
      <w:r>
        <w:rPr>
          <w:rFonts w:ascii="Arial" w:cs="Arial" w:eastAsia="Arial" w:hAnsi="Arial"/>
          <w:sz w:val="16"/>
          <w:szCs w:val="16"/>
          <w:color w:val="auto"/>
        </w:rPr>
        <w:t>In June 2009, the FASB issued SFAS No. 167, “Amendments to FASB Interpretation No. 46(R)” (“SFAS</w:t>
      </w:r>
      <w:r>
        <w:rPr>
          <w:rFonts w:ascii="Arial" w:cs="Arial" w:eastAsia="Arial" w:hAnsi="Arial"/>
          <w:sz w:val="16"/>
          <w:szCs w:val="16"/>
          <w:i w:val="1"/>
          <w:iCs w:val="1"/>
          <w:color w:val="auto"/>
        </w:rPr>
        <w:t xml:space="preserve"> </w:t>
      </w:r>
      <w:r>
        <w:rPr>
          <w:rFonts w:ascii="Arial" w:cs="Arial" w:eastAsia="Arial" w:hAnsi="Arial"/>
          <w:sz w:val="16"/>
          <w:szCs w:val="16"/>
          <w:color w:val="auto"/>
        </w:rPr>
        <w:t>167”). SFAS 167 was incorporated into the FASB ASC through ASU No. 2009-17 and is intended to improve financial reporting related to variable interest entities. The adoption on January 1, 2010 did not have a material impact on our consolidated financial statements, but expanded our disclosures.</w:t>
      </w:r>
    </w:p>
    <w:p>
      <w:pPr>
        <w:spacing w:after="0" w:line="39"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i w:val="1"/>
          <w:iCs w:val="1"/>
          <w:color w:val="auto"/>
        </w:rPr>
        <w:t xml:space="preserve">Effect of a Loan Modification When the Loan Is Part of a Pool That Is Accounted for as a Single Asset. </w:t>
      </w:r>
      <w:r>
        <w:rPr>
          <w:rFonts w:ascii="Arial" w:cs="Arial" w:eastAsia="Arial" w:hAnsi="Arial"/>
          <w:sz w:val="17"/>
          <w:szCs w:val="17"/>
          <w:color w:val="auto"/>
        </w:rPr>
        <w:t>In April 2010, the FASB incorporated ASU</w:t>
      </w:r>
      <w:r>
        <w:rPr>
          <w:rFonts w:ascii="Arial" w:cs="Arial" w:eastAsia="Arial" w:hAnsi="Arial"/>
          <w:sz w:val="17"/>
          <w:szCs w:val="17"/>
          <w:i w:val="1"/>
          <w:iCs w:val="1"/>
          <w:color w:val="auto"/>
        </w:rPr>
        <w:t xml:space="preserve"> </w:t>
      </w:r>
      <w:r>
        <w:rPr>
          <w:rFonts w:ascii="Arial" w:cs="Arial" w:eastAsia="Arial" w:hAnsi="Arial"/>
          <w:sz w:val="17"/>
          <w:szCs w:val="17"/>
          <w:color w:val="auto"/>
        </w:rPr>
        <w:t>No. 2010-18 into the FASB ASC. ASU No. 2010-18 is intended to improve comparability by eliminating diversity in practice about the treatment of modifications of loans accounted for within pools under FASB ASC 310-30. Additionally, the amendments clarify guidance about maintaining the integrity of a pool as the unit of accounting for acquired loans with credit deterioration. ASU No. 2010-18 is effective prospectively for modifications of loans accounted for within pools under FASB ASC 310-30 occurring in the first interim or annual period ending on or after July 15, 2010. Early application is permitted. The guidance within ASU No. 2010-18 is consistent with how we have historically accounted for our Loan portfolio; therefore, adoption of this guidance on July 1, 2010 had no impact on our consolidated financial statements.</w:t>
      </w:r>
    </w:p>
    <w:p>
      <w:pPr>
        <w:spacing w:after="0" w:line="7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i w:val="1"/>
          <w:iCs w:val="1"/>
          <w:color w:val="auto"/>
        </w:rPr>
        <w:t>Disclosures about the Credit Quality of Financing Receivables and the Allowance for Credit Losses</w:t>
      </w:r>
      <w:r>
        <w:rPr>
          <w:rFonts w:ascii="Arial" w:cs="Arial" w:eastAsia="Arial" w:hAnsi="Arial"/>
          <w:sz w:val="18"/>
          <w:szCs w:val="18"/>
          <w:color w:val="auto"/>
        </w:rPr>
        <w:t>. In July 2010, the FASB issued ASU No. 2010-20</w:t>
      </w:r>
      <w:r>
        <w:rPr>
          <w:rFonts w:ascii="Arial" w:cs="Arial" w:eastAsia="Arial" w:hAnsi="Arial"/>
          <w:sz w:val="18"/>
          <w:szCs w:val="18"/>
          <w:i w:val="1"/>
          <w:iCs w:val="1"/>
          <w:color w:val="auto"/>
        </w:rPr>
        <w:t xml:space="preserve"> </w:t>
      </w:r>
      <w:r>
        <w:rPr>
          <w:rFonts w:ascii="Arial" w:cs="Arial" w:eastAsia="Arial" w:hAnsi="Arial"/>
          <w:sz w:val="18"/>
          <w:szCs w:val="18"/>
          <w:color w:val="auto"/>
        </w:rPr>
        <w:t>which amends Topic 310 (Receivables). ASU 2010-20 is intended to provide additional information to assist financial statement users in assessing an entity’s credit risk exposures and evaluating the adequacy of its allowance for credit losses. The disclosures as of the end of a reporting period are effective for interim and annual reporting periods ending on or after December 15, 2010. The disclosures about activity that occurs during a reporting period are effective for interim and annual reporting periods beginning on or after December 15, 2010. The amendments in ASU 2010-20 encourage, but do not require, comparative disclosures for earlier reporting periods that ended before initial adoption. However, an entity should provide comparative disclosures for those reporting periods ending after initial adoption. While ASU 2010-20 will not have a material impact on our consolidated financial statements, we expect that it will expand our disclosures related to Loans.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RECEIVABLE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receivable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3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As of September 30, 2010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352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Dealer Loans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Purchased Loans</w:t>
            </w:r>
          </w:p>
        </w:tc>
        <w:tc>
          <w:tcPr>
            <w:tcW w:w="8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4580" w:type="dxa"/>
            <w:vAlign w:val="bottom"/>
            <w:gridSpan w:val="4"/>
            <w:shd w:val="clear" w:color="auto" w:fill="CCEEFF"/>
          </w:tcPr>
          <w:p>
            <w:pPr>
              <w:ind w:left="3520"/>
              <w:spacing w:after="0"/>
              <w:rPr>
                <w:sz w:val="20"/>
                <w:szCs w:val="20"/>
                <w:color w:val="auto"/>
              </w:rPr>
            </w:pPr>
            <w:r>
              <w:rPr>
                <w:rFonts w:ascii="Arial" w:cs="Arial" w:eastAsia="Arial" w:hAnsi="Arial"/>
                <w:sz w:val="18"/>
                <w:szCs w:val="18"/>
                <w:color w:val="auto"/>
              </w:rPr>
              <w:t>$ 1,029,514</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271,553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$ 1,301,067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(111,906)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(13,043)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(124,949)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net</w:t>
            </w:r>
          </w:p>
        </w:tc>
        <w:tc>
          <w:tcPr>
            <w:tcW w:w="364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917,608</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258,510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$ 1,176,118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As of December 31, 2009</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Dealer Loans</w:t>
            </w:r>
          </w:p>
        </w:tc>
        <w:tc>
          <w:tcPr>
            <w:tcW w:w="40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Purchased Loans</w:t>
            </w:r>
          </w:p>
        </w:tc>
        <w:tc>
          <w:tcPr>
            <w:tcW w:w="8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364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869,603</w:t>
            </w:r>
          </w:p>
        </w:tc>
        <w:tc>
          <w:tcPr>
            <w:tcW w:w="2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297,955</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$ 1,167,558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(108,792)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(8,753)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net</w:t>
            </w:r>
          </w:p>
        </w:tc>
        <w:tc>
          <w:tcPr>
            <w:tcW w:w="364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760,811</w:t>
            </w:r>
          </w:p>
        </w:tc>
        <w:tc>
          <w:tcPr>
            <w:tcW w:w="2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289,202</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$ 1,050,013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520" w:type="dxa"/>
            <w:vAlign w:val="bottom"/>
            <w:vMerge w:val="restart"/>
          </w:tcPr>
          <w:p>
            <w:pPr>
              <w:ind w:left="182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RECEIVABLE —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Loans receivable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39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2010</w:t>
            </w: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Dealer Loans</w:t>
            </w:r>
          </w:p>
        </w:tc>
        <w:tc>
          <w:tcPr>
            <w:tcW w:w="660" w:type="dxa"/>
            <w:vAlign w:val="bottom"/>
            <w:tcBorders>
              <w:top w:val="single" w:sz="8" w:color="auto"/>
            </w:tcBorders>
            <w:gridSpan w:val="2"/>
          </w:tcPr>
          <w:p>
            <w:pPr>
              <w:spacing w:after="0"/>
              <w:rPr>
                <w:sz w:val="12"/>
                <w:szCs w:val="12"/>
                <w:color w:val="auto"/>
              </w:rPr>
            </w:pPr>
          </w:p>
        </w:tc>
        <w:tc>
          <w:tcPr>
            <w:tcW w:w="1680" w:type="dxa"/>
            <w:vAlign w:val="bottom"/>
            <w:tcBorders>
              <w:top w:val="single" w:sz="8" w:color="auto"/>
            </w:tcBorders>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w w:val="89"/>
              </w:rPr>
              <w:t>Purchased Loans</w:t>
            </w:r>
          </w:p>
        </w:tc>
        <w:tc>
          <w:tcPr>
            <w:tcW w:w="8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980,952</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278,695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$ 1,259,647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202,470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25,959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(160,426)</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(37,145)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10,537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(4,076)</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4,076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12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$ 1,029,514</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271,553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$ 1,301,067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4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Dealer Loans</w:t>
            </w:r>
          </w:p>
        </w:tc>
        <w:tc>
          <w:tcPr>
            <w:tcW w:w="1680" w:type="dxa"/>
            <w:vAlign w:val="bottom"/>
            <w:tcBorders>
              <w:top w:val="single" w:sz="8" w:color="auto"/>
            </w:tcBorders>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w w:val="87"/>
              </w:rPr>
              <w:t>Purchased Loans</w:t>
            </w:r>
          </w:p>
        </w:tc>
        <w:tc>
          <w:tcPr>
            <w:tcW w:w="8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858,559</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325,535</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$ 1,184,094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129,677</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19,974</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(126,859)</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(36,411)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10,335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(3,666)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12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867,595</w:t>
            </w:r>
          </w:p>
        </w:tc>
        <w:tc>
          <w:tcPr>
            <w:tcW w:w="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312,745</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$ 1,180,340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Nine Months Ended September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Dealer Loans</w:t>
            </w:r>
          </w:p>
        </w:tc>
        <w:tc>
          <w:tcPr>
            <w:tcW w:w="660" w:type="dxa"/>
            <w:vAlign w:val="bottom"/>
            <w:tcBorders>
              <w:top w:val="single" w:sz="8" w:color="auto"/>
            </w:tcBorders>
            <w:gridSpan w:val="2"/>
          </w:tcPr>
          <w:p>
            <w:pPr>
              <w:spacing w:after="0"/>
              <w:rPr>
                <w:sz w:val="12"/>
                <w:szCs w:val="12"/>
                <w:color w:val="auto"/>
              </w:rPr>
            </w:pPr>
          </w:p>
        </w:tc>
        <w:tc>
          <w:tcPr>
            <w:tcW w:w="1680" w:type="dxa"/>
            <w:vAlign w:val="bottom"/>
            <w:tcBorders>
              <w:top w:val="single" w:sz="8" w:color="auto"/>
            </w:tcBorders>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w w:val="89"/>
              </w:rPr>
              <w:t>Purchased Loans</w:t>
            </w:r>
          </w:p>
        </w:tc>
        <w:tc>
          <w:tcPr>
            <w:tcW w:w="8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869,603</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297,955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$ 1,167,558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612,653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78,110</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(471,513)</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(118,214)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33,419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(13,741)</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13,741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(2,493)</w:t>
            </w:r>
          </w:p>
        </w:tc>
        <w:tc>
          <w:tcPr>
            <w:tcW w:w="2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(97)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w:t>
            </w: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12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$ 1,029,514</w:t>
            </w:r>
          </w:p>
        </w:tc>
        <w:tc>
          <w:tcPr>
            <w:tcW w:w="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271,553</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$ 1,301,067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4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Dealer Loans</w:t>
            </w:r>
          </w:p>
        </w:tc>
        <w:tc>
          <w:tcPr>
            <w:tcW w:w="1680" w:type="dxa"/>
            <w:vAlign w:val="bottom"/>
            <w:tcBorders>
              <w:top w:val="single" w:sz="8" w:color="auto"/>
            </w:tcBorders>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w w:val="87"/>
              </w:rPr>
              <w:t>Purchased Loans</w:t>
            </w:r>
          </w:p>
        </w:tc>
        <w:tc>
          <w:tcPr>
            <w:tcW w:w="8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823,567</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325,185</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$ 1,148,752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412,423</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87,840</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(390,603)</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(111,850)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34,300</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(11,594)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(2,851)</w:t>
            </w: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12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867,595</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312,745</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$ 1,180,340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Dealer Loans amount represents advances and accelerated Dealer Holdback payments made to Dealer-Partners for Consumer Loans assigned under our Portfolio Program. The Purchased Loans amount represents payments made to Dealer-Partners to purchase Consumer Loans assigned under our Purchase Program.</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RECEIVABLE — (Concluded)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the allowance for credit losses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Three Months Ended September 30, 2010</w:t>
            </w:r>
          </w:p>
        </w:tc>
        <w:tc>
          <w:tcPr>
            <w:tcW w:w="0" w:type="dxa"/>
            <w:vAlign w:val="bottom"/>
          </w:tcPr>
          <w:p>
            <w:pPr>
              <w:spacing w:after="0"/>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Dealer Loans</w:t>
            </w:r>
          </w:p>
        </w:tc>
        <w:tc>
          <w:tcPr>
            <w:tcW w:w="14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Purchased Loans</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112,115</w:t>
            </w:r>
          </w:p>
        </w:tc>
        <w:tc>
          <w:tcPr>
            <w:tcW w:w="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12,756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$ 124,871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580"/>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319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111,906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$ 124,949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Three Months Ended September 30, 2009</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Dealer Loans</w:t>
            </w:r>
          </w:p>
        </w:tc>
        <w:tc>
          <w:tcPr>
            <w:tcW w:w="14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Purchased Loans</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111,721</w:t>
            </w:r>
          </w:p>
        </w:tc>
        <w:tc>
          <w:tcPr>
            <w:tcW w:w="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15,432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$ 127,153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580"/>
              <w:spacing w:after="0"/>
              <w:rPr>
                <w:sz w:val="20"/>
                <w:szCs w:val="20"/>
                <w:color w:val="auto"/>
              </w:rPr>
            </w:pPr>
            <w:r>
              <w:rPr>
                <w:rFonts w:ascii="Arial" w:cs="Arial" w:eastAsia="Arial" w:hAnsi="Arial"/>
                <w:sz w:val="18"/>
                <w:szCs w:val="18"/>
                <w:color w:val="auto"/>
              </w:rPr>
              <w:t>(1,269)</w:t>
            </w: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(2,322)</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(1,034)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110,149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$ 123,240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Nine Months Ended September 30, 2010</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Dealer Loans</w:t>
            </w:r>
          </w:p>
        </w:tc>
        <w:tc>
          <w:tcPr>
            <w:tcW w:w="14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Purchased Loans</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108,792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$ 117,545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3,889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4,329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(2,493)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1,688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111,906</w:t>
            </w:r>
          </w:p>
        </w:tc>
        <w:tc>
          <w:tcPr>
            <w:tcW w:w="40" w:type="dxa"/>
            <w:vAlign w:val="bottom"/>
            <w:tcBorders>
              <w:bottom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$ 124,949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Nine Months Ended September 30, 2009</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Dealer Loans</w:t>
            </w:r>
          </w:p>
        </w:tc>
        <w:tc>
          <w:tcPr>
            <w:tcW w:w="14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Purchased Loans</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113,831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17,004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$ 130,835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580"/>
              <w:spacing w:after="0"/>
              <w:rPr>
                <w:sz w:val="20"/>
                <w:szCs w:val="20"/>
                <w:color w:val="auto"/>
              </w:rPr>
            </w:pPr>
            <w:r>
              <w:rPr>
                <w:rFonts w:ascii="Arial" w:cs="Arial" w:eastAsia="Arial" w:hAnsi="Arial"/>
                <w:sz w:val="18"/>
                <w:szCs w:val="18"/>
                <w:color w:val="auto"/>
              </w:rPr>
              <w:t>(3,328)</w:t>
            </w: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(3,889)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(2,851)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$ 123,240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vMerge w:val="restart"/>
          </w:tcPr>
          <w:p>
            <w:pPr>
              <w:jc w:val="right"/>
              <w:ind w:right="155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currently utilize the following forms of debt financing: (1) a revolving secured line of credit with a commercial bank syndicate; (2) revolving secured warehouse facilities with institutional investors; (3) an asset-backed secured financing (“Term ABS”) with qualified institutional investors; and (4) Senior Secured Notes due 2017 issued pursuant to Rule 144A and Regulation S of the Securities Act of 1933, as amended (“Senior Notes”). General information for each of our financing transactions in place as of September 30, 2010 is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Financings</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Wholly-owned</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Issue</w:t>
            </w:r>
          </w:p>
        </w:tc>
        <w:tc>
          <w:tcPr>
            <w:tcW w:w="1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1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Financing</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Rate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September 30, 2010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w w:val="94"/>
              </w:rPr>
              <w:t>Revolving Secured Line</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June 9, 2010</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June 22, 2012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170,000</w:t>
            </w: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2"/>
              </w:rPr>
              <w:t>At our option, either the Eurodollar rate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of Credit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4"/>
              </w:rPr>
              <w:t>plus 225 basis points or the prime rate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plus 125 basis points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Revolving Secured</w:t>
            </w:r>
          </w:p>
        </w:tc>
        <w:tc>
          <w:tcPr>
            <w:tcW w:w="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CAC Warehouse</w:t>
            </w:r>
          </w:p>
        </w:tc>
        <w:tc>
          <w:tcPr>
            <w:tcW w:w="100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2003-2</w:t>
            </w: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June 16, 2010</w:t>
            </w: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June 15, 2013 (2)</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w w:val="89"/>
              </w:rPr>
              <w:t>325,000</w:t>
            </w:r>
          </w:p>
        </w:tc>
        <w:tc>
          <w:tcPr>
            <w:tcW w:w="2760" w:type="dxa"/>
            <w:vAlign w:val="bottom"/>
            <w:gridSpan w:val="2"/>
          </w:tcPr>
          <w:p>
            <w:pPr>
              <w:ind w:left="180"/>
              <w:spacing w:after="0"/>
              <w:rPr>
                <w:sz w:val="20"/>
                <w:szCs w:val="20"/>
                <w:color w:val="auto"/>
              </w:rPr>
            </w:pPr>
            <w:r>
              <w:rPr>
                <w:rFonts w:ascii="Arial" w:cs="Arial" w:eastAsia="Arial" w:hAnsi="Arial"/>
                <w:sz w:val="16"/>
                <w:szCs w:val="16"/>
                <w:color w:val="auto"/>
                <w:w w:val="94"/>
              </w:rPr>
              <w:t>Commercial paper rate plus 350 basis</w:t>
            </w:r>
          </w:p>
        </w:tc>
        <w:tc>
          <w:tcPr>
            <w:tcW w:w="0" w:type="dxa"/>
            <w:vAlign w:val="bottom"/>
          </w:tcPr>
          <w:p>
            <w:pPr>
              <w:spacing w:after="0"/>
              <w:rPr>
                <w:sz w:val="1"/>
                <w:szCs w:val="1"/>
                <w:color w:val="auto"/>
              </w:rPr>
            </w:pPr>
          </w:p>
        </w:tc>
      </w:tr>
      <w:tr>
        <w:trPr>
          <w:trHeight w:val="203"/>
        </w:trPr>
        <w:tc>
          <w:tcPr>
            <w:tcW w:w="1640" w:type="dxa"/>
            <w:vAlign w:val="bottom"/>
            <w:gridSpan w:val="2"/>
          </w:tcPr>
          <w:p>
            <w:pPr>
              <w:spacing w:after="0"/>
              <w:rPr>
                <w:sz w:val="20"/>
                <w:szCs w:val="20"/>
                <w:color w:val="auto"/>
              </w:rPr>
            </w:pPr>
            <w:r>
              <w:rPr>
                <w:rFonts w:ascii="Arial" w:cs="Arial" w:eastAsia="Arial" w:hAnsi="Arial"/>
                <w:sz w:val="16"/>
                <w:szCs w:val="16"/>
                <w:color w:val="auto"/>
              </w:rPr>
              <w:t>Warehouse Facility (1)</w:t>
            </w: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Funding Corp. II</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points or LIBOR plus 450 basis points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60" w:type="dxa"/>
            <w:vAlign w:val="bottom"/>
            <w:gridSpan w:val="2"/>
          </w:tcPr>
          <w:p>
            <w:pPr>
              <w:ind w:left="180"/>
              <w:spacing w:after="0"/>
              <w:rPr>
                <w:sz w:val="20"/>
                <w:szCs w:val="20"/>
                <w:color w:val="auto"/>
              </w:rPr>
            </w:pPr>
            <w:r>
              <w:rPr>
                <w:rFonts w:ascii="Arial" w:cs="Arial" w:eastAsia="Arial" w:hAnsi="Arial"/>
                <w:sz w:val="16"/>
                <w:szCs w:val="16"/>
                <w:color w:val="auto"/>
              </w:rPr>
              <w:t>(4) (5)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Revolving Secured</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CAC Warehouse</w:t>
            </w:r>
          </w:p>
        </w:tc>
        <w:tc>
          <w:tcPr>
            <w:tcW w:w="100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w w:val="92"/>
              </w:rPr>
              <w:t>2008-2</w:t>
            </w:r>
          </w:p>
        </w:tc>
        <w:tc>
          <w:tcPr>
            <w:tcW w:w="18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2"/>
              </w:rPr>
              <w:t>September 10, 2010  September 10, 2013 (6)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75,000</w:t>
            </w: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4"/>
              </w:rPr>
              <w:t>Commercial paper rate plus 300 basis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w w:val="99"/>
              </w:rPr>
              <w:t>Warehouse Facility (1)</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Funding III, LLC</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points or LIBOR plus 300 basis points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(3) (4) (5)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Term ABS 2009-1 (1)</w:t>
            </w:r>
          </w:p>
        </w:tc>
        <w:tc>
          <w:tcPr>
            <w:tcW w:w="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Credit Acceptance</w:t>
            </w:r>
          </w:p>
        </w:tc>
        <w:tc>
          <w:tcPr>
            <w:tcW w:w="100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2009-1</w:t>
            </w: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December 3, 2009</w:t>
            </w: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May 15, 2011 (2)</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w w:val="89"/>
              </w:rPr>
              <w:t>110,500</w:t>
            </w:r>
          </w:p>
        </w:tc>
        <w:tc>
          <w:tcPr>
            <w:tcW w:w="2760" w:type="dxa"/>
            <w:vAlign w:val="bottom"/>
            <w:gridSpan w:val="2"/>
          </w:tcPr>
          <w:p>
            <w:pPr>
              <w:ind w:left="180"/>
              <w:spacing w:after="0"/>
              <w:rPr>
                <w:sz w:val="20"/>
                <w:szCs w:val="20"/>
                <w:color w:val="auto"/>
              </w:rPr>
            </w:pPr>
            <w:r>
              <w:rPr>
                <w:rFonts w:ascii="Arial" w:cs="Arial" w:eastAsia="Arial" w:hAnsi="Arial"/>
                <w:sz w:val="16"/>
                <w:szCs w:val="16"/>
                <w:color w:val="auto"/>
              </w:rPr>
              <w:t>Fixed rate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Funding LLC 2009-1</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 2010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 2017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250,000</w:t>
            </w: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Fixed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Financing made available only to a specified subsidiary of the Company.</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revolving maturity date. The outstanding balance will amortize after the maturity date based on the cash flows of the contributed assets.</w:t>
      </w:r>
    </w:p>
    <w:p>
      <w:pPr>
        <w:spacing w:after="0" w:line="99" w:lineRule="exact"/>
        <w:rPr>
          <w:rFonts w:ascii="Arial" w:cs="Arial" w:eastAsia="Arial" w:hAnsi="Arial"/>
          <w:sz w:val="16"/>
          <w:szCs w:val="16"/>
          <w:i w:val="1"/>
          <w:iCs w:val="1"/>
          <w:color w:val="auto"/>
        </w:rPr>
      </w:pPr>
    </w:p>
    <w:p>
      <w:pPr>
        <w:ind w:left="460" w:hanging="452"/>
        <w:spacing w:after="0"/>
        <w:tabs>
          <w:tab w:leader="none" w:pos="46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A portion of the outstanding balance is a floating rate obligation that has been converted to a fixed rate obligation via an interest rate swap.</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LIBOR rate is used if funding is not available from the commercial paper market.</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cap agreements are in place to limit the exposure to increasing interest rates.</w:t>
      </w:r>
    </w:p>
    <w:p>
      <w:pPr>
        <w:spacing w:after="0" w:line="76" w:lineRule="exact"/>
        <w:rPr>
          <w:rFonts w:ascii="Arial" w:cs="Arial" w:eastAsia="Arial" w:hAnsi="Arial"/>
          <w:sz w:val="18"/>
          <w:szCs w:val="18"/>
          <w:i w:val="1"/>
          <w:iCs w:val="1"/>
          <w:color w:val="auto"/>
        </w:rPr>
      </w:pPr>
    </w:p>
    <w:p>
      <w:pPr>
        <w:ind w:left="460" w:right="680" w:hanging="452"/>
        <w:spacing w:after="0" w:line="277"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revolving maturity date. The outstanding balance will amortize after the revolving maturity date and any amounts remaining on September 10, 2014 will be due.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7"/>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September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3"/>
              </w:rPr>
              <w:t>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Line of Credit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Maximum outstanding balance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107,800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124,600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107,900</w:t>
            </w:r>
          </w:p>
        </w:tc>
        <w:tc>
          <w:tcPr>
            <w:tcW w:w="1880" w:type="dxa"/>
            <w:vAlign w:val="bottom"/>
            <w:gridSpan w:val="6"/>
          </w:tcPr>
          <w:p>
            <w:pPr>
              <w:jc w:val="right"/>
              <w:ind w:right="192"/>
              <w:spacing w:after="0"/>
              <w:rPr>
                <w:sz w:val="20"/>
                <w:szCs w:val="20"/>
                <w:color w:val="auto"/>
              </w:rPr>
            </w:pPr>
            <w:r>
              <w:rPr>
                <w:rFonts w:ascii="Arial" w:cs="Arial" w:eastAsia="Arial" w:hAnsi="Arial"/>
                <w:sz w:val="18"/>
                <w:szCs w:val="18"/>
                <w:color w:val="auto"/>
              </w:rPr>
              <w:t>$128,900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outstanding balance</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89,293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85,785</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Revolving Secured Warehouse Facility (2003-2)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Maximum outstanding balance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6"/>
              </w:rPr>
              <w:t>325,000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180,000</w:t>
            </w:r>
          </w:p>
        </w:tc>
        <w:tc>
          <w:tcPr>
            <w:tcW w:w="1880" w:type="dxa"/>
            <w:vAlign w:val="bottom"/>
            <w:gridSpan w:val="6"/>
            <w:shd w:val="clear" w:color="auto" w:fill="CCEEFF"/>
          </w:tcPr>
          <w:p>
            <w:pPr>
              <w:jc w:val="right"/>
              <w:ind w:right="192"/>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Average outstanding balance</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141,267</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290,327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75,853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w w:val="89"/>
              </w:rPr>
              <w:t>273,663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Warehouse Facility (2008-2)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Maximum outstanding balance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75,000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outstanding balance</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4"/>
          </w:tcPr>
          <w:p>
            <w:pPr>
              <w:jc w:val="right"/>
              <w:ind w:right="12"/>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jc w:val="right"/>
              <w:ind w:right="112"/>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53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Line of Credit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Balance outstanding</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5"/>
          </w:tcPr>
          <w:p>
            <w:pPr>
              <w:jc w:val="right"/>
              <w:ind w:right="152"/>
              <w:spacing w:after="0"/>
              <w:rPr>
                <w:sz w:val="20"/>
                <w:szCs w:val="20"/>
                <w:color w:val="auto"/>
              </w:rPr>
            </w:pPr>
            <w:r>
              <w:rPr>
                <w:rFonts w:ascii="Arial" w:cs="Arial" w:eastAsia="Arial" w:hAnsi="Arial"/>
                <w:sz w:val="18"/>
                <w:szCs w:val="18"/>
                <w:color w:val="auto"/>
              </w:rPr>
              <w:t>$102,700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Letter(s) of credit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Amount available for borrowing</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66,800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42,186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Revolving Secured Warehouse Facility (2003-2)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$162,600</w:t>
            </w:r>
          </w:p>
        </w:tc>
        <w:tc>
          <w:tcPr>
            <w:tcW w:w="1880" w:type="dxa"/>
            <w:vAlign w:val="bottom"/>
            <w:gridSpan w:val="6"/>
            <w:shd w:val="clear" w:color="auto" w:fill="CCEEFF"/>
          </w:tcPr>
          <w:p>
            <w:pPr>
              <w:jc w:val="right"/>
              <w:ind w:right="232"/>
              <w:spacing w:after="0"/>
              <w:rPr>
                <w:sz w:val="20"/>
                <w:szCs w:val="20"/>
                <w:color w:val="auto"/>
              </w:rPr>
            </w:pPr>
            <w:r>
              <w:rPr>
                <w:rFonts w:ascii="Arial" w:cs="Arial" w:eastAsia="Arial" w:hAnsi="Arial"/>
                <w:sz w:val="18"/>
                <w:szCs w:val="18"/>
                <w:color w:val="auto"/>
              </w:rPr>
              <w:t>$152,600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Amount available for borrowing</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162,400</w:t>
            </w:r>
          </w:p>
        </w:tc>
        <w:tc>
          <w:tcPr>
            <w:tcW w:w="1880" w:type="dxa"/>
            <w:vAlign w:val="bottom"/>
            <w:gridSpan w:val="6"/>
          </w:tcPr>
          <w:p>
            <w:pPr>
              <w:jc w:val="right"/>
              <w:ind w:right="232"/>
              <w:spacing w:after="0"/>
              <w:rPr>
                <w:sz w:val="20"/>
                <w:szCs w:val="20"/>
                <w:color w:val="auto"/>
              </w:rPr>
            </w:pPr>
            <w:r>
              <w:rPr>
                <w:rFonts w:ascii="Arial" w:cs="Arial" w:eastAsia="Arial" w:hAnsi="Arial"/>
                <w:sz w:val="18"/>
                <w:szCs w:val="18"/>
                <w:color w:val="auto"/>
              </w:rPr>
              <w:t>172,400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eligible Loans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216,210</w:t>
            </w:r>
          </w:p>
        </w:tc>
        <w:tc>
          <w:tcPr>
            <w:tcW w:w="1880" w:type="dxa"/>
            <w:vAlign w:val="bottom"/>
            <w:gridSpan w:val="6"/>
            <w:shd w:val="clear" w:color="auto" w:fill="CCEEFF"/>
          </w:tcPr>
          <w:p>
            <w:pPr>
              <w:jc w:val="right"/>
              <w:ind w:right="232"/>
              <w:spacing w:after="0"/>
              <w:rPr>
                <w:sz w:val="20"/>
                <w:szCs w:val="20"/>
                <w:color w:val="auto"/>
              </w:rPr>
            </w:pPr>
            <w:r>
              <w:rPr>
                <w:rFonts w:ascii="Arial" w:cs="Arial" w:eastAsia="Arial" w:hAnsi="Arial"/>
                <w:sz w:val="18"/>
                <w:szCs w:val="18"/>
                <w:color w:val="auto"/>
              </w:rPr>
              <w:t>192,921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7"/>
              </w:rPr>
              <w:t>3.81%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Warehouse Facility (2008-2)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Balance outstanding</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55,000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available for borrowing</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Contributed eligible Loans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82,343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94,073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Term ABS 2008-1</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66,497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Contributed eligible Loans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gridSpan w:val="6"/>
          </w:tcPr>
          <w:p>
            <w:pPr>
              <w:jc w:val="right"/>
              <w:ind w:right="232"/>
              <w:spacing w:after="0"/>
              <w:rPr>
                <w:sz w:val="20"/>
                <w:szCs w:val="20"/>
                <w:color w:val="auto"/>
              </w:rPr>
            </w:pPr>
            <w:r>
              <w:rPr>
                <w:rFonts w:ascii="Arial" w:cs="Arial" w:eastAsia="Arial" w:hAnsi="Arial"/>
                <w:sz w:val="18"/>
                <w:szCs w:val="18"/>
                <w:color w:val="auto"/>
              </w:rPr>
              <w:t>142,267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Term ABS 2009-1</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$110,500</w:t>
            </w:r>
          </w:p>
        </w:tc>
        <w:tc>
          <w:tcPr>
            <w:tcW w:w="1880" w:type="dxa"/>
            <w:vAlign w:val="bottom"/>
            <w:gridSpan w:val="6"/>
            <w:shd w:val="clear" w:color="auto" w:fill="CCEEFF"/>
          </w:tcPr>
          <w:p>
            <w:pPr>
              <w:jc w:val="right"/>
              <w:ind w:right="232"/>
              <w:spacing w:after="0"/>
              <w:rPr>
                <w:sz w:val="20"/>
                <w:szCs w:val="20"/>
                <w:color w:val="auto"/>
              </w:rPr>
            </w:pPr>
            <w:r>
              <w:rPr>
                <w:rFonts w:ascii="Arial" w:cs="Arial" w:eastAsia="Arial" w:hAnsi="Arial"/>
                <w:sz w:val="18"/>
                <w:szCs w:val="18"/>
                <w:color w:val="auto"/>
              </w:rPr>
              <w:t>$110,500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Contributed eligible Loans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142,469</w:t>
            </w:r>
          </w:p>
        </w:tc>
        <w:tc>
          <w:tcPr>
            <w:tcW w:w="1880" w:type="dxa"/>
            <w:vAlign w:val="bottom"/>
            <w:gridSpan w:val="6"/>
          </w:tcPr>
          <w:p>
            <w:pPr>
              <w:jc w:val="right"/>
              <w:ind w:right="232"/>
              <w:spacing w:after="0"/>
              <w:rPr>
                <w:sz w:val="20"/>
                <w:szCs w:val="20"/>
                <w:color w:val="auto"/>
              </w:rPr>
            </w:pPr>
            <w:r>
              <w:rPr>
                <w:rFonts w:ascii="Arial" w:cs="Arial" w:eastAsia="Arial" w:hAnsi="Arial"/>
                <w:sz w:val="18"/>
                <w:szCs w:val="18"/>
                <w:color w:val="auto"/>
              </w:rPr>
              <w:t>142,315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Senior Notes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 (1)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$244,174</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7"/>
              </w:rPr>
              <w:t>9.13%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20" w:right="5620" w:hanging="5612"/>
        <w:spacing w:after="0" w:line="405" w:lineRule="auto"/>
        <w:tabs>
          <w:tab w:leader="none" w:pos="4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Senior Notes presented net of unamortized debt discount of $5.8 million.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Warehouse Facilities</w:t>
      </w:r>
    </w:p>
    <w:p>
      <w:pPr>
        <w:spacing w:after="0" w:line="121" w:lineRule="exact"/>
        <w:rPr>
          <w:sz w:val="20"/>
          <w:szCs w:val="20"/>
          <w:color w:val="auto"/>
        </w:rPr>
      </w:pPr>
    </w:p>
    <w:p>
      <w:pPr>
        <w:ind w:right="800" w:firstLine="222"/>
        <w:spacing w:after="0" w:line="277" w:lineRule="auto"/>
        <w:rPr>
          <w:sz w:val="20"/>
          <w:szCs w:val="20"/>
          <w:color w:val="auto"/>
        </w:rPr>
      </w:pPr>
      <w:r>
        <w:rPr>
          <w:rFonts w:ascii="Arial" w:cs="Arial" w:eastAsia="Arial" w:hAnsi="Arial"/>
          <w:sz w:val="18"/>
          <w:szCs w:val="18"/>
          <w:color w:val="auto"/>
        </w:rPr>
        <w:t>We have two revolving secured warehouse facilities that are provided to our wholly-owned subsidiaries. One is a $325.0 million facility with an institutional investor and the other is a $75.0 million facility with another institutional investor.</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second quarter of 2010, we extended the date on which our $325.0 million revolving secured warehouse facility will cease to revolve from August 23, 2010 to June 15, 2013. The interest rate on borrowings under the facility was decreased from a floating rate equal to the commercial paper rate plus 5.0% to the commercial paper rate plus 3.5%. In addition, the agreement was modified to provide that in the event that the facility is not renewed and the borrower is in compliance with the terms and conditions of the agreement, any amounts outstanding will be repaid over time as the collections on the loans securing the facility are received.</w:t>
      </w:r>
    </w:p>
    <w:p>
      <w:pPr>
        <w:spacing w:after="0" w:line="80"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During the third quarter of 2010, we extended the date on which our $75.0 million revolving secured warehouse facility will cease to revolve from August 31, 2011 to September 10, 2013. The maturity of the facility was also extended from August 31, 2012 to September 10, 2014. The interest rate on the facility was decreased from a floating rate equal to LIBOR plus 3.75% to LIBOR plus 3.0%. There were no other material changes to the terms of the facility.</w:t>
      </w:r>
    </w:p>
    <w:p>
      <w:pPr>
        <w:spacing w:after="0" w:line="3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Under both revolving secured warehouse facilities we can contribute Loans to our wholly-owned subsidiaries in return for cash and equity in each subsidiary. In turn, each subsidiary pledges the Loans as collateral to institutional investors to secure financing that will fund the cash portion of the purchase price of the Loans. The financing provided to each subsidiary under the applicable facility is limited to the lesser of 80% of the net book value of the contributed Loans or the facility limit.</w:t>
      </w:r>
    </w:p>
    <w:p>
      <w:pPr>
        <w:spacing w:after="0" w:line="7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financings create loans for which the subsidiaries are liable and which are secured by all the assets of each subsidiary. Such loans are non-recourse to us, even though we are consolidated for financial reporting purposes with the subsidiaries. Because the subsidiaries are organized as legal entities separate from us, their assets (including the conveyed Loans) are not available to our creditors.</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Interest on borrowings under the $325.0 million revolving secured warehouse facility has been limited through interest rate cap agreements to a maximum rate of 6.75% plus the spread over the LIBOR rate or the commercial paper rate, as applicable. Interest on borrowings for a portion of the $75.0 million revolving secured warehouse facility has also been limited through interest rate cap agreements to a maximum rate of 6.75% plus the spread over the LIBOR rate or the commercial paper rate, as applicable. We have also entered into an interest rate swap to convert $25.0 million of the $75.0 million revolving secured warehouse facility into fixed rate debt bearing an interest rate of 4.36%. For additional information, see Note 6 of these consolidated financial statements.</w:t>
      </w:r>
    </w:p>
    <w:p>
      <w:pPr>
        <w:spacing w:after="0" w:line="85"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subsidiaries pay us a monthly servicing fee equal to 6% of the collections received with respect to the conveyed Loans. The fee is paid out of the collections. Except for the servicing fee and holdback payments due to Dealer-Partners,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the first quarter of 2010, we increased the amount of the revolving secured line of credit facility from $140.0 million to $150.0 million and, concurrently with the issuance of the Senior Notes, amended the agreements governing our revolving secured line of credit facility to facilitate the issuance of the Senior Notes and certain future secured indebtedness.</w:t>
      </w:r>
    </w:p>
    <w:p>
      <w:pPr>
        <w:spacing w:after="0" w:line="7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During the second quarter of 2010, we extended the maturity of the revolving secured line of credit facility from June 23, 2011 to June 22, 2012. Additionally, the interest rate on borrowings under the facility was changed from the prime rate plus 1.0% or the Eurodollar rate plus 2.75%, at our option, to the prime rate plus 1.25% or the Eurodollar rate plus 2.25%, at our option. The floor on the Eurodollar rate was decreased from 1.50% to 0.75%. None of the financial covenants were modified.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third quarter of 2010, we increased the amount of the revolving secured line of credit facility from $150.0 million to $170.0 million.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 (Continued)</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Borrowings under the revolving secured line of credit facility, including any letters of credit issued under the facility, are subject to a borrowing-base limitation. This limitation equals 80% of the net book value of Loans, less a hedging reserve (not exceeding $1.0 million), and the amount of other debt secured by the collateral which secures the line of credit. Borrowings under the line of credit agreement are secured by a lien on most of our assets. We must pay quarterly fees on the amount of the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During the first quarter of 2010, we issued $250.0 million aggregate principal amount of 9.125% First Priority Senior Notes. The Senior Notes were issued pursuant to an indenture, dated as of February 1, 2010 (the “Indenture”), among us, Buyers Vehicle Protection Plan, Inc. (“BVPP”) and Vehicle Remarketing Services, Inc. (“VRS”), as guarantors (the “Guarantors”), and U.S. Bank National Association, as trustee (the “Trustee”).</w:t>
      </w:r>
    </w:p>
    <w:p>
      <w:pPr>
        <w:spacing w:after="0" w:line="57" w:lineRule="exact"/>
        <w:rPr>
          <w:sz w:val="20"/>
          <w:szCs w:val="20"/>
          <w:color w:val="auto"/>
        </w:rPr>
      </w:pPr>
    </w:p>
    <w:p>
      <w:pPr>
        <w:jc w:val="both"/>
        <w:ind w:right="60" w:firstLine="222"/>
        <w:spacing w:after="0" w:line="259" w:lineRule="auto"/>
        <w:rPr>
          <w:sz w:val="20"/>
          <w:szCs w:val="20"/>
          <w:color w:val="auto"/>
        </w:rPr>
      </w:pPr>
      <w:r>
        <w:rPr>
          <w:rFonts w:ascii="Arial" w:cs="Arial" w:eastAsia="Arial" w:hAnsi="Arial"/>
          <w:sz w:val="18"/>
          <w:szCs w:val="18"/>
          <w:color w:val="auto"/>
        </w:rPr>
        <w:t>The Senior Notes mature on February 1, 2017 and bear interest at a rate of 9.125% per annum, computed on the basis of 360-day year composed of twelve 30-day months and payable semi-annually on February 1 and August 1 of each year, beginning on August 1, 2010. The Senior Notes were issued at 97.495% of the aggregate principal amount for gross proceeds of $243.7 million, representing a yield to maturity of 9.625%. The discount is being amortized over the life of the Senior Notes using the effective interest method.</w:t>
      </w:r>
    </w:p>
    <w:p>
      <w:pPr>
        <w:spacing w:after="0" w:line="79"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Senior Notes are guaranteed on a senior secured basis by the Guarantors, which are also guarantors of obligations under our line of credit facility. Our other existing and future subsidiaries may become guarantors of the Senior Notes. The Senior Notes and the Guarantors’ Senior Note guarantees are secured on a first-priority basis (subject to specified exceptions and permitted liens), together with all indebtedness outstanding from time to time under the line of credit facility and, under certain circumstances, certain future indebtedness, by a security interest in substantially all of our assets and those of the Guarantors, subject to certain exceptions such as real property, cash (except to the extent it is deposited with the collateral agent), certain leases, and equity interests of our subsidiaries (other than those of specified subsidiaries including the Guarantors). Our assets and those of the Guarantors securing the Senior Notes and the Senior Note guarantees will not include our assets transferred to special purpose subsidiaries in connection with securitization transactions and will generally be the same as the collateral securing indebtedness under the line of credit facility and, under certain circumstances, certain future indebtedness, subject to certain limited exceptions as provided in the security and intercreditor agreements related to the line of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2008 and 2009, two of our wholly-owned subsidiaries (the “Funding LLCs”), each completed a secured financing transaction. In connection with these transactions, we contributed Loans on an arms-length basis to each Funding LLC for cash and the sole membership interest in that Funding LLC. In turn, each Funding LLC contributed the Loans to a respective trust that issued notes to qualified institutional investors. The Term ABS 2008-1 ceased to revolve on April 15, 2009 and was paid in full during the second quarter of 2010. The Term ABS 2009-1 transaction consists of three classes of notes. The Class A Notes are rated “AAA” by S&amp;P and DBRS, Inc. The Class B Notes are rated “AA” by S&amp;P. The Class C Note does not bear interest, is not rated and has been retained by us.</w:t>
      </w:r>
    </w:p>
    <w:p>
      <w:pPr>
        <w:spacing w:after="0" w:line="85"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Each financing at the time of issuance has a specified revolving period during which we may be required, and are likely, to convey additional Loans to each Funding LLC. Each Funding LLC will then convey the Loans to their respective trust. At the end of the revolving period, the debt outstanding under each financing will begin to amortize.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 (Concluded)</w:t>
      </w:r>
    </w:p>
    <w:p>
      <w:pPr>
        <w:spacing w:after="0" w:line="12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financings create loans for which the trusts are liable and which are secured by all the assets of each trust. Such loans are non-recourse to us, even though we are consolidated for financial reporting purposes with the trusts and the Funding LLCs. Because the Funding LLCs are organized as legal entities separate from us, their assets (including the conveyed Loans) are not available to our creditors. We receive a monthly servicing fee on each financing equal to 6% of the collections received with respect to the conveyed Loans. The fee is paid out of the collections. Except for the servicing fee and Dealer Holdback payments due to Dealer-Partners,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Alternatively, when a trust’s underlying indebtedness is paid in full, either through collections or through a prepayment of the indebtedness, the trust is to pay any remaining collections over to its Funding LLC as the sole beneficiary of the trust. The collections will then be available to be distributed to us as the sole member of the respective Funding LLC.</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Issue</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Net Book Value of Dealer</w:t>
            </w: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Term ABS Financing</w:t>
            </w: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3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Revolving Period</w:t>
            </w: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Loans Conveyed at Closing</w:t>
            </w:r>
          </w:p>
        </w:tc>
        <w:tc>
          <w:tcPr>
            <w:tcW w:w="320" w:type="dxa"/>
            <w:vAlign w:val="bottom"/>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Rates (1)</w:t>
            </w:r>
          </w:p>
        </w:tc>
        <w:tc>
          <w:tcPr>
            <w:tcW w:w="0" w:type="dxa"/>
            <w:vAlign w:val="bottom"/>
          </w:tcPr>
          <w:p>
            <w:pPr>
              <w:spacing w:after="0"/>
              <w:rPr>
                <w:sz w:val="1"/>
                <w:szCs w:val="1"/>
                <w:color w:val="auto"/>
              </w:rPr>
            </w:pPr>
          </w:p>
        </w:tc>
      </w:tr>
      <w:tr>
        <w:trPr>
          <w:trHeight w:val="411"/>
        </w:trPr>
        <w:tc>
          <w:tcPr>
            <w:tcW w:w="2920" w:type="dxa"/>
            <w:vAlign w:val="bottom"/>
          </w:tcPr>
          <w:p>
            <w:pPr>
              <w:spacing w:after="0"/>
              <w:rPr>
                <w:sz w:val="20"/>
                <w:szCs w:val="20"/>
                <w:color w:val="auto"/>
              </w:rPr>
            </w:pPr>
            <w:r>
              <w:rPr>
                <w:rFonts w:ascii="Arial" w:cs="Arial" w:eastAsia="Arial" w:hAnsi="Arial"/>
                <w:sz w:val="18"/>
                <w:szCs w:val="18"/>
                <w:color w:val="auto"/>
              </w:rPr>
              <w:t>Term ABS 2009-1</w:t>
            </w:r>
          </w:p>
        </w:tc>
        <w:tc>
          <w:tcPr>
            <w:tcW w:w="82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2009-1</w:t>
            </w:r>
          </w:p>
        </w:tc>
        <w:tc>
          <w:tcPr>
            <w:tcW w:w="4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December 3, 2009</w:t>
            </w:r>
          </w:p>
        </w:tc>
        <w:tc>
          <w:tcPr>
            <w:tcW w:w="2400" w:type="dxa"/>
            <w:vAlign w:val="bottom"/>
            <w:gridSpan w:val="2"/>
          </w:tcPr>
          <w:p>
            <w:pPr>
              <w:jc w:val="right"/>
              <w:ind w:right="668"/>
              <w:spacing w:after="0"/>
              <w:rPr>
                <w:sz w:val="20"/>
                <w:szCs w:val="20"/>
                <w:color w:val="auto"/>
              </w:rPr>
            </w:pPr>
            <w:r>
              <w:rPr>
                <w:rFonts w:ascii="Arial" w:cs="Arial" w:eastAsia="Arial" w:hAnsi="Arial"/>
                <w:sz w:val="18"/>
                <w:szCs w:val="18"/>
                <w:color w:val="auto"/>
              </w:rPr>
              <w:t>$142,301</w:t>
            </w:r>
          </w:p>
        </w:tc>
        <w:tc>
          <w:tcPr>
            <w:tcW w:w="3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18 months</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(Through May 15, 2011)</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underwriter’s fees and other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ind w:right="160" w:firstLine="215"/>
        <w:spacing w:after="0" w:line="276" w:lineRule="auto"/>
        <w:rPr>
          <w:sz w:val="20"/>
          <w:szCs w:val="20"/>
          <w:color w:val="auto"/>
        </w:rPr>
      </w:pPr>
      <w:r>
        <w:rPr>
          <w:rFonts w:ascii="Arial" w:cs="Arial" w:eastAsia="Arial" w:hAnsi="Arial"/>
          <w:sz w:val="17"/>
          <w:szCs w:val="17"/>
          <w:color w:val="auto"/>
        </w:rPr>
        <w:t>As of September 30, 2010, we are in compliance with all our debt covenants relating to the line of credit facility, including those that require the maintenance of certain financial ratios and other financial conditions. These covenants require a minimum ratio of our assets to debt and a minimum ratio of our earnings before interest, taxes and non-cash expenses to fixed charges. These covenants also limit the maximum ratio of our funded debt to tangible net worth. Additionally, we must maintain consolidated net income of not less than $1 for the two most recently ended fiscal quarters. Some of these debt covenants may indirectly limit the repurchase of common stock or payment of dividends on common stock.</w:t>
      </w:r>
    </w:p>
    <w:p>
      <w:pPr>
        <w:spacing w:after="0" w:line="64"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addition to the covenants stated above, our revolving secured warehouse facilities and Term ABS financing contain covenants that measure the performance of the contributed assets. As of September 30, 2010, we were in compliance with all such covenants. As of the end of the quarter, we are also in compliance with our covenants under the Senior Notes Indenture. The Indenture includes covenants that limit the maximum ratio of our funded debt to tangible net worth and also require a minimum collateral coverage ratio.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purchase interest rate cap agreements to manage the interest rate risk on certain borrowings.</w:t>
      </w:r>
    </w:p>
    <w:p>
      <w:pPr>
        <w:spacing w:after="0" w:line="117" w:lineRule="exact"/>
        <w:rPr>
          <w:sz w:val="20"/>
          <w:szCs w:val="20"/>
          <w:color w:val="auto"/>
        </w:rPr>
      </w:pPr>
    </w:p>
    <w:p>
      <w:pPr>
        <w:ind w:right="80" w:firstLine="215"/>
        <w:spacing w:after="0" w:line="279" w:lineRule="auto"/>
        <w:rPr>
          <w:sz w:val="20"/>
          <w:szCs w:val="20"/>
          <w:color w:val="auto"/>
        </w:rPr>
      </w:pPr>
      <w:r>
        <w:rPr>
          <w:rFonts w:ascii="Arial" w:cs="Arial" w:eastAsia="Arial" w:hAnsi="Arial"/>
          <w:sz w:val="17"/>
          <w:szCs w:val="17"/>
          <w:color w:val="auto"/>
        </w:rPr>
        <w:t>As of September 30, 2010, we had interest rate cap agreements to manage the interest rate risk on our $325.0 million revolving secured warehouse facility with various maturities between February 2011 and May 2012. We also had an interest rate cap agreement to manage the interest rate risk on a portion of our $75.0 million revolving secured warehouse facility that ceases to revolve in September 2013. These instruments limit the interest rate on both revolving secured warehouse facilities to 6.75% plus the spread over the LIBOR rate or the commercial paper rate, as applicable.</w:t>
      </w:r>
    </w:p>
    <w:p>
      <w:pPr>
        <w:spacing w:after="0" w:line="63"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As of December 31, 2009, we had interest rate cap agreements to manage the interest rate risk on our $325.0 million revolving secured warehouse facility, as well as on $50.0 million of the $75.0 million revolving secured warehouse facility with various maturities between May 2010 and August 2011. These instruments limit the interest rate on both revolving secured warehouse facilities to 6.75% plus the spread over the LIBOR rate or the commercial paper rate, as applicable.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interest rate caps have not been designated as hedging instruments.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As of September 30, 2010 we had an interest rate swap outstanding, which matures in August 2011, to convert $25.0 million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$75.0 million 2008-2 revolving secured warehouse facility into fixed rate debt, bearing an interest rate of 4.36%. This interest rate swap has been designated as a cash flow hedging instrument.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2009, in addition to the interest rate swap discussed above, the following were also outstanding:</w:t>
      </w:r>
    </w:p>
    <w:p>
      <w:pPr>
        <w:spacing w:after="0" w:line="117" w:lineRule="exact"/>
        <w:rPr>
          <w:sz w:val="20"/>
          <w:szCs w:val="20"/>
          <w:color w:val="auto"/>
        </w:rPr>
      </w:pPr>
    </w:p>
    <w:p>
      <w:pPr>
        <w:jc w:val="both"/>
        <w:ind w:left="900" w:right="260" w:hanging="446"/>
        <w:spacing w:after="0" w:line="264" w:lineRule="auto"/>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 interest rate swap to convert the outstanding balance of the 2008-1 floating rate Term ABS financing, which ceased to revolve on April 15, 2009 and was paid in full during the second quarter of 2010, into fixed rate debt, bearing an interest rate of 6.37%. This interest rate swap was designated as a cash flow hedging instrument.</w:t>
      </w:r>
    </w:p>
    <w:p>
      <w:pPr>
        <w:spacing w:after="0" w:line="86" w:lineRule="exact"/>
        <w:rPr>
          <w:rFonts w:ascii="Arial" w:cs="Arial" w:eastAsia="Arial" w:hAnsi="Arial"/>
          <w:sz w:val="18"/>
          <w:szCs w:val="18"/>
          <w:b w:val="1"/>
          <w:bCs w:val="1"/>
          <w:color w:val="auto"/>
        </w:rPr>
      </w:pPr>
    </w:p>
    <w:p>
      <w:pPr>
        <w:ind w:left="900" w:right="160" w:hanging="446"/>
        <w:spacing w:after="0" w:line="264" w:lineRule="auto"/>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 interest rate swap, also related to the outstanding balance of the 2008-1 floating rate Term ABS financing, that required the counterparties to make a payment depending on our actual debt balance outstanding on the facility relative to our original forecasted balance and on the level of interest rates. This interest rate swap was not designated as a hedging instrument.</w:t>
      </w:r>
    </w:p>
    <w:p>
      <w:pPr>
        <w:spacing w:after="0" w:line="73" w:lineRule="exact"/>
        <w:rPr>
          <w:sz w:val="20"/>
          <w:szCs w:val="20"/>
          <w:color w:val="auto"/>
        </w:rPr>
      </w:pPr>
    </w:p>
    <w:p>
      <w:pPr>
        <w:ind w:right="100" w:firstLine="215"/>
        <w:spacing w:after="0" w:line="308" w:lineRule="auto"/>
        <w:rPr>
          <w:sz w:val="20"/>
          <w:szCs w:val="20"/>
          <w:color w:val="auto"/>
        </w:rPr>
      </w:pPr>
      <w:r>
        <w:rPr>
          <w:rFonts w:ascii="Arial" w:cs="Arial" w:eastAsia="Arial" w:hAnsi="Arial"/>
          <w:sz w:val="17"/>
          <w:szCs w:val="17"/>
          <w:color w:val="auto"/>
        </w:rPr>
        <w:t>At September 30, 2010, we had minimal exposure to credit loss on the outstanding interest rate swap. We do not believe that any reasonably likely change in interest rates would have a materially adverse effect on our financial position, our results of operations or our cash flows.</w:t>
      </w:r>
    </w:p>
    <w:p>
      <w:pPr>
        <w:spacing w:after="0" w:line="38"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Information related to the fair values of derivative instruments in our consolidated balance sheets as of September 30, 2010 and December 31, 2009 is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70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location</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Liability Derivatives</w:t>
            </w:r>
          </w:p>
        </w:tc>
        <w:tc>
          <w:tcPr>
            <w:tcW w:w="3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rate swap</w:t>
            </w:r>
          </w:p>
        </w:tc>
        <w:tc>
          <w:tcPr>
            <w:tcW w:w="36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1"/>
              </w:rPr>
              <w:t>Accounts payable and accrued liabilities</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Asset Derivatives</w:t>
            </w:r>
          </w:p>
        </w:tc>
        <w:tc>
          <w:tcPr>
            <w:tcW w:w="3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Interest rate caps</w:t>
            </w:r>
          </w:p>
        </w:tc>
        <w:tc>
          <w:tcPr>
            <w:tcW w:w="3620" w:type="dxa"/>
            <w:vAlign w:val="bottom"/>
          </w:tcPr>
          <w:p>
            <w:pPr>
              <w:jc w:val="center"/>
              <w:ind w:left="17"/>
              <w:spacing w:after="0"/>
              <w:rPr>
                <w:sz w:val="20"/>
                <w:szCs w:val="20"/>
                <w:color w:val="auto"/>
              </w:rPr>
            </w:pPr>
            <w:r>
              <w:rPr>
                <w:rFonts w:ascii="Arial" w:cs="Arial" w:eastAsia="Arial" w:hAnsi="Arial"/>
                <w:sz w:val="18"/>
                <w:szCs w:val="18"/>
                <w:color w:val="auto"/>
                <w:w w:val="86"/>
              </w:rPr>
              <w:t>Other assets</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 Derivatives</w:t>
            </w:r>
          </w:p>
        </w:tc>
        <w:tc>
          <w:tcPr>
            <w:tcW w:w="3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Liability Derivatives</w:t>
            </w: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3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20" w:type="dxa"/>
            <w:vAlign w:val="bottom"/>
            <w:vMerge w:val="restart"/>
          </w:tcPr>
          <w:p>
            <w:pPr>
              <w:jc w:val="right"/>
              <w:ind w:right="2277"/>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 (Concluded)</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Information related to the effect of derivative instruments designated as hedging instruments on our consolidated income statements for the three and nine months ended September 30, 2010 and 2009 is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2"/>
              </w:rPr>
              <w:t>Loss Recognized in OCI on Derivative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9"/>
          </w:tcPr>
          <w:p>
            <w:pPr>
              <w:jc w:val="center"/>
              <w:ind w:left="885"/>
              <w:spacing w:after="0"/>
              <w:rPr>
                <w:sz w:val="20"/>
                <w:szCs w:val="20"/>
                <w:color w:val="auto"/>
              </w:rPr>
            </w:pPr>
            <w:r>
              <w:rPr>
                <w:rFonts w:ascii="Arial" w:cs="Arial" w:eastAsia="Arial" w:hAnsi="Arial"/>
                <w:sz w:val="14"/>
                <w:szCs w:val="14"/>
                <w:b w:val="1"/>
                <w:bCs w:val="1"/>
                <w:color w:val="auto"/>
                <w:w w:val="91"/>
              </w:rPr>
              <w:t>Loss Reclassified from Accumulated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Derivatives in Cash</w:t>
            </w: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right="700"/>
              <w:spacing w:after="0"/>
              <w:rPr>
                <w:sz w:val="20"/>
                <w:szCs w:val="20"/>
                <w:color w:val="auto"/>
              </w:rPr>
            </w:pPr>
            <w:r>
              <w:rPr>
                <w:rFonts w:ascii="Arial" w:cs="Arial" w:eastAsia="Arial" w:hAnsi="Arial"/>
                <w:sz w:val="14"/>
                <w:szCs w:val="14"/>
                <w:b w:val="1"/>
                <w:bCs w:val="1"/>
                <w:color w:val="auto"/>
                <w:w w:val="94"/>
              </w:rPr>
              <w:t>(Effective Portion)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tcBorders>
              <w:bottom w:val="single" w:sz="8" w:color="auto"/>
            </w:tcBorders>
            <w:gridSpan w:val="9"/>
          </w:tcPr>
          <w:p>
            <w:pPr>
              <w:jc w:val="center"/>
              <w:ind w:left="885"/>
              <w:spacing w:after="0"/>
              <w:rPr>
                <w:sz w:val="20"/>
                <w:szCs w:val="20"/>
                <w:color w:val="auto"/>
              </w:rPr>
            </w:pPr>
            <w:r>
              <w:rPr>
                <w:rFonts w:ascii="Arial" w:cs="Arial" w:eastAsia="Arial" w:hAnsi="Arial"/>
                <w:sz w:val="14"/>
                <w:szCs w:val="14"/>
                <w:b w:val="1"/>
                <w:bCs w:val="1"/>
                <w:color w:val="auto"/>
                <w:w w:val="94"/>
              </w:rPr>
              <w:t>OCI into Income (Effective Portion)</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Flow Hedging</w:t>
            </w:r>
          </w:p>
        </w:tc>
        <w:tc>
          <w:tcPr>
            <w:tcW w:w="2560" w:type="dxa"/>
            <w:vAlign w:val="bottom"/>
            <w:tcBorders>
              <w:bottom w:val="single" w:sz="8" w:color="auto"/>
            </w:tcBorders>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tcBorders>
              <w:bottom w:val="single" w:sz="8" w:color="auto"/>
            </w:tcBorders>
            <w:gridSpan w:val="6"/>
          </w:tcPr>
          <w:p>
            <w:pPr>
              <w:jc w:val="right"/>
              <w:ind w:right="99"/>
              <w:spacing w:after="0" w:line="142" w:lineRule="exact"/>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1000" w:type="dxa"/>
            <w:vAlign w:val="bottom"/>
            <w:gridSpan w:val="2"/>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520" w:type="dxa"/>
            <w:vAlign w:val="bottom"/>
            <w:gridSpan w:val="2"/>
          </w:tcPr>
          <w:p>
            <w:pPr>
              <w:spacing w:after="0"/>
              <w:rPr>
                <w:sz w:val="12"/>
                <w:szCs w:val="12"/>
                <w:color w:val="auto"/>
              </w:rPr>
            </w:pPr>
          </w:p>
        </w:tc>
        <w:tc>
          <w:tcPr>
            <w:tcW w:w="8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426"/>
        </w:trPr>
        <w:tc>
          <w:tcPr>
            <w:tcW w:w="412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1760" w:type="dxa"/>
            <w:vAlign w:val="bottom"/>
            <w:gridSpan w:val="5"/>
          </w:tcPr>
          <w:p>
            <w:pPr>
              <w:ind w:left="11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tcPr>
          <w:p>
            <w:pPr>
              <w:jc w:val="center"/>
              <w:ind w:right="520"/>
              <w:spacing w:after="0"/>
              <w:rPr>
                <w:sz w:val="20"/>
                <w:szCs w:val="20"/>
                <w:color w:val="auto"/>
              </w:rPr>
            </w:pPr>
            <w:r>
              <w:rPr>
                <w:rFonts w:ascii="Arial" w:cs="Arial" w:eastAsia="Arial" w:hAnsi="Arial"/>
                <w:sz w:val="18"/>
                <w:szCs w:val="18"/>
                <w:color w:val="auto"/>
                <w:w w:val="87"/>
              </w:rPr>
              <w:t>Interest expense</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$(68)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219"/>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558"/>
        </w:trPr>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gridSpan w:val="6"/>
          </w:tcPr>
          <w:p>
            <w:pPr>
              <w:jc w:val="center"/>
              <w:ind w:right="880"/>
              <w:spacing w:after="0"/>
              <w:rPr>
                <w:sz w:val="20"/>
                <w:szCs w:val="20"/>
                <w:color w:val="auto"/>
              </w:rPr>
            </w:pPr>
            <w:r>
              <w:rPr>
                <w:rFonts w:ascii="Arial" w:cs="Arial" w:eastAsia="Arial" w:hAnsi="Arial"/>
                <w:sz w:val="14"/>
                <w:szCs w:val="14"/>
                <w:b w:val="1"/>
                <w:bCs w:val="1"/>
                <w:color w:val="auto"/>
                <w:w w:val="94"/>
              </w:rPr>
              <w:t>Gain / (Loss)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9"/>
            <w:vMerge w:val="restart"/>
          </w:tcPr>
          <w:p>
            <w:pPr>
              <w:ind w:left="940"/>
              <w:spacing w:after="0"/>
              <w:rPr>
                <w:sz w:val="20"/>
                <w:szCs w:val="20"/>
                <w:color w:val="auto"/>
              </w:rPr>
            </w:pPr>
            <w:r>
              <w:rPr>
                <w:rFonts w:ascii="Arial" w:cs="Arial" w:eastAsia="Arial" w:hAnsi="Arial"/>
                <w:sz w:val="14"/>
                <w:szCs w:val="14"/>
                <w:b w:val="1"/>
                <w:bCs w:val="1"/>
                <w:color w:val="auto"/>
                <w:w w:val="94"/>
              </w:rPr>
              <w:t>Loss Reclassified from Accumulated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Recognized in OCI on Derivative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gridSpan w:val="9"/>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Derivatives in Cash</w:t>
            </w:r>
          </w:p>
        </w:tc>
        <w:tc>
          <w:tcPr>
            <w:tcW w:w="25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9"/>
          </w:tcPr>
          <w:p>
            <w:pPr>
              <w:ind w:left="940"/>
              <w:spacing w:after="0"/>
              <w:rPr>
                <w:sz w:val="20"/>
                <w:szCs w:val="20"/>
                <w:color w:val="auto"/>
              </w:rPr>
            </w:pPr>
            <w:r>
              <w:rPr>
                <w:rFonts w:ascii="Arial" w:cs="Arial" w:eastAsia="Arial" w:hAnsi="Arial"/>
                <w:sz w:val="14"/>
                <w:szCs w:val="14"/>
                <w:b w:val="1"/>
                <w:bCs w:val="1"/>
                <w:color w:val="auto"/>
              </w:rPr>
              <w:t>OCI into Income (Effective Portion)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Flow Hedging</w:t>
            </w:r>
          </w:p>
        </w:tc>
        <w:tc>
          <w:tcPr>
            <w:tcW w:w="8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gridSpan w:val="6"/>
          </w:tcPr>
          <w:p>
            <w:pPr>
              <w:jc w:val="center"/>
              <w:ind w:right="28"/>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560" w:type="dxa"/>
            <w:vAlign w:val="bottom"/>
            <w:tcBorders>
              <w:top w:val="single" w:sz="8" w:color="auto"/>
              <w:bottom w:val="single" w:sz="8" w:color="auto"/>
            </w:tcBorders>
            <w:gridSpan w:val="6"/>
          </w:tcPr>
          <w:p>
            <w:pPr>
              <w:jc w:val="right"/>
              <w:ind w:right="219"/>
              <w:spacing w:after="0" w:line="142" w:lineRule="exact"/>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98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560" w:type="dxa"/>
            <w:vAlign w:val="bottom"/>
            <w:gridSpan w:val="2"/>
          </w:tcPr>
          <w:p>
            <w:pPr>
              <w:spacing w:after="0"/>
              <w:rPr>
                <w:sz w:val="12"/>
                <w:szCs w:val="12"/>
                <w:color w:val="auto"/>
              </w:rPr>
            </w:pPr>
          </w:p>
        </w:tc>
        <w:tc>
          <w:tcPr>
            <w:tcW w:w="1020" w:type="dxa"/>
            <w:vAlign w:val="bottom"/>
            <w:tcBorders>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5"/>
              <w:spacing w:after="0" w:line="142" w:lineRule="exact"/>
              <w:rPr>
                <w:sz w:val="20"/>
                <w:szCs w:val="20"/>
                <w:color w:val="auto"/>
              </w:rPr>
            </w:pPr>
            <w:r>
              <w:rPr>
                <w:rFonts w:ascii="Arial" w:cs="Arial" w:eastAsia="Arial" w:hAnsi="Arial"/>
                <w:sz w:val="14"/>
                <w:szCs w:val="14"/>
                <w:b w:val="1"/>
                <w:bCs w:val="1"/>
                <w:color w:val="auto"/>
                <w:w w:val="92"/>
              </w:rPr>
              <w:t>Location</w:t>
            </w:r>
          </w:p>
        </w:tc>
        <w:tc>
          <w:tcPr>
            <w:tcW w:w="50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426"/>
        </w:trPr>
        <w:tc>
          <w:tcPr>
            <w:tcW w:w="4120" w:type="dxa"/>
            <w:vAlign w:val="bottom"/>
            <w:gridSpan w:val="4"/>
          </w:tcPr>
          <w:p>
            <w:pPr>
              <w:spacing w:after="0"/>
              <w:rPr>
                <w:sz w:val="20"/>
                <w:szCs w:val="20"/>
                <w:color w:val="auto"/>
              </w:rPr>
            </w:pPr>
            <w:r>
              <w:rPr>
                <w:rFonts w:ascii="Arial" w:cs="Arial" w:eastAsia="Arial" w:hAnsi="Arial"/>
                <w:sz w:val="18"/>
                <w:szCs w:val="18"/>
                <w:color w:val="auto"/>
              </w:rPr>
              <w:t>Interest rate swap</w:t>
            </w:r>
          </w:p>
        </w:tc>
        <w:tc>
          <w:tcPr>
            <w:tcW w:w="680" w:type="dxa"/>
            <w:vAlign w:val="bottom"/>
          </w:tcPr>
          <w:p>
            <w:pPr>
              <w:jc w:val="right"/>
              <w:ind w:right="84"/>
              <w:spacing w:after="0"/>
              <w:rPr>
                <w:sz w:val="20"/>
                <w:szCs w:val="20"/>
                <w:color w:val="auto"/>
              </w:rPr>
            </w:pPr>
            <w:r>
              <w:rPr>
                <w:rFonts w:ascii="Arial" w:cs="Arial" w:eastAsia="Arial" w:hAnsi="Arial"/>
                <w:sz w:val="18"/>
                <w:szCs w:val="18"/>
                <w:color w:val="auto"/>
              </w:rPr>
              <w:t>$528</w:t>
            </w:r>
          </w:p>
        </w:tc>
        <w:tc>
          <w:tcPr>
            <w:tcW w:w="1760" w:type="dxa"/>
            <w:vAlign w:val="bottom"/>
            <w:gridSpan w:val="5"/>
          </w:tcPr>
          <w:p>
            <w:pPr>
              <w:jc w:val="right"/>
              <w:ind w:right="208"/>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4"/>
                <w:szCs w:val="24"/>
                <w:color w:val="auto"/>
              </w:rPr>
            </w:pPr>
          </w:p>
        </w:tc>
        <w:tc>
          <w:tcPr>
            <w:tcW w:w="2180" w:type="dxa"/>
            <w:vAlign w:val="bottom"/>
            <w:gridSpan w:val="6"/>
          </w:tcPr>
          <w:p>
            <w:pPr>
              <w:jc w:val="center"/>
              <w:ind w:right="300"/>
              <w:spacing w:after="0"/>
              <w:rPr>
                <w:sz w:val="20"/>
                <w:szCs w:val="20"/>
                <w:color w:val="auto"/>
              </w:rPr>
            </w:pPr>
            <w:r>
              <w:rPr>
                <w:rFonts w:ascii="Arial" w:cs="Arial" w:eastAsia="Arial" w:hAnsi="Arial"/>
                <w:sz w:val="18"/>
                <w:szCs w:val="18"/>
                <w:color w:val="auto"/>
                <w:w w:val="87"/>
              </w:rPr>
              <w:t>Interest expense</w:t>
            </w:r>
          </w:p>
        </w:tc>
        <w:tc>
          <w:tcPr>
            <w:tcW w:w="840" w:type="dxa"/>
            <w:vAlign w:val="bottom"/>
          </w:tcPr>
          <w:p>
            <w:pPr>
              <w:jc w:val="right"/>
              <w:ind w:right="202"/>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199"/>
              <w:spacing w:after="0"/>
              <w:rPr>
                <w:sz w:val="20"/>
                <w:szCs w:val="20"/>
                <w:color w:val="auto"/>
              </w:rPr>
            </w:pPr>
            <w:r>
              <w:rPr>
                <w:rFonts w:ascii="Arial" w:cs="Arial" w:eastAsia="Arial" w:hAnsi="Arial"/>
                <w:sz w:val="18"/>
                <w:szCs w:val="18"/>
                <w:color w:val="auto"/>
                <w:w w:val="98"/>
              </w:rPr>
              <w:t>$(2,971)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80" w:firstLine="215"/>
        <w:spacing w:after="0" w:line="277" w:lineRule="auto"/>
        <w:rPr>
          <w:sz w:val="20"/>
          <w:szCs w:val="20"/>
          <w:color w:val="auto"/>
        </w:rPr>
      </w:pPr>
      <w:r>
        <w:rPr>
          <w:rFonts w:ascii="Arial" w:cs="Arial" w:eastAsia="Arial" w:hAnsi="Arial"/>
          <w:sz w:val="18"/>
          <w:szCs w:val="18"/>
          <w:color w:val="auto"/>
        </w:rPr>
        <w:t>As of September 30, 2010, we expect to reclassify losses of $0.2 million from accumulated other comprehensive income into income during the next twelve months.</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Information related to the effect of derivative instruments not designated as hedging instruments on our consolidated income statements for the three and nine months ended September 30, 2010 and 2009 is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rPr>
              <w:t>Amount of (Loss) / Gain Recognized in Income on Derivative</w:t>
            </w:r>
          </w:p>
        </w:tc>
        <w:tc>
          <w:tcPr>
            <w:tcW w:w="560" w:type="dxa"/>
            <w:vAlign w:val="bottom"/>
            <w:tcBorders>
              <w:bottom w:val="single" w:sz="8" w:color="auto"/>
            </w:tcBorders>
          </w:tcPr>
          <w:p>
            <w:pPr>
              <w:spacing w:after="0"/>
              <w:rPr>
                <w:sz w:val="14"/>
                <w:szCs w:val="14"/>
                <w:color w:val="auto"/>
              </w:rPr>
            </w:pPr>
          </w:p>
        </w:tc>
        <w:tc>
          <w:tcPr>
            <w:tcW w:w="10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w w:val="70"/>
              </w:rPr>
              <w:t>,</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Three Months Ended September 30,</w:t>
            </w:r>
          </w:p>
        </w:tc>
        <w:tc>
          <w:tcPr>
            <w:tcW w:w="21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Hedging Instruments</w:t>
            </w:r>
          </w:p>
        </w:tc>
        <w:tc>
          <w:tcPr>
            <w:tcW w:w="520" w:type="dxa"/>
            <w:vAlign w:val="bottom"/>
          </w:tcPr>
          <w:p>
            <w:pPr>
              <w:spacing w:after="0"/>
              <w:rPr>
                <w:sz w:val="12"/>
                <w:szCs w:val="12"/>
                <w:color w:val="auto"/>
              </w:rPr>
            </w:pPr>
          </w:p>
        </w:tc>
        <w:tc>
          <w:tcPr>
            <w:tcW w:w="14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9"/>
              </w:rPr>
              <w:t>Interest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5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expense</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rate swap</w:t>
            </w:r>
          </w:p>
        </w:tc>
        <w:tc>
          <w:tcPr>
            <w:tcW w:w="5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Interest expense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9"/>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i w:val="1"/>
          <w:iCs w:val="1"/>
          <w:color w:val="auto"/>
        </w:rPr>
        <w:t xml:space="preserve">Cash and Cash Equivalents and Restricted Cash and Cash Equivalents. </w:t>
      </w:r>
      <w:r>
        <w:rPr>
          <w:rFonts w:ascii="Arial" w:cs="Arial" w:eastAsia="Arial" w:hAnsi="Arial"/>
          <w:sz w:val="18"/>
          <w:szCs w:val="18"/>
          <w:color w:val="auto"/>
        </w:rPr>
        <w:t>The carrying amount of cash and cash equivalents and restricted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approximate their fair value due to the short maturity of these instruments.</w:t>
      </w:r>
    </w:p>
    <w:p>
      <w:pPr>
        <w:spacing w:after="0" w:line="62"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Restricted securities consist of amounts held in trusts by TPAs to pay claims on vehicle service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for which we do not have the intent or ability to hold to maturity are classified as available for sale and stated at fair value. The fair value of restricted securities are based on quoted market values.</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Net Investment in Loans Receivable. </w:t>
      </w:r>
      <w:r>
        <w:rPr>
          <w:rFonts w:ascii="Arial" w:cs="Arial" w:eastAsia="Arial" w:hAnsi="Arial"/>
          <w:sz w:val="18"/>
          <w:szCs w:val="18"/>
          <w:color w:val="auto"/>
        </w:rPr>
        <w:t>Loans receivable, net represents our net investment in Consumer Loans. The fair value is determined by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present value of future Loan payment inflows and Dealer Holdback outflows estimated by us utilizing a discount rate comparable with the rate used to calculate our allowance for credit losses.</w:t>
      </w:r>
    </w:p>
    <w:p>
      <w:pPr>
        <w:spacing w:after="0" w:line="73"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The fair value of interest rate caps and interest rate swaps are based on quoted prices for similar instruments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influenced by a number of factors, including interest rates, amount of debt outstanding, notional amount of the derivative, and number of months until maturity.</w:t>
      </w:r>
    </w:p>
    <w:p>
      <w:pPr>
        <w:spacing w:after="0" w:line="7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The fair value of debt is determined using quoted market prices, if available, or calculated using the estimated value of each debt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current rates offered to us for debt with similar maturities.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comparison of the carrying value and estimated fair value of these financial instruments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0"/>
              </w:rPr>
              <w:t>As of September 30,</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right"/>
              <w:ind w:right="255"/>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Estimated</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71"/>
        </w:trPr>
        <w:tc>
          <w:tcPr>
            <w:tcW w:w="50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1,537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1,537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2,170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58,486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58,486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82,456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securities available for sale</w:t>
            </w:r>
          </w:p>
        </w:tc>
        <w:tc>
          <w:tcPr>
            <w:tcW w:w="26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815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815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3,121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Loans receivable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7"/>
              </w:rPr>
              <w:t>1,176,118</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7"/>
              </w:rPr>
              <w:t>1,182,719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7"/>
              </w:rPr>
              <w:t>1,050,013</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1,056,059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60" w:type="dxa"/>
            <w:vAlign w:val="bottom"/>
          </w:tcPr>
          <w:p>
            <w:pPr>
              <w:spacing w:after="0"/>
              <w:rPr>
                <w:sz w:val="20"/>
                <w:szCs w:val="20"/>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Line of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102,700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102,700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97,300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Secured financing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328,100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331,291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404,597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404,725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Mortgage note</w:t>
            </w:r>
          </w:p>
        </w:tc>
        <w:tc>
          <w:tcPr>
            <w:tcW w:w="26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4,579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4,590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4,744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244,174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262,500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60" w:type="dxa"/>
            <w:vAlign w:val="bottom"/>
          </w:tcPr>
          <w:p>
            <w:pPr>
              <w:spacing w:after="0"/>
              <w:rPr>
                <w:sz w:val="20"/>
                <w:szCs w:val="20"/>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1,445</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pacing w:after="0" w:line="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is based upon quoted prices for identical instruments traded in active markets.</w:t>
      </w:r>
    </w:p>
    <w:p>
      <w:pPr>
        <w:spacing w:after="0" w:line="131" w:lineRule="exact"/>
        <w:rPr>
          <w:sz w:val="20"/>
          <w:szCs w:val="20"/>
          <w:color w:val="auto"/>
        </w:rPr>
      </w:pPr>
    </w:p>
    <w:p>
      <w:pPr>
        <w:ind w:left="720" w:right="40" w:hanging="701"/>
        <w:spacing w:after="0" w:line="277" w:lineRule="auto"/>
        <w:tabs>
          <w:tab w:leader="none" w:pos="700" w:val="left"/>
        </w:tabs>
        <w:rPr>
          <w:sz w:val="20"/>
          <w:szCs w:val="20"/>
          <w:color w:val="auto"/>
        </w:rPr>
      </w:pPr>
      <w:r>
        <w:rPr>
          <w:rFonts w:ascii="Arial" w:cs="Arial" w:eastAsia="Arial" w:hAnsi="Arial"/>
          <w:sz w:val="18"/>
          <w:szCs w:val="18"/>
          <w:color w:val="auto"/>
        </w:rPr>
        <w:t>Level 2</w:t>
        <w:tab/>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76" w:lineRule="exact"/>
        <w:rPr>
          <w:sz w:val="20"/>
          <w:szCs w:val="20"/>
          <w:color w:val="auto"/>
        </w:rPr>
      </w:pPr>
    </w:p>
    <w:p>
      <w:pPr>
        <w:ind w:left="720" w:right="200" w:hanging="701"/>
        <w:spacing w:after="0" w:line="308" w:lineRule="auto"/>
        <w:tabs>
          <w:tab w:leader="none" w:pos="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 — (Concluded)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the fair value measurements of applicable assets and liabilities,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December 31, 2009: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7"/>
              </w:rPr>
              <w:t>As of September 30, 2010</w:t>
            </w:r>
          </w:p>
        </w:tc>
        <w:tc>
          <w:tcPr>
            <w:tcW w:w="9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As of December 31, 2009</w:t>
            </w:r>
          </w:p>
        </w:tc>
        <w:tc>
          <w:tcPr>
            <w:tcW w:w="1080" w:type="dxa"/>
            <w:vAlign w:val="bottom"/>
            <w:tcBorders>
              <w:bottom w:val="single" w:sz="8" w:color="auto"/>
            </w:tcBorders>
          </w:tcPr>
          <w:p>
            <w:pPr>
              <w:spacing w:after="0"/>
              <w:rPr>
                <w:sz w:val="14"/>
                <w:szCs w:val="14"/>
                <w:color w:val="auto"/>
              </w:rPr>
            </w:pPr>
          </w:p>
        </w:tc>
      </w:tr>
      <w:tr>
        <w:trPr>
          <w:trHeight w:val="119"/>
        </w:trPr>
        <w:tc>
          <w:tcPr>
            <w:tcW w:w="3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jc w:val="right"/>
              <w:ind w:right="238"/>
              <w:spacing w:after="0" w:line="119" w:lineRule="exact"/>
              <w:rPr>
                <w:sz w:val="20"/>
                <w:szCs w:val="20"/>
                <w:color w:val="auto"/>
              </w:rPr>
            </w:pPr>
            <w:r>
              <w:rPr>
                <w:rFonts w:ascii="Arial" w:cs="Arial" w:eastAsia="Arial" w:hAnsi="Arial"/>
                <w:sz w:val="13"/>
                <w:szCs w:val="13"/>
                <w:b w:val="1"/>
                <w:bCs w:val="1"/>
                <w:color w:val="auto"/>
              </w:rPr>
              <w:t>Total</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jc w:val="right"/>
              <w:ind w:right="298"/>
              <w:spacing w:after="0" w:line="119" w:lineRule="exact"/>
              <w:rPr>
                <w:sz w:val="20"/>
                <w:szCs w:val="20"/>
                <w:color w:val="auto"/>
              </w:rPr>
            </w:pPr>
            <w:r>
              <w:rPr>
                <w:rFonts w:ascii="Arial" w:cs="Arial" w:eastAsia="Arial" w:hAnsi="Arial"/>
                <w:sz w:val="13"/>
                <w:szCs w:val="13"/>
                <w:b w:val="1"/>
                <w:bCs w:val="1"/>
                <w:color w:val="auto"/>
              </w:rPr>
              <w:t>Total</w:t>
            </w: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(Dollars in thousands)</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58"/>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4"/>
                <w:szCs w:val="14"/>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4"/>
                <w:szCs w:val="14"/>
                <w:color w:val="auto"/>
              </w:rPr>
            </w:pP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jc w:val="right"/>
              <w:ind w:right="138"/>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02"/>
        </w:trPr>
        <w:tc>
          <w:tcPr>
            <w:tcW w:w="3240" w:type="dxa"/>
            <w:vAlign w:val="bottom"/>
          </w:tcPr>
          <w:p>
            <w:pPr>
              <w:ind w:left="220"/>
              <w:spacing w:after="0" w:line="201" w:lineRule="exact"/>
              <w:rPr>
                <w:sz w:val="20"/>
                <w:szCs w:val="20"/>
                <w:color w:val="auto"/>
              </w:rPr>
            </w:pPr>
            <w:r>
              <w:rPr>
                <w:rFonts w:ascii="Arial" w:cs="Arial" w:eastAsia="Arial" w:hAnsi="Arial"/>
                <w:sz w:val="18"/>
                <w:szCs w:val="18"/>
                <w:color w:val="auto"/>
              </w:rPr>
              <w:t>Restricted securities available for</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240" w:type="dxa"/>
            <w:vAlign w:val="bottom"/>
          </w:tcPr>
          <w:p>
            <w:pPr>
              <w:ind w:left="420"/>
              <w:spacing w:after="0"/>
              <w:rPr>
                <w:sz w:val="20"/>
                <w:szCs w:val="20"/>
                <w:color w:val="auto"/>
              </w:rPr>
            </w:pPr>
            <w:r>
              <w:rPr>
                <w:rFonts w:ascii="Arial" w:cs="Arial" w:eastAsia="Arial" w:hAnsi="Arial"/>
                <w:sz w:val="18"/>
                <w:szCs w:val="18"/>
                <w:color w:val="auto"/>
              </w:rPr>
              <w:t>sale</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w w:val="86"/>
              </w:rPr>
              <w:t>815</w:t>
            </w:r>
          </w:p>
        </w:tc>
        <w:tc>
          <w:tcPr>
            <w:tcW w:w="480" w:type="dxa"/>
            <w:vAlign w:val="bottom"/>
          </w:tcPr>
          <w:p>
            <w:pPr>
              <w:spacing w:after="0"/>
              <w:rPr>
                <w:sz w:val="20"/>
                <w:szCs w:val="20"/>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 —</w:t>
            </w:r>
          </w:p>
        </w:tc>
        <w:tc>
          <w:tcPr>
            <w:tcW w:w="940" w:type="dxa"/>
            <w:vAlign w:val="bottom"/>
          </w:tcPr>
          <w:p>
            <w:pPr>
              <w:jc w:val="right"/>
              <w:ind w:right="258"/>
              <w:spacing w:after="0"/>
              <w:rPr>
                <w:sz w:val="20"/>
                <w:szCs w:val="20"/>
                <w:color w:val="auto"/>
              </w:rPr>
            </w:pPr>
            <w:r>
              <w:rPr>
                <w:rFonts w:ascii="Arial" w:cs="Arial" w:eastAsia="Arial" w:hAnsi="Arial"/>
                <w:sz w:val="18"/>
                <w:szCs w:val="18"/>
                <w:color w:val="auto"/>
              </w:rPr>
              <w:t>$815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3,121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8"/>
              <w:spacing w:after="0"/>
              <w:rPr>
                <w:sz w:val="20"/>
                <w:szCs w:val="20"/>
                <w:color w:val="auto"/>
              </w:rPr>
            </w:pPr>
            <w:r>
              <w:rPr>
                <w:rFonts w:ascii="Arial" w:cs="Arial" w:eastAsia="Arial" w:hAnsi="Arial"/>
                <w:sz w:val="18"/>
                <w:szCs w:val="18"/>
                <w:color w:val="auto"/>
              </w:rPr>
              <w:t>$3,121</w:t>
            </w: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82</w:t>
            </w:r>
          </w:p>
        </w:tc>
      </w:tr>
      <w:tr>
        <w:trPr>
          <w:trHeight w:val="432"/>
        </w:trPr>
        <w:tc>
          <w:tcPr>
            <w:tcW w:w="3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$241</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4"/>
              </w:rPr>
              <w:t>1,445</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$1,445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In the normal course of our business, affiliated Dealer-Partners assign Consumer Loans to us under the Portfolio and Purchase Programs. Dealer Loans and Purchased Loans with affiliated Dealer-Partners are on the same terms as those with non-affiliated Dealer-Partners. Affiliated Dealer-Partners are comprised of Dealer-Partners owned or controlled by: (1) our majority shareholder and Chairman; and (2) a member of the Chairman’s immediate family.</w:t>
      </w:r>
    </w:p>
    <w:p>
      <w:pPr>
        <w:spacing w:after="0" w:line="39" w:lineRule="exact"/>
        <w:rPr>
          <w:sz w:val="20"/>
          <w:szCs w:val="20"/>
          <w:color w:val="auto"/>
        </w:rPr>
      </w:pPr>
    </w:p>
    <w:p>
      <w:pPr>
        <w:jc w:val="both"/>
        <w:ind w:right="200" w:firstLine="215"/>
        <w:spacing w:after="0" w:line="264" w:lineRule="auto"/>
        <w:rPr>
          <w:sz w:val="20"/>
          <w:szCs w:val="20"/>
          <w:color w:val="auto"/>
        </w:rPr>
      </w:pPr>
      <w:r>
        <w:rPr>
          <w:rFonts w:ascii="Arial" w:cs="Arial" w:eastAsia="Arial" w:hAnsi="Arial"/>
          <w:sz w:val="18"/>
          <w:szCs w:val="18"/>
          <w:color w:val="auto"/>
        </w:rPr>
        <w:t>Affiliated Dealer Loan balances were $10.0 million and $12.7 million as of September 30, 2010 and December 31, 2009, respectively. Affiliated Dealer Loan balances were 1.0% and 1.5% of total consolidated Dealer Loan balances as of September 30, 2010 and December 31, 2009, respectively. A summary of related party Loan activity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4"/>
          </w:tcPr>
          <w:p>
            <w:pPr>
              <w:jc w:val="center"/>
              <w:ind w:right="388"/>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September 30, 2010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388"/>
              <w:spacing w:after="0"/>
              <w:rPr>
                <w:sz w:val="20"/>
                <w:szCs w:val="20"/>
                <w:color w:val="auto"/>
              </w:rPr>
            </w:pPr>
            <w:r>
              <w:rPr>
                <w:rFonts w:ascii="Arial" w:cs="Arial" w:eastAsia="Arial" w:hAnsi="Arial"/>
                <w:sz w:val="14"/>
                <w:szCs w:val="14"/>
                <w:b w:val="1"/>
                <w:bCs w:val="1"/>
                <w:color w:val="auto"/>
                <w:w w:val="91"/>
              </w:rPr>
              <w:t>September 30,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Affiliated</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Affiliated</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Dealer-Partner</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Dealer-Partner</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activity</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activity</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Dealer and Purchased Loans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$477</w:t>
            </w:r>
          </w:p>
        </w:tc>
        <w:tc>
          <w:tcPr>
            <w:tcW w:w="14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0.2%</w:t>
            </w:r>
          </w:p>
        </w:tc>
        <w:tc>
          <w:tcPr>
            <w:tcW w:w="1700" w:type="dxa"/>
            <w:vAlign w:val="bottom"/>
            <w:gridSpan w:val="5"/>
            <w:shd w:val="clear" w:color="auto" w:fill="CCEEFF"/>
          </w:tcPr>
          <w:p>
            <w:pPr>
              <w:jc w:val="right"/>
              <w:ind w:right="302"/>
              <w:spacing w:after="0"/>
              <w:rPr>
                <w:sz w:val="20"/>
                <w:szCs w:val="20"/>
                <w:color w:val="auto"/>
              </w:rPr>
            </w:pPr>
            <w:r>
              <w:rPr>
                <w:rFonts w:ascii="Arial" w:cs="Arial" w:eastAsia="Arial" w:hAnsi="Arial"/>
                <w:sz w:val="18"/>
                <w:szCs w:val="18"/>
                <w:color w:val="auto"/>
              </w:rPr>
              <w:t>$1,244</w:t>
            </w:r>
          </w:p>
        </w:tc>
        <w:tc>
          <w:tcPr>
            <w:tcW w:w="1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5820" w:type="dxa"/>
            <w:vAlign w:val="bottom"/>
            <w:gridSpan w:val="3"/>
          </w:tcPr>
          <w:p>
            <w:pPr>
              <w:spacing w:after="0"/>
              <w:rPr>
                <w:sz w:val="20"/>
                <w:szCs w:val="20"/>
                <w:color w:val="auto"/>
              </w:rPr>
            </w:pPr>
            <w:r>
              <w:rPr>
                <w:rFonts w:ascii="Arial" w:cs="Arial" w:eastAsia="Arial" w:hAnsi="Arial"/>
                <w:sz w:val="18"/>
                <w:szCs w:val="18"/>
                <w:color w:val="auto"/>
              </w:rPr>
              <w:t>Dealer Loan revenue</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$715</w:t>
            </w:r>
          </w:p>
        </w:tc>
        <w:tc>
          <w:tcPr>
            <w:tcW w:w="1420" w:type="dxa"/>
            <w:vAlign w:val="bottom"/>
            <w:gridSpan w:val="4"/>
          </w:tcPr>
          <w:p>
            <w:pPr>
              <w:ind w:left="860"/>
              <w:spacing w:after="0"/>
              <w:rPr>
                <w:sz w:val="20"/>
                <w:szCs w:val="20"/>
                <w:color w:val="auto"/>
              </w:rPr>
            </w:pPr>
            <w:r>
              <w:rPr>
                <w:rFonts w:ascii="Arial" w:cs="Arial" w:eastAsia="Arial" w:hAnsi="Arial"/>
                <w:sz w:val="18"/>
                <w:szCs w:val="18"/>
                <w:color w:val="auto"/>
              </w:rPr>
              <w:t>0.9%</w:t>
            </w:r>
          </w:p>
        </w:tc>
        <w:tc>
          <w:tcPr>
            <w:tcW w:w="980" w:type="dxa"/>
            <w:vAlign w:val="bottom"/>
            <w:gridSpan w:val="4"/>
          </w:tcPr>
          <w:p>
            <w:pPr>
              <w:ind w:left="8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2"/>
              <w:spacing w:after="0"/>
              <w:rPr>
                <w:sz w:val="20"/>
                <w:szCs w:val="20"/>
                <w:color w:val="auto"/>
              </w:rPr>
            </w:pPr>
            <w:r>
              <w:rPr>
                <w:rFonts w:ascii="Arial" w:cs="Arial" w:eastAsia="Arial" w:hAnsi="Arial"/>
                <w:sz w:val="18"/>
                <w:szCs w:val="18"/>
                <w:color w:val="auto"/>
              </w:rPr>
              <w:t>921</w:t>
            </w:r>
          </w:p>
        </w:tc>
        <w:tc>
          <w:tcPr>
            <w:tcW w:w="1420" w:type="dxa"/>
            <w:vAlign w:val="bottom"/>
            <w:gridSpan w:val="3"/>
          </w:tcPr>
          <w:p>
            <w:pPr>
              <w:jc w:val="right"/>
              <w:ind w:right="10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Dealer Holdback payments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$415</w:t>
            </w:r>
          </w:p>
        </w:tc>
        <w:tc>
          <w:tcPr>
            <w:tcW w:w="14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360</w:t>
            </w:r>
          </w:p>
        </w:tc>
        <w:tc>
          <w:tcPr>
            <w:tcW w:w="1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gridSpan w:val="4"/>
          </w:tcPr>
          <w:p>
            <w:pPr>
              <w:jc w:val="center"/>
              <w:ind w:right="388"/>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September 30, 2010</w:t>
            </w:r>
          </w:p>
        </w:tc>
        <w:tc>
          <w:tcPr>
            <w:tcW w:w="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388"/>
              <w:spacing w:after="0"/>
              <w:rPr>
                <w:sz w:val="20"/>
                <w:szCs w:val="20"/>
                <w:color w:val="auto"/>
              </w:rPr>
            </w:pPr>
            <w:r>
              <w:rPr>
                <w:rFonts w:ascii="Arial" w:cs="Arial" w:eastAsia="Arial" w:hAnsi="Arial"/>
                <w:sz w:val="14"/>
                <w:szCs w:val="14"/>
                <w:b w:val="1"/>
                <w:bCs w:val="1"/>
                <w:color w:val="auto"/>
                <w:w w:val="91"/>
              </w:rPr>
              <w:t>September 30,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Affiliated</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Affiliated</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Dealer-Partner</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Dealer-Partner</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activity</w:t>
            </w:r>
          </w:p>
        </w:tc>
        <w:tc>
          <w:tcPr>
            <w:tcW w:w="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activity</w:t>
            </w:r>
          </w:p>
        </w:tc>
        <w:tc>
          <w:tcPr>
            <w:tcW w:w="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Dealer and Purchased Loans</w:t>
            </w:r>
          </w:p>
        </w:tc>
        <w:tc>
          <w:tcPr>
            <w:tcW w:w="1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$2,774</w:t>
            </w:r>
          </w:p>
        </w:tc>
        <w:tc>
          <w:tcPr>
            <w:tcW w:w="142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0.4%</w:t>
            </w:r>
          </w:p>
        </w:tc>
        <w:tc>
          <w:tcPr>
            <w:tcW w:w="170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$4,865</w:t>
            </w:r>
          </w:p>
        </w:tc>
        <w:tc>
          <w:tcPr>
            <w:tcW w:w="1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5820" w:type="dxa"/>
            <w:vAlign w:val="bottom"/>
            <w:gridSpan w:val="3"/>
          </w:tcPr>
          <w:p>
            <w:pPr>
              <w:spacing w:after="0"/>
              <w:rPr>
                <w:sz w:val="20"/>
                <w:szCs w:val="20"/>
                <w:color w:val="auto"/>
              </w:rPr>
            </w:pPr>
            <w:r>
              <w:rPr>
                <w:rFonts w:ascii="Arial" w:cs="Arial" w:eastAsia="Arial" w:hAnsi="Arial"/>
                <w:sz w:val="18"/>
                <w:szCs w:val="18"/>
                <w:color w:val="auto"/>
              </w:rPr>
              <w:t>Dealer Loan revenue</w:t>
            </w:r>
          </w:p>
        </w:tc>
        <w:tc>
          <w:tcPr>
            <w:tcW w:w="1060" w:type="dxa"/>
            <w:vAlign w:val="bottom"/>
          </w:tcPr>
          <w:p>
            <w:pPr>
              <w:ind w:left="220"/>
              <w:spacing w:after="0"/>
              <w:rPr>
                <w:sz w:val="20"/>
                <w:szCs w:val="20"/>
                <w:color w:val="auto"/>
              </w:rPr>
            </w:pPr>
            <w:r>
              <w:rPr>
                <w:rFonts w:ascii="Arial" w:cs="Arial" w:eastAsia="Arial" w:hAnsi="Arial"/>
                <w:sz w:val="18"/>
                <w:szCs w:val="18"/>
                <w:color w:val="auto"/>
              </w:rPr>
              <w:t>$2,363</w:t>
            </w:r>
          </w:p>
        </w:tc>
        <w:tc>
          <w:tcPr>
            <w:tcW w:w="1420" w:type="dxa"/>
            <w:vAlign w:val="bottom"/>
            <w:gridSpan w:val="4"/>
          </w:tcPr>
          <w:p>
            <w:pPr>
              <w:jc w:val="right"/>
              <w:ind w:right="88"/>
              <w:spacing w:after="0"/>
              <w:rPr>
                <w:sz w:val="20"/>
                <w:szCs w:val="20"/>
                <w:color w:val="auto"/>
              </w:rPr>
            </w:pPr>
            <w:r>
              <w:rPr>
                <w:rFonts w:ascii="Arial" w:cs="Arial" w:eastAsia="Arial" w:hAnsi="Arial"/>
                <w:sz w:val="18"/>
                <w:szCs w:val="18"/>
                <w:color w:val="auto"/>
              </w:rPr>
              <w:t>1.1%</w:t>
            </w:r>
          </w:p>
        </w:tc>
        <w:tc>
          <w:tcPr>
            <w:tcW w:w="1700" w:type="dxa"/>
            <w:vAlign w:val="bottom"/>
            <w:gridSpan w:val="5"/>
          </w:tcPr>
          <w:p>
            <w:pPr>
              <w:ind w:left="820"/>
              <w:spacing w:after="0"/>
              <w:rPr>
                <w:sz w:val="20"/>
                <w:szCs w:val="20"/>
                <w:color w:val="auto"/>
              </w:rPr>
            </w:pPr>
            <w:r>
              <w:rPr>
                <w:rFonts w:ascii="Arial" w:cs="Arial" w:eastAsia="Arial" w:hAnsi="Arial"/>
                <w:sz w:val="18"/>
                <w:szCs w:val="18"/>
                <w:color w:val="auto"/>
              </w:rPr>
              <w:t>$2,827</w:t>
            </w:r>
          </w:p>
        </w:tc>
        <w:tc>
          <w:tcPr>
            <w:tcW w:w="1420" w:type="dxa"/>
            <w:vAlign w:val="bottom"/>
            <w:gridSpan w:val="3"/>
          </w:tcPr>
          <w:p>
            <w:pPr>
              <w:jc w:val="right"/>
              <w:ind w:right="10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Dealer Holdback payments</w:t>
            </w:r>
          </w:p>
        </w:tc>
        <w:tc>
          <w:tcPr>
            <w:tcW w:w="1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$1,474</w:t>
            </w:r>
          </w:p>
        </w:tc>
        <w:tc>
          <w:tcPr>
            <w:tcW w:w="142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4.4%</w:t>
            </w:r>
          </w:p>
        </w:tc>
        <w:tc>
          <w:tcPr>
            <w:tcW w:w="170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$1,425</w:t>
            </w:r>
          </w:p>
        </w:tc>
        <w:tc>
          <w:tcPr>
            <w:tcW w:w="1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 w:firstLine="225"/>
        <w:spacing w:after="0" w:line="342" w:lineRule="auto"/>
        <w:rPr>
          <w:sz w:val="20"/>
          <w:szCs w:val="20"/>
          <w:color w:val="auto"/>
        </w:rPr>
      </w:pPr>
      <w:r>
        <w:rPr>
          <w:rFonts w:ascii="Arial" w:cs="Arial" w:eastAsia="Arial" w:hAnsi="Arial"/>
          <w:sz w:val="16"/>
          <w:szCs w:val="16"/>
          <w:color w:val="auto"/>
        </w:rPr>
        <w:t>Our majority shareholder and Chairman has indirect control over entities that, in the past, offered secured lines of credit to automobile dealers, and has the right or obligation to reacquire these entities under certain circumstances until December 31, 2014 or the repayment of the related purchase money note.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480" w:firstLine="215"/>
        <w:spacing w:after="0" w:line="277" w:lineRule="auto"/>
        <w:rPr>
          <w:sz w:val="20"/>
          <w:szCs w:val="20"/>
          <w:color w:val="auto"/>
        </w:rPr>
      </w:pPr>
      <w:r>
        <w:rPr>
          <w:rFonts w:ascii="Arial" w:cs="Arial" w:eastAsia="Arial" w:hAnsi="Arial"/>
          <w:sz w:val="18"/>
          <w:szCs w:val="18"/>
          <w:color w:val="auto"/>
        </w:rPr>
        <w:t>A reconciliation of the U.S. federal statutory rate to our effective tax rate, excluding the results of the discontinued United Kingdom operations,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8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State income taxes</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74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reserve for uncertain tax positions as a result of settlements and</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lapsed statutes</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differences between the U.S. federal statutory rate and our effective tax rate are primarily due to state income taxes and reserves for uncertain tax positions and related interest and penalties that are included in the provision for income taxes. The increase in the effective tax rate for the three months ended September 30, 2010 as compared to the same period in 2009, is primarily due to a decrease in the reserve for uncertain tax positions and related interest recorded during the third quarter of 2009. The decrease in the effective tax rate for the nine months ended September 30, 2010, as compared to the same period in 2009, is primarily due to a settlement of the Internal Revenue Service (“IRS”) audit detailed below and related adjustments to accrued tax reserves and interest.</w:t>
      </w:r>
    </w:p>
    <w:p>
      <w:pPr>
        <w:spacing w:after="0" w:line="85" w:lineRule="exact"/>
        <w:rPr>
          <w:sz w:val="20"/>
          <w:szCs w:val="20"/>
          <w:color w:val="auto"/>
        </w:rPr>
      </w:pPr>
    </w:p>
    <w:p>
      <w:pPr>
        <w:ind w:right="180" w:firstLine="222"/>
        <w:spacing w:after="0" w:line="293" w:lineRule="auto"/>
        <w:rPr>
          <w:sz w:val="20"/>
          <w:szCs w:val="20"/>
          <w:color w:val="auto"/>
        </w:rPr>
      </w:pPr>
      <w:r>
        <w:rPr>
          <w:rFonts w:ascii="Arial" w:cs="Arial" w:eastAsia="Arial" w:hAnsi="Arial"/>
          <w:sz w:val="16"/>
          <w:szCs w:val="16"/>
          <w:color w:val="auto"/>
        </w:rPr>
        <w:t>The federal income tax returns for 2004 through 2008 had been under examination by the IRS. On June 7, 2010, we reached a settlement with the IRS which closed our 2004 through 2008 tax years. As a result of the settlement, we agreed to pay a total of $7.6 million in federal and state taxes and interest related to these years. The settlement includes $6.2 million of taxes that represent an acceleration of taxes already provided for in prior periods and the payment did not have an impact on our net income during the reporting periods. We also concluded that all 2004 through 2008 uncertain federal jurisdiction tax positions taken in previous periods are effectively settled and we recorded a reversal of corresponding accrued reserves and interest. This reversal had a favorable impact of $6.2 million (after-tax) on our net income for the nine month period ended September 30, 2010.</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is a summary of changes in unrecognized tax benefits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0080" w:type="dxa"/>
            <w:vAlign w:val="bottom"/>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2010</w:t>
            </w:r>
          </w:p>
        </w:tc>
        <w:tc>
          <w:tcPr>
            <w:tcW w:w="100" w:type="dxa"/>
            <w:vAlign w:val="bottom"/>
            <w:gridSpan w:val="2"/>
          </w:tcPr>
          <w:p>
            <w:pPr>
              <w:spacing w:after="0"/>
              <w:rPr>
                <w:sz w:val="14"/>
                <w:szCs w:val="14"/>
                <w:color w:val="auto"/>
              </w:rPr>
            </w:pP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January 1, 2010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11,830</w:t>
            </w:r>
          </w:p>
        </w:tc>
        <w:tc>
          <w:tcPr>
            <w:tcW w:w="80" w:type="dxa"/>
            <w:vAlign w:val="bottom"/>
            <w:shd w:val="clear" w:color="auto" w:fill="CCEEFF"/>
          </w:tcPr>
          <w:p>
            <w:pPr>
              <w:spacing w:after="0"/>
              <w:rPr>
                <w:sz w:val="18"/>
                <w:szCs w:val="18"/>
                <w:color w:val="auto"/>
              </w:rPr>
            </w:pPr>
          </w:p>
        </w:tc>
      </w:tr>
      <w:tr>
        <w:trPr>
          <w:trHeight w:val="216"/>
        </w:trPr>
        <w:tc>
          <w:tcPr>
            <w:tcW w:w="1008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current year</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8"/>
                <w:szCs w:val="18"/>
                <w:color w:val="auto"/>
              </w:rPr>
            </w:pPr>
          </w:p>
        </w:tc>
      </w:tr>
      <w:tr>
        <w:trPr>
          <w:trHeight w:val="216"/>
        </w:trPr>
        <w:tc>
          <w:tcPr>
            <w:tcW w:w="10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 in tax positions of prior years</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1008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(5,813)</w:t>
            </w:r>
          </w:p>
        </w:tc>
      </w:tr>
      <w:tr>
        <w:trPr>
          <w:trHeight w:val="216"/>
        </w:trPr>
        <w:tc>
          <w:tcPr>
            <w:tcW w:w="10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as a result of a lapse of the statute of limitations</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23"/>
        </w:trPr>
        <w:tc>
          <w:tcPr>
            <w:tcW w:w="10080" w:type="dxa"/>
            <w:vAlign w:val="bottom"/>
          </w:tcPr>
          <w:p>
            <w:pPr>
              <w:spacing w:after="0"/>
              <w:rPr>
                <w:sz w:val="20"/>
                <w:szCs w:val="20"/>
                <w:color w:val="auto"/>
              </w:rPr>
            </w:pPr>
            <w:r>
              <w:rPr>
                <w:rFonts w:ascii="Arial" w:cs="Arial" w:eastAsia="Arial" w:hAnsi="Arial"/>
                <w:sz w:val="18"/>
                <w:szCs w:val="18"/>
                <w:color w:val="auto"/>
              </w:rPr>
              <w:t>Unrecognized tax benefits at September 30, 2010</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total amount of unrecognized tax benefit that, if recognized, would favorably affect the effective income tax rate in future periods, was approximately $6.6 million as of September 30, 2010. Accrued interest and penalties related to uncertain tax positions were $1.4 million and $3.9 million as of September 30, 2010 and December 31, 2009,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TRANSACTIONS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Basic net income per share has been computed by dividing net income by the basic number of common shares outstanding. Diluted net income per share has been computed by dividing net income by the diluted number of common and common equivalent shares outstanding using the treasury stock method. The share effect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2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and common equivalent shares outstanding:</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Basic number of common shares outstanding</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28,063,104</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30,658,969</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30,081,696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30,540,274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319,521</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639,426</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351,629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Dilutive effect of restricted stock and restricted stock units</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69,096</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240,724</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106,825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218,144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Dilutive number of common and common equivalent shares outstanding</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28,451,721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31,539,119</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30,540,150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31,370,580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There were no stock options, restricted stock or restricted stock units that would be anti-dilutive for the three and nine months ended September 30, 2010 and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Tender Offer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second quarter of 2010, we commenced a tender offer to repurchase up to 4.0 million shares of our outstanding common stock at a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$50.00 per share. Upon expiration of the tender offer during the third quarter of 2010, we repurchased 4.0 million common shares at a cost of $200.0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included approximately 2.9 million shares beneficially owned by Donald A. Foss, our Chairman of the Board, and approximately 0.8 million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beneficially owned by the trustee of certain grantor retained annuity trusts created by Mr. Foss. We financed the repurchase of our common stock in the tender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by borrowing under our $170.0 million revolving secured line of credit facility and $325.0 million revolving secured warehouse facility.</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Stock Compensation Plans</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Pursuant to our Amended and Restated Incentive Compensation Plan (the “Incentive Plan”), the number of shares reserved for granting of restricted stock, restricted stock units, stock options, and performance awards to team members, officers, directors, and contractors at any time prior to April 6, 2019 is 1.5 million shares. The shares available for future grants under the Incentive Plan totaled 326,920 as of September 30, 2010.</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summary of the restricted stock activity under the Incentive Plan for the nine months ended September 30, 2010 and 2009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4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4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Balance</w:t>
            </w:r>
          </w:p>
        </w:tc>
        <w:tc>
          <w:tcPr>
            <w:tcW w:w="4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242,277</w:t>
            </w:r>
          </w:p>
        </w:tc>
        <w:tc>
          <w:tcPr>
            <w:tcW w:w="7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Granted</w:t>
            </w:r>
          </w:p>
        </w:tc>
        <w:tc>
          <w:tcPr>
            <w:tcW w:w="6600" w:type="dxa"/>
            <w:vAlign w:val="bottom"/>
            <w:gridSpan w:val="4"/>
          </w:tcPr>
          <w:p>
            <w:pPr>
              <w:jc w:val="right"/>
              <w:ind w:right="700"/>
              <w:spacing w:after="0"/>
              <w:rPr>
                <w:sz w:val="20"/>
                <w:szCs w:val="20"/>
                <w:color w:val="auto"/>
              </w:rPr>
            </w:pPr>
            <w:r>
              <w:rPr>
                <w:rFonts w:ascii="Arial" w:cs="Arial" w:eastAsia="Arial" w:hAnsi="Arial"/>
                <w:sz w:val="18"/>
                <w:szCs w:val="18"/>
                <w:color w:val="auto"/>
              </w:rPr>
              <w:t>19,183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6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(142,682)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Forfeited</w:t>
            </w:r>
          </w:p>
        </w:tc>
        <w:tc>
          <w:tcPr>
            <w:tcW w:w="5140" w:type="dxa"/>
            <w:vAlign w:val="bottom"/>
            <w:gridSpan w:val="2"/>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(6,320)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Ending Balance</w:t>
            </w:r>
          </w:p>
        </w:tc>
        <w:tc>
          <w:tcPr>
            <w:tcW w:w="5140" w:type="dxa"/>
            <w:vAlign w:val="bottom"/>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112,458</w:t>
            </w:r>
          </w:p>
        </w:tc>
        <w:tc>
          <w:tcPr>
            <w:tcW w:w="7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560" w:type="dxa"/>
            <w:vAlign w:val="bottom"/>
            <w:vMerge w:val="restart"/>
          </w:tcPr>
          <w:p>
            <w:pPr>
              <w:jc w:val="right"/>
              <w:ind w:right="263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TRANSACTIONS — (Concluded)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summary of the restricted stock unit activity under the Incentive Plan for the nine months ended September 30, 2010 and 2009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Nonvested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5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Grant-Date</w:t>
            </w:r>
          </w:p>
        </w:tc>
        <w:tc>
          <w:tcPr>
            <w:tcW w:w="1460" w:type="dxa"/>
            <w:vAlign w:val="bottom"/>
            <w:gridSpan w:val="2"/>
            <w:vMerge w:val="continue"/>
          </w:tcPr>
          <w:p>
            <w:pPr>
              <w:spacing w:after="0"/>
              <w:rPr>
                <w:sz w:val="12"/>
                <w:szCs w:val="12"/>
                <w:color w:val="auto"/>
              </w:rPr>
            </w:pPr>
          </w:p>
        </w:tc>
        <w:tc>
          <w:tcPr>
            <w:tcW w:w="142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Grant-Date</w:t>
            </w: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2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Units</w:t>
            </w: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Per Share</w:t>
            </w: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Per Share</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648,250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768,250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3"/>
          </w:tcPr>
          <w:p>
            <w:pPr>
              <w:jc w:val="right"/>
              <w:ind w:right="580"/>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39.89</w:t>
            </w:r>
          </w:p>
        </w:tc>
        <w:tc>
          <w:tcPr>
            <w:tcW w:w="5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32,500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(149,650)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Forfeited</w:t>
            </w:r>
          </w:p>
        </w:tc>
        <w:tc>
          <w:tcPr>
            <w:tcW w:w="4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39.89</w:t>
            </w:r>
          </w:p>
        </w:tc>
        <w:tc>
          <w:tcPr>
            <w:tcW w:w="5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521,100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269,650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790,750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Nonvested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5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Grant-Date</w:t>
            </w:r>
          </w:p>
        </w:tc>
        <w:tc>
          <w:tcPr>
            <w:tcW w:w="1460" w:type="dxa"/>
            <w:vAlign w:val="bottom"/>
            <w:gridSpan w:val="2"/>
            <w:vMerge w:val="continue"/>
          </w:tcPr>
          <w:p>
            <w:pPr>
              <w:spacing w:after="0"/>
              <w:rPr>
                <w:sz w:val="12"/>
                <w:szCs w:val="12"/>
                <w:color w:val="auto"/>
              </w:rPr>
            </w:pPr>
          </w:p>
        </w:tc>
        <w:tc>
          <w:tcPr>
            <w:tcW w:w="142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Grant-Date</w:t>
            </w: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2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Units</w:t>
            </w: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Per Share</w:t>
            </w: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Per Share</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3"/>
          </w:tcPr>
          <w:p>
            <w:pPr>
              <w:jc w:val="right"/>
              <w:ind w:right="580"/>
              <w:spacing w:after="0"/>
              <w:rPr>
                <w:sz w:val="20"/>
                <w:szCs w:val="20"/>
                <w:color w:val="auto"/>
              </w:rPr>
            </w:pPr>
            <w:r>
              <w:rPr>
                <w:rFonts w:ascii="Arial" w:cs="Arial" w:eastAsia="Arial" w:hAnsi="Arial"/>
                <w:sz w:val="18"/>
                <w:szCs w:val="18"/>
                <w:color w:val="auto"/>
              </w:rPr>
              <w:t>100,750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23.89</w:t>
            </w:r>
          </w:p>
        </w:tc>
        <w:tc>
          <w:tcPr>
            <w:tcW w:w="5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100,750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Forfeited</w:t>
            </w:r>
          </w:p>
        </w:tc>
        <w:tc>
          <w:tcPr>
            <w:tcW w:w="4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13.51</w:t>
            </w:r>
          </w:p>
        </w:tc>
        <w:tc>
          <w:tcPr>
            <w:tcW w:w="5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2009</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660,750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780,750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any vested restricted stock units is February 22, 2017.</w:t>
      </w:r>
    </w:p>
    <w:p>
      <w:pPr>
        <w:spacing w:after="0" w:line="76" w:lineRule="exact"/>
        <w:rPr>
          <w:rFonts w:ascii="Arial" w:cs="Arial" w:eastAsia="Arial" w:hAnsi="Arial"/>
          <w:sz w:val="18"/>
          <w:szCs w:val="18"/>
          <w:i w:val="1"/>
          <w:iCs w:val="1"/>
          <w:color w:val="auto"/>
        </w:rPr>
      </w:pPr>
    </w:p>
    <w:p>
      <w:pPr>
        <w:ind w:left="460" w:right="100" w:hanging="452"/>
        <w:spacing w:after="0" w:line="277"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vested restricted stock units is February 22, 2014 for 60,000 restricted stock units and February 22, 2016 for 89,650 restricted stock units.</w:t>
      </w:r>
    </w:p>
    <w:p>
      <w:pPr>
        <w:spacing w:after="0" w:line="21" w:lineRule="exact"/>
        <w:rPr>
          <w:rFonts w:ascii="Arial" w:cs="Arial" w:eastAsia="Arial" w:hAnsi="Arial"/>
          <w:sz w:val="18"/>
          <w:szCs w:val="18"/>
          <w:i w:val="1"/>
          <w:iCs w:val="1"/>
          <w:color w:val="auto"/>
        </w:rPr>
      </w:pPr>
    </w:p>
    <w:p>
      <w:pPr>
        <w:ind w:left="460" w:right="100" w:hanging="452"/>
        <w:spacing w:after="0" w:line="277"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vested restricted stock units is February 22, 2016 for 80,750 restricted stock units and February 22, 2017 for 20,000 restricted stock units.</w:t>
      </w:r>
    </w:p>
    <w:p>
      <w:pPr>
        <w:spacing w:after="0" w:line="21" w:lineRule="exact"/>
        <w:rPr>
          <w:rFonts w:ascii="Arial" w:cs="Arial" w:eastAsia="Arial" w:hAnsi="Arial"/>
          <w:sz w:val="18"/>
          <w:szCs w:val="18"/>
          <w:i w:val="1"/>
          <w:iCs w:val="1"/>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vested restricted stock units is February 22, 2014.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compensation expense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60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vMerge w:val="restart"/>
          </w:tcPr>
          <w:p>
            <w:pPr>
              <w:jc w:val="right"/>
              <w:ind w:right="650"/>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INFORMATION</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We have two reportable business segments: United States and Other. The United States segment is our dominant segment and primarily consists of the United States automobile financing business. The Other segment consists of businesses in liquidation.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Selected segment information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620" w:type="dxa"/>
            <w:vAlign w:val="bottom"/>
            <w:gridSpan w:val="5"/>
          </w:tcPr>
          <w:p>
            <w:pPr>
              <w:jc w:val="right"/>
              <w:ind w:right="20"/>
              <w:spacing w:after="0"/>
              <w:rPr>
                <w:sz w:val="20"/>
                <w:szCs w:val="20"/>
                <w:color w:val="auto"/>
              </w:rPr>
            </w:pPr>
            <w:r>
              <w:rPr>
                <w:rFonts w:ascii="Arial" w:cs="Arial" w:eastAsia="Arial" w:hAnsi="Arial"/>
                <w:sz w:val="18"/>
                <w:szCs w:val="18"/>
                <w:color w:val="auto"/>
              </w:rPr>
              <w:t>$ 111,660</w:t>
            </w:r>
          </w:p>
        </w:tc>
        <w:tc>
          <w:tcPr>
            <w:tcW w:w="6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w w:val="86"/>
              </w:rPr>
              <w:t>100,264</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$ 326,699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$ 280,525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$ 111,661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100,268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$ 326,702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$ 280,529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2"/>
              </w:rPr>
              <w:t>Income (loss) from continuing operations before provision for income taxes:</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0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65,173</w:t>
            </w:r>
          </w:p>
        </w:tc>
        <w:tc>
          <w:tcPr>
            <w:tcW w:w="6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62,244</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$ 184,311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$ 165,208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w w:val="94"/>
              </w:rPr>
              <w:t>Total income from continuing operations before provision for income taxes</w:t>
            </w:r>
          </w:p>
        </w:tc>
        <w:tc>
          <w:tcPr>
            <w:tcW w:w="9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65,196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62,303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$ 184,289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$ 165,332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September 30, 2010</w:t>
            </w:r>
          </w:p>
        </w:tc>
        <w:tc>
          <w:tcPr>
            <w:tcW w:w="12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1,284,220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1,175,550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1,284,285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COMPREHENSIVE INCOME</w:t>
            </w: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Our comprehensive income information is set forth below:</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42,047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40,734</w:t>
            </w:r>
          </w:p>
        </w:tc>
        <w:tc>
          <w:tcPr>
            <w:tcW w:w="1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$ 123,097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Unrealized (loss) gain on securities available for sale, net of tax</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gain on interest rate swap, net of tax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1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42,031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41,085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$ 123,859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$ 107,192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vMerge w:val="restart"/>
          </w:tcPr>
          <w:p>
            <w:pPr>
              <w:jc w:val="right"/>
              <w:ind w:right="610"/>
              <w:spacing w:after="0"/>
              <w:rPr>
                <w:sz w:val="20"/>
                <w:szCs w:val="20"/>
                <w:color w:val="auto"/>
              </w:rPr>
            </w:pPr>
            <w:r>
              <w:rPr>
                <w:rFonts w:ascii="Arial" w:cs="Arial" w:eastAsia="Arial" w:hAnsi="Arial"/>
                <w:sz w:val="18"/>
                <w:szCs w:val="18"/>
                <w:color w:val="auto"/>
                <w:w w:val="99"/>
              </w:rPr>
              <w:t>25</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included in Item 8 — Financial Statements and Supplementary Data, of our 2009 Annual Report on Form 10-K, as well as Item 1- Consolidated Financial Statements, of this Form 10-Q, which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We provide auto loans to consumers regardless of their credit history. Our product is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121"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Critical success factors include our ability to access capital on acceptable terms, accurately forecast Consumer Loan performance, and maintain or grow Consumer Loan volume at the level and on the terms that we anticipate, with an objective to maximize economic profit. Economic profit is a financial metric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Capital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strategy for accessing capital on acceptable terms needed to maintain and grow the business is to: (1) maintain consistent financial performance;</w:t>
      </w:r>
    </w:p>
    <w:p>
      <w:pPr>
        <w:spacing w:after="0" w:line="46" w:lineRule="exact"/>
        <w:rPr>
          <w:sz w:val="20"/>
          <w:szCs w:val="20"/>
          <w:color w:val="auto"/>
        </w:rPr>
      </w:pPr>
    </w:p>
    <w:p>
      <w:pPr>
        <w:jc w:val="both"/>
        <w:ind w:right="620" w:firstLine="8"/>
        <w:spacing w:after="0" w:line="302"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modest financial leverage; and (3) maintain multiple funding sources. Our funded debt to equity ratio is 1.6:1 at September 30, 2010. We currently utilize the following forms of debt financing: (1) a revolving secured line of credit with a commercial bank syndicate; (2) revolving secured warehouse facilities with institutional investors; (3) a Term ABS financing with qualified institutional investors; and (4) Senior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Performance</w:t>
      </w:r>
    </w:p>
    <w:p>
      <w:pPr>
        <w:spacing w:after="0" w:line="121" w:lineRule="exact"/>
        <w:rPr>
          <w:sz w:val="20"/>
          <w:szCs w:val="20"/>
          <w:color w:val="auto"/>
        </w:rPr>
      </w:pPr>
    </w:p>
    <w:p>
      <w:pPr>
        <w:ind w:right="240" w:firstLine="215"/>
        <w:spacing w:after="0" w:line="286" w:lineRule="auto"/>
        <w:rPr>
          <w:sz w:val="20"/>
          <w:szCs w:val="20"/>
          <w:color w:val="auto"/>
        </w:rPr>
      </w:pPr>
      <w:r>
        <w:rPr>
          <w:rFonts w:ascii="Arial" w:cs="Arial" w:eastAsia="Arial" w:hAnsi="Arial"/>
          <w:sz w:val="17"/>
          <w:szCs w:val="17"/>
          <w:color w:val="auto"/>
        </w:rPr>
        <w:t>At the time the Consumer Loan is submitted to us for assignment, we forecast future expected cash flows from the Consumer Loan. Based on these forecasts, an advance or one-time payment is made to the related Dealer-Partner at a price designed to achieve an acceptable return on capital. If Consumer Loan performance equals or exceeds our original expectation, it is likely our target return on capital will be achieved.</w:t>
      </w:r>
    </w:p>
    <w:p>
      <w:pPr>
        <w:spacing w:after="0" w:line="5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September 30, 2010, with the forecasts as of June 30, 2010, as of December 31, 2009,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Consumer</w:t>
            </w:r>
          </w:p>
        </w:tc>
        <w:tc>
          <w:tcPr>
            <w:tcW w:w="1080" w:type="dxa"/>
            <w:vAlign w:val="bottom"/>
          </w:tcPr>
          <w:p>
            <w:pPr>
              <w:spacing w:after="0"/>
              <w:rPr>
                <w:sz w:val="14"/>
                <w:szCs w:val="14"/>
                <w:color w:val="auto"/>
              </w:rPr>
            </w:pPr>
          </w:p>
        </w:tc>
        <w:tc>
          <w:tcPr>
            <w:tcW w:w="2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Forecasted Collection Percentage as 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gridSpan w:val="5"/>
            <w:vMerge w:val="restart"/>
          </w:tcPr>
          <w:p>
            <w:pPr>
              <w:jc w:val="right"/>
              <w:ind w:right="304"/>
              <w:spacing w:after="0"/>
              <w:rPr>
                <w:sz w:val="20"/>
                <w:szCs w:val="20"/>
                <w:color w:val="auto"/>
              </w:rPr>
            </w:pPr>
            <w:r>
              <w:rPr>
                <w:rFonts w:ascii="Arial" w:cs="Arial" w:eastAsia="Arial" w:hAnsi="Arial"/>
                <w:sz w:val="14"/>
                <w:szCs w:val="14"/>
                <w:b w:val="1"/>
                <w:bCs w:val="1"/>
                <w:color w:val="auto"/>
              </w:rPr>
              <w:t>Variance in Forecasted Collection Percentage from</w:t>
            </w:r>
          </w:p>
        </w:tc>
        <w:tc>
          <w:tcPr>
            <w:tcW w:w="0" w:type="dxa"/>
            <w:vAlign w:val="bottom"/>
          </w:tcPr>
          <w:p>
            <w:pPr>
              <w:spacing w:after="0"/>
              <w:rPr>
                <w:sz w:val="1"/>
                <w:szCs w:val="1"/>
                <w:color w:val="auto"/>
              </w:rPr>
            </w:pPr>
          </w:p>
        </w:tc>
      </w:tr>
      <w:tr>
        <w:trPr>
          <w:trHeight w:val="158"/>
        </w:trPr>
        <w:tc>
          <w:tcPr>
            <w:tcW w:w="23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Loan</w:t>
            </w:r>
          </w:p>
        </w:tc>
        <w:tc>
          <w:tcPr>
            <w:tcW w:w="10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86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Assignment</w:t>
            </w:r>
          </w:p>
        </w:tc>
        <w:tc>
          <w:tcPr>
            <w:tcW w:w="10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0"/>
                <w:szCs w:val="10"/>
                <w:color w:val="auto"/>
              </w:rPr>
            </w:pPr>
          </w:p>
        </w:tc>
        <w:tc>
          <w:tcPr>
            <w:tcW w:w="86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04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88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Initial</w:t>
            </w:r>
          </w:p>
        </w:tc>
        <w:tc>
          <w:tcPr>
            <w:tcW w:w="340" w:type="dxa"/>
            <w:vAlign w:val="bottom"/>
          </w:tcPr>
          <w:p>
            <w:pPr>
              <w:spacing w:after="0"/>
              <w:rPr>
                <w:sz w:val="10"/>
                <w:szCs w:val="10"/>
                <w:color w:val="auto"/>
              </w:rPr>
            </w:pPr>
          </w:p>
        </w:tc>
        <w:tc>
          <w:tcPr>
            <w:tcW w:w="960" w:type="dxa"/>
            <w:vAlign w:val="bottom"/>
          </w:tcPr>
          <w:p>
            <w:pPr>
              <w:jc w:val="right"/>
              <w:ind w:right="144"/>
              <w:spacing w:after="0" w:line="119" w:lineRule="exact"/>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10"/>
                <w:szCs w:val="10"/>
                <w:color w:val="auto"/>
              </w:rPr>
            </w:pPr>
          </w:p>
        </w:tc>
        <w:tc>
          <w:tcPr>
            <w:tcW w:w="102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0"/>
                <w:szCs w:val="10"/>
                <w:color w:val="auto"/>
              </w:rPr>
            </w:pPr>
          </w:p>
        </w:tc>
        <w:tc>
          <w:tcPr>
            <w:tcW w:w="980" w:type="dxa"/>
            <w:vAlign w:val="bottom"/>
          </w:tcPr>
          <w:p>
            <w:pPr>
              <w:jc w:val="right"/>
              <w:ind w:right="224"/>
              <w:spacing w:after="0" w:line="119" w:lineRule="exact"/>
              <w:rPr>
                <w:sz w:val="20"/>
                <w:szCs w:val="20"/>
                <w:color w:val="auto"/>
              </w:rPr>
            </w:pPr>
            <w:r>
              <w:rPr>
                <w:rFonts w:ascii="Arial" w:cs="Arial" w:eastAsia="Arial" w:hAnsi="Arial"/>
                <w:sz w:val="13"/>
                <w:szCs w:val="13"/>
                <w:b w:val="1"/>
                <w:bCs w:val="1"/>
                <w:color w:val="auto"/>
              </w:rPr>
              <w:t>Initial</w:t>
            </w:r>
          </w:p>
        </w:tc>
        <w:tc>
          <w:tcPr>
            <w:tcW w:w="0" w:type="dxa"/>
            <w:vAlign w:val="bottom"/>
          </w:tcPr>
          <w:p>
            <w:pPr>
              <w:spacing w:after="0"/>
              <w:rPr>
                <w:sz w:val="1"/>
                <w:szCs w:val="1"/>
                <w:color w:val="auto"/>
              </w:rPr>
            </w:pPr>
          </w:p>
        </w:tc>
      </w:tr>
      <w:tr>
        <w:trPr>
          <w:trHeight w:val="171"/>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2010</w:t>
            </w:r>
          </w:p>
        </w:tc>
        <w:tc>
          <w:tcPr>
            <w:tcW w:w="11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38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Forecast</w:t>
            </w:r>
          </w:p>
        </w:tc>
        <w:tc>
          <w:tcPr>
            <w:tcW w:w="1300" w:type="dxa"/>
            <w:vAlign w:val="bottom"/>
            <w:gridSpan w:val="2"/>
          </w:tcPr>
          <w:p>
            <w:pPr>
              <w:jc w:val="right"/>
              <w:ind w:right="264"/>
              <w:spacing w:after="0"/>
              <w:rPr>
                <w:sz w:val="20"/>
                <w:szCs w:val="20"/>
                <w:color w:val="auto"/>
              </w:rPr>
            </w:pPr>
            <w:r>
              <w:rPr>
                <w:rFonts w:ascii="Arial" w:cs="Arial" w:eastAsia="Arial" w:hAnsi="Arial"/>
                <w:sz w:val="14"/>
                <w:szCs w:val="14"/>
                <w:b w:val="1"/>
                <w:bCs w:val="1"/>
                <w:color w:val="auto"/>
              </w:rPr>
              <w:t>2010</w:t>
            </w:r>
          </w:p>
        </w:tc>
        <w:tc>
          <w:tcPr>
            <w:tcW w:w="148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80" w:type="dxa"/>
            <w:vAlign w:val="bottom"/>
          </w:tcPr>
          <w:p>
            <w:pPr>
              <w:jc w:val="right"/>
              <w:ind w:right="144"/>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67.5%</w:t>
            </w: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67.5%</w:t>
            </w: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70.4%</w:t>
            </w:r>
          </w:p>
        </w:tc>
        <w:tc>
          <w:tcPr>
            <w:tcW w:w="3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70.5%</w:t>
            </w:r>
          </w:p>
        </w:tc>
        <w:tc>
          <w:tcPr>
            <w:tcW w:w="1180" w:type="dxa"/>
            <w:vAlign w:val="bottom"/>
            <w:gridSpan w:val="2"/>
          </w:tcPr>
          <w:p>
            <w:pPr>
              <w:jc w:val="right"/>
              <w:ind w:right="42"/>
              <w:spacing w:after="0"/>
              <w:rPr>
                <w:sz w:val="20"/>
                <w:szCs w:val="20"/>
                <w:color w:val="auto"/>
              </w:rPr>
            </w:pPr>
            <w:r>
              <w:rPr>
                <w:rFonts w:ascii="Arial" w:cs="Arial" w:eastAsia="Arial" w:hAnsi="Arial"/>
                <w:sz w:val="18"/>
                <w:szCs w:val="18"/>
                <w:color w:val="auto"/>
              </w:rPr>
              <w:t>70.5%</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70.4%</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67.9%</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73.7%</w:t>
            </w:r>
          </w:p>
        </w:tc>
        <w:tc>
          <w:tcPr>
            <w:tcW w:w="11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73.7%</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73.7%</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72.0%</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73.0%</w:t>
            </w:r>
          </w:p>
        </w:tc>
        <w:tc>
          <w:tcPr>
            <w:tcW w:w="1180" w:type="dxa"/>
            <w:vAlign w:val="bottom"/>
            <w:gridSpan w:val="2"/>
          </w:tcPr>
          <w:p>
            <w:pPr>
              <w:jc w:val="right"/>
              <w:ind w:right="42"/>
              <w:spacing w:after="0"/>
              <w:rPr>
                <w:sz w:val="20"/>
                <w:szCs w:val="20"/>
                <w:color w:val="auto"/>
              </w:rPr>
            </w:pPr>
            <w:r>
              <w:rPr>
                <w:rFonts w:ascii="Arial" w:cs="Arial" w:eastAsia="Arial" w:hAnsi="Arial"/>
                <w:sz w:val="18"/>
                <w:szCs w:val="18"/>
                <w:color w:val="auto"/>
              </w:rPr>
              <w:t>73.1%</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73.1%</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73.0%</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73.7%</w:t>
            </w:r>
          </w:p>
        </w:tc>
        <w:tc>
          <w:tcPr>
            <w:tcW w:w="11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73.8%</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73.7%</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74.0%</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2006</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70.2%</w:t>
            </w:r>
          </w:p>
        </w:tc>
        <w:tc>
          <w:tcPr>
            <w:tcW w:w="1180" w:type="dxa"/>
            <w:vAlign w:val="bottom"/>
            <w:gridSpan w:val="2"/>
          </w:tcPr>
          <w:p>
            <w:pPr>
              <w:jc w:val="right"/>
              <w:ind w:right="42"/>
              <w:spacing w:after="0"/>
              <w:rPr>
                <w:sz w:val="20"/>
                <w:szCs w:val="20"/>
                <w:color w:val="auto"/>
              </w:rPr>
            </w:pPr>
            <w:r>
              <w:rPr>
                <w:rFonts w:ascii="Arial" w:cs="Arial" w:eastAsia="Arial" w:hAnsi="Arial"/>
                <w:sz w:val="18"/>
                <w:szCs w:val="18"/>
                <w:color w:val="auto"/>
              </w:rPr>
              <w:t>70.2%</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70.3%</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71.4%</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67.9%</w:t>
            </w:r>
          </w:p>
        </w:tc>
        <w:tc>
          <w:tcPr>
            <w:tcW w:w="11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68.0%</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68.3%</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70.7%</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-0.4%</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69.9%</w:t>
            </w:r>
          </w:p>
        </w:tc>
        <w:tc>
          <w:tcPr>
            <w:tcW w:w="1180" w:type="dxa"/>
            <w:vAlign w:val="bottom"/>
            <w:gridSpan w:val="2"/>
          </w:tcPr>
          <w:p>
            <w:pPr>
              <w:jc w:val="right"/>
              <w:ind w:right="42"/>
              <w:spacing w:after="0"/>
              <w:rPr>
                <w:sz w:val="20"/>
                <w:szCs w:val="20"/>
                <w:color w:val="auto"/>
              </w:rPr>
            </w:pPr>
            <w:r>
              <w:rPr>
                <w:rFonts w:ascii="Arial" w:cs="Arial" w:eastAsia="Arial" w:hAnsi="Arial"/>
                <w:sz w:val="18"/>
                <w:szCs w:val="18"/>
                <w:color w:val="auto"/>
              </w:rPr>
              <w:t>69.8%</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70.0%</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69.7%</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78.0%</w:t>
            </w:r>
          </w:p>
        </w:tc>
        <w:tc>
          <w:tcPr>
            <w:tcW w:w="11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77.2%</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75.6%</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71.9%</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0.8%</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2010(1)</w:t>
            </w:r>
          </w:p>
        </w:tc>
        <w:tc>
          <w:tcPr>
            <w:tcW w:w="320" w:type="dxa"/>
            <w:vAlign w:val="bottom"/>
          </w:tcPr>
          <w:p>
            <w:pPr>
              <w:spacing w:after="0"/>
              <w:rPr>
                <w:sz w:val="20"/>
                <w:szCs w:val="20"/>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75.6%</w:t>
            </w:r>
          </w:p>
        </w:tc>
        <w:tc>
          <w:tcPr>
            <w:tcW w:w="1180" w:type="dxa"/>
            <w:vAlign w:val="bottom"/>
            <w:gridSpan w:val="2"/>
          </w:tcPr>
          <w:p>
            <w:pPr>
              <w:jc w:val="right"/>
              <w:ind w:right="42"/>
              <w:spacing w:after="0"/>
              <w:rPr>
                <w:sz w:val="20"/>
                <w:szCs w:val="20"/>
                <w:color w:val="auto"/>
              </w:rPr>
            </w:pPr>
            <w:r>
              <w:rPr>
                <w:rFonts w:ascii="Arial" w:cs="Arial" w:eastAsia="Arial" w:hAnsi="Arial"/>
                <w:sz w:val="18"/>
                <w:szCs w:val="18"/>
                <w:color w:val="auto"/>
              </w:rPr>
              <w:t>75.3%</w:t>
            </w:r>
          </w:p>
        </w:tc>
        <w:tc>
          <w:tcPr>
            <w:tcW w:w="340" w:type="dxa"/>
            <w:vAlign w:val="bottom"/>
          </w:tcPr>
          <w:p>
            <w:pPr>
              <w:spacing w:after="0"/>
              <w:rPr>
                <w:sz w:val="20"/>
                <w:szCs w:val="20"/>
                <w:color w:val="auto"/>
              </w:rPr>
            </w:pPr>
          </w:p>
        </w:tc>
        <w:tc>
          <w:tcPr>
            <w:tcW w:w="104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73.5%</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0"/>
                <w:szCs w:val="20"/>
                <w:color w:val="auto"/>
              </w:rPr>
            </w:pPr>
          </w:p>
        </w:tc>
        <w:tc>
          <w:tcPr>
            <w:tcW w:w="10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jc w:val="right"/>
              <w:ind w:right="118"/>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18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forecasted collection rate for 2010 Consumer Loans as of September 30, 2010 includes both Consumer Loans that were in our portfolio as of June 30, 2010 and Consumer Loans assigned during the most recent quarter. The following table provides forecasted collection rates for each of these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w w:val="96"/>
              </w:rPr>
              <w:t>Forecasted Collection Percentage as of</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2010 Consumer Loan Assignment Period</w:t>
            </w:r>
          </w:p>
        </w:tc>
        <w:tc>
          <w:tcPr>
            <w:tcW w:w="10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620" w:type="dxa"/>
            <w:vAlign w:val="bottom"/>
          </w:tcPr>
          <w:p>
            <w:pPr>
              <w:spacing w:after="0"/>
              <w:rPr>
                <w:sz w:val="10"/>
                <w:szCs w:val="10"/>
                <w:color w:val="auto"/>
              </w:rPr>
            </w:pPr>
          </w:p>
        </w:tc>
        <w:tc>
          <w:tcPr>
            <w:tcW w:w="10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Pr>
          <w:p>
            <w:pPr>
              <w:spacing w:after="0"/>
              <w:rPr>
                <w:sz w:val="10"/>
                <w:szCs w:val="10"/>
                <w:color w:val="auto"/>
              </w:rPr>
            </w:pPr>
          </w:p>
        </w:tc>
        <w:tc>
          <w:tcPr>
            <w:tcW w:w="9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7240" w:type="dxa"/>
            <w:vAlign w:val="bottom"/>
            <w:gridSpan w:val="2"/>
            <w:vMerge w:val="continue"/>
          </w:tcPr>
          <w:p>
            <w:pPr>
              <w:spacing w:after="0"/>
              <w:rPr>
                <w:sz w:val="14"/>
                <w:szCs w:val="14"/>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2010</w:t>
            </w:r>
          </w:p>
        </w:tc>
        <w:tc>
          <w:tcPr>
            <w:tcW w:w="168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1, 2010 through June 30, 2010</w:t>
            </w:r>
          </w:p>
        </w:tc>
        <w:tc>
          <w:tcPr>
            <w:tcW w:w="500" w:type="dxa"/>
            <w:vAlign w:val="bottom"/>
          </w:tcPr>
          <w:p>
            <w:pPr>
              <w:spacing w:after="0"/>
              <w:rPr>
                <w:sz w:val="16"/>
                <w:szCs w:val="16"/>
                <w:color w:val="auto"/>
              </w:rPr>
            </w:pPr>
          </w:p>
        </w:tc>
        <w:tc>
          <w:tcPr>
            <w:tcW w:w="108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76.4%</w:t>
            </w:r>
          </w:p>
        </w:tc>
        <w:tc>
          <w:tcPr>
            <w:tcW w:w="620" w:type="dxa"/>
            <w:vAlign w:val="bottom"/>
          </w:tcPr>
          <w:p>
            <w:pPr>
              <w:spacing w:after="0"/>
              <w:rPr>
                <w:sz w:val="16"/>
                <w:szCs w:val="16"/>
                <w:color w:val="auto"/>
              </w:rPr>
            </w:pPr>
          </w:p>
        </w:tc>
        <w:tc>
          <w:tcPr>
            <w:tcW w:w="1060" w:type="dxa"/>
            <w:vAlign w:val="bottom"/>
            <w:tcBorders>
              <w:top w:val="single" w:sz="8" w:color="auto"/>
            </w:tcBorders>
          </w:tcPr>
          <w:p>
            <w:pPr>
              <w:jc w:val="right"/>
              <w:ind w:right="138"/>
              <w:spacing w:after="0" w:line="195" w:lineRule="exact"/>
              <w:rPr>
                <w:sz w:val="20"/>
                <w:szCs w:val="20"/>
                <w:color w:val="auto"/>
              </w:rPr>
            </w:pPr>
            <w:r>
              <w:rPr>
                <w:rFonts w:ascii="Arial" w:cs="Arial" w:eastAsia="Arial" w:hAnsi="Arial"/>
                <w:sz w:val="18"/>
                <w:szCs w:val="18"/>
                <w:color w:val="auto"/>
              </w:rPr>
              <w:t>75.3%</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96"/>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July 1, 2010 through September 30, 2010</w:t>
            </w:r>
          </w:p>
        </w:tc>
        <w:tc>
          <w:tcPr>
            <w:tcW w:w="1080" w:type="dxa"/>
            <w:vAlign w:val="bottom"/>
          </w:tcPr>
          <w:p>
            <w:pPr>
              <w:ind w:left="400"/>
              <w:spacing w:after="0"/>
              <w:rPr>
                <w:sz w:val="20"/>
                <w:szCs w:val="20"/>
                <w:color w:val="auto"/>
              </w:rPr>
            </w:pPr>
            <w:r>
              <w:rPr>
                <w:rFonts w:ascii="Arial" w:cs="Arial" w:eastAsia="Arial" w:hAnsi="Arial"/>
                <w:sz w:val="18"/>
                <w:szCs w:val="18"/>
                <w:color w:val="auto"/>
              </w:rPr>
              <w:t>73.9%</w:t>
            </w:r>
          </w:p>
        </w:tc>
        <w:tc>
          <w:tcPr>
            <w:tcW w:w="620" w:type="dxa"/>
            <w:vAlign w:val="bottom"/>
          </w:tcPr>
          <w:p>
            <w:pPr>
              <w:spacing w:after="0"/>
              <w:rPr>
                <w:sz w:val="20"/>
                <w:szCs w:val="20"/>
                <w:color w:val="auto"/>
              </w:rPr>
            </w:pPr>
          </w:p>
        </w:tc>
        <w:tc>
          <w:tcPr>
            <w:tcW w:w="106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0" w:firstLine="225"/>
        <w:spacing w:after="0" w:line="302" w:lineRule="auto"/>
        <w:rPr>
          <w:sz w:val="20"/>
          <w:szCs w:val="20"/>
          <w:color w:val="auto"/>
        </w:rPr>
      </w:pPr>
      <w:r>
        <w:rPr>
          <w:rFonts w:ascii="Arial" w:cs="Arial" w:eastAsia="Arial" w:hAnsi="Arial"/>
          <w:sz w:val="16"/>
          <w:szCs w:val="16"/>
          <w:color w:val="auto"/>
        </w:rPr>
        <w:t>Consumer Loans assigned in 2002, 2003, 2008, 2009 and 2010 have performed better than our initial expectations while Consumer Loans assigned in 2001, 2005, 2006 and 2007 have performed worse. During the third quarter of 2010, forecasted collection rates increased for Consumer Loans assigned during 2009 and 2010 and were consistent with expectations at the start of the period for other assignment years. During the first nine months of 2010, forecasted collection rates increased for Consumer Loans assigned in 2009 and 2010, and decreased for 2007 Consumer Loan assignments.</w:t>
      </w:r>
    </w:p>
    <w:p>
      <w:pPr>
        <w:spacing w:after="0" w:line="46"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Forecasting collection rates precisely at Loan inception is difficult. With this in mind, we have established advance rates that are intended to allow us to achieve acceptable levels of profitability, even if collection rates are less than we currently forecast.</w:t>
      </w:r>
    </w:p>
    <w:p>
      <w:pPr>
        <w:spacing w:after="0" w:line="62"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September 30, 2010. Payments of Dealer Holdback and accelerated Dealer Holdback are not included in the advance percentage paid to the Dealer-Partner. All amounts, unless otherwise noted, are presented as a percentage of the initial balance of the Consumer Loan (principal + interest). The table includes both Dealer Loans and Purchased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Consumer Loan</w:t>
            </w: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As of September 30, 2010</w:t>
            </w: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gridSpan w:val="3"/>
            <w:vMerge w:val="continue"/>
          </w:tcPr>
          <w:p>
            <w:pPr>
              <w:spacing w:after="0"/>
              <w:rPr>
                <w:sz w:val="10"/>
                <w:szCs w:val="10"/>
                <w:color w:val="auto"/>
              </w:rPr>
            </w:pPr>
          </w:p>
        </w:tc>
        <w:tc>
          <w:tcPr>
            <w:tcW w:w="10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Forecasted</w:t>
            </w:r>
          </w:p>
        </w:tc>
        <w:tc>
          <w:tcPr>
            <w:tcW w:w="520" w:type="dxa"/>
            <w:vAlign w:val="bottom"/>
          </w:tcPr>
          <w:p>
            <w:pPr>
              <w:spacing w:after="0"/>
              <w:rPr>
                <w:sz w:val="10"/>
                <w:szCs w:val="10"/>
                <w:color w:val="auto"/>
              </w:rPr>
            </w:pPr>
          </w:p>
        </w:tc>
        <w:tc>
          <w:tcPr>
            <w:tcW w:w="10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Advance %</w:t>
            </w:r>
          </w:p>
        </w:tc>
        <w:tc>
          <w:tcPr>
            <w:tcW w:w="500" w:type="dxa"/>
            <w:vAlign w:val="bottom"/>
          </w:tcPr>
          <w:p>
            <w:pPr>
              <w:spacing w:after="0"/>
              <w:rPr>
                <w:sz w:val="10"/>
                <w:szCs w:val="10"/>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Spread %</w:t>
            </w:r>
          </w:p>
        </w:tc>
        <w:tc>
          <w:tcPr>
            <w:tcW w:w="520" w:type="dxa"/>
            <w:vAlign w:val="bottom"/>
          </w:tcPr>
          <w:p>
            <w:pPr>
              <w:spacing w:after="0"/>
              <w:rPr>
                <w:sz w:val="10"/>
                <w:szCs w:val="10"/>
                <w:color w:val="auto"/>
              </w:rPr>
            </w:pPr>
          </w:p>
        </w:tc>
        <w:tc>
          <w:tcPr>
            <w:tcW w:w="10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Forecast</w:t>
            </w:r>
          </w:p>
        </w:tc>
        <w:tc>
          <w:tcPr>
            <w:tcW w:w="0" w:type="dxa"/>
            <w:vAlign w:val="bottom"/>
          </w:tcPr>
          <w:p>
            <w:pPr>
              <w:spacing w:after="0"/>
              <w:rPr>
                <w:sz w:val="1"/>
                <w:szCs w:val="1"/>
                <w:color w:val="auto"/>
              </w:rPr>
            </w:pPr>
          </w:p>
        </w:tc>
      </w:tr>
      <w:tr>
        <w:trPr>
          <w:trHeight w:val="171"/>
        </w:trPr>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Assignment Year</w:t>
            </w: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Collection %</w:t>
            </w: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Arial" w:cs="Arial" w:eastAsia="Arial" w:hAnsi="Arial"/>
                <w:sz w:val="14"/>
                <w:szCs w:val="14"/>
                <w:b w:val="1"/>
                <w:bCs w:val="1"/>
                <w:color w:val="auto"/>
              </w:rPr>
              <w:t>Realized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2001</w:t>
            </w: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67.5%</w:t>
            </w: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46.0%</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21.5%</w:t>
            </w: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2002</w:t>
            </w:r>
          </w:p>
        </w:tc>
        <w:tc>
          <w:tcPr>
            <w:tcW w:w="52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70.5%</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42.2%</w:t>
            </w:r>
          </w:p>
        </w:tc>
        <w:tc>
          <w:tcPr>
            <w:tcW w:w="1500" w:type="dxa"/>
            <w:vAlign w:val="bottom"/>
            <w:gridSpan w:val="2"/>
          </w:tcPr>
          <w:p>
            <w:pPr>
              <w:jc w:val="right"/>
              <w:ind w:right="99"/>
              <w:spacing w:after="0"/>
              <w:rPr>
                <w:sz w:val="20"/>
                <w:szCs w:val="20"/>
                <w:color w:val="auto"/>
              </w:rPr>
            </w:pPr>
            <w:r>
              <w:rPr>
                <w:rFonts w:ascii="Arial" w:cs="Arial" w:eastAsia="Arial" w:hAnsi="Arial"/>
                <w:sz w:val="18"/>
                <w:szCs w:val="18"/>
                <w:color w:val="auto"/>
              </w:rPr>
              <w:t>28.3%</w:t>
            </w:r>
          </w:p>
        </w:tc>
        <w:tc>
          <w:tcPr>
            <w:tcW w:w="1520" w:type="dxa"/>
            <w:vAlign w:val="bottom"/>
            <w:gridSpan w:val="2"/>
          </w:tcPr>
          <w:p>
            <w:pPr>
              <w:jc w:val="right"/>
              <w:ind w:right="104"/>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73.7%</w:t>
            </w:r>
          </w:p>
        </w:tc>
        <w:tc>
          <w:tcPr>
            <w:tcW w:w="15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43.4%</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30.3%</w:t>
            </w:r>
          </w:p>
        </w:tc>
        <w:tc>
          <w:tcPr>
            <w:tcW w:w="15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2004</w:t>
            </w:r>
          </w:p>
        </w:tc>
        <w:tc>
          <w:tcPr>
            <w:tcW w:w="52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73.0%</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44.0%</w:t>
            </w:r>
          </w:p>
        </w:tc>
        <w:tc>
          <w:tcPr>
            <w:tcW w:w="1500" w:type="dxa"/>
            <w:vAlign w:val="bottom"/>
            <w:gridSpan w:val="2"/>
          </w:tcPr>
          <w:p>
            <w:pPr>
              <w:jc w:val="right"/>
              <w:ind w:right="99"/>
              <w:spacing w:after="0"/>
              <w:rPr>
                <w:sz w:val="20"/>
                <w:szCs w:val="20"/>
                <w:color w:val="auto"/>
              </w:rPr>
            </w:pPr>
            <w:r>
              <w:rPr>
                <w:rFonts w:ascii="Arial" w:cs="Arial" w:eastAsia="Arial" w:hAnsi="Arial"/>
                <w:sz w:val="18"/>
                <w:szCs w:val="18"/>
                <w:color w:val="auto"/>
              </w:rPr>
              <w:t>29.0%</w:t>
            </w:r>
          </w:p>
        </w:tc>
        <w:tc>
          <w:tcPr>
            <w:tcW w:w="1520" w:type="dxa"/>
            <w:vAlign w:val="bottom"/>
            <w:gridSpan w:val="2"/>
          </w:tcPr>
          <w:p>
            <w:pPr>
              <w:jc w:val="right"/>
              <w:ind w:right="104"/>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73.7%</w:t>
            </w:r>
          </w:p>
        </w:tc>
        <w:tc>
          <w:tcPr>
            <w:tcW w:w="15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46.9%</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26.8%</w:t>
            </w:r>
          </w:p>
        </w:tc>
        <w:tc>
          <w:tcPr>
            <w:tcW w:w="15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2006</w:t>
            </w:r>
          </w:p>
        </w:tc>
        <w:tc>
          <w:tcPr>
            <w:tcW w:w="52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70.2%</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46.6%</w:t>
            </w:r>
          </w:p>
        </w:tc>
        <w:tc>
          <w:tcPr>
            <w:tcW w:w="1500" w:type="dxa"/>
            <w:vAlign w:val="bottom"/>
            <w:gridSpan w:val="2"/>
          </w:tcPr>
          <w:p>
            <w:pPr>
              <w:jc w:val="right"/>
              <w:ind w:right="99"/>
              <w:spacing w:after="0"/>
              <w:rPr>
                <w:sz w:val="20"/>
                <w:szCs w:val="20"/>
                <w:color w:val="auto"/>
              </w:rPr>
            </w:pPr>
            <w:r>
              <w:rPr>
                <w:rFonts w:ascii="Arial" w:cs="Arial" w:eastAsia="Arial" w:hAnsi="Arial"/>
                <w:sz w:val="18"/>
                <w:szCs w:val="18"/>
                <w:color w:val="auto"/>
              </w:rPr>
              <w:t>23.6%</w:t>
            </w:r>
          </w:p>
        </w:tc>
        <w:tc>
          <w:tcPr>
            <w:tcW w:w="1520" w:type="dxa"/>
            <w:vAlign w:val="bottom"/>
            <w:gridSpan w:val="2"/>
          </w:tcPr>
          <w:p>
            <w:pPr>
              <w:jc w:val="right"/>
              <w:ind w:right="104"/>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67.9%</w:t>
            </w:r>
          </w:p>
        </w:tc>
        <w:tc>
          <w:tcPr>
            <w:tcW w:w="15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46.5%</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21.4%</w:t>
            </w:r>
          </w:p>
        </w:tc>
        <w:tc>
          <w:tcPr>
            <w:tcW w:w="15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2008</w:t>
            </w:r>
          </w:p>
        </w:tc>
        <w:tc>
          <w:tcPr>
            <w:tcW w:w="52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69.9%</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44.6%</w:t>
            </w:r>
          </w:p>
        </w:tc>
        <w:tc>
          <w:tcPr>
            <w:tcW w:w="1500" w:type="dxa"/>
            <w:vAlign w:val="bottom"/>
            <w:gridSpan w:val="2"/>
          </w:tcPr>
          <w:p>
            <w:pPr>
              <w:jc w:val="right"/>
              <w:ind w:right="99"/>
              <w:spacing w:after="0"/>
              <w:rPr>
                <w:sz w:val="20"/>
                <w:szCs w:val="20"/>
                <w:color w:val="auto"/>
              </w:rPr>
            </w:pPr>
            <w:r>
              <w:rPr>
                <w:rFonts w:ascii="Arial" w:cs="Arial" w:eastAsia="Arial" w:hAnsi="Arial"/>
                <w:sz w:val="18"/>
                <w:szCs w:val="18"/>
                <w:color w:val="auto"/>
              </w:rPr>
              <w:t>25.3%</w:t>
            </w:r>
          </w:p>
        </w:tc>
        <w:tc>
          <w:tcPr>
            <w:tcW w:w="1520" w:type="dxa"/>
            <w:vAlign w:val="bottom"/>
            <w:gridSpan w:val="2"/>
          </w:tcPr>
          <w:p>
            <w:pPr>
              <w:jc w:val="right"/>
              <w:ind w:right="104"/>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78.0%</w:t>
            </w:r>
          </w:p>
        </w:tc>
        <w:tc>
          <w:tcPr>
            <w:tcW w:w="15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43.9%</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34.1%</w:t>
            </w:r>
          </w:p>
        </w:tc>
        <w:tc>
          <w:tcPr>
            <w:tcW w:w="15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2010</w:t>
            </w:r>
          </w:p>
        </w:tc>
        <w:tc>
          <w:tcPr>
            <w:tcW w:w="520" w:type="dxa"/>
            <w:vAlign w:val="bottom"/>
          </w:tcPr>
          <w:p>
            <w:pPr>
              <w:spacing w:after="0"/>
              <w:rPr>
                <w:sz w:val="20"/>
                <w:szCs w:val="20"/>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75.6%</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44.7%</w:t>
            </w:r>
          </w:p>
        </w:tc>
        <w:tc>
          <w:tcPr>
            <w:tcW w:w="1500" w:type="dxa"/>
            <w:vAlign w:val="bottom"/>
            <w:gridSpan w:val="2"/>
          </w:tcPr>
          <w:p>
            <w:pPr>
              <w:jc w:val="right"/>
              <w:ind w:right="99"/>
              <w:spacing w:after="0"/>
              <w:rPr>
                <w:sz w:val="20"/>
                <w:szCs w:val="20"/>
                <w:color w:val="auto"/>
              </w:rPr>
            </w:pPr>
            <w:r>
              <w:rPr>
                <w:rFonts w:ascii="Arial" w:cs="Arial" w:eastAsia="Arial" w:hAnsi="Arial"/>
                <w:sz w:val="18"/>
                <w:szCs w:val="18"/>
                <w:color w:val="auto"/>
              </w:rPr>
              <w:t>30.9%</w:t>
            </w:r>
          </w:p>
        </w:tc>
        <w:tc>
          <w:tcPr>
            <w:tcW w:w="1520" w:type="dxa"/>
            <w:vAlign w:val="bottom"/>
            <w:gridSpan w:val="2"/>
          </w:tcPr>
          <w:p>
            <w:pPr>
              <w:jc w:val="right"/>
              <w:ind w:right="10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Presented as a percentage of total forecasted collections.</w:t>
      </w:r>
    </w:p>
    <w:p>
      <w:pPr>
        <w:spacing w:after="0" w:line="117"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2006 and prior Consumer Loan assignments, the risk of a material forecast variance is modest, as we have currently realized in excess of 95% of the expected collections. Conversely, the forecasted collection rates for more recent Consumer Loan assignments are less certain as a significant portion of our forecast has not been realized.</w:t>
      </w:r>
    </w:p>
    <w:p>
      <w:pPr>
        <w:spacing w:after="0" w:line="39"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The spread between the forecasted collection rate and the advance rate declined during the 2004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We increased advance rates during the last four months of 2009 and the first quarter of 2010. The decline in the spread for 2010 reflects these increases.</w:t>
      </w:r>
    </w:p>
    <w:p>
      <w:pPr>
        <w:spacing w:after="0" w:line="4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following table presents forecasted Consumer Loan collection rates, advance rates (includes amounts paid to acquire Purchased Loans), and the spread (the forecasted collection rate less the advance rate) as of September 30, 2010 for Purchased Loans and Dealer Loans separately. Payments of Dealer Holdback and accelerated Dealer Holdback are not included in the advance percentage paid to the Dealer-Partner. All amounts are presented as a percentage of the initial balance of the Consumer Loan (principal + interest).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Consumer Loan</w:t>
            </w:r>
          </w:p>
        </w:tc>
        <w:tc>
          <w:tcPr>
            <w:tcW w:w="5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Forecasted</w:t>
            </w:r>
          </w:p>
        </w:tc>
        <w:tc>
          <w:tcPr>
            <w:tcW w:w="50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Advance %</w:t>
            </w:r>
          </w:p>
        </w:tc>
        <w:tc>
          <w:tcPr>
            <w:tcW w:w="500" w:type="dxa"/>
            <w:vAlign w:val="bottom"/>
          </w:tcPr>
          <w:p>
            <w:pPr>
              <w:spacing w:after="0"/>
              <w:rPr>
                <w:sz w:val="14"/>
                <w:szCs w:val="14"/>
                <w:color w:val="auto"/>
              </w:rPr>
            </w:pP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Collection %</w:t>
            </w:r>
          </w:p>
        </w:tc>
        <w:tc>
          <w:tcPr>
            <w:tcW w:w="5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68.0%</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48.6%</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68.9%</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46.2%</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77.9%</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44.6%</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75.8%</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47.0%</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Dealer Loans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67.9%</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45.9%</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70.5%</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43.6%</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78.0%</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43.7%</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75.6%</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44.4%</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seven quarters as compared to the same period in the previous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9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Year over Year Percent Change</w:t>
            </w:r>
          </w:p>
        </w:tc>
        <w:tc>
          <w:tcPr>
            <w:tcW w:w="0" w:type="dxa"/>
            <w:vAlign w:val="bottom"/>
          </w:tcPr>
          <w:p>
            <w:pPr>
              <w:spacing w:after="0"/>
              <w:rPr>
                <w:sz w:val="1"/>
                <w:szCs w:val="1"/>
                <w:color w:val="auto"/>
              </w:rPr>
            </w:pPr>
          </w:p>
        </w:tc>
      </w:tr>
      <w:tr>
        <w:trPr>
          <w:trHeight w:val="142"/>
        </w:trPr>
        <w:tc>
          <w:tcPr>
            <w:tcW w:w="8520" w:type="dxa"/>
            <w:vAlign w:val="bottom"/>
            <w:gridSpan w:val="3"/>
            <w:vMerge w:val="continue"/>
          </w:tcPr>
          <w:p>
            <w:pPr>
              <w:spacing w:after="0"/>
              <w:rPr>
                <w:sz w:val="12"/>
                <w:szCs w:val="12"/>
                <w:color w:val="auto"/>
              </w:rPr>
            </w:pPr>
          </w:p>
        </w:tc>
        <w:tc>
          <w:tcPr>
            <w:tcW w:w="10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Unit Volume</w:t>
            </w:r>
          </w:p>
        </w:tc>
        <w:tc>
          <w:tcPr>
            <w:tcW w:w="540" w:type="dxa"/>
            <w:vAlign w:val="bottom"/>
          </w:tcPr>
          <w:p>
            <w:pPr>
              <w:spacing w:after="0"/>
              <w:rPr>
                <w:sz w:val="12"/>
                <w:szCs w:val="12"/>
                <w:color w:val="auto"/>
              </w:rPr>
            </w:pPr>
          </w:p>
        </w:tc>
        <w:tc>
          <w:tcPr>
            <w:tcW w:w="13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Dollar Volume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2009</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-13.0%</w:t>
            </w:r>
          </w:p>
        </w:tc>
        <w:tc>
          <w:tcPr>
            <w:tcW w:w="5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-16.2%</w:t>
            </w:r>
          </w:p>
        </w:tc>
        <w:tc>
          <w:tcPr>
            <w:tcW w:w="1860" w:type="dxa"/>
            <w:vAlign w:val="bottom"/>
            <w:gridSpan w:val="2"/>
          </w:tcPr>
          <w:p>
            <w:pPr>
              <w:jc w:val="right"/>
              <w:ind w:right="239"/>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-5.7%</w:t>
            </w:r>
          </w:p>
        </w:tc>
        <w:tc>
          <w:tcPr>
            <w:tcW w:w="18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1860" w:type="dxa"/>
            <w:vAlign w:val="bottom"/>
            <w:gridSpan w:val="2"/>
          </w:tcPr>
          <w:p>
            <w:pPr>
              <w:jc w:val="right"/>
              <w:ind w:right="23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11.2%</w:t>
            </w:r>
          </w:p>
        </w:tc>
        <w:tc>
          <w:tcPr>
            <w:tcW w:w="18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22.7%</w:t>
            </w:r>
          </w:p>
        </w:tc>
        <w:tc>
          <w:tcPr>
            <w:tcW w:w="1860" w:type="dxa"/>
            <w:vAlign w:val="bottom"/>
            <w:gridSpan w:val="2"/>
          </w:tcPr>
          <w:p>
            <w:pPr>
              <w:jc w:val="right"/>
              <w:ind w:right="239"/>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26.9%</w:t>
            </w:r>
          </w:p>
        </w:tc>
        <w:tc>
          <w:tcPr>
            <w:tcW w:w="18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payments made to Dealer-Partners for advances on Dealer Loans and the acquisition of Purchased Loans. Payments of Dealer Holdback and accelerated Dealer Holdback are not included.</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product (2) the amount of capital available to fund new Loans (3) our assessment of the assignment volume that our current infrastructure can support. Our pricing strategy is intended to maximize the amount of economic profit we generate, within the confines of capital and infrastructure constraints. During the last four months of 2009 and the first quarter of 2010, we increased advance rates, which had a positive impact on unit volumes. While the advance increases also reduced the return on capital we expect to earn on new assignments, we believe it is very likely the advance increases had a positive impact on economic profit. During October 2010, unit volume increased by 36.1% as compared to October 2009.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changes in Consumer Loan unit volume and active Dealer-Partners: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104,514</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87,579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35.9</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86,821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75,177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Dealer-Partners active both periods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40" w:type="dxa"/>
            <w:vAlign w:val="bottom"/>
            <w:gridSpan w:val="2"/>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10,271</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12,285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New active Dealer-Partners (2)</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652</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844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15.8</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Attrition (3)</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-14.2%</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-19.6%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Active Dealer-Partners are Dealer-Partners who have received funding for at least one Loan during the period.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New active Dealer-Partners are Dealer-Partners who enrolled in our program and have received funding for their first Loan from us during the period.</w:t>
      </w:r>
    </w:p>
    <w:p>
      <w:pPr>
        <w:spacing w:after="0" w:line="99" w:lineRule="exact"/>
        <w:rPr>
          <w:rFonts w:ascii="Arial" w:cs="Arial" w:eastAsia="Arial" w:hAnsi="Arial"/>
          <w:sz w:val="16"/>
          <w:szCs w:val="16"/>
          <w:color w:val="auto"/>
        </w:rPr>
      </w:pPr>
    </w:p>
    <w:p>
      <w:pPr>
        <w:ind w:left="460" w:right="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Dealer-Partners who have received funding for at least one Loan during the comparable period of the prior year but did not receive funding for any Loans during the current period divided by prior year comparable period Consumer Loan unit volume.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Consumer Loans are assigned to us through either our Portfolio Program or our Purchase Program. The following table summarizes the portion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Consumer Loan volume that was assigned to us through our Purchase Program: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62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vMerge w:val="restart"/>
          </w:tcPr>
          <w:p>
            <w:pPr>
              <w:spacing w:after="0"/>
              <w:rPr>
                <w:sz w:val="20"/>
                <w:szCs w:val="20"/>
                <w:color w:val="auto"/>
              </w:rPr>
            </w:pPr>
            <w:r>
              <w:rPr>
                <w:rFonts w:ascii="Arial" w:cs="Arial" w:eastAsia="Arial" w:hAnsi="Arial"/>
                <w:sz w:val="18"/>
                <w:szCs w:val="18"/>
                <w:color w:val="auto"/>
              </w:rPr>
              <w:t>New Purchased Loan unit volume as a percentage of total unit volume</w:t>
            </w:r>
          </w:p>
        </w:tc>
        <w:tc>
          <w:tcPr>
            <w:tcW w:w="9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94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95"/>
        </w:trPr>
        <w:tc>
          <w:tcPr>
            <w:tcW w:w="6200" w:type="dxa"/>
            <w:vAlign w:val="bottom"/>
            <w:vMerge w:val="continue"/>
          </w:tcPr>
          <w:p>
            <w:pPr>
              <w:spacing w:after="0"/>
              <w:rPr>
                <w:sz w:val="16"/>
                <w:szCs w:val="16"/>
                <w:color w:val="auto"/>
              </w:rPr>
            </w:pPr>
          </w:p>
        </w:tc>
        <w:tc>
          <w:tcPr>
            <w:tcW w:w="920" w:type="dxa"/>
            <w:vAlign w:val="bottom"/>
          </w:tcPr>
          <w:p>
            <w:pPr>
              <w:jc w:val="right"/>
              <w:ind w:right="81"/>
              <w:spacing w:after="0" w:line="195" w:lineRule="exact"/>
              <w:rPr>
                <w:sz w:val="20"/>
                <w:szCs w:val="20"/>
                <w:color w:val="auto"/>
              </w:rPr>
            </w:pPr>
            <w:r>
              <w:rPr>
                <w:rFonts w:ascii="Arial" w:cs="Arial" w:eastAsia="Arial" w:hAnsi="Arial"/>
                <w:sz w:val="18"/>
                <w:szCs w:val="18"/>
                <w:color w:val="auto"/>
              </w:rPr>
              <w:t>9.5%</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ind w:left="60"/>
              <w:spacing w:after="0" w:line="195" w:lineRule="exact"/>
              <w:rPr>
                <w:sz w:val="20"/>
                <w:szCs w:val="20"/>
                <w:color w:val="auto"/>
              </w:rPr>
            </w:pPr>
            <w:r>
              <w:rPr>
                <w:rFonts w:ascii="Arial" w:cs="Arial" w:eastAsia="Arial" w:hAnsi="Arial"/>
                <w:sz w:val="18"/>
                <w:szCs w:val="18"/>
                <w:color w:val="auto"/>
              </w:rPr>
              <w:t>11.0%</w:t>
            </w:r>
          </w:p>
        </w:tc>
        <w:tc>
          <w:tcPr>
            <w:tcW w:w="440" w:type="dxa"/>
            <w:vAlign w:val="bottom"/>
          </w:tcPr>
          <w:p>
            <w:pPr>
              <w:spacing w:after="0"/>
              <w:rPr>
                <w:sz w:val="16"/>
                <w:szCs w:val="16"/>
                <w:color w:val="auto"/>
              </w:rPr>
            </w:pPr>
          </w:p>
        </w:tc>
        <w:tc>
          <w:tcPr>
            <w:tcW w:w="940" w:type="dxa"/>
            <w:vAlign w:val="bottom"/>
          </w:tcPr>
          <w:p>
            <w:pPr>
              <w:jc w:val="right"/>
              <w:ind w:right="84"/>
              <w:spacing w:after="0" w:line="195" w:lineRule="exact"/>
              <w:rPr>
                <w:sz w:val="20"/>
                <w:szCs w:val="20"/>
                <w:color w:val="auto"/>
              </w:rPr>
            </w:pPr>
            <w:r>
              <w:rPr>
                <w:rFonts w:ascii="Arial" w:cs="Arial" w:eastAsia="Arial" w:hAnsi="Arial"/>
                <w:sz w:val="18"/>
                <w:szCs w:val="18"/>
                <w:color w:val="auto"/>
              </w:rPr>
              <w:t>9.4%</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ind w:left="80"/>
              <w:spacing w:after="0" w:line="195"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New Purchased Loan dollar volume as a percentage of total dollar volume</w:t>
            </w:r>
          </w:p>
        </w:tc>
        <w:tc>
          <w:tcPr>
            <w:tcW w:w="920" w:type="dxa"/>
            <w:vAlign w:val="bottom"/>
          </w:tcPr>
          <w:p>
            <w:pPr>
              <w:jc w:val="right"/>
              <w:ind w:right="81"/>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13.3%</w:t>
            </w:r>
          </w:p>
        </w:tc>
        <w:tc>
          <w:tcPr>
            <w:tcW w:w="1380" w:type="dxa"/>
            <w:vAlign w:val="bottom"/>
            <w:gridSpan w:val="2"/>
          </w:tcPr>
          <w:p>
            <w:pPr>
              <w:jc w:val="right"/>
              <w:ind w:right="84"/>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For the three and nine months ended September 30, 2010, new Purchased Loan unit and dollar volume as a percentage of total unit and dollar volume, respectively, decreased as compared to 2009 primarily due to the continued impact of program enrollment eligibility changes we made in 2008, which restricts new Dealer-Partners’ access to the Purchase Program.</w:t>
      </w:r>
    </w:p>
    <w:p>
      <w:pPr>
        <w:spacing w:after="0" w:line="73"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As of September 30, 2010 and December 31, 2009, the net Purchased Loans receivable balance was 22.0% and 27.5%, respectively, of the total net Loans receivable balance.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Three and Nine Months Ended September 30, 2010 Compared to Three and Nine Months Ended September 30,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14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99,255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84,489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11,596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4,183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111,661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100,268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16,862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7,208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7,869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3,533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(3,591)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8,144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5,148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37,965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color w:val="auto"/>
                <w:w w:val="97"/>
              </w:rPr>
              <w:t>Income from continuing operations before provision for income taxes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65,196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62,303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21,491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42,047</w:t>
            </w:r>
          </w:p>
        </w:tc>
        <w:tc>
          <w:tcPr>
            <w:tcW w:w="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40,812</w:t>
            </w:r>
          </w:p>
        </w:tc>
        <w:tc>
          <w:tcPr>
            <w:tcW w:w="640" w:type="dxa"/>
            <w:vAlign w:val="bottom"/>
            <w:vMerge w:val="continue"/>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Loss from discontinued United Kingdom operations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40,734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28,063,104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30,658,969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28,451,721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31,539,119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14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284,467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242,339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25,257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17,659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12,933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326,702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280,529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50,498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19,670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22,758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8,218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(7,217)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23,352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17,606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14,786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142,413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115,197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color w:val="auto"/>
                <w:w w:val="97"/>
              </w:rPr>
              <w:t>Income from continuing operations before provision for income taxes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184,289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165,332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61,162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59,358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123,127</w:t>
            </w:r>
          </w:p>
        </w:tc>
        <w:tc>
          <w:tcPr>
            <w:tcW w:w="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105,974</w:t>
            </w:r>
          </w:p>
        </w:tc>
        <w:tc>
          <w:tcPr>
            <w:tcW w:w="640" w:type="dxa"/>
            <w:vAlign w:val="bottom"/>
            <w:vMerge w:val="continue"/>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(Loss) gain from discontinued United Kingdom operations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123,097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105,920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3.47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30,081,696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30,540,274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30,540,150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31,370,580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Nine Months Ended September 30, 2010 Compared to Three and Nine Months Ended September 30, 2009</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following table highlights changes in income from continuing operations for the three and nine months ended September 30, 2010, as compared to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Year over Year Change</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1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Three Months Ended</w:t>
            </w:r>
          </w:p>
        </w:tc>
        <w:tc>
          <w:tcPr>
            <w:tcW w:w="12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September 30, 2010</w:t>
            </w:r>
          </w:p>
        </w:tc>
        <w:tc>
          <w:tcPr>
            <w:tcW w:w="600" w:type="dxa"/>
            <w:vAlign w:val="bottom"/>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prior year</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40,812</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105,974</w:t>
            </w: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Increase in finance charges</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14,766</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Decrease in premiums earned</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(2,969)</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(Decrease) increase in other income</w:t>
            </w:r>
          </w:p>
        </w:tc>
        <w:tc>
          <w:tcPr>
            <w:tcW w:w="44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(404)</w:t>
            </w:r>
          </w:p>
        </w:tc>
        <w:tc>
          <w:tcPr>
            <w:tcW w:w="5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expenses (1)</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Increase in provision for credit losses</w:t>
            </w:r>
          </w:p>
        </w:tc>
        <w:tc>
          <w:tcPr>
            <w:tcW w:w="44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(3,593)</w:t>
            </w:r>
          </w:p>
        </w:tc>
        <w:tc>
          <w:tcPr>
            <w:tcW w:w="5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(3,894)</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Increase in provision for claims</w:t>
            </w:r>
          </w:p>
        </w:tc>
        <w:tc>
          <w:tcPr>
            <w:tcW w:w="44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(964)</w:t>
            </w:r>
          </w:p>
        </w:tc>
        <w:tc>
          <w:tcPr>
            <w:tcW w:w="5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provision for income taxes</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(1,658)</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439"/>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current year</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42,047</w:t>
            </w:r>
          </w:p>
        </w:tc>
        <w:tc>
          <w:tcPr>
            <w:tcW w:w="60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consist of salaries and wages, general and administrative, and sales and marketing expenses.</w:t>
      </w:r>
    </w:p>
    <w:p>
      <w:pPr>
        <w:spacing w:after="0" w:line="117"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i w:val="1"/>
          <w:iCs w:val="1"/>
          <w:color w:val="auto"/>
        </w:rPr>
        <w:t xml:space="preserve">Finance Charges. </w:t>
      </w:r>
      <w:r>
        <w:rPr>
          <w:rFonts w:ascii="Arial" w:cs="Arial" w:eastAsia="Arial" w:hAnsi="Arial"/>
          <w:sz w:val="16"/>
          <w:szCs w:val="16"/>
          <w:color w:val="auto"/>
        </w:rPr>
        <w:t>For the three months ended September 30, 2010, finance charges increased $14.8 million, or 17.5%, as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2009. For the nine months ended September 30, 2010, finance charges increased $42.1 million, or 17.4%, as compared to the same period in 2009. The increases were the result of an increase in the average yield on our Loan portfolio and an increase in the average Loan receivable balance,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160" w:type="dxa"/>
            <w:vAlign w:val="bottom"/>
            <w:gridSpan w:val="4"/>
          </w:tcPr>
          <w:p>
            <w:pPr>
              <w:ind w:left="860"/>
              <w:spacing w:after="0"/>
              <w:rPr>
                <w:sz w:val="20"/>
                <w:szCs w:val="20"/>
                <w:color w:val="auto"/>
              </w:rPr>
            </w:pPr>
            <w:r>
              <w:rPr>
                <w:rFonts w:ascii="Arial" w:cs="Arial" w:eastAsia="Arial" w:hAnsi="Arial"/>
                <w:sz w:val="14"/>
                <w:szCs w:val="14"/>
                <w:b w:val="1"/>
                <w:bCs w:val="1"/>
                <w:color w:val="auto"/>
              </w:rPr>
              <w:t>Year over Year Change</w:t>
            </w:r>
          </w:p>
        </w:tc>
      </w:tr>
      <w:tr>
        <w:trPr>
          <w:trHeight w:val="119"/>
        </w:trPr>
        <w:tc>
          <w:tcPr>
            <w:tcW w:w="8180" w:type="dxa"/>
            <w:vAlign w:val="bottom"/>
          </w:tcPr>
          <w:p>
            <w:pPr>
              <w:spacing w:after="0"/>
              <w:rPr>
                <w:sz w:val="10"/>
                <w:szCs w:val="10"/>
                <w:color w:val="auto"/>
              </w:rPr>
            </w:pPr>
          </w:p>
        </w:tc>
        <w:tc>
          <w:tcPr>
            <w:tcW w:w="190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Three Months Ended</w:t>
            </w:r>
          </w:p>
        </w:tc>
        <w:tc>
          <w:tcPr>
            <w:tcW w:w="12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Nine Months Ended</w:t>
            </w:r>
          </w:p>
        </w:tc>
        <w:tc>
          <w:tcPr>
            <w:tcW w:w="20" w:type="dxa"/>
            <w:vAlign w:val="bottom"/>
          </w:tcPr>
          <w:p>
            <w:pPr>
              <w:spacing w:after="0"/>
              <w:rPr>
                <w:sz w:val="10"/>
                <w:szCs w:val="10"/>
                <w:color w:val="auto"/>
              </w:rPr>
            </w:pPr>
          </w:p>
        </w:tc>
      </w:tr>
      <w:tr>
        <w:trPr>
          <w:trHeight w:val="171"/>
        </w:trPr>
        <w:tc>
          <w:tcPr>
            <w:tcW w:w="8180" w:type="dxa"/>
            <w:vAlign w:val="bottom"/>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2010</w:t>
            </w:r>
          </w:p>
        </w:tc>
        <w:tc>
          <w:tcPr>
            <w:tcW w:w="600" w:type="dxa"/>
            <w:vAlign w:val="bottom"/>
          </w:tcPr>
          <w:p>
            <w:pPr>
              <w:spacing w:after="0"/>
              <w:rPr>
                <w:sz w:val="14"/>
                <w:szCs w:val="14"/>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September 30, 2010</w:t>
            </w:r>
          </w:p>
        </w:tc>
        <w:tc>
          <w:tcPr>
            <w:tcW w:w="20" w:type="dxa"/>
            <w:vAlign w:val="bottom"/>
          </w:tcPr>
          <w:p>
            <w:pPr>
              <w:spacing w:after="0"/>
              <w:rPr>
                <w:sz w:val="14"/>
                <w:szCs w:val="14"/>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the average yield on our Loan portfolio</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Increase in the average Loan receivable balance</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7,720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finance charges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Nine Months Ended eptember 30,</w:t>
            </w:r>
          </w:p>
        </w:tc>
        <w:tc>
          <w:tcPr>
            <w:tcW w:w="0" w:type="dxa"/>
            <w:vAlign w:val="bottom"/>
          </w:tcPr>
          <w:p>
            <w:pPr>
              <w:spacing w:after="0"/>
              <w:rPr>
                <w:sz w:val="1"/>
                <w:szCs w:val="1"/>
                <w:color w:val="auto"/>
              </w:rPr>
            </w:pPr>
          </w:p>
        </w:tc>
      </w:tr>
      <w:tr>
        <w:trPr>
          <w:trHeight w:val="142"/>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Average yield on our Loan portfolio</w:t>
            </w:r>
          </w:p>
        </w:tc>
        <w:tc>
          <w:tcPr>
            <w:tcW w:w="102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2010</w:t>
            </w:r>
          </w:p>
        </w:tc>
        <w:tc>
          <w:tcPr>
            <w:tcW w:w="14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720" w:type="dxa"/>
            <w:vAlign w:val="bottom"/>
            <w:gridSpan w:val="2"/>
            <w:vMerge w:val="continue"/>
          </w:tcPr>
          <w:p>
            <w:pPr>
              <w:spacing w:after="0"/>
              <w:rPr>
                <w:sz w:val="19"/>
                <w:szCs w:val="19"/>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34.4%</w:t>
            </w:r>
          </w:p>
        </w:tc>
        <w:tc>
          <w:tcPr>
            <w:tcW w:w="5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increases in the average yield on our Loan portfolio for the three and nine month periods were primarily due to an increase in forecasted collection rates throughout 2009 and 2010 as well as higher yields on Consumer Loans assigned during the last three quarters of 2009 and the first quarter of 2010. In addition, the increase in the yield for the nine month period was also partially due to higher yields on Consumer Loans assigned during the second and third quarters of 2010. The increases in the average Loan receivable balance were primarily due to growth in new Loan volume during the last quarter of 2009 and first three quarters of 2010.</w:t>
      </w:r>
    </w:p>
    <w:p>
      <w:pPr>
        <w:spacing w:after="0" w:line="80"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i w:val="1"/>
          <w:iCs w:val="1"/>
          <w:color w:val="auto"/>
        </w:rPr>
        <w:t xml:space="preserve">Premiums Earned. </w:t>
      </w:r>
      <w:r>
        <w:rPr>
          <w:rFonts w:ascii="Arial" w:cs="Arial" w:eastAsia="Arial" w:hAnsi="Arial"/>
          <w:sz w:val="18"/>
          <w:szCs w:val="18"/>
          <w:color w:val="auto"/>
        </w:rPr>
        <w:t>For the three months ended September 30, 2010, premiums earned decreased $3.0 million, or 25.6%,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For the nine months ended September 30, 2010, premiums earned decreased $0.7 million, or 2.7%, as compared to the same period in 2009. The decrease for the three month period was primarily due to a revision in our revenue recognition timing during the third quarter of 2009, which increased premiums earned by $3.5 million. We revised our revenue recognition timing in order to better match the timing with our expected costs of servicing vehicle contracts. The decrease for the nine month period was primarily due a decline in the size of our reinsurance portfolio, which resulted from the termination of our arrangement with one of our third party insurers during the fourth quarter of 2009. Prior to the fourth quarter of 2009, VSC Re reinsured vehicle service contracts that were underwritten by two of our three third party insurers. VSC Re currently reinsures vehicle service contracts that are underwritten by one of our two third party insurers.</w:t>
      </w:r>
    </w:p>
    <w:p>
      <w:pPr>
        <w:sectPr>
          <w:pgSz w:w="11900" w:h="16838" w:orient="portrait"/>
          <w:cols w:equalWidth="0" w:num="1">
            <w:col w:w="11420"/>
          </w:cols>
          <w:pgMar w:left="240" w:top="419"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For the three months ended September 30, 2010, other income decreased $0.4 million, or 9.7%, as compared to the same period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2010, other income increased $4.7 million, or 36.5%, as compared to the same period in 2009. The decrease in other income for the three month period was primarily the result of a $0.8 million decrease due to the modification of our arrangement with a vendor that processes payments, which became effective during the third quarter of 2010</w:t>
      </w:r>
      <w:r>
        <w:rPr>
          <w:rFonts w:ascii="Arial" w:cs="Arial" w:eastAsia="Arial" w:hAnsi="Arial"/>
          <w:sz w:val="18"/>
          <w:szCs w:val="18"/>
          <w:b w:val="1"/>
          <w:bCs w:val="1"/>
          <w:color w:val="auto"/>
        </w:rPr>
        <w:t>.</w:t>
      </w:r>
      <w:r>
        <w:rPr>
          <w:rFonts w:ascii="Arial" w:cs="Arial" w:eastAsia="Arial" w:hAnsi="Arial"/>
          <w:sz w:val="18"/>
          <w:szCs w:val="18"/>
          <w:color w:val="auto"/>
        </w:rPr>
        <w:t xml:space="preserve"> The increase in other income for the nine month period was primarily a result of $3.4 million of income recognized during the second quarter of 2010 related to an arrangement with one of our third party vehicle service contract providers. This arrangement was discontinued in 2008 and no additional income is expected beyond the amount recognized to date. While we continue to generate income from vehicle service contracts, such amounts are captured through VSC Re and recorded over the life of the contracts as premiums earned less provision for claims.</w:t>
      </w:r>
    </w:p>
    <w:p>
      <w:pPr>
        <w:spacing w:after="0" w:line="84"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i w:val="1"/>
          <w:iCs w:val="1"/>
          <w:color w:val="auto"/>
        </w:rPr>
        <w:t xml:space="preserve">Salaries and wages. </w:t>
      </w:r>
      <w:r>
        <w:rPr>
          <w:rFonts w:ascii="Arial" w:cs="Arial" w:eastAsia="Arial" w:hAnsi="Arial"/>
          <w:sz w:val="18"/>
          <w:szCs w:val="18"/>
          <w:color w:val="auto"/>
        </w:rPr>
        <w:t>For the three months ended September 30, 2010, salaries and wages decreased $0.7 million, or 4.3%,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2009. For the nine months ended September 30, 2010, salaries and wages decreased $4.2 million, or 8.3%, as compared to the same period in 2009. The decreases were primarily the result of:</w:t>
      </w:r>
    </w:p>
    <w:p>
      <w:pPr>
        <w:spacing w:after="0" w:line="73" w:lineRule="exact"/>
        <w:rPr>
          <w:sz w:val="20"/>
          <w:szCs w:val="20"/>
          <w:color w:val="auto"/>
        </w:rPr>
      </w:pPr>
    </w:p>
    <w:p>
      <w:pPr>
        <w:ind w:left="1120" w:hanging="437"/>
        <w:spacing w:after="0"/>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Reduced expenses related to stock compensation due to the timing of expense related to long-term incentive compensation;</w:t>
      </w:r>
    </w:p>
    <w:p>
      <w:pPr>
        <w:spacing w:after="0" w:line="130" w:lineRule="exact"/>
        <w:rPr>
          <w:rFonts w:ascii="Arial" w:cs="Arial" w:eastAsia="Arial" w:hAnsi="Arial"/>
          <w:sz w:val="18"/>
          <w:szCs w:val="18"/>
          <w:b w:val="1"/>
          <w:bCs w:val="1"/>
          <w:color w:val="auto"/>
        </w:rPr>
      </w:pPr>
    </w:p>
    <w:p>
      <w:pPr>
        <w:ind w:left="1120" w:hanging="437"/>
        <w:spacing w:after="0" w:line="264" w:lineRule="auto"/>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Reduced expenses related to information technology primarily due to an approximately 25% reduction in information technology headcount, partially offset by the expensing of internal information technology salaries during the third quarter of 2010 that were previously capitalized as software developed for internal use; and</w:t>
      </w:r>
    </w:p>
    <w:p>
      <w:pPr>
        <w:spacing w:after="0" w:line="86" w:lineRule="exact"/>
        <w:rPr>
          <w:rFonts w:ascii="Arial" w:cs="Arial" w:eastAsia="Arial" w:hAnsi="Arial"/>
          <w:sz w:val="18"/>
          <w:szCs w:val="18"/>
          <w:b w:val="1"/>
          <w:bCs w:val="1"/>
          <w:color w:val="auto"/>
        </w:rPr>
      </w:pPr>
    </w:p>
    <w:p>
      <w:pPr>
        <w:ind w:left="1120" w:hanging="437"/>
        <w:spacing w:after="0"/>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Reduced expenses related to collections primarily due to fewer delinquent accounts which reduce the amount of collection effort.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decreases were partially offset by increased expenses related to medical claims and an increase in our 401(k) matching contributions.</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For the three months ended September 30, 2010, general and administrative expense decreased $0.7 million, or 8.4%,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2009. For the nine months ended September 30, 2010, general and administrative expense decreased $3.1 million, or 13.6%, as compared to the same period in 2009. The decreases primarily resulted from (1) decreased legal costs, (2) decreased consulting fees primarily related to the IRS audit which is now complete, and (3) decreased depreciation expense primarily related to a reduction in capital expenditures, partially offset by (4) increased consulting fees primarily related to the development of software.</w:t>
      </w:r>
    </w:p>
    <w:p>
      <w:pPr>
        <w:spacing w:after="0" w:line="80"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For the three months ended September 30, 2010, sales and marketing expense increased $1.4 million, or 40.7%,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2009. For the nine months ended September 30, 2010, sales and marketing expense increased $3.6 million, or 32.6%, as compared to the same period in 2009. The increases were due primarily to the expansion of our field sales force and increased sales commissions resulting from an increase in the commission per Consumer Loan assignment and an increase in the number of Consumer Loan assignments.</w:t>
      </w:r>
    </w:p>
    <w:p>
      <w:pPr>
        <w:spacing w:after="0" w:line="63"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For the three months ended September 30, 2010, the provision for credit losses increased $3.6 million, or 100.1%,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2009. For the nine months ended September 30, 2010, the provision for credit losses increased $15.4 million, or 213.9%, as compared to the same period in 2009. Under GAAP, when forecasted future cash flows decline relative to the cash flows expected at the time of assignment, a provision for credit losses is recorded immediately as a current period expense and a corresponding allowance for credit losses is established. For purposes of calculating the required allowance, Dealer Loans are grouped by Dealer-Partner and Purchased Loans are grouped by month of purchase. As a result, regardless of the overall performance of the portfolio of Consumer Loans, a provision can be required if any individual Loan pool performs worse than expected. Conversely, a previously recorded provision can be reversed if any previously impaired individual Loan pool experiences an improvement in performance.</w:t>
      </w:r>
    </w:p>
    <w:p>
      <w:pPr>
        <w:spacing w:after="0" w:line="84"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During the three and nine months ended September 30, 2010, overall Consumer Loan performance exceeded our expectations at the start of the periods. However, impaired Loan pools within our portfolio experienced net declines in forecasted cash flows, resulting in provision for credit losses of a nominal amount for the three months ended September 30, 2010 and $8.2 million for the nine months ended September 30, 2010. During the three and nine months ended September 30, 2009, overall Consumer Loan performance also exceeded our expectations at the start of the periods. Consistent with the overall performance of the portfolio, impaired Loan pools experienced net improvements in forecasted cash flows, resulting in a reversal of provision for credit losses of $3.6 million and $7.2 million for the three months and nine months ended September 30, 2009,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For the three months ended September 30, 2010, interest expense increased $3.9 million, or 47.8%, as compared to the same period in 2009.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2010, interest expense increased $12.7 million, or 54.2%, as compared to the same period in 2009. The following table shows interest expense, the average outstanding debt balance, and the pre-tax average cost of debt for the three and nine months ended September 30, 2010 and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7"/>
              </w:rPr>
              <w:t>Three Months Ended September 30,</w:t>
            </w:r>
          </w:p>
        </w:tc>
        <w:tc>
          <w:tcPr>
            <w:tcW w:w="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2009</w:t>
            </w:r>
          </w:p>
        </w:tc>
        <w:tc>
          <w:tcPr>
            <w:tcW w:w="9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12,038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8,144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36,010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23,352</w:t>
            </w:r>
          </w:p>
        </w:tc>
        <w:tc>
          <w:tcPr>
            <w:tcW w:w="0" w:type="dxa"/>
            <w:vAlign w:val="bottom"/>
          </w:tcPr>
          <w:p>
            <w:pPr>
              <w:spacing w:after="0"/>
              <w:rPr>
                <w:sz w:val="1"/>
                <w:szCs w:val="1"/>
                <w:color w:val="auto"/>
              </w:rPr>
            </w:pP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Average outstanding debt balance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7"/>
              <w:spacing w:after="0"/>
              <w:rPr>
                <w:sz w:val="20"/>
                <w:szCs w:val="20"/>
                <w:color w:val="auto"/>
              </w:rPr>
            </w:pPr>
            <w:r>
              <w:rPr>
                <w:rFonts w:ascii="Arial" w:cs="Arial" w:eastAsia="Arial" w:hAnsi="Arial"/>
                <w:sz w:val="18"/>
                <w:szCs w:val="18"/>
                <w:color w:val="auto"/>
                <w:w w:val="86"/>
              </w:rPr>
              <w:t>645,383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w w:val="89"/>
              </w:rPr>
              <w:t>562,663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7"/>
              <w:spacing w:after="0"/>
              <w:rPr>
                <w:sz w:val="20"/>
                <w:szCs w:val="20"/>
                <w:color w:val="auto"/>
              </w:rPr>
            </w:pPr>
            <w:r>
              <w:rPr>
                <w:rFonts w:ascii="Arial" w:cs="Arial" w:eastAsia="Arial" w:hAnsi="Arial"/>
                <w:sz w:val="18"/>
                <w:szCs w:val="18"/>
                <w:color w:val="auto"/>
                <w:w w:val="86"/>
              </w:rPr>
              <w:t>549,106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4"/>
              <w:spacing w:after="0"/>
              <w:rPr>
                <w:sz w:val="20"/>
                <w:szCs w:val="20"/>
                <w:color w:val="auto"/>
              </w:rPr>
            </w:pPr>
            <w:r>
              <w:rPr>
                <w:rFonts w:ascii="Arial" w:cs="Arial" w:eastAsia="Arial" w:hAnsi="Arial"/>
                <w:sz w:val="18"/>
                <w:szCs w:val="18"/>
                <w:color w:val="auto"/>
                <w:w w:val="86"/>
              </w:rPr>
              <w:t>597,268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Pre-tax average cost of debt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5.8%</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For the three and nine months ended September 30, 2010, the increases in interest expense were primarily due to increases in our pre-tax average cost of debt due to the issuance of the Senior Notes during the first quarter of 2010. In addition, the increase in our pre-tax average cost of debt for the nine month period was impacted by an increase in available and unused credit capacity.</w:t>
      </w:r>
    </w:p>
    <w:p>
      <w:pPr>
        <w:spacing w:after="0" w:line="73"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i w:val="1"/>
          <w:iCs w:val="1"/>
          <w:color w:val="auto"/>
        </w:rPr>
        <w:t xml:space="preserve">Provision for claims. </w:t>
      </w:r>
      <w:r>
        <w:rPr>
          <w:rFonts w:ascii="Arial" w:cs="Arial" w:eastAsia="Arial" w:hAnsi="Arial"/>
          <w:sz w:val="18"/>
          <w:szCs w:val="18"/>
          <w:color w:val="auto"/>
        </w:rPr>
        <w:t>For the three months ended September 30, 2010, provision for claims increased $1.0 million, or 18.7%,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2009. For the nine months ended September 30, 2010, provision for claims increased $2.8 million, or 19.1%, as compared to the same period in 2009. The increases were due to an increase in claims paid per reinsured vehicle service contract, partially offset by a decline in the size of our reinsurance portfolio.</w:t>
      </w:r>
    </w:p>
    <w:p>
      <w:pPr>
        <w:spacing w:after="0" w:line="79"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For the three months ended September 30, 2010, the effective tax rate increased to 35.5%, from 34.5% in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2009. For the nine months ended September 30, 2010, the effective tax rate decreased to 33.2%, from 35.9% in the same period in 2009. The increase during the third quarter of 2010 is primarily due to a decrease in the reserve for uncertain tax positions and related interest recorded during the third quarter of 2009. The decrease for the nine month period, as compared to the same period in the prior year, was primarily due to the reversal of reserves for uncertain tax positions and associated interest as a result of the completion of the IRS audit during the second quarter of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need capital to fund new Loans and pay Dealer Holdback. Our primary sources of capital are cash flows from operating activities, collections of Consumer Loans and borrowings under: (1) a revolving secured line of credit with a commercial bank syndicate; (2) revolving secured warehouse facilities with institutional investors; (3) Term ABS financings with qualified institutional investors; and (4) Senior Notes. There are various restrictive debt covenants for each financing arrangement and we are in compliance with those covenants as of September 30, 2010. For information regarding these financings and the covenants included in the related documents, see Note 5 to the consolidated financial statements contained in Item 1 of this Form 10-Q, which is incorporated herein by reference.</w:t>
      </w:r>
    </w:p>
    <w:p>
      <w:pPr>
        <w:spacing w:after="0" w:line="85" w:lineRule="exact"/>
        <w:rPr>
          <w:sz w:val="20"/>
          <w:szCs w:val="20"/>
          <w:color w:val="auto"/>
        </w:rPr>
      </w:pPr>
    </w:p>
    <w:p>
      <w:pPr>
        <w:jc w:val="both"/>
        <w:ind w:right="780" w:firstLine="225"/>
        <w:spacing w:after="0" w:line="312" w:lineRule="auto"/>
        <w:rPr>
          <w:sz w:val="20"/>
          <w:szCs w:val="20"/>
          <w:color w:val="auto"/>
        </w:rPr>
      </w:pPr>
      <w:r>
        <w:rPr>
          <w:rFonts w:ascii="Arial" w:cs="Arial" w:eastAsia="Arial" w:hAnsi="Arial"/>
          <w:sz w:val="16"/>
          <w:szCs w:val="16"/>
          <w:color w:val="auto"/>
        </w:rPr>
        <w:t>Cash and cash equivalents decreased to $1.5 million as of September 30, 2010 from $2.2 million at December 31, 2009. Our total balance sheet indebtedness increased to $679.6 million at September 30, 2010 from $507.0 million at December 31, 2009 as the cash used to fund new Loans and repurchase common stock exceeded the net cash provided by our operating activities and principal collections from our Loan portfolio.</w:t>
      </w:r>
    </w:p>
    <w:p>
      <w:pPr>
        <w:spacing w:after="0" w:line="3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During the first quarter of 2010, we issued $250.0 million aggregate principal amount of 9.125% First Priority Senior Notes. Concurrently with the issuance of the Senior Notes, we amended the agreements governing our line of credit facility with a commercial bank syndicate to facilitate the issuance of the Senior Notes and future secured indebtedness. The net proceeds from the offering of the Senior Notes were used to repay all outstanding borrowings under our line of credit facility and to repay all outstanding borrowings under our $325.0 million revolving secured warehouse facility, subject to our ability to reborrow in each case.</w:t>
      </w:r>
    </w:p>
    <w:p>
      <w:pPr>
        <w:spacing w:after="0" w:line="80"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Senior Notes were issued pursuant to an Indenture, dated as of February 1, 2010, among us, BVPP and VRS, as Guarantors, and U.S. Bank National Association, as Trustee.</w:t>
      </w:r>
    </w:p>
    <w:p>
      <w:pPr>
        <w:spacing w:after="0" w:line="62"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The Senior Notes mature on February 1, 2017 and bear interest at a rate of 9.125% per annum, computed on the basis of 360-day year composed of twelve 30-day months and payable semi-annually on February 1 and August 1 of each year, beginning on August 1, 2010. The Senior Notes were issued at 97.495% of the aggregate principal amount for net proceeds of $243.7 million, representing a yield to maturity of 9.625%.</w:t>
      </w:r>
    </w:p>
    <w:p>
      <w:pPr>
        <w:spacing w:after="0" w:line="5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During the second quarter of 2010, we extended the maturity of the revolving secured line of credit facility with a commercial bank syndicate from June 23, 2011 to June 22, 2012. The interest rate on borrowings under the facility was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changed from the prime rate plus 1.0% or the Eurodollar rate plus 2.75%, at the Company’s option, to the prime rate plus 1.25% or the Eurodollar rate plus 2.25%, at the Company’s option. The floor on the Eurodollar rate decreased from 1.50% to 0.75%. None of the financial covenants were modified.</w:t>
      </w:r>
    </w:p>
    <w:p>
      <w:pPr>
        <w:spacing w:after="0" w:line="16"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Also during the second quarter of 2010, we extended the date on which our $325.0 million revolving secured warehouse facility will cease to revolve from August 23, 2010 to June 15, 2013. The interest rate on borrowings under the $325.0 million revolving secured warehouse facility was decreased from a floating rate equal to the commercial paper rate plus 5% to the commercial paper rate plus 3.5%. In addition, the agreement was modified to provide that in the event that the facility is not renewed and the borrower is in compliance with the terms and conditions of the agreement, any amounts outstanding will be repaid over time as the collections on the loans securing the facility are received.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second quarter of 2010, we commenced a tender offer to repurchase up to 4.0 million shares of our outstanding common stock at a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$50.00 per share. Upon expiration of the tender offer during the third quarter of 2010, we repurchased 4.0 million common shares at a cost of $200.0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included approximately 2.9 million shares beneficially owned by Donald A. Foss, our Chairman of the Board, and approximately 0.8 million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beneficially owned by the trustee of certain grantor retained annuity trusts created by Mr. Foss. We financed the repurchase of our common stock in the tender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by borrowing under our $170.0 million revolving secured line of credit facility and $325.0 million revolving secured warehouse facility.</w:t>
      </w:r>
    </w:p>
    <w:p>
      <w:pPr>
        <w:spacing w:after="0" w:line="103"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During the third quarter of 2010, we extended the date on which our $75.0 million revolving secured warehouse facility will cease to revolve from August 31, 2011 to September 10, 2013. The maturity of the facility was also extended from August 31, 2012 to September 10, 2014. The interest rate on the facility was decreased from a floating rate equal to LIBOR plus 3.75% to LIBOR plus 3.0%. There were no other material changes to the terms of the facility.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third quarter of 2010, we increased the amount of the revolving secured line of credit facility from $150.0 million to $170.0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total future contractual obligations requiring repayments as of September 30, 2010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8"/>
              </w:rPr>
              <w:t>Less than</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More than</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color w:val="auto"/>
              </w:rPr>
              <w:t>(Dollars in thousands)</w:t>
            </w: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1 Year</w:t>
            </w:r>
          </w:p>
        </w:tc>
        <w:tc>
          <w:tcPr>
            <w:tcW w:w="34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1-3 Years</w:t>
            </w: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3-5 Years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r>
      <w:tr>
        <w:trPr>
          <w:trHeight w:val="195"/>
        </w:trPr>
        <w:tc>
          <w:tcPr>
            <w:tcW w:w="3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Long-term debt, including current</w:t>
            </w: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and capital leases (1)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$ 685,387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31,825</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$ 236,344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$ 167,218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$ 250,000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695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1,593</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(2)</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476</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351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future obligations (3)</w:t>
            </w:r>
          </w:p>
        </w:tc>
        <w:tc>
          <w:tcPr>
            <w:tcW w:w="700" w:type="dxa"/>
            <w:vAlign w:val="bottom"/>
          </w:tcPr>
          <w:p>
            <w:pPr>
              <w:jc w:val="right"/>
              <w:spacing w:after="0"/>
              <w:rPr>
                <w:sz w:val="20"/>
                <w:szCs w:val="20"/>
                <w:color w:val="auto"/>
              </w:rPr>
            </w:pPr>
            <w:r>
              <w:rPr>
                <w:rFonts w:ascii="Arial" w:cs="Arial" w:eastAsia="Arial" w:hAnsi="Arial"/>
                <w:sz w:val="18"/>
                <w:szCs w:val="18"/>
                <w:color w:val="auto"/>
              </w:rPr>
              <w:t>6,564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6,564</w:t>
            </w:r>
          </w:p>
        </w:tc>
      </w:tr>
      <w:tr>
        <w:trPr>
          <w:trHeight w:val="27"/>
        </w:trPr>
        <w:tc>
          <w:tcPr>
            <w:tcW w:w="3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contractual obligations (4)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$ 695,125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32,996</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$ 238,288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$ 167,277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$ 250,000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6,564</w:t>
            </w:r>
          </w:p>
        </w:tc>
      </w:tr>
      <w:tr>
        <w:trPr>
          <w:trHeight w:val="20"/>
        </w:trPr>
        <w:tc>
          <w:tcPr>
            <w:tcW w:w="3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73"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Long-term debt obligations included in the above table consist solely of principal repayments. The amounts are presented on a gross basis to exclude the unamortized debt discount of $5.8 million. We are also obligated to make interest payments at the applicable interest rates, as discussed in Note 5 to the consolidated financial statements contained in Item 1 of this Form 10-Q, which is incorporated herein by reference. Based on the actual amounts outstanding under our revolving line of credit, our warehouse facilities, and our Senior Notes at September 30, 2010, the forecasted amounts outstanding on all other debt and the actual interest rates in effect as of September 30, 2010, interest is expected to be approximately $4.1 million during 2010; $38.4 million during 2011; and $145.3 million during 2012 and thereafter.</w:t>
      </w:r>
    </w:p>
    <w:p>
      <w:pPr>
        <w:spacing w:after="0" w:line="29" w:lineRule="exact"/>
        <w:rPr>
          <w:rFonts w:ascii="Arial" w:cs="Arial" w:eastAsia="Arial" w:hAnsi="Arial"/>
          <w:sz w:val="17"/>
          <w:szCs w:val="17"/>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obligations consist primarily of contractual obligations related to the information system needs.</w:t>
      </w:r>
    </w:p>
    <w:p>
      <w:pPr>
        <w:spacing w:after="0" w:line="7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future obligations included in the above table consist solely of reserves for uncertain tax positions. Payments are contingent upon examination and would occur in the periods in which the uncertain tax positions are settled.</w:t>
      </w:r>
    </w:p>
    <w:p>
      <w:pPr>
        <w:spacing w:after="0" w:line="2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contractual obligations to pay Dealer Holdback to our Dealer-Partners; however, as payments of Dealer Holdback are contingent upon the receipt of customer payments and the repayment of advances, these obligations are excluded from the table above.</w:t>
      </w:r>
    </w:p>
    <w:p>
      <w:pPr>
        <w:spacing w:after="0" w:line="38" w:lineRule="exact"/>
        <w:rPr>
          <w:sz w:val="20"/>
          <w:szCs w:val="20"/>
          <w:color w:val="auto"/>
        </w:rPr>
      </w:pPr>
    </w:p>
    <w:p>
      <w:pPr>
        <w:jc w:val="both"/>
        <w:ind w:right="400" w:firstLine="225"/>
        <w:spacing w:after="0" w:line="312" w:lineRule="auto"/>
        <w:rPr>
          <w:sz w:val="20"/>
          <w:szCs w:val="20"/>
          <w:color w:val="auto"/>
        </w:rPr>
      </w:pPr>
      <w:r>
        <w:rPr>
          <w:rFonts w:ascii="Arial" w:cs="Arial" w:eastAsia="Arial" w:hAnsi="Arial"/>
          <w:sz w:val="16"/>
          <w:szCs w:val="16"/>
          <w:color w:val="auto"/>
        </w:rPr>
        <w:t>Based upon anticipated cash flows, management believes that cash flows from operations and its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 Item 7 of our Annual Report on Form 10-K for the year ended December 31, 2009 discusses several critical accounting estimates, which we believe involve a high degree of judgment and complexity. There have been no material changes to the estimates and assumptions associated with these accounting estimates from those discussed in our Annual Report on Form 10-K for the year ended December 31,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Securities and Exchange Commission.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80"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2009, other risk factors discussed herein or listed from time to time in our reports filed with the Securities and Exchange Commission and the following:</w:t>
      </w:r>
    </w:p>
    <w:p>
      <w:pPr>
        <w:spacing w:after="0" w:line="85" w:lineRule="exact"/>
        <w:rPr>
          <w:sz w:val="20"/>
          <w:szCs w:val="20"/>
          <w:color w:val="auto"/>
        </w:rPr>
      </w:pPr>
    </w:p>
    <w:p>
      <w:pPr>
        <w:ind w:left="660" w:right="56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We may be unable to execute our business strategy due to current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terms of our debt limit how we conduct our business.</w:t>
      </w:r>
    </w:p>
    <w:p>
      <w:pPr>
        <w:spacing w:after="0" w:line="130" w:lineRule="exact"/>
        <w:rPr>
          <w:rFonts w:ascii="Arial" w:cs="Arial" w:eastAsia="Arial" w:hAnsi="Arial"/>
          <w:sz w:val="18"/>
          <w:szCs w:val="18"/>
          <w:b w:val="1"/>
          <w:bCs w:val="1"/>
          <w:color w:val="auto"/>
        </w:rPr>
      </w:pPr>
    </w:p>
    <w:p>
      <w:pPr>
        <w:ind w:left="660" w:right="440" w:hanging="436"/>
        <w:spacing w:after="0" w:line="342" w:lineRule="auto"/>
        <w:tabs>
          <w:tab w:leader="none" w:pos="66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660" w:right="68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60" w:hanging="436"/>
        <w:spacing w:after="0" w:line="264"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Our operations are dependent on technology.</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concentration of our Dealer-Partners in several states could adversely affect 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153" w:lineRule="exact"/>
        <w:rPr>
          <w:rFonts w:ascii="Arial" w:cs="Arial" w:eastAsia="Arial" w:hAnsi="Arial"/>
          <w:sz w:val="16"/>
          <w:szCs w:val="16"/>
          <w:b w:val="1"/>
          <w:bCs w:val="1"/>
          <w:color w:val="auto"/>
        </w:rPr>
      </w:pPr>
    </w:p>
    <w:p>
      <w:pPr>
        <w:ind w:left="660" w:right="120" w:hanging="436"/>
        <w:spacing w:after="0" w:line="277"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Reliance on our outsourced business functions could adversely affect our business.</w:t>
      </w:r>
    </w:p>
    <w:p>
      <w:pPr>
        <w:spacing w:after="0" w:line="130" w:lineRule="exact"/>
        <w:rPr>
          <w:rFonts w:ascii="Arial" w:cs="Arial" w:eastAsia="Arial" w:hAnsi="Arial"/>
          <w:sz w:val="18"/>
          <w:szCs w:val="18"/>
          <w:b w:val="1"/>
          <w:bCs w:val="1"/>
          <w:color w:val="auto"/>
        </w:rPr>
      </w:pPr>
    </w:p>
    <w:p>
      <w:pPr>
        <w:ind w:left="660" w:right="720" w:hanging="436"/>
        <w:spacing w:after="0" w:line="277"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Refer to our Annual Report on Form 10-K for the year ended December 31, 2009 for a complete discussion of our market risk. There have been no material changes to the market risk information included in our 2009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233"/>
        <w:spacing w:after="0" w:line="291" w:lineRule="auto"/>
        <w:tabs>
          <w:tab w:leader="none" w:pos="47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59" w:lineRule="exact"/>
        <w:rPr>
          <w:rFonts w:ascii="Arial" w:cs="Arial" w:eastAsia="Arial" w:hAnsi="Arial"/>
          <w:sz w:val="16"/>
          <w:szCs w:val="16"/>
          <w:color w:val="auto"/>
        </w:rPr>
      </w:pPr>
    </w:p>
    <w:p>
      <w:pPr>
        <w:ind w:right="60" w:firstLine="233"/>
        <w:spacing w:after="0" w:line="264"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Rules 13a-15(f) and 15d-15(f) under the Exchange Act) during the fiscal quarter to which this report relates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Stock Repurchases</w:t>
      </w:r>
    </w:p>
    <w:p>
      <w:pPr>
        <w:ind w:right="80" w:firstLine="225"/>
        <w:spacing w:after="0" w:line="257" w:lineRule="auto"/>
        <w:rPr>
          <w:sz w:val="20"/>
          <w:szCs w:val="20"/>
          <w:color w:val="auto"/>
        </w:rPr>
      </w:pPr>
      <w:r>
        <w:rPr>
          <w:rFonts w:ascii="Arial" w:cs="Arial" w:eastAsia="Arial" w:hAnsi="Arial"/>
          <w:sz w:val="18"/>
          <w:szCs w:val="18"/>
          <w:color w:val="auto"/>
        </w:rPr>
        <w:t>In 1999, our board of directors approved a stock repurchase program which authorizes us to repurchase common shares in the open market or in privately negotiated transactions at price levels we deem attractive. As of September 30, 2010, we have repurchased approximately 24.4 million shares under the stock repurchase program at a cost of $599.2 million. Included in the stock repurchases to date are 16.5 million shares of common stock repurchased at a cost of $504.4 million through four modified Dutch auction tender offers and one tender offer. As of September 30, 2010, we have authorization to repurchase up to $29.1 million of our common stock.</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stock repurchases for the three months ended September 30,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Total Number of</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Total Number</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that May Yet Be Used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Average Price</w:t>
            </w:r>
          </w:p>
        </w:tc>
        <w:tc>
          <w:tcPr>
            <w:tcW w:w="26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to Purchase Shares</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Purchased</w:t>
            </w: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Paid per Share</w:t>
            </w:r>
          </w:p>
        </w:tc>
        <w:tc>
          <w:tcPr>
            <w:tcW w:w="260" w:type="dxa"/>
            <w:vAlign w:val="bottom"/>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July 1 to July 31, 2010</w:t>
            </w:r>
          </w:p>
        </w:tc>
        <w:tc>
          <w:tcPr>
            <w:tcW w:w="1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4,000,000*</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August 1 to August 31, 2010</w:t>
            </w:r>
          </w:p>
        </w:tc>
        <w:tc>
          <w:tcPr>
            <w:tcW w:w="44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29,113,295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September 1 to September 30, 2010</w:t>
            </w: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29,113,295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160" w:hanging="452"/>
        <w:spacing w:after="0" w:line="342" w:lineRule="auto"/>
        <w:tabs>
          <w:tab w:leader="none" w:pos="460" w:val="left"/>
        </w:tabs>
        <w:numPr>
          <w:ilvl w:val="0"/>
          <w:numId w:val="32"/>
        </w:numPr>
        <w:rPr>
          <w:rFonts w:ascii="Arial" w:cs="Arial" w:eastAsia="Arial" w:hAnsi="Arial"/>
          <w:sz w:val="16"/>
          <w:szCs w:val="16"/>
          <w:i w:val="1"/>
          <w:iCs w:val="1"/>
          <w:color w:val="auto"/>
        </w:rPr>
      </w:pPr>
      <w:r>
        <w:rPr>
          <w:rFonts w:ascii="Arial" w:cs="Arial" w:eastAsia="Arial" w:hAnsi="Arial"/>
          <w:sz w:val="16"/>
          <w:szCs w:val="16"/>
          <w:color w:val="auto"/>
        </w:rPr>
        <w:t>During the second quarter of 2010, we commenced a tender offer to repurchase up to 4.0 million shares of our outstanding common stock at a price of $50.00 per share. Upon expiration of the tender offer on July 19, 2010, we repurchased 4.0 million common shares at a cost of $200.0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Index of Exhibits following the signature page, which is incorporated herein by reference.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CREDIT ACCEPTANCE CORPORATION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Kenneth S. Booth</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-130810</wp:posOffset>
            </wp:positionV>
            <wp:extent cx="28727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November 1, 2010</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40" w:type="dxa"/>
            <w:vAlign w:val="bottom"/>
          </w:tcPr>
          <w:p>
            <w:pPr>
              <w:ind w:left="3020"/>
              <w:spacing w:after="0"/>
              <w:rPr>
                <w:sz w:val="20"/>
                <w:szCs w:val="20"/>
                <w:color w:val="auto"/>
              </w:rPr>
            </w:pPr>
            <w:r>
              <w:rPr>
                <w:rFonts w:ascii="Arial" w:cs="Arial" w:eastAsia="Arial" w:hAnsi="Arial"/>
                <w:sz w:val="18"/>
                <w:szCs w:val="18"/>
                <w:b w:val="1"/>
                <w:bCs w:val="1"/>
                <w:color w:val="auto"/>
              </w:rPr>
              <w:t>INDEX OF EXHIBITS</w:t>
            </w:r>
          </w:p>
        </w:tc>
      </w:tr>
      <w:tr>
        <w:trPr>
          <w:trHeight w:val="380"/>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80" w:type="dxa"/>
            <w:vAlign w:val="bottom"/>
          </w:tcPr>
          <w:p>
            <w:pPr>
              <w:spacing w:after="0"/>
              <w:rPr>
                <w:sz w:val="24"/>
                <w:szCs w:val="24"/>
                <w:color w:val="auto"/>
              </w:rPr>
            </w:pPr>
          </w:p>
        </w:tc>
        <w:tc>
          <w:tcPr>
            <w:tcW w:w="944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403"/>
        </w:trPr>
        <w:tc>
          <w:tcPr>
            <w:tcW w:w="1120" w:type="dxa"/>
            <w:vAlign w:val="bottom"/>
          </w:tcPr>
          <w:p>
            <w:pPr>
              <w:spacing w:after="0"/>
              <w:rPr>
                <w:sz w:val="20"/>
                <w:szCs w:val="20"/>
                <w:color w:val="auto"/>
              </w:rPr>
            </w:pPr>
            <w:r>
              <w:rPr>
                <w:rFonts w:ascii="Arial" w:cs="Arial" w:eastAsia="Arial" w:hAnsi="Arial"/>
                <w:sz w:val="18"/>
                <w:szCs w:val="18"/>
                <w:color w:val="auto"/>
              </w:rPr>
              <w:t>4(f)(137)</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9440" w:type="dxa"/>
            <w:vAlign w:val="bottom"/>
          </w:tcPr>
          <w:p>
            <w:pPr>
              <w:ind w:left="160"/>
              <w:spacing w:after="0"/>
              <w:rPr>
                <w:sz w:val="20"/>
                <w:szCs w:val="20"/>
                <w:color w:val="auto"/>
              </w:rPr>
            </w:pPr>
            <w:r>
              <w:rPr>
                <w:rFonts w:ascii="Arial" w:cs="Arial" w:eastAsia="Arial" w:hAnsi="Arial"/>
                <w:sz w:val="18"/>
                <w:szCs w:val="18"/>
                <w:color w:val="auto"/>
                <w:w w:val="91"/>
              </w:rPr>
              <w:t>Second Amendment to Loan and Security Agreement, dated as of September 10, 2010 among the Company, CAC Warehouse</w:t>
            </w:r>
          </w:p>
        </w:tc>
      </w:tr>
      <w:tr>
        <w:trPr>
          <w:trHeight w:val="230"/>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Funding III, LLC, and Fifth Third Bank.</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31(a)</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9440" w:type="dxa"/>
            <w:vAlign w:val="bottom"/>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31(b)</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9440" w:type="dxa"/>
            <w:vAlign w:val="bottom"/>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32(a)</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9440" w:type="dxa"/>
            <w:vAlign w:val="bottom"/>
          </w:tcPr>
          <w:p>
            <w:pPr>
              <w:ind w:left="16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w:t>
            </w:r>
          </w:p>
        </w:tc>
      </w:tr>
      <w:tr>
        <w:trPr>
          <w:trHeight w:val="230"/>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Oxley Act of 2002.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32(b)</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9440" w:type="dxa"/>
            <w:vAlign w:val="bottom"/>
          </w:tcPr>
          <w:p>
            <w:pPr>
              <w:ind w:left="16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w:t>
            </w:r>
          </w:p>
        </w:tc>
      </w:tr>
      <w:tr>
        <w:trPr>
          <w:trHeight w:val="230"/>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dated September 10, 2010, and incorporated herein by reference,</w:t>
      </w:r>
    </w:p>
    <w:p>
      <w:pPr>
        <w:spacing w:after="0" w:line="8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w:t>
      </w:r>
      <w:r>
        <w:rPr>
          <w:rFonts w:ascii="Arial" w:cs="Arial" w:eastAsia="Arial" w:hAnsi="Arial"/>
          <w:sz w:val="16"/>
          <w:szCs w:val="16"/>
          <w:color w:val="auto"/>
        </w:rPr>
        <w:t>Filed herewith.</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19"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 (a)</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Brett A. Roberts, certify that:</w:t>
      </w:r>
    </w:p>
    <w:p>
      <w:pPr>
        <w:spacing w:after="0" w:line="117" w:lineRule="exact"/>
        <w:rPr>
          <w:sz w:val="20"/>
          <w:szCs w:val="20"/>
          <w:color w:val="auto"/>
        </w:rPr>
      </w:pPr>
    </w:p>
    <w:p>
      <w:pPr>
        <w:ind w:left="420" w:hanging="184"/>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117" w:lineRule="exact"/>
        <w:rPr>
          <w:rFonts w:ascii="Arial" w:cs="Arial" w:eastAsia="Arial" w:hAnsi="Arial"/>
          <w:sz w:val="18"/>
          <w:szCs w:val="18"/>
          <w:color w:val="auto"/>
        </w:rPr>
      </w:pPr>
    </w:p>
    <w:p>
      <w:pPr>
        <w:ind w:left="240" w:right="220" w:hanging="4"/>
        <w:spacing w:after="0" w:line="342"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40" w:right="500" w:hanging="4"/>
        <w:spacing w:after="0" w:line="308"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40" w:right="40" w:hanging="4"/>
        <w:spacing w:after="0" w:line="264"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4"/>
        <w:spacing w:after="0" w:line="264"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40" w:right="240" w:hanging="4"/>
        <w:spacing w:after="0" w:line="308"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00" w:firstLine="4"/>
        <w:spacing w:after="0" w:line="277" w:lineRule="auto"/>
        <w:tabs>
          <w:tab w:leader="none" w:pos="6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60" w:firstLine="4"/>
        <w:spacing w:after="0" w:line="277"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A. Roberts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Brett A. Roberts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 (b)</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117" w:lineRule="exact"/>
        <w:rPr>
          <w:sz w:val="20"/>
          <w:szCs w:val="20"/>
          <w:color w:val="auto"/>
        </w:rPr>
      </w:pPr>
    </w:p>
    <w:p>
      <w:pPr>
        <w:ind w:left="420" w:hanging="184"/>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117" w:lineRule="exact"/>
        <w:rPr>
          <w:rFonts w:ascii="Arial" w:cs="Arial" w:eastAsia="Arial" w:hAnsi="Arial"/>
          <w:sz w:val="18"/>
          <w:szCs w:val="18"/>
          <w:color w:val="auto"/>
        </w:rPr>
      </w:pPr>
    </w:p>
    <w:p>
      <w:pPr>
        <w:ind w:left="240" w:right="220" w:hanging="4"/>
        <w:spacing w:after="0" w:line="342" w:lineRule="auto"/>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40" w:right="500" w:hanging="4"/>
        <w:spacing w:after="0" w:line="308" w:lineRule="auto"/>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40" w:right="40" w:hanging="4"/>
        <w:spacing w:after="0" w:line="264"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4"/>
        <w:spacing w:after="0" w:line="264"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40" w:right="240" w:hanging="4"/>
        <w:spacing w:after="0" w:line="308" w:lineRule="auto"/>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00" w:firstLine="4"/>
        <w:spacing w:after="0" w:line="277" w:lineRule="auto"/>
        <w:tabs>
          <w:tab w:leader="none" w:pos="6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60" w:firstLine="4"/>
        <w:spacing w:after="0" w:line="277"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S. Booth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Kenneth S. Booth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 (a)</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In connection with the Quarterly Report on Form 10-Q of Credit Acceptance Corporation (the “Company”) for the quarterly period ending September 30, 2010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39" w:lineRule="exact"/>
        <w:rPr>
          <w:sz w:val="20"/>
          <w:szCs w:val="20"/>
          <w:color w:val="auto"/>
        </w:rPr>
      </w:pPr>
    </w:p>
    <w:p>
      <w:pPr>
        <w:ind w:left="480" w:hanging="24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4"/>
        <w:spacing w:after="0"/>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A. Roberts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Brett A. Roberts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 (b)</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In connection with the Quarterly Report on Form 10-Q of Credit Acceptance Corporation (the “Company”) for the quarterly period ending September 30, 2010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39" w:lineRule="exact"/>
        <w:rPr>
          <w:sz w:val="20"/>
          <w:szCs w:val="20"/>
          <w:color w:val="auto"/>
        </w:rPr>
      </w:pPr>
    </w:p>
    <w:p>
      <w:pPr>
        <w:ind w:left="480" w:hanging="244"/>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4"/>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S. Booth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Kenneth S. Booth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2"/>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3"/>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2019-12-10T10:15:22Z</dcterms:created>
  <dcterms:modified xsi:type="dcterms:W3CDTF">2019-12-10T10:15:22Z</dcterms:modified>
</cp:coreProperties>
</file>