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rPr>
      </w:pPr>
    </w:p>
    <w:p>
      <w:pPr>
        <w:ind w:left="13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June 30, 2010</w:t>
      </w:r>
    </w:p>
    <w:p>
      <w:pPr>
        <w:spacing w:after="0" w:line="112"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OR</w:t>
      </w:r>
    </w:p>
    <w:p>
      <w:pPr>
        <w:spacing w:after="0" w:line="11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000-20202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CREDIT ACCEPTANCE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20"/>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rPr>
              <w:t>MICHIGAN</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38-1999511</w:t>
            </w:r>
          </w:p>
        </w:tc>
      </w:tr>
      <w:tr>
        <w:trPr>
          <w:trHeight w:val="23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rPr>
              <w:t>25505 WEST TWELVE MILE ROAD</w:t>
            </w:r>
          </w:p>
        </w:tc>
        <w:tc>
          <w:tcPr>
            <w:tcW w:w="3860" w:type="dxa"/>
            <w:vAlign w:val="bottom"/>
          </w:tcPr>
          <w:p>
            <w:pPr>
              <w:spacing w:after="0"/>
              <w:rPr>
                <w:sz w:val="24"/>
                <w:szCs w:val="24"/>
                <w:color w:val="auto"/>
              </w:rPr>
            </w:pPr>
          </w:p>
        </w:tc>
      </w:tr>
      <w:tr>
        <w:trPr>
          <w:trHeight w:val="220"/>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rPr>
              <w:t>SOUTHFIELD, MICHIGAN</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48034-8339</w:t>
            </w:r>
          </w:p>
        </w:tc>
      </w:tr>
      <w:tr>
        <w:trPr>
          <w:trHeight w:val="23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(Address of principal executive offices)</w:t>
            </w:r>
          </w:p>
        </w:tc>
        <w:tc>
          <w:tcPr>
            <w:tcW w:w="3860" w:type="dxa"/>
            <w:vAlign w:val="bottom"/>
          </w:tcPr>
          <w:p>
            <w:pPr>
              <w:jc w:val="center"/>
              <w:ind w:left="1130"/>
              <w:spacing w:after="0"/>
              <w:rPr>
                <w:sz w:val="20"/>
                <w:szCs w:val="20"/>
                <w:color w:val="auto"/>
              </w:rPr>
            </w:pPr>
            <w:r>
              <w:rPr>
                <w:rFonts w:ascii="Arial" w:cs="Arial" w:eastAsia="Arial" w:hAnsi="Arial"/>
                <w:sz w:val="18"/>
                <w:szCs w:val="18"/>
                <w:color w:val="auto"/>
                <w:w w:val="94"/>
              </w:rPr>
              <w:t>(Zip Code)</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117"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8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par value $0.01, outstanding on July 30, 2010 was 27,125,113.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340" w:type="dxa"/>
            <w:vAlign w:val="bottom"/>
            <w:gridSpan w:val="7"/>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0"/>
                <w:szCs w:val="20"/>
                <w:color w:val="auto"/>
              </w:rPr>
            </w:pPr>
          </w:p>
        </w:tc>
      </w:tr>
      <w:tr>
        <w:trPr>
          <w:trHeight w:val="392"/>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800" w:type="dxa"/>
            <w:vAlign w:val="bottom"/>
            <w:gridSpan w:val="3"/>
          </w:tcPr>
          <w:p>
            <w:pPr>
              <w:spacing w:after="0"/>
              <w:rPr>
                <w:sz w:val="24"/>
                <w:szCs w:val="24"/>
                <w:color w:val="auto"/>
              </w:rPr>
            </w:pPr>
          </w:p>
        </w:tc>
        <w:tc>
          <w:tcPr>
            <w:tcW w:w="1740" w:type="dxa"/>
            <w:vAlign w:val="bottom"/>
          </w:tcPr>
          <w:p>
            <w:pPr>
              <w:spacing w:after="0"/>
              <w:rPr>
                <w:sz w:val="24"/>
                <w:szCs w:val="24"/>
                <w:color w:val="auto"/>
              </w:rPr>
            </w:pPr>
          </w:p>
        </w:tc>
      </w:tr>
      <w:tr>
        <w:trPr>
          <w:trHeight w:val="412"/>
        </w:trPr>
        <w:tc>
          <w:tcPr>
            <w:tcW w:w="42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 CONSOLIDATED FINANCIAL STATEMENTS</w:t>
              </w:r>
            </w:hyperlink>
          </w:p>
        </w:tc>
        <w:tc>
          <w:tcPr>
            <w:tcW w:w="534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66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 Three and six months ended June 30, 2010 and 2009</w:t>
              </w:r>
            </w:hyperlink>
          </w:p>
        </w:tc>
        <w:tc>
          <w:tcPr>
            <w:tcW w:w="27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20" w:type="dxa"/>
            <w:vAlign w:val="bottom"/>
          </w:tcPr>
          <w:p>
            <w:pPr>
              <w:spacing w:after="0"/>
              <w:rPr>
                <w:sz w:val="24"/>
                <w:szCs w:val="24"/>
                <w:color w:val="auto"/>
              </w:rPr>
            </w:pPr>
          </w:p>
        </w:tc>
        <w:tc>
          <w:tcPr>
            <w:tcW w:w="55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 As of June 30, 2010 and December 31, 2009</w:t>
              </w:r>
            </w:hyperlink>
          </w:p>
        </w:tc>
        <w:tc>
          <w:tcPr>
            <w:tcW w:w="3800" w:type="dxa"/>
            <w:vAlign w:val="bottom"/>
            <w:gridSpan w:val="6"/>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220" w:type="dxa"/>
            <w:vAlign w:val="bottom"/>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Six months ended June 30, 2010 and 2009</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220" w:type="dxa"/>
            <w:vAlign w:val="bottom"/>
          </w:tcPr>
          <w:p>
            <w:pPr>
              <w:spacing w:after="0"/>
              <w:rPr>
                <w:sz w:val="24"/>
                <w:szCs w:val="24"/>
                <w:color w:val="auto"/>
              </w:rPr>
            </w:pPr>
          </w:p>
        </w:tc>
        <w:tc>
          <w:tcPr>
            <w:tcW w:w="6180" w:type="dxa"/>
            <w:vAlign w:val="bottom"/>
            <w:tcBorders>
              <w:top w:val="single" w:sz="8" w:color="0000EE"/>
            </w:tcBorders>
            <w:gridSpan w:val="1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180" w:type="dxa"/>
            <w:vAlign w:val="bottom"/>
            <w:gridSpan w:val="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958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ITEM 2. MANAGEMENT’S DISCUSSION AND ANALYSIS OF FINANCIAL CONDITION AND RESULTS OF OPERATIONS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682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3. QUANTITATIVE AND QUALITATIVE DISCLOSURES ABOUT MARKET RISK</w:t>
              </w:r>
            </w:hyperlink>
          </w:p>
        </w:tc>
        <w:tc>
          <w:tcPr>
            <w:tcW w:w="276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58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 CONTROLS AND PROCEDURES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40" w:type="dxa"/>
            <w:vAlign w:val="bottom"/>
            <w:gridSpan w:val="8"/>
          </w:tcPr>
          <w:p>
            <w:pPr>
              <w:jc w:val="center"/>
              <w:ind w:right="2960"/>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1740" w:type="dxa"/>
            <w:vAlign w:val="bottom"/>
          </w:tcPr>
          <w:p>
            <w:pPr>
              <w:spacing w:after="0"/>
              <w:rPr>
                <w:sz w:val="24"/>
                <w:szCs w:val="24"/>
                <w:color w:val="auto"/>
              </w:rPr>
            </w:pPr>
          </w:p>
        </w:tc>
      </w:tr>
      <w:tr>
        <w:trPr>
          <w:trHeight w:val="412"/>
        </w:trPr>
        <w:tc>
          <w:tcPr>
            <w:tcW w:w="15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6. EXHIBITS</w:t>
              </w:r>
            </w:hyperlink>
          </w:p>
        </w:tc>
        <w:tc>
          <w:tcPr>
            <w:tcW w:w="2140" w:type="dxa"/>
            <w:vAlign w:val="bottom"/>
            <w:gridSpan w:val="5"/>
          </w:tcPr>
          <w:p>
            <w:pPr>
              <w:spacing w:after="0"/>
              <w:rPr>
                <w:sz w:val="24"/>
                <w:szCs w:val="24"/>
                <w:color w:val="auto"/>
              </w:rPr>
            </w:pPr>
          </w:p>
        </w:tc>
        <w:tc>
          <w:tcPr>
            <w:tcW w:w="2980" w:type="dxa"/>
            <w:vAlign w:val="bottom"/>
            <w:tcBorders>
              <w:top w:val="single" w:sz="8" w:color="0000EE"/>
            </w:tcBorders>
            <w:gridSpan w:val="4"/>
          </w:tcPr>
          <w:p>
            <w:pPr>
              <w:spacing w:after="0"/>
              <w:rPr>
                <w:sz w:val="24"/>
                <w:szCs w:val="24"/>
                <w:color w:val="auto"/>
              </w:rPr>
            </w:pPr>
          </w:p>
        </w:tc>
        <w:tc>
          <w:tcPr>
            <w:tcW w:w="296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58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80" w:type="dxa"/>
            <w:vAlign w:val="bottom"/>
            <w:gridSpan w:val="1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958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INDEX OF EXHIBITS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EX-4.F.136</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95,549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81,124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185,212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8,245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7,201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92,373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215,041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180,261</w:t>
            </w:r>
          </w:p>
        </w:tc>
        <w:tc>
          <w:tcPr>
            <w:tcW w:w="0" w:type="dxa"/>
            <w:vAlign w:val="bottom"/>
          </w:tcPr>
          <w:p>
            <w:pPr>
              <w:spacing w:after="0"/>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14,050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16,515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30,160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12,462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12,267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35,299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95,948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77,232</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w w:val="99"/>
              </w:rPr>
              <w:t>Income from continuing operations before provision for income taxes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66,636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57,074</w:t>
            </w:r>
          </w:p>
        </w:tc>
        <w:tc>
          <w:tcPr>
            <w:tcW w:w="1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119,093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20,924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38,013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37,867</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49,065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36,150</w:t>
            </w:r>
          </w:p>
        </w:tc>
        <w:tc>
          <w:tcPr>
            <w:tcW w:w="1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81,080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(Loss) gain from discontinued United Kingdom operations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(Loss) gain from discontinued operations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36,185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65,186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(Loss) gain from discontinued operations per common share: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31,172,229</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30,600,531</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31,107,721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30,510,439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31,601,027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31,423,187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31,600,586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31,285,734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2010</w:t>
            </w:r>
          </w:p>
        </w:tc>
        <w:tc>
          <w:tcPr>
            <w:tcW w:w="440" w:type="dxa"/>
            <w:vAlign w:val="bottom"/>
          </w:tcPr>
          <w:p>
            <w:pPr>
              <w:spacing w:after="0"/>
              <w:rPr>
                <w:sz w:val="12"/>
                <w:szCs w:val="12"/>
                <w:color w:val="auto"/>
              </w:rPr>
            </w:pPr>
          </w:p>
        </w:tc>
        <w:tc>
          <w:tcPr>
            <w:tcW w:w="11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63,859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Restricted securities available for sale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Loans receivable (including $11,179 and $12,674 from affiliates as of June 30, 2010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2009,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1,259,647</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(124,871)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 receivable, net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1,134,776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18,344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1,254,818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79,042</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Secured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240,500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note and capital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244,007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673,200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$.01 par value, 80,000,000 shares authorized, 31,024,015 and 31,038,217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 of June 30, 2010 and December 31, 2009,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25,952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555,483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200"/>
              <w:spacing w:after="0" w:line="201" w:lineRule="exact"/>
              <w:rPr>
                <w:sz w:val="20"/>
                <w:szCs w:val="20"/>
                <w:color w:val="auto"/>
              </w:rPr>
            </w:pPr>
            <w:r>
              <w:rPr>
                <w:rFonts w:ascii="Arial" w:cs="Arial" w:eastAsia="Arial" w:hAnsi="Arial"/>
                <w:sz w:val="18"/>
                <w:szCs w:val="18"/>
                <w:color w:val="auto"/>
                <w:w w:val="95"/>
              </w:rPr>
              <w:t>Accumulated other comprehensive loss, net of tax of $75 and $526 at June 30, 2010 and December 31, 2009,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581,618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1,254,818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3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81,050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Provision for credit losses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Loss on retirement of property and equipment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deferred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Increase in accounts payable and accrued liabilities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2,966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income taxes receivable / decrease in income taxes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rPr>
                <w:sz w:val="20"/>
                <w:szCs w:val="20"/>
                <w:color w:val="auto"/>
              </w:rPr>
            </w:pPr>
            <w:r>
              <w:rPr>
                <w:rFonts w:ascii="Arial" w:cs="Arial" w:eastAsia="Arial" w:hAnsi="Arial"/>
                <w:sz w:val="18"/>
                <w:szCs w:val="18"/>
                <w:color w:val="auto"/>
              </w:rPr>
              <w:t>Increase in other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(10,629)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81,581</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restricted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Purchases of restricted securities available for sale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restricted securities available for sale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Principal collected on Loans receivable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392,156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Dealer-Partners and accelerated payments of Dealer Holdback</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(410,183)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(282,746)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Purchases of Consumer Loans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(52,151)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Dealer Holdback</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Net decrease (increase) in other loans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(76,068)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Borrowings under line of credit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212,700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under line of credit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(305,700)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Proceeds from secured financing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secured financing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(234,097)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Principal payments under mortgage note and capital lease obligations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senior notes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243,738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options exercised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Tax benefits from stock-based compensation plans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400"/>
              <w:spacing w:after="0"/>
              <w:rPr>
                <w:sz w:val="20"/>
                <w:szCs w:val="20"/>
                <w:color w:val="auto"/>
              </w:rPr>
            </w:pPr>
            <w:r>
              <w:rPr>
                <w:rFonts w:ascii="Arial" w:cs="Arial" w:eastAsia="Arial" w:hAnsi="Arial"/>
                <w:sz w:val="18"/>
                <w:szCs w:val="18"/>
                <w:color w:val="auto"/>
              </w:rPr>
              <w:t>Effect of exchange rate changes on cash</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Cash and cash equivalents, beginning of period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end of period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 interest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25,018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Cash paid during the period for income taxes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38,236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(“generally accepted accounting principles” or “GAAP”)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The results of operations for interim periods are not necessarily indicative of actual results achieved for full fiscal years. The consolidated balance sheet at December 31, 2009 has been derived from the audited financial statements at that date but does not include all the information and footnotes required by generally accepted accounting principles for complete financial statements. For further information, refer to the consolidated financial statements and footnotes thereto included in the Annual Report on Form 10-K for the year ended December 31, 2009 for Credit Acceptance Corporation (the “Company”, “Credit Acceptance”, “we”, “our” or “us”). Certain prior period amounts have been reclassified to conform to the current presentation.</w:t>
      </w:r>
    </w:p>
    <w:p>
      <w:pPr>
        <w:spacing w:after="0" w:line="70"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w:t>
      </w:r>
    </w:p>
    <w:p>
      <w:pPr>
        <w:spacing w:after="0" w:line="6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June 30, 2010 for items that could potentially be recognized or disclosed in these financial statements. For additional information regarding subsequent events, see Note 13 of these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DESCRIPTION OF BUSINESS</w:t>
      </w:r>
    </w:p>
    <w:p>
      <w:pPr>
        <w:spacing w:after="0" w:line="121" w:lineRule="exact"/>
        <w:rPr>
          <w:sz w:val="20"/>
          <w:szCs w:val="20"/>
          <w:color w:val="auto"/>
        </w:rPr>
      </w:pPr>
    </w:p>
    <w:p>
      <w:pPr>
        <w:ind w:right="460" w:firstLine="225"/>
        <w:spacing w:after="0" w:line="259" w:lineRule="auto"/>
        <w:rPr>
          <w:sz w:val="20"/>
          <w:szCs w:val="20"/>
          <w:color w:val="auto"/>
        </w:rPr>
      </w:pPr>
      <w:r>
        <w:rPr>
          <w:rFonts w:ascii="Arial" w:cs="Arial" w:eastAsia="Arial" w:hAnsi="Arial"/>
          <w:sz w:val="18"/>
          <w:szCs w:val="18"/>
          <w:color w:val="auto"/>
        </w:rPr>
        <w:t>Since 1972, Credit Acceptance has provided auto loans to consumers, regardless of their credit history. Our product is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79"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refer to dealers who participate in our programs and who share our commitment to changing consumers’ lives as “Dealer-Partners”. Upon enrollment in our financing programs, the Dealer-Partner enters into a dealer servicing agreement with us that defines the legal relationship between Credit Acceptance and the Dealer-Partner. The dealer servicing agreement assigns the responsibilities for administering, servicing, and collecting the amounts due on retail installment contracts (referred to as “Consumer Loans”) from the Dealer-Partners to us. A consumer who does not qualify for conventional automobile financing can purchase a used vehicle from a Dealer-Partner and finance the purchase through us. We are an indirect lender from a legal perspective, meaning the Consumer Loan is originated by the Dealer-Partner and assigned to us.</w:t>
      </w:r>
    </w:p>
    <w:p>
      <w:pPr>
        <w:spacing w:after="0" w:line="70"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Dealer-Partners (referred to as a “Dealer Loan”) in exchange for the right to service the underlying Consumer Loan. Under the Purchase Program, we buy the Consumer Loan from the Dealer-Partner (referred to as a “Purchased Loan”) and keep all amounts collected from the consumer. Dealer Loans and Purchased Loans are collectively referred to as “Loans”. The following table shows the percentage of Consumer Loans assigned to us under each of the programs for each of the last six quarters: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560" w:type="dxa"/>
            <w:vAlign w:val="bottom"/>
          </w:tcPr>
          <w:p>
            <w:pPr>
              <w:spacing w:after="0"/>
              <w:rPr>
                <w:sz w:val="14"/>
                <w:szCs w:val="14"/>
                <w:color w:val="auto"/>
              </w:rPr>
            </w:pPr>
          </w:p>
        </w:tc>
        <w:tc>
          <w:tcPr>
            <w:tcW w:w="3220" w:type="dxa"/>
            <w:vAlign w:val="bottom"/>
          </w:tcPr>
          <w:p>
            <w:pPr>
              <w:jc w:val="right"/>
              <w:ind w:right="979"/>
              <w:spacing w:after="0"/>
              <w:rPr>
                <w:sz w:val="20"/>
                <w:szCs w:val="20"/>
                <w:color w:val="auto"/>
              </w:rPr>
            </w:pPr>
            <w:r>
              <w:rPr>
                <w:rFonts w:ascii="Arial" w:cs="Arial" w:eastAsia="Arial" w:hAnsi="Arial"/>
                <w:sz w:val="14"/>
                <w:szCs w:val="14"/>
                <w:b w:val="1"/>
                <w:bCs w:val="1"/>
                <w:color w:val="auto"/>
              </w:rPr>
              <w:t>Portfolio Program</w:t>
            </w:r>
          </w:p>
        </w:tc>
        <w:tc>
          <w:tcPr>
            <w:tcW w:w="540" w:type="dxa"/>
            <w:vAlign w:val="bottom"/>
          </w:tcPr>
          <w:p>
            <w:pPr>
              <w:spacing w:after="0"/>
              <w:rPr>
                <w:sz w:val="14"/>
                <w:szCs w:val="14"/>
                <w:color w:val="auto"/>
              </w:rPr>
            </w:pPr>
          </w:p>
        </w:tc>
        <w:tc>
          <w:tcPr>
            <w:tcW w:w="3220" w:type="dxa"/>
            <w:vAlign w:val="bottom"/>
          </w:tcPr>
          <w:p>
            <w:pPr>
              <w:jc w:val="right"/>
              <w:ind w:right="959"/>
              <w:spacing w:after="0"/>
              <w:rPr>
                <w:sz w:val="20"/>
                <w:szCs w:val="20"/>
                <w:color w:val="auto"/>
              </w:rPr>
            </w:pPr>
            <w:r>
              <w:rPr>
                <w:rFonts w:ascii="Arial" w:cs="Arial" w:eastAsia="Arial" w:hAnsi="Arial"/>
                <w:sz w:val="14"/>
                <w:szCs w:val="14"/>
                <w:b w:val="1"/>
                <w:bCs w:val="1"/>
                <w:color w:val="auto"/>
              </w:rPr>
              <w:t>Purchase Program</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2009</w:t>
            </w:r>
          </w:p>
        </w:tc>
        <w:tc>
          <w:tcPr>
            <w:tcW w:w="560" w:type="dxa"/>
            <w:vAlign w:val="bottom"/>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rPr>
              <w:t>82.3%</w:t>
            </w:r>
          </w:p>
        </w:tc>
        <w:tc>
          <w:tcPr>
            <w:tcW w:w="540" w:type="dxa"/>
            <w:vAlign w:val="bottom"/>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June 30, 2009</w:t>
            </w:r>
          </w:p>
        </w:tc>
        <w:tc>
          <w:tcPr>
            <w:tcW w:w="3780" w:type="dxa"/>
            <w:vAlign w:val="bottom"/>
            <w:gridSpan w:val="2"/>
          </w:tcPr>
          <w:p>
            <w:pPr>
              <w:jc w:val="right"/>
              <w:ind w:right="1219"/>
              <w:spacing w:after="0"/>
              <w:rPr>
                <w:sz w:val="20"/>
                <w:szCs w:val="20"/>
                <w:color w:val="auto"/>
              </w:rPr>
            </w:pPr>
            <w:r>
              <w:rPr>
                <w:rFonts w:ascii="Arial" w:cs="Arial" w:eastAsia="Arial" w:hAnsi="Arial"/>
                <w:sz w:val="18"/>
                <w:szCs w:val="18"/>
                <w:color w:val="auto"/>
              </w:rPr>
              <w:t>86.0%</w:t>
            </w:r>
          </w:p>
        </w:tc>
        <w:tc>
          <w:tcPr>
            <w:tcW w:w="3760" w:type="dxa"/>
            <w:vAlign w:val="bottom"/>
            <w:gridSpan w:val="2"/>
          </w:tcPr>
          <w:p>
            <w:pPr>
              <w:jc w:val="right"/>
              <w:ind w:right="1219"/>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3780" w:type="dxa"/>
            <w:vAlign w:val="bottom"/>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89.0%</w:t>
            </w:r>
          </w:p>
        </w:tc>
        <w:tc>
          <w:tcPr>
            <w:tcW w:w="3760" w:type="dxa"/>
            <w:vAlign w:val="bottom"/>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December 31, 2009</w:t>
            </w:r>
          </w:p>
        </w:tc>
        <w:tc>
          <w:tcPr>
            <w:tcW w:w="3780" w:type="dxa"/>
            <w:vAlign w:val="bottom"/>
            <w:gridSpan w:val="2"/>
          </w:tcPr>
          <w:p>
            <w:pPr>
              <w:jc w:val="right"/>
              <w:ind w:right="1219"/>
              <w:spacing w:after="0"/>
              <w:rPr>
                <w:sz w:val="20"/>
                <w:szCs w:val="20"/>
                <w:color w:val="auto"/>
              </w:rPr>
            </w:pPr>
            <w:r>
              <w:rPr>
                <w:rFonts w:ascii="Arial" w:cs="Arial" w:eastAsia="Arial" w:hAnsi="Arial"/>
                <w:sz w:val="18"/>
                <w:szCs w:val="18"/>
                <w:color w:val="auto"/>
              </w:rPr>
              <w:t>90.8%</w:t>
            </w:r>
          </w:p>
        </w:tc>
        <w:tc>
          <w:tcPr>
            <w:tcW w:w="3760" w:type="dxa"/>
            <w:vAlign w:val="bottom"/>
            <w:gridSpan w:val="2"/>
          </w:tcPr>
          <w:p>
            <w:pPr>
              <w:jc w:val="right"/>
              <w:ind w:right="1219"/>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3780" w:type="dxa"/>
            <w:vAlign w:val="bottom"/>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90.9%</w:t>
            </w:r>
          </w:p>
        </w:tc>
        <w:tc>
          <w:tcPr>
            <w:tcW w:w="3760" w:type="dxa"/>
            <w:vAlign w:val="bottom"/>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9.1%</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June 30, 2010</w:t>
            </w:r>
          </w:p>
        </w:tc>
        <w:tc>
          <w:tcPr>
            <w:tcW w:w="3780" w:type="dxa"/>
            <w:vAlign w:val="bottom"/>
            <w:gridSpan w:val="2"/>
          </w:tcPr>
          <w:p>
            <w:pPr>
              <w:jc w:val="right"/>
              <w:ind w:right="1219"/>
              <w:spacing w:after="0"/>
              <w:rPr>
                <w:sz w:val="20"/>
                <w:szCs w:val="20"/>
                <w:color w:val="auto"/>
              </w:rPr>
            </w:pPr>
            <w:r>
              <w:rPr>
                <w:rFonts w:ascii="Arial" w:cs="Arial" w:eastAsia="Arial" w:hAnsi="Arial"/>
                <w:sz w:val="18"/>
                <w:szCs w:val="18"/>
                <w:color w:val="auto"/>
              </w:rPr>
              <w:t>90.5%</w:t>
            </w:r>
          </w:p>
        </w:tc>
        <w:tc>
          <w:tcPr>
            <w:tcW w:w="3760" w:type="dxa"/>
            <w:vAlign w:val="bottom"/>
            <w:gridSpan w:val="2"/>
          </w:tcPr>
          <w:p>
            <w:pPr>
              <w:jc w:val="right"/>
              <w:ind w:right="1219"/>
              <w:spacing w:after="0"/>
              <w:rPr>
                <w:sz w:val="20"/>
                <w:szCs w:val="20"/>
                <w:color w:val="auto"/>
              </w:rPr>
            </w:pPr>
            <w:r>
              <w:rPr>
                <w:rFonts w:ascii="Arial" w:cs="Arial" w:eastAsia="Arial" w:hAnsi="Arial"/>
                <w:sz w:val="18"/>
                <w:szCs w:val="18"/>
                <w:color w:val="auto"/>
              </w:rPr>
              <w:t>9.5%</w:t>
            </w:r>
          </w:p>
        </w:tc>
      </w:tr>
      <w:tr>
        <w:trPr>
          <w:trHeight w:val="39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80" w:type="dxa"/>
            <w:vAlign w:val="bottom"/>
            <w:gridSpan w:val="2"/>
          </w:tcPr>
          <w:p>
            <w:pPr>
              <w:jc w:val="right"/>
              <w:ind w:right="1819"/>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240" w:right="7580" w:hanging="232"/>
        <w:spacing w:after="0" w:line="378" w:lineRule="auto"/>
        <w:tabs>
          <w:tab w:leader="none" w:pos="1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 (Continued) </w:t>
      </w:r>
      <w:r>
        <w:rPr>
          <w:rFonts w:ascii="Arial" w:cs="Arial" w:eastAsia="Arial" w:hAnsi="Arial"/>
          <w:sz w:val="18"/>
          <w:szCs w:val="18"/>
          <w:u w:val="single" w:color="auto"/>
          <w:color w:val="auto"/>
        </w:rPr>
        <w:t>Portfolio Program</w:t>
      </w: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As payment for the vehicle, the Dealer-Partner generally receives the following:</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 down payment from the consumer;</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 non-recourse cash payment (“advance”) from us; and</w:t>
      </w:r>
    </w:p>
    <w:p>
      <w:pPr>
        <w:spacing w:after="0" w:line="117" w:lineRule="exact"/>
        <w:rPr>
          <w:rFonts w:ascii="Arial" w:cs="Arial" w:eastAsia="Arial" w:hAnsi="Arial"/>
          <w:sz w:val="18"/>
          <w:szCs w:val="18"/>
          <w:b w:val="1"/>
          <w:bCs w:val="1"/>
          <w:color w:val="auto"/>
        </w:rPr>
      </w:pPr>
    </w:p>
    <w:p>
      <w:pPr>
        <w:ind w:left="660" w:right="240" w:hanging="314"/>
        <w:spacing w:after="0" w:line="277" w:lineRule="auto"/>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after the advance has been recovered by us, the cash from payments made on the Consumer Loan, net of certain collection costs and our servicing fee (“Dealer Holdback”).</w:t>
      </w:r>
    </w:p>
    <w:p>
      <w:pPr>
        <w:spacing w:after="0" w:line="62"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record the amount advanced to the Dealer-Partner as a Dealer Loan, which is classified within Loans receivable in our consolidated balance sheets. Cash advanced to Dealer-Partners is automatically assigned to the originating Dealer-Partner’s open pool of advances. We require Dealer-Partners to group advances into pools of at least 100 Consumer Loans. At the Dealer-Partner’s option, a pool containing at least 100 Consumer Loans can be closed and subsequent advances assigned to a new pool. All advances due from a Dealer-Partner are secured by the future collections on the Dealer-Partner’s portfolio of Consumer Loans assigned to us. For Dealer-Partners with more than one pool, the pools are cross-collateralized so the performance of other pools is considered in determining eligibility for Dealer Holdback. We perfect our security interest in the Dealer Loans by taking possession of the Consumer Loans, which list us as lien holder on the vehicle title.</w:t>
      </w:r>
    </w:p>
    <w:p>
      <w:pPr>
        <w:spacing w:after="0" w:line="8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Dealer-Partner are applied on a pool-by-pool basis as follows:</w:t>
      </w:r>
    </w:p>
    <w:p>
      <w:pPr>
        <w:spacing w:after="0" w:line="62"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First, to reimburse us for certain collection costs;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Second, to pay us our servicing fee, which generally equals 20% of collections;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Third, to reduce the aggregate advance balance and to pay any other amounts due from the Dealer-Partner to us;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Fourth, to the Dealer-Partner as payment of Dealer Holdback.</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If the collections on Consumer Loans from a Dealer-Partner’s pool are not sufficient to repay the advance balance and any other amounts due to us, the Dealer-Partner will not receive Dealer Holdback.</w:t>
      </w:r>
    </w:p>
    <w:p>
      <w:pPr>
        <w:spacing w:after="0" w:line="62"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Dealer-Partners have an opportunity to receive an accelerated Dealer Holdback payment at the time a pool of 100 or more Consumer Loans is closed. The amount paid to the Dealer-Partner is calculated using a formula that considers the forecasted collections and the advance balance on the closed pool.</w:t>
      </w:r>
    </w:p>
    <w:p>
      <w:pPr>
        <w:spacing w:after="0" w:line="1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Since typically the combination of the advance and the consumer’s down payment provides the Dealer-Partner with a cash profit at the time of sale, the Dealer-Partner’s risk in the Consumer Loan is limited. We cannot demand repayment of the advance from the Dealer-Partner except in the event the Dealer-Partner is in default of the dealer servicing agreement. Advances are made only after the consumer and Dealer-Partner have signed a Consumer Loan contract, we have received the original Consumer Loan contract and supporting documentation, and we have approved all of the related stipulations for funding. The Dealer-Partner can also opt to repurchase Consumer Loans that have been assigned to us under the Portfolio Program, at their discretion, for a fee.</w:t>
      </w:r>
    </w:p>
    <w:p>
      <w:pPr>
        <w:spacing w:after="0" w:line="50" w:lineRule="exact"/>
        <w:rPr>
          <w:sz w:val="20"/>
          <w:szCs w:val="20"/>
          <w:color w:val="auto"/>
        </w:rPr>
      </w:pPr>
    </w:p>
    <w:p>
      <w:pPr>
        <w:jc w:val="both"/>
        <w:ind w:right="400" w:firstLine="225"/>
        <w:spacing w:after="0" w:line="259"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Dealer-Partner. The classification as a Dealer Loan for accounting purposes is primarily a result of (1) the Dealer-Partner’s financial interest in the Consumer Loan and (2) certain elements of our legal relationship with the Dealer-Partner. For each individual Dealer-Partner, the amount of the Dealer Loan recorded in Loans receivable is comprised of the following:</w:t>
      </w:r>
    </w:p>
    <w:p>
      <w:pPr>
        <w:spacing w:after="0" w:line="79"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aggregate amount of all cash advances to the Dealer-Partner;</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finance charges;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Dealer Holdback payments;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accelerated Dealer Holdback payments;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recoveries.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Less:</w:t>
      </w:r>
    </w:p>
    <w:p>
      <w:pPr>
        <w:spacing w:after="0" w:line="117"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collections (net of certain collection costs);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write-offs.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240" w:right="7560" w:hanging="232"/>
        <w:spacing w:after="0" w:line="378" w:lineRule="auto"/>
        <w:tabs>
          <w:tab w:leader="none" w:pos="19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 (Concluded) </w:t>
      </w:r>
      <w:r>
        <w:rPr>
          <w:rFonts w:ascii="Arial" w:cs="Arial" w:eastAsia="Arial" w:hAnsi="Arial"/>
          <w:sz w:val="18"/>
          <w:szCs w:val="18"/>
          <w:u w:val="single" w:color="auto"/>
          <w:color w:val="auto"/>
        </w:rPr>
        <w:t>Purchase Program</w:t>
      </w:r>
    </w:p>
    <w:p>
      <w:pPr>
        <w:jc w:val="both"/>
        <w:ind w:right="40" w:firstLine="222"/>
        <w:spacing w:after="0" w:line="312" w:lineRule="auto"/>
        <w:rPr>
          <w:sz w:val="20"/>
          <w:szCs w:val="20"/>
          <w:color w:val="auto"/>
        </w:rPr>
      </w:pPr>
      <w:r>
        <w:rPr>
          <w:rFonts w:ascii="Arial" w:cs="Arial" w:eastAsia="Arial" w:hAnsi="Arial"/>
          <w:sz w:val="16"/>
          <w:szCs w:val="16"/>
          <w:color w:val="auto"/>
        </w:rPr>
        <w:t>The Purchase Program differs from our Portfolio Program in that the Dealer-Partner receives a single payment from us at the time of assignment instead of a cash advance and Dealer Holdback. For accounting purposes, the transactions described under the Purchase Program are considered to be originated by the Dealer-Partner and then purchased by us. The amount of Purchased Loans recorded in Loans receivable is comprised of the following:</w:t>
      </w:r>
    </w:p>
    <w:p>
      <w:pPr>
        <w:spacing w:after="0" w:line="39"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aggregate amount of all amounts paid to purchase Consumer Loans from Dealer-Partners;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finance charges;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recoveries.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Less:</w:t>
      </w:r>
    </w:p>
    <w:p>
      <w:pPr>
        <w:spacing w:after="0" w:line="117"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collections (net of certain collection costs);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write-offs.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Program Enrollment</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Dealer-Partners that enroll in our programs have two enrollment options available to them. The first enrollment option allows Dealer-Partners to assign Consumer Loans under the Portfolio Program and requires payment of an upfront, one-time fee of $9,850. The second enrollment option, which became effective September 1, 2009, allows Dealer-Partners to assign Consumer Loans under the Portfolio Program and requires payment of an upfront, one-time fee of $1,950 and an agreement to allow us to keep 50% of their first accelerated Dealer Holdback payment. Prior to September 1, 2009, Dealer-Partners who chose the second enrollment option did not pay an upfront fee but agreed to allow us to keep 50% of their first accelerated Dealer Holdback payment. For all Dealer-Partners enrolling in our program after August 31, 2008, access to the Purchase Program is only granted after the first accelerated Dealer Holdback payment has been made under the Portfolio Program.</w:t>
      </w:r>
    </w:p>
    <w:p>
      <w:pPr>
        <w:spacing w:after="0" w:line="174" w:lineRule="exact"/>
        <w:rPr>
          <w:sz w:val="20"/>
          <w:szCs w:val="20"/>
          <w:color w:val="auto"/>
        </w:rPr>
      </w:pPr>
    </w:p>
    <w:p>
      <w:pPr>
        <w:ind w:right="654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Reinsurance</w:t>
      </w:r>
    </w:p>
    <w:p>
      <w:pPr>
        <w:ind w:right="140" w:firstLine="222"/>
        <w:spacing w:after="0" w:line="273" w:lineRule="auto"/>
        <w:rPr>
          <w:sz w:val="20"/>
          <w:szCs w:val="20"/>
          <w:color w:val="auto"/>
        </w:rPr>
      </w:pPr>
      <w:r>
        <w:rPr>
          <w:rFonts w:ascii="Arial" w:cs="Arial" w:eastAsia="Arial" w:hAnsi="Arial"/>
          <w:sz w:val="17"/>
          <w:szCs w:val="17"/>
          <w:color w:val="auto"/>
        </w:rPr>
        <w:t>VSC Re Company (“VSC Re”), our wholly-owned subsidiary, is engaged in the business of reinsuring coverage under vehicle service contracts sold to consumers by Dealer-Partners on vehicles financed by us. VSC Re currently reinsures vehicle service contracts that are underwritten by one of our two third party insurers. Vehicle service contract premiums, which represent the selling price of the vehicle service contract to the consumer, less commissions and certain administrative costs, are contributed to trust accounts controlled by VSC Re. These premiums are used to fund claims covered under the vehicle service contracts. VSC Re is a bankruptcy remote entity. As such, the exposure to fund claims is limited to the amount of premium dollars contributed, less amounts earned and withdrawn, plus $0.5 million of equity contributed.</w:t>
      </w:r>
    </w:p>
    <w:p>
      <w:pPr>
        <w:spacing w:after="0" w:line="7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 A summary of reinsurance activity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7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32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0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3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3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assumed written premiums</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$8,366</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$7,059</w:t>
            </w:r>
          </w:p>
        </w:tc>
        <w:tc>
          <w:tcPr>
            <w:tcW w:w="18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$18,676</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$16,244</w:t>
            </w:r>
          </w:p>
        </w:tc>
        <w:tc>
          <w:tcPr>
            <w:tcW w:w="0" w:type="dxa"/>
            <w:vAlign w:val="bottom"/>
          </w:tcPr>
          <w:p>
            <w:pPr>
              <w:spacing w:after="0"/>
              <w:rPr>
                <w:sz w:val="1"/>
                <w:szCs w:val="1"/>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8,245</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7,199</w:t>
            </w:r>
          </w:p>
        </w:tc>
        <w:tc>
          <w:tcPr>
            <w:tcW w:w="1820" w:type="dxa"/>
            <w:vAlign w:val="bottom"/>
            <w:gridSpan w:val="2"/>
          </w:tcPr>
          <w:p>
            <w:pPr>
              <w:jc w:val="right"/>
              <w:ind w:right="348"/>
              <w:spacing w:after="0"/>
              <w:rPr>
                <w:sz w:val="20"/>
                <w:szCs w:val="20"/>
                <w:color w:val="auto"/>
              </w:rPr>
            </w:pPr>
            <w:r>
              <w:rPr>
                <w:rFonts w:ascii="Arial" w:cs="Arial" w:eastAsia="Arial" w:hAnsi="Arial"/>
                <w:sz w:val="18"/>
                <w:szCs w:val="18"/>
                <w:color w:val="auto"/>
              </w:rPr>
              <w:t>15,950</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claims</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6,283</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4,833</w:t>
            </w:r>
          </w:p>
        </w:tc>
        <w:tc>
          <w:tcPr>
            <w:tcW w:w="18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11,498</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Amortization of capitalized acquisition costs</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103</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135</w:t>
            </w:r>
          </w:p>
        </w:tc>
        <w:tc>
          <w:tcPr>
            <w:tcW w:w="1820" w:type="dxa"/>
            <w:vAlign w:val="bottom"/>
            <w:gridSpan w:val="2"/>
          </w:tcPr>
          <w:p>
            <w:pPr>
              <w:jc w:val="right"/>
              <w:ind w:right="348"/>
              <w:spacing w:after="0"/>
              <w:rPr>
                <w:sz w:val="20"/>
                <w:szCs w:val="20"/>
                <w:color w:val="auto"/>
              </w:rPr>
            </w:pPr>
            <w:r>
              <w:rPr>
                <w:rFonts w:ascii="Arial" w:cs="Arial" w:eastAsia="Arial" w:hAnsi="Arial"/>
                <w:sz w:val="18"/>
                <w:szCs w:val="18"/>
                <w:color w:val="auto"/>
              </w:rPr>
              <w:t>321</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80" w:type="dxa"/>
            <w:vAlign w:val="bottom"/>
          </w:tcPr>
          <w:p>
            <w:pPr>
              <w:jc w:val="right"/>
              <w:ind w:right="275"/>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 (Continued)</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are considered the primary beneficiary of the trusts and as a result, the trusts have been consolidated on our balance sheet. The trust assets and related reinsurance liabilities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49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June 30, 2010</w:t>
            </w:r>
          </w:p>
        </w:tc>
        <w:tc>
          <w:tcPr>
            <w:tcW w:w="300" w:type="dxa"/>
            <w:vAlign w:val="bottom"/>
          </w:tcPr>
          <w:p>
            <w:pPr>
              <w:spacing w:after="0"/>
              <w:rPr>
                <w:sz w:val="14"/>
                <w:szCs w:val="14"/>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Trust assets</w:t>
            </w: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6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$38,127</w:t>
            </w:r>
          </w:p>
        </w:tc>
        <w:tc>
          <w:tcPr>
            <w:tcW w:w="18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$39,127</w:t>
            </w:r>
          </w:p>
        </w:tc>
        <w:tc>
          <w:tcPr>
            <w:tcW w:w="0" w:type="dxa"/>
            <w:vAlign w:val="bottom"/>
          </w:tcPr>
          <w:p>
            <w:pPr>
              <w:spacing w:after="0"/>
              <w:rPr>
                <w:sz w:val="1"/>
                <w:szCs w:val="1"/>
                <w:color w:val="auto"/>
              </w:rPr>
            </w:pPr>
          </w:p>
        </w:tc>
      </w:tr>
      <w:tr>
        <w:trPr>
          <w:trHeight w:val="648"/>
        </w:trPr>
        <w:tc>
          <w:tcPr>
            <w:tcW w:w="3020" w:type="dxa"/>
            <w:vAlign w:val="bottom"/>
            <w:gridSpan w:val="2"/>
          </w:tcPr>
          <w:p>
            <w:pPr>
              <w:spacing w:after="0"/>
              <w:rPr>
                <w:sz w:val="20"/>
                <w:szCs w:val="20"/>
                <w:color w:val="auto"/>
              </w:rPr>
            </w:pPr>
            <w:r>
              <w:rPr>
                <w:rFonts w:ascii="Arial" w:cs="Arial" w:eastAsia="Arial" w:hAnsi="Arial"/>
                <w:sz w:val="18"/>
                <w:szCs w:val="18"/>
                <w:color w:val="auto"/>
              </w:rPr>
              <w:t>Unearned premium</w:t>
            </w:r>
          </w:p>
        </w:tc>
        <w:tc>
          <w:tcPr>
            <w:tcW w:w="49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600" w:type="dxa"/>
            <w:vAlign w:val="bottom"/>
            <w:gridSpan w:val="2"/>
          </w:tcPr>
          <w:p>
            <w:pPr>
              <w:jc w:val="right"/>
              <w:ind w:right="368"/>
              <w:spacing w:after="0"/>
              <w:rPr>
                <w:sz w:val="20"/>
                <w:szCs w:val="20"/>
                <w:color w:val="auto"/>
              </w:rPr>
            </w:pPr>
            <w:r>
              <w:rPr>
                <w:rFonts w:ascii="Arial" w:cs="Arial" w:eastAsia="Arial" w:hAnsi="Arial"/>
                <w:sz w:val="18"/>
                <w:szCs w:val="18"/>
                <w:color w:val="auto"/>
              </w:rPr>
              <w:t>25,049</w:t>
            </w:r>
          </w:p>
        </w:tc>
        <w:tc>
          <w:tcPr>
            <w:tcW w:w="1820" w:type="dxa"/>
            <w:vAlign w:val="bottom"/>
            <w:gridSpan w:val="2"/>
          </w:tcPr>
          <w:p>
            <w:pPr>
              <w:jc w:val="right"/>
              <w:ind w:right="508"/>
              <w:spacing w:after="0"/>
              <w:rPr>
                <w:sz w:val="20"/>
                <w:szCs w:val="20"/>
                <w:color w:val="auto"/>
              </w:rPr>
            </w:pPr>
            <w:r>
              <w:rPr>
                <w:rFonts w:ascii="Arial" w:cs="Arial" w:eastAsia="Arial" w:hAnsi="Arial"/>
                <w:sz w:val="18"/>
                <w:szCs w:val="18"/>
                <w:color w:val="auto"/>
              </w:rPr>
              <w:t>21,180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Claims reserve (1)</w:t>
            </w: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6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1,143</w:t>
            </w:r>
          </w:p>
        </w:tc>
        <w:tc>
          <w:tcPr>
            <w:tcW w:w="18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claims reserve is estimated based on historical claims experience.</w:t>
      </w:r>
    </w:p>
    <w:p>
      <w:pPr>
        <w:spacing w:after="0" w:line="117"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Prior to the formation of VSC Re, our agreements with two of our vehicle service contract third party administrators (“TPAs”) allowed us to receive profit sharing payments depending upon the performance of the vehicle service contract programs. The agreements also required that vehicle service contract premiums be placed in trust accounts. Funds in the trust accounts were utilized by the TPA to pay claims on the vehicle service contracts. Upon the formation of VSC Re during the fourth quarter of 2008, the unearned premiums on the majority of the vehicle service contracts that had been written through these two TPAs were ceded to VSC Re along with any related trust assets. Vehicle service contracts written prior to 2008 through one of the TPAs remain under this profit sharing arrangement. Profit sharing payments, if any, on the vehicle service contracts are distributed to us periodically after the term of the vehicle service contracts have substantially expired provided certain loss rates are met. We are considered the primary beneficiary of the trusts and as a result, the assets of the remaining trust and the related liabilities have been consolidated on our balance sheet. As of both June 30, 2010 and December 31, 2009, the remaining trust had $4.3 million in assets available to pay claims. As of June 30, 2010, there was a nominal related claims reserve and as of December 31, 2009, there was a related claims reserve of $3.5 million. The trust assets are included in restricted cash and cash equivalents and restricted securities available for sale. The claims reserve is included in accounts payable and accrued liabilities in the consolidated balance sheets. A third party insures claims in excess of funds in the trust accounts.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determination to consolidate the VSC Re trusts and the profit sharing trusts was based on the following:</w:t>
      </w:r>
    </w:p>
    <w:p>
      <w:pPr>
        <w:spacing w:after="0" w:line="117" w:lineRule="exact"/>
        <w:rPr>
          <w:sz w:val="20"/>
          <w:szCs w:val="20"/>
          <w:color w:val="auto"/>
        </w:rPr>
      </w:pPr>
    </w:p>
    <w:p>
      <w:pPr>
        <w:ind w:left="660" w:right="34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First, we determined that the trusts qualified as variable interest entities. The trusts have insufficient equity at risk as no parties to the trusts were required to contribute assets that provide them with any ownership interest.</w:t>
      </w:r>
    </w:p>
    <w:p>
      <w:pPr>
        <w:spacing w:after="0" w:line="62" w:lineRule="exact"/>
        <w:rPr>
          <w:rFonts w:ascii="Arial" w:cs="Arial" w:eastAsia="Arial" w:hAnsi="Arial"/>
          <w:sz w:val="18"/>
          <w:szCs w:val="18"/>
          <w:b w:val="1"/>
          <w:bCs w:val="1"/>
          <w:color w:val="auto"/>
        </w:rPr>
      </w:pPr>
    </w:p>
    <w:p>
      <w:pPr>
        <w:ind w:left="660" w:right="180" w:hanging="314"/>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Next, we determined that we have variable interests in the trusts. We have a residual interest in the assets of the trusts, which is variable in nature, given that it increases or decreases based upon the actual loss experience of the related service contracts. In addition, VSC Re is required to absorb any losses in excess of the trusts’ assets.</w:t>
      </w:r>
    </w:p>
    <w:p>
      <w:pPr>
        <w:spacing w:after="0" w:line="73"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Next, we evaluated the purpose and design of the trusts. The primary purpose of the trusts is to provide TPAs with funds to pay claims on vehicle service contracts and to accumulate and provide us with proceeds from investment income and residual funds.</w:t>
      </w:r>
    </w:p>
    <w:p>
      <w:pPr>
        <w:spacing w:after="0" w:line="62" w:lineRule="exact"/>
        <w:rPr>
          <w:rFonts w:ascii="Arial" w:cs="Arial" w:eastAsia="Arial" w:hAnsi="Arial"/>
          <w:sz w:val="18"/>
          <w:szCs w:val="18"/>
          <w:b w:val="1"/>
          <w:bCs w:val="1"/>
          <w:color w:val="auto"/>
        </w:rPr>
      </w:pPr>
    </w:p>
    <w:p>
      <w:pPr>
        <w:jc w:val="both"/>
        <w:ind w:left="660" w:right="140" w:hanging="314"/>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Finally, we determined that we are the primary beneficiary of the trusts. We control the amount of premium written and placed in the trusts through Consumer Loan assignments under our Programs, which is the activity that most significantly impacts the economic performance of the trusts. We have the right to receive benefits from the trusts that could potentially be significant. In addition, VSC Re has the obligation to absorb losses of the trusts that could potentially be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121"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Restricted cash and cash equivalents decreased to $63.9 million at June 30, 2010 from $82.5 million at December 31, 2009. The following table summarizes restricted cash and cash equivalents: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gridSpan w:val="2"/>
            <w:vMerge w:val="continue"/>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2010</w:t>
            </w: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collections related to secured financings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24,325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held in trusts for future vehicle service contract claims (1)</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39,534</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63,859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unearned premium and claims reserve associated with the trusts are included in accounts payable and accrued liabilities in the consolidated balance sheets.</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340" w:firstLine="8"/>
        <w:spacing w:after="0" w:line="378"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 Restricted Securities Available for Sale</w:t>
      </w:r>
    </w:p>
    <w:p>
      <w:pPr>
        <w:ind w:right="120" w:firstLine="225"/>
        <w:spacing w:after="0" w:line="302" w:lineRule="auto"/>
        <w:rPr>
          <w:sz w:val="20"/>
          <w:szCs w:val="20"/>
          <w:color w:val="auto"/>
        </w:rPr>
      </w:pPr>
      <w:r>
        <w:rPr>
          <w:rFonts w:ascii="Arial" w:cs="Arial" w:eastAsia="Arial" w:hAnsi="Arial"/>
          <w:sz w:val="16"/>
          <w:szCs w:val="16"/>
          <w:color w:val="auto"/>
        </w:rPr>
        <w:t>Restricted securities available for sale consist of amounts held in accordance with vehicle service contract trust agreements.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securities available for sale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As of June 30, 2010</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7"/>
              </w:rPr>
              <w:t>Gains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securities available for sale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As of December 31, 2009</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660" w:type="dxa"/>
            <w:vAlign w:val="bottom"/>
            <w:vMerge w:val="restart"/>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7"/>
              </w:rPr>
              <w:t>Gains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securities available for sale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As of June 30, 2010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220"/>
              <w:spacing w:after="0"/>
              <w:rPr>
                <w:sz w:val="20"/>
                <w:szCs w:val="20"/>
                <w:color w:val="auto"/>
              </w:rPr>
            </w:pPr>
            <w:r>
              <w:rPr>
                <w:rFonts w:ascii="Arial" w:cs="Arial" w:eastAsia="Arial" w:hAnsi="Arial"/>
                <w:sz w:val="14"/>
                <w:szCs w:val="14"/>
                <w:b w:val="1"/>
                <w:bCs w:val="1"/>
                <w:color w:val="auto"/>
              </w:rPr>
              <w:t>As of December 31, 2009</w:t>
            </w:r>
          </w:p>
        </w:tc>
      </w:tr>
      <w:tr>
        <w:trPr>
          <w:trHeight w:val="119"/>
        </w:trPr>
        <w:tc>
          <w:tcPr>
            <w:tcW w:w="6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320"/>
              <w:spacing w:after="0" w:line="119" w:lineRule="exact"/>
              <w:rPr>
                <w:sz w:val="20"/>
                <w:szCs w:val="20"/>
                <w:color w:val="auto"/>
              </w:rPr>
            </w:pPr>
            <w:r>
              <w:rPr>
                <w:rFonts w:ascii="Arial" w:cs="Arial" w:eastAsia="Arial" w:hAnsi="Arial"/>
                <w:sz w:val="13"/>
                <w:szCs w:val="13"/>
                <w:b w:val="1"/>
                <w:bCs w:val="1"/>
                <w:color w:val="auto"/>
              </w:rPr>
              <w:t>Estimated Fair</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Estimated Fair</w:t>
            </w:r>
          </w:p>
        </w:tc>
        <w:tc>
          <w:tcPr>
            <w:tcW w:w="100" w:type="dxa"/>
            <w:vAlign w:val="bottom"/>
          </w:tcPr>
          <w:p>
            <w:pPr>
              <w:spacing w:after="0"/>
              <w:rPr>
                <w:sz w:val="10"/>
                <w:szCs w:val="10"/>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Cost</w:t>
            </w: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Contractual Maturity</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Within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760</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761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Over one year to five years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Over five years to ten years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restricted securities available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w:t>
            </w: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121" w:lineRule="exact"/>
        <w:rPr>
          <w:sz w:val="20"/>
          <w:szCs w:val="20"/>
          <w:color w:val="auto"/>
        </w:rPr>
      </w:pPr>
    </w:p>
    <w:p>
      <w:pPr>
        <w:ind w:right="380" w:firstLine="215"/>
        <w:spacing w:after="0" w:line="302" w:lineRule="auto"/>
        <w:rPr>
          <w:sz w:val="20"/>
          <w:szCs w:val="20"/>
          <w:color w:val="auto"/>
        </w:rPr>
      </w:pPr>
      <w:r>
        <w:rPr>
          <w:rFonts w:ascii="Arial" w:cs="Arial" w:eastAsia="Arial" w:hAnsi="Arial"/>
          <w:sz w:val="16"/>
          <w:szCs w:val="16"/>
          <w:color w:val="auto"/>
        </w:rPr>
        <w:t>As of June 30, 2010 and December 31, 2009, deferred debt issuance costs were $15.2 million (net of accumulated amortization of $1.6 million) and $6.4 million (net of accumulated amortization of $2.8 million), respectively, and are included in other assets in the consolidated balance sheets. Expenses associated with the issuance of debt instruments are capitalized and amortized as interest expense over the term of the debt instrument using the effective interest method for term secured financings and senior notes and the straight-line method for lines of credit and revolving secured financings.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5400" w:firstLine="8"/>
        <w:spacing w:after="0" w:line="378" w:lineRule="auto"/>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(Concluded) New Accounting Pronouncements</w:t>
      </w:r>
    </w:p>
    <w:p>
      <w:pPr>
        <w:ind w:right="20" w:firstLine="225"/>
        <w:spacing w:after="0" w:line="297" w:lineRule="auto"/>
        <w:rPr>
          <w:sz w:val="20"/>
          <w:szCs w:val="20"/>
          <w:color w:val="auto"/>
        </w:rPr>
      </w:pPr>
      <w:r>
        <w:rPr>
          <w:rFonts w:ascii="Arial" w:cs="Arial" w:eastAsia="Arial" w:hAnsi="Arial"/>
          <w:sz w:val="16"/>
          <w:szCs w:val="16"/>
          <w:i w:val="1"/>
          <w:iCs w:val="1"/>
          <w:color w:val="auto"/>
        </w:rPr>
        <w:t xml:space="preserve">Accounting for Transfers of Financial Assets. </w:t>
      </w:r>
      <w:r>
        <w:rPr>
          <w:rFonts w:ascii="Arial" w:cs="Arial" w:eastAsia="Arial" w:hAnsi="Arial"/>
          <w:sz w:val="16"/>
          <w:szCs w:val="16"/>
          <w:color w:val="auto"/>
        </w:rPr>
        <w:t>In June 2009, the FASB issued SFAS No. 166, “Accounting for Transfers of Financial Assets an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of FASB Statement No. 140” (“SFAS 166”). SFAS 166 was incorporated into the Financial Accounting Standards Board Accounting Standards Codification (“FASB ASC”) through Accounting Standards Update (“ASU”) No. 2009-16 and is intended to improve the information provided in financial statements about the transfer of financial assets and the effects of the transfer on financial position and performance, and cash flows for transfers occurring on or after the effective date. The adoption on January 1, 2010 did not have a material impact on our consolidated financial statements.</w:t>
      </w:r>
    </w:p>
    <w:p>
      <w:pPr>
        <w:spacing w:after="0" w:line="50"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i w:val="1"/>
          <w:iCs w:val="1"/>
          <w:color w:val="auto"/>
        </w:rPr>
        <w:t xml:space="preserve">Amendments to FASB Interpretation No. 46(R). </w:t>
      </w:r>
      <w:r>
        <w:rPr>
          <w:rFonts w:ascii="Arial" w:cs="Arial" w:eastAsia="Arial" w:hAnsi="Arial"/>
          <w:sz w:val="16"/>
          <w:szCs w:val="16"/>
          <w:color w:val="auto"/>
        </w:rPr>
        <w:t>In June 2009, the FASB issued SFAS No. 167, “Amendments to FASB Interpretation No. 46(R)” (“SFAS</w:t>
      </w:r>
      <w:r>
        <w:rPr>
          <w:rFonts w:ascii="Arial" w:cs="Arial" w:eastAsia="Arial" w:hAnsi="Arial"/>
          <w:sz w:val="16"/>
          <w:szCs w:val="16"/>
          <w:i w:val="1"/>
          <w:iCs w:val="1"/>
          <w:color w:val="auto"/>
        </w:rPr>
        <w:t xml:space="preserve"> </w:t>
      </w:r>
      <w:r>
        <w:rPr>
          <w:rFonts w:ascii="Arial" w:cs="Arial" w:eastAsia="Arial" w:hAnsi="Arial"/>
          <w:sz w:val="16"/>
          <w:szCs w:val="16"/>
          <w:color w:val="auto"/>
        </w:rPr>
        <w:t>167”). SFAS 167 was incorporated into the FASB ASC through ASU No. 2009-17 and is intended to improve financial reporting related to variable interest entities. The adoption on January 1, 2010 did not have a material impact on our consolidated financial statements, but expanded our disclosures.</w:t>
      </w:r>
    </w:p>
    <w:p>
      <w:pPr>
        <w:spacing w:after="0" w:line="39"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i w:val="1"/>
          <w:iCs w:val="1"/>
          <w:color w:val="auto"/>
        </w:rPr>
        <w:t xml:space="preserve">Effect of a Loan Modification When the Loan Is Part of a Pool That Is Accounted for as a Single Asset. </w:t>
      </w:r>
      <w:r>
        <w:rPr>
          <w:rFonts w:ascii="Arial" w:cs="Arial" w:eastAsia="Arial" w:hAnsi="Arial"/>
          <w:sz w:val="17"/>
          <w:szCs w:val="17"/>
          <w:color w:val="auto"/>
        </w:rPr>
        <w:t>In April 2010, the FASB incorporated ASU</w:t>
      </w:r>
      <w:r>
        <w:rPr>
          <w:rFonts w:ascii="Arial" w:cs="Arial" w:eastAsia="Arial" w:hAnsi="Arial"/>
          <w:sz w:val="17"/>
          <w:szCs w:val="17"/>
          <w:i w:val="1"/>
          <w:iCs w:val="1"/>
          <w:color w:val="auto"/>
        </w:rPr>
        <w:t xml:space="preserve"> </w:t>
      </w:r>
      <w:r>
        <w:rPr>
          <w:rFonts w:ascii="Arial" w:cs="Arial" w:eastAsia="Arial" w:hAnsi="Arial"/>
          <w:sz w:val="17"/>
          <w:szCs w:val="17"/>
          <w:color w:val="auto"/>
        </w:rPr>
        <w:t>No. 2010-18 into the FASB ASC. ASU No. 2010-18 is intended to improve comparability by eliminating diversity in practice about the treatment of modifications of loans accounted for within pools under FASB ASC 310-30. Additionally, the amendments clarify guidance about maintaining the integrity of a pool as the unit of accounting for acquired loans with credit deterioration. ASU No. 2010-18 is effective prospectively for modifications of loans accounted for within pools under FASB ASC 310-30 occurring in the first interim or annual period ending on or after July 15, 2010. Early application is permitted. The guidance within ASU No. 2010-18 is consistent with how we have historically accounted for our Loan portfolio; therefore, adoption of this guidance in the third quarter of 2010 will have no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RECEIVABLE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receivable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0"/>
              </w:rPr>
              <w:t>As of June 30, 2010</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Dealer Loans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7"/>
              </w:rPr>
              <w:t>Purchased Loans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2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980,952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278,695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(112,115)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(12,756)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net</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868,837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265,939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8"/>
              </w:rPr>
              <w:t>As of December 31, 2009</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Dealer Loans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7"/>
              </w:rPr>
              <w:t>Purchased Loans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2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869,603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297,955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(108,792)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(8,753)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net</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760,811</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289,202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60" w:type="dxa"/>
            <w:vAlign w:val="bottom"/>
            <w:vMerge w:val="restart"/>
          </w:tcPr>
          <w:p>
            <w:pPr>
              <w:jc w:val="right"/>
              <w:ind w:right="33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RECEIVABLE –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Loans receivable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6"/>
          </w:tcPr>
          <w:p>
            <w:pPr>
              <w:jc w:val="center"/>
              <w:ind w:left="1172"/>
              <w:spacing w:after="0"/>
              <w:rPr>
                <w:sz w:val="20"/>
                <w:szCs w:val="20"/>
                <w:color w:val="auto"/>
              </w:rPr>
            </w:pPr>
            <w:r>
              <w:rPr>
                <w:rFonts w:ascii="Arial" w:cs="Arial" w:eastAsia="Arial" w:hAnsi="Arial"/>
                <w:sz w:val="14"/>
                <w:szCs w:val="14"/>
                <w:b w:val="1"/>
                <w:bCs w:val="1"/>
                <w:color w:val="auto"/>
                <w:w w:val="93"/>
              </w:rPr>
              <w:t>Three Months Ended June 30, 2010</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925,094</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286,392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1,211,486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197,866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25,708</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223,574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(36,923)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(186,019)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10,712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Write-offs</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980,952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278,695</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center"/>
              <w:ind w:left="1172"/>
              <w:spacing w:after="0"/>
              <w:rPr>
                <w:sz w:val="20"/>
                <w:szCs w:val="20"/>
                <w:color w:val="auto"/>
              </w:rPr>
            </w:pPr>
            <w:r>
              <w:rPr>
                <w:rFonts w:ascii="Arial" w:cs="Arial" w:eastAsia="Arial" w:hAnsi="Arial"/>
                <w:sz w:val="14"/>
                <w:szCs w:val="14"/>
                <w:b w:val="1"/>
                <w:bCs w:val="1"/>
                <w:color w:val="auto"/>
                <w:w w:val="93"/>
              </w:rPr>
              <w:t>Three Months Ended June 30, 2009</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848,091</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331,393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1,179,484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129,565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26,477</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156,042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(35,934)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(162,138)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11,154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Write-offs</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858,559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325,535</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 2010</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869,603</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297,955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1,167,558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410,183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52,151</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462,334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(81,069)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(392,156)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22,882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22,882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Write-offs</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980,952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278,695</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 2009</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823,567</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325,185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1,148,752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282,746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67,866</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350,612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(75,439)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(339,183)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23,965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23,965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Write-offs</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858,559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325,535</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Dealer Loans amount represents advances and accelerated Dealer Holdback payments made to Dealer-Partners for Consumer Loans assigned under our Portfolio Program. The Purchased Loans amount represents payments made to Dealer-Partners to purchase Consumer Loans assigned under our Purchase Program.</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RECEIVABLE – (Concluded)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the allowance for credit losses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jc w:val="center"/>
              <w:ind w:left="1174"/>
              <w:spacing w:after="0"/>
              <w:rPr>
                <w:sz w:val="20"/>
                <w:szCs w:val="20"/>
                <w:color w:val="auto"/>
              </w:rPr>
            </w:pPr>
            <w:r>
              <w:rPr>
                <w:rFonts w:ascii="Arial" w:cs="Arial" w:eastAsia="Arial" w:hAnsi="Arial"/>
                <w:sz w:val="14"/>
                <w:szCs w:val="14"/>
                <w:b w:val="1"/>
                <w:bCs w:val="1"/>
                <w:color w:val="auto"/>
                <w:w w:val="93"/>
              </w:rPr>
              <w:t>Three Months Ended June 30, 2010</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111,372</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11,772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988</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12,756</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center"/>
              <w:ind w:left="1174"/>
              <w:spacing w:after="0"/>
              <w:rPr>
                <w:sz w:val="20"/>
                <w:szCs w:val="20"/>
                <w:color w:val="auto"/>
              </w:rPr>
            </w:pPr>
            <w:r>
              <w:rPr>
                <w:rFonts w:ascii="Arial" w:cs="Arial" w:eastAsia="Arial" w:hAnsi="Arial"/>
                <w:sz w:val="14"/>
                <w:szCs w:val="14"/>
                <w:b w:val="1"/>
                <w:bCs w:val="1"/>
                <w:color w:val="auto"/>
                <w:w w:val="93"/>
              </w:rPr>
              <w:t>Three Months Ended June 30, 2009</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113,869</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17,515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131,384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(1,706)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(2,084)</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15,432</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 2010</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4,010</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12,756</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Six Months Ended June 30, 2009</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Dealer Loans</w:t>
            </w:r>
          </w:p>
        </w:tc>
        <w:tc>
          <w:tcPr>
            <w:tcW w:w="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4"/>
              </w:rPr>
              <w:t>Purchased Loans</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113,831</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130,835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(1,567)</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Recoveries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15,432</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20" w:type="dxa"/>
            <w:vAlign w:val="bottom"/>
            <w:vMerge w:val="restart"/>
          </w:tcPr>
          <w:p>
            <w:pPr>
              <w:jc w:val="right"/>
              <w:ind w:right="29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6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currently utilize the following forms of debt financing: (1) a revolving secured line of credit with a commercial bank syndicate; (2) revolving secured warehouse facilities with institutional investors; (3) an asset-backed secured financing (“Term ABS”) with qualified institutional investors; and (4) Senior Secured Notes due 2017 issued pursuant to Rule 144A and Regulation S of the Securities Act of 1933, as amended (“Senior Notes”). General information for each of our financing transactions in place as of June 30, 2010 is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Financings</w:t>
            </w:r>
          </w:p>
        </w:tc>
        <w:tc>
          <w:tcPr>
            <w:tcW w:w="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Wholly-owned</w:t>
            </w: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Issue</w:t>
            </w:r>
          </w:p>
        </w:tc>
        <w:tc>
          <w:tcPr>
            <w:tcW w:w="340" w:type="dxa"/>
            <w:vAlign w:val="bottom"/>
          </w:tcPr>
          <w:p>
            <w:pPr>
              <w:spacing w:after="0"/>
              <w:rPr>
                <w:sz w:val="14"/>
                <w:szCs w:val="14"/>
                <w:color w:val="auto"/>
              </w:rPr>
            </w:pPr>
          </w:p>
        </w:tc>
        <w:tc>
          <w:tcPr>
            <w:tcW w:w="1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Close Date</w:t>
            </w:r>
          </w:p>
        </w:tc>
        <w:tc>
          <w:tcPr>
            <w:tcW w:w="340" w:type="dxa"/>
            <w:vAlign w:val="bottom"/>
          </w:tcPr>
          <w:p>
            <w:pPr>
              <w:spacing w:after="0"/>
              <w:rPr>
                <w:sz w:val="14"/>
                <w:szCs w:val="14"/>
                <w:color w:val="auto"/>
              </w:rPr>
            </w:pPr>
          </w:p>
        </w:tc>
        <w:tc>
          <w:tcPr>
            <w:tcW w:w="14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Maturity Date</w:t>
            </w:r>
          </w:p>
        </w:tc>
        <w:tc>
          <w:tcPr>
            <w:tcW w:w="320" w:type="dxa"/>
            <w:vAlign w:val="bottom"/>
          </w:tcPr>
          <w:p>
            <w:pPr>
              <w:spacing w:after="0"/>
              <w:rPr>
                <w:sz w:val="14"/>
                <w:szCs w:val="14"/>
                <w:color w:val="auto"/>
              </w:rPr>
            </w:pPr>
          </w:p>
        </w:tc>
        <w:tc>
          <w:tcPr>
            <w:tcW w:w="8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Financing</w:t>
            </w:r>
          </w:p>
        </w:tc>
        <w:tc>
          <w:tcPr>
            <w:tcW w:w="3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3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8"/>
              </w:rPr>
              <w:t>Amount</w:t>
            </w:r>
          </w:p>
        </w:tc>
        <w:tc>
          <w:tcPr>
            <w:tcW w:w="36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Revolving Secured Line</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n/a</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n/a</w:t>
            </w:r>
          </w:p>
        </w:tc>
        <w:tc>
          <w:tcPr>
            <w:tcW w:w="166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June 9, 2010</w:t>
            </w: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June 22, 2012</w:t>
            </w:r>
          </w:p>
        </w:tc>
        <w:tc>
          <w:tcPr>
            <w:tcW w:w="44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line="195" w:lineRule="exact"/>
              <w:rPr>
                <w:sz w:val="20"/>
                <w:szCs w:val="20"/>
                <w:color w:val="auto"/>
              </w:rPr>
            </w:pPr>
            <w:r>
              <w:rPr>
                <w:rFonts w:ascii="Arial" w:cs="Arial" w:eastAsia="Arial" w:hAnsi="Arial"/>
                <w:sz w:val="18"/>
                <w:szCs w:val="18"/>
                <w:color w:val="auto"/>
                <w:w w:val="89"/>
              </w:rPr>
              <w:t>150,000</w:t>
            </w:r>
          </w:p>
        </w:tc>
        <w:tc>
          <w:tcPr>
            <w:tcW w:w="2620" w:type="dxa"/>
            <w:vAlign w:val="bottom"/>
            <w:gridSpan w:val="2"/>
            <w:shd w:val="clear" w:color="auto" w:fill="CCEEFF"/>
          </w:tcPr>
          <w:p>
            <w:pPr>
              <w:ind w:left="360"/>
              <w:spacing w:after="0" w:line="195" w:lineRule="exact"/>
              <w:rPr>
                <w:sz w:val="20"/>
                <w:szCs w:val="20"/>
                <w:color w:val="auto"/>
              </w:rPr>
            </w:pPr>
            <w:r>
              <w:rPr>
                <w:rFonts w:ascii="Arial" w:cs="Arial" w:eastAsia="Arial" w:hAnsi="Arial"/>
                <w:sz w:val="18"/>
                <w:szCs w:val="18"/>
                <w:color w:val="auto"/>
              </w:rPr>
              <w:t>At our option, either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of Credit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Eurodollar rate plus 225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points or the prime rate plus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125 basis points</w:t>
            </w:r>
          </w:p>
        </w:tc>
        <w:tc>
          <w:tcPr>
            <w:tcW w:w="0" w:type="dxa"/>
            <w:vAlign w:val="bottom"/>
          </w:tcPr>
          <w:p>
            <w:pPr>
              <w:spacing w:after="0"/>
              <w:rPr>
                <w:sz w:val="1"/>
                <w:szCs w:val="1"/>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Revolving Secured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CAC</w:t>
            </w:r>
          </w:p>
        </w:tc>
        <w:tc>
          <w:tcPr>
            <w:tcW w:w="86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2003-2</w:t>
            </w:r>
          </w:p>
        </w:tc>
        <w:tc>
          <w:tcPr>
            <w:tcW w:w="1660" w:type="dxa"/>
            <w:vAlign w:val="bottom"/>
            <w:gridSpan w:val="2"/>
          </w:tcPr>
          <w:p>
            <w:pPr>
              <w:ind w:left="340"/>
              <w:spacing w:after="0"/>
              <w:rPr>
                <w:sz w:val="20"/>
                <w:szCs w:val="20"/>
                <w:color w:val="auto"/>
              </w:rPr>
            </w:pPr>
            <w:r>
              <w:rPr>
                <w:rFonts w:ascii="Arial" w:cs="Arial" w:eastAsia="Arial" w:hAnsi="Arial"/>
                <w:sz w:val="18"/>
                <w:szCs w:val="18"/>
                <w:color w:val="auto"/>
              </w:rPr>
              <w:t>June 16, 2010</w:t>
            </w:r>
          </w:p>
        </w:tc>
        <w:tc>
          <w:tcPr>
            <w:tcW w:w="3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June 15, 2013 (2)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325,000</w:t>
            </w: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Commercial paper rate plus</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Warehouse Facility (1)</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Warehouse</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350 basis points or 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Funding</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plus 450 basis points (4)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Corp. II</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Revolving Secured</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CAC</w:t>
            </w:r>
          </w:p>
        </w:tc>
        <w:tc>
          <w:tcPr>
            <w:tcW w:w="860" w:type="dxa"/>
            <w:vAlign w:val="bottom"/>
            <w:gridSpan w:val="2"/>
            <w:shd w:val="clear" w:color="auto" w:fill="CCEEFF"/>
          </w:tcPr>
          <w:p>
            <w:pPr>
              <w:jc w:val="center"/>
              <w:ind w:left="250"/>
              <w:spacing w:after="0" w:line="201" w:lineRule="exact"/>
              <w:rPr>
                <w:sz w:val="20"/>
                <w:szCs w:val="20"/>
                <w:color w:val="auto"/>
              </w:rPr>
            </w:pPr>
            <w:r>
              <w:rPr>
                <w:rFonts w:ascii="Arial" w:cs="Arial" w:eastAsia="Arial" w:hAnsi="Arial"/>
                <w:sz w:val="18"/>
                <w:szCs w:val="18"/>
                <w:color w:val="auto"/>
                <w:w w:val="92"/>
              </w:rPr>
              <w:t>2008-2</w:t>
            </w:r>
          </w:p>
        </w:tc>
        <w:tc>
          <w:tcPr>
            <w:tcW w:w="16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August 31, 2009</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August 31, 2011 (6)</w:t>
            </w:r>
          </w:p>
        </w:tc>
        <w:tc>
          <w:tcPr>
            <w:tcW w:w="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line="201" w:lineRule="exact"/>
              <w:rPr>
                <w:sz w:val="20"/>
                <w:szCs w:val="20"/>
                <w:color w:val="auto"/>
              </w:rPr>
            </w:pPr>
            <w:r>
              <w:rPr>
                <w:rFonts w:ascii="Arial" w:cs="Arial" w:eastAsia="Arial" w:hAnsi="Arial"/>
                <w:sz w:val="18"/>
                <w:szCs w:val="18"/>
                <w:color w:val="auto"/>
              </w:rPr>
              <w:t>75,000</w:t>
            </w:r>
          </w:p>
        </w:tc>
        <w:tc>
          <w:tcPr>
            <w:tcW w:w="26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Commercial paper rate plus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Warehouse Facility (1)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Warehouse</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375 basis points or 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Funding III,</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plus 375 basis points (3) (4)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LLC</w:t>
            </w: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Term ABS 2009-1 (1)</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Credit</w:t>
            </w:r>
          </w:p>
        </w:tc>
        <w:tc>
          <w:tcPr>
            <w:tcW w:w="86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2009-1</w:t>
            </w:r>
          </w:p>
        </w:tc>
        <w:tc>
          <w:tcPr>
            <w:tcW w:w="1660" w:type="dxa"/>
            <w:vAlign w:val="bottom"/>
            <w:gridSpan w:val="2"/>
          </w:tcPr>
          <w:p>
            <w:pPr>
              <w:ind w:left="340"/>
              <w:spacing w:after="0"/>
              <w:rPr>
                <w:sz w:val="20"/>
                <w:szCs w:val="20"/>
                <w:color w:val="auto"/>
              </w:rPr>
            </w:pPr>
            <w:r>
              <w:rPr>
                <w:rFonts w:ascii="Arial" w:cs="Arial" w:eastAsia="Arial" w:hAnsi="Arial"/>
                <w:sz w:val="18"/>
                <w:szCs w:val="18"/>
                <w:color w:val="auto"/>
                <w:w w:val="87"/>
              </w:rPr>
              <w:t>December 3, 2009</w:t>
            </w:r>
          </w:p>
        </w:tc>
        <w:tc>
          <w:tcPr>
            <w:tcW w:w="3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May 15, 2011 (2)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110,500</w:t>
            </w:r>
          </w:p>
        </w:tc>
        <w:tc>
          <w:tcPr>
            <w:tcW w:w="2620" w:type="dxa"/>
            <w:vAlign w:val="bottom"/>
            <w:gridSpan w:val="2"/>
          </w:tcPr>
          <w:p>
            <w:pPr>
              <w:ind w:left="36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Acceptance</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Funding LLC</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2009-1</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February 1, 2010</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9"/>
              </w:rPr>
              <w:t>250,000</w:t>
            </w:r>
          </w:p>
        </w:tc>
        <w:tc>
          <w:tcPr>
            <w:tcW w:w="2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Financing made available only to a specified subsidiary of the Company.</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revolving maturity date. Loans will amortize after the maturity date based on the cash flows of the contributed assets.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A portion of the outstanding balance is a floating rate obligation that has been converted to a fixed rate obligation via an interest rate swap.</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LIBOR rate is used if funding is not available from the commercial paper market.</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cap agreements are in place to limit the exposure to increasing interest rates.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Facility revolves until August 31, 2011 and matures on August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08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Line of Credit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Maximum outstanding balance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67,300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128,900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107,900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outstanding balance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30,332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101,316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84,001</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Revolving Secured Warehouse Facility (2003-2)</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Maximum outstanding balance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276,900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152,600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276,900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Average outstanding balance</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31,736</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265,482</w:t>
            </w: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42,603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265,193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Warehouse Facility (2008-2)</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Maximum outstanding balance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outstanding balance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74,945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2010</w:t>
            </w:r>
          </w:p>
        </w:tc>
        <w:tc>
          <w:tcPr>
            <w:tcW w:w="160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w w:val="90"/>
              </w:rPr>
              <w:t>December 31, 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Line of Credit</w:t>
            </w:r>
          </w:p>
        </w:tc>
        <w:tc>
          <w:tcPr>
            <w:tcW w:w="2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Balance outstanding</w:t>
            </w:r>
          </w:p>
        </w:tc>
        <w:tc>
          <w:tcPr>
            <w:tcW w:w="262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4,300</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Letter(s) of credit</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Amount available for borrowing</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145,200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Revolving Secured Warehouse Facility (2003-2)</w:t>
            </w: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w:t>
            </w:r>
          </w:p>
        </w:tc>
        <w:tc>
          <w:tcPr>
            <w:tcW w:w="26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Amount available for borrowing</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265,000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eligible Loans (1)</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153,081</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Secured Warehouse Facility (2008-2)</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Balance outstanding</w:t>
            </w:r>
          </w:p>
        </w:tc>
        <w:tc>
          <w:tcPr>
            <w:tcW w:w="262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70,000</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available for borrowing</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Contributed eligible Loans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91,518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Term ABS 2008-1</w:t>
            </w: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w:t>
            </w:r>
          </w:p>
        </w:tc>
        <w:tc>
          <w:tcPr>
            <w:tcW w:w="26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Contributed eligible Loans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Term ABS 2009-1</w:t>
            </w: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w:t>
            </w:r>
          </w:p>
        </w:tc>
        <w:tc>
          <w:tcPr>
            <w:tcW w:w="26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110,500</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Contributed eligible Loans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142,412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Senior Notes</w:t>
            </w: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outstanding</w:t>
            </w:r>
          </w:p>
        </w:tc>
        <w:tc>
          <w:tcPr>
            <w:tcW w:w="26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244,007</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June 30, 2010, the assets shown are the property of the wholly-owned subsidiary but only $96.9 million are pledged as collateral for the facility.</w:t>
      </w:r>
    </w:p>
    <w:p>
      <w:pPr>
        <w:spacing w:after="0" w:line="19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the first quarter of 2010, we increased the amount of the revolving secured line of credit facility from $140.0 million to $150.0 million and, concurrently with the issuance of the Senior Notes, amended the agreements governing our revolving secured line of credit facility to facilitate the issuance of the Senior Notes and certain future secured indebtedness.</w:t>
      </w:r>
    </w:p>
    <w:p>
      <w:pPr>
        <w:spacing w:after="0" w:line="7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During the second quarter of 2010, we extended the maturity of the revolving secured line of credit facility from June 23, 2011 to June 22, 2012. Additionally, the interest rate on borrowings under the facility was changed from the prime rate plus 1.0% or the Eurodollar rate plus 2.75%, at our option, to the prime rate plus 1.25% or the Eurodollar rate plus 2.25%, at our option. The floor on the Eurodollar rate was decreased from 1.50% to 0.75%. None of the financial covenants were modified.</w:t>
      </w:r>
    </w:p>
    <w:p>
      <w:pPr>
        <w:spacing w:after="0" w:line="7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Borrowings under the revolving secured line of credit facility, including any letters of credit issued under the facility, are subject to a borrowing-base limitation. This limitation equals 80% of the net book value of Loans, less a hedging reserve (not exceeding $1.0 million), and the amount of other debt secured by the collateral which secures the line of credit. Borrowings under the line of credit agreement are secured by a lien on most of our assets. We must pay quarterly fees on the amount of the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Warehouse Facilities</w:t>
      </w:r>
    </w:p>
    <w:p>
      <w:pPr>
        <w:spacing w:after="0" w:line="121" w:lineRule="exact"/>
        <w:rPr>
          <w:sz w:val="20"/>
          <w:szCs w:val="20"/>
          <w:color w:val="auto"/>
        </w:rPr>
      </w:pPr>
    </w:p>
    <w:p>
      <w:pPr>
        <w:ind w:right="800" w:firstLine="222"/>
        <w:spacing w:after="0" w:line="277" w:lineRule="auto"/>
        <w:rPr>
          <w:sz w:val="20"/>
          <w:szCs w:val="20"/>
          <w:color w:val="auto"/>
        </w:rPr>
      </w:pPr>
      <w:r>
        <w:rPr>
          <w:rFonts w:ascii="Arial" w:cs="Arial" w:eastAsia="Arial" w:hAnsi="Arial"/>
          <w:sz w:val="18"/>
          <w:szCs w:val="18"/>
          <w:color w:val="auto"/>
        </w:rPr>
        <w:t>We have two revolving secured warehouse facilities that are provided to our wholly-owned subsidiaries. One is a $325.0 million facility with an institutional investor and the other is a $75.0 million facility with another institutional investor.</w:t>
      </w:r>
    </w:p>
    <w:p>
      <w:pPr>
        <w:spacing w:after="0" w:line="62"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During the second quarter of 2010, we extended the date on which our $325.0 million revolving secured warehouse facility will cease to revolve from August 23, 2010 to June 15, 2013. The interest rate on borrowings under the $325.0 million revolving secured warehouse facility was decreased from a floating rate equal to the commercial paper rate plus 5% to the commercial paper rate plus 3.5%. In addition, the agreement was modified to provide that in the event that the facility is not renewed and the borrower is in compliance with the terms and conditions of the agreement, any amounts outstanding will be repaid over time as the collections on the loans securing the facility are received.</w:t>
      </w:r>
    </w:p>
    <w:p>
      <w:pPr>
        <w:spacing w:after="0" w:line="6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Under both revolving secured warehouse facilities we can contribute Loans to our wholly-owned subsidiaries in return for cash and equity in each subsidiary. In turn, each subsidiary pledges the Loans as collateral to institutional investors to secure financing that will fund the cash portion of the purchase price of the Loans. The financing provided to each subsidiary under the applicable facility is limited to the lesser of 80% of the net book value of the contributed Loans or the facility limit.</w:t>
      </w:r>
    </w:p>
    <w:p>
      <w:pPr>
        <w:spacing w:after="0" w:line="79"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subsidiaries are liable for any amounts due under the applicable facility. Even though we consolidate our subsidiaries for financial reporting purposes, the financing is non-recourse to us. As the subsidiaries are organized as separate legal entities from us, their assets (including the conveyed Loans) will not be available to satisfy our general obligations.</w:t>
      </w:r>
    </w:p>
    <w:p>
      <w:pPr>
        <w:spacing w:after="0" w:line="73"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Interest on borrowings under the $325.0 million revolving secured warehouse facility has been limited through interest rate cap agreements to a maximum rate of 6.75% plus the spread over the LIBOR rate or the commercial paper rate, as applicable. We have also entered into an interest rate swap to convert $25.0 million of the $75.0 million revolving secured warehouse facility into fixed rate debt bearing an interest rate of 5.11%. The subsidiaries pay us a monthly servicing fee equal to 6% of the collections received with respect to the conveyed Loans. The fee is paid out of the collections. Except for the servicing fee and holdback payments due to Dealer-Partners,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During the first quarter of 2010, we issued $250.0 million aggregate principal amount of 9.125% First Priority Senior Notes. The Senior Notes were issued pursuant to an indenture, dated as of February 1, 2010 (the “Indenture”), among us, Buyers Vehicle Protection Plan, Inc. (“BVPP”) and Vehicle Remarketing Services, Inc. (“VRS”), as guarantors (the “Guarantors”), and U.S. Bank National Association, as trustee (the “Trustee”).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 (Continued)</w:t>
      </w:r>
    </w:p>
    <w:p>
      <w:pPr>
        <w:spacing w:after="0" w:line="121" w:lineRule="exact"/>
        <w:rPr>
          <w:sz w:val="20"/>
          <w:szCs w:val="20"/>
          <w:color w:val="auto"/>
        </w:rPr>
      </w:pPr>
    </w:p>
    <w:p>
      <w:pPr>
        <w:jc w:val="both"/>
        <w:ind w:right="60" w:firstLine="222"/>
        <w:spacing w:after="0" w:line="259" w:lineRule="auto"/>
        <w:rPr>
          <w:sz w:val="20"/>
          <w:szCs w:val="20"/>
          <w:color w:val="auto"/>
        </w:rPr>
      </w:pPr>
      <w:r>
        <w:rPr>
          <w:rFonts w:ascii="Arial" w:cs="Arial" w:eastAsia="Arial" w:hAnsi="Arial"/>
          <w:sz w:val="18"/>
          <w:szCs w:val="18"/>
          <w:color w:val="auto"/>
        </w:rPr>
        <w:t>The Senior Notes mature on February 1, 2017 and bear interest at a rate of 9.125% per annum, computed on the basis of 360-day year composed of twelve 30-day months and payable semi-annually on February 1 and August 1 of each year, beginning on August 1, 2010. The Senior Notes were issued at 97.495% of the aggregate principal amount for gross proceeds of $243.7 million, representing a yield to maturity of 9.625%. The discount is being amortized over the life of the Senior Notes using the effective interest method.</w:t>
      </w:r>
    </w:p>
    <w:p>
      <w:pPr>
        <w:spacing w:after="0" w:line="79"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Senior Notes are guaranteed on a senior secured basis by the Guarantors, which are also guarantors of obligations under our line of credit facility. Our other existing and future subsidiaries may become guarantors of the Senior Notes. The Senior Notes and the Guarantors’ Senior Note guarantees are secured on a first-priority basis (subject to specified exceptions and permitted liens), together with all indebtedness outstanding from time to time under the line of credit facility and, under certain circumstances, certain future indebtedness, by a security interest in substantially all of our assets and those of the Guarantors, subject to certain exceptions such as real property, cash (except to the extent it is deposited with the collateral agent), certain leases, and equity interests of our subsidiaries (other than those of specified subsidiaries including the Guarantors). Our assets and those of the Guarantors securing the Senior Notes and the Senior Note guarantees will not include our assets transferred to special purpose subsidiaries in connection with securitization transactions and will generally be the same as the collateral securing indebtedness under the line of credit facility and, under certain circumstances, certain future indebtedness, subject to certain limited exceptions as provided in the security and intercreditor agreements related to the line of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2008 and 2009, two of our wholly-owned subsidiaries (the “Funding LLCs”), each completed a secured financing transaction. In connection with these transactions, we contributed Loans on an arms-length basis to each Funding LLC for cash and the sole membership interest in that Funding LLC. In turn, each Funding LLC contributed the Loans to a respective trust that issued notes to qualified institutional investors. The Term ABS 2009-1 transaction consists of three classes of notes. The Class A Notes are rated “AAA” by S&amp;P and DBRS, Inc. The Class B Notes are rated “AA” by S&amp;P. The Class C Note does not bear interest, is not rated and has been retained by us. The Term ABS 2008-1 ceased to revolve on April 15, 2009 and was paid in full during the second quarter of 2010.</w:t>
      </w:r>
    </w:p>
    <w:p>
      <w:pPr>
        <w:spacing w:after="0" w:line="85"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Each financing has a specified revolving period during which we may be required, and are likely, to convey additional Loans to each Funding LLC. Each Funding LLC will then convey the Loans to their respective trust. At the end of the revolving period, the debt outstanding under each financing will begin to amortize.</w:t>
      </w:r>
    </w:p>
    <w:p>
      <w:pPr>
        <w:spacing w:after="0" w:line="73"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financings create loans for which the trusts are liable and which are secured by all the assets of each trust. Such loans are non-recourse to us, even though we are consolidated for financial reporting purposes with the trusts and the Funding LLCs. Because the Funding LLCs are organized as legal entities separate from us, their assets (including the conveyed Loans) are not available to our creditors. We receive a monthly servicing fee on each financing equal to 6% of the collections received with respect to the conveyed Loans. The fee is paid out of the collections. Except for the servicing fee and Dealer Holdback payments due to Dealer-Partners,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Alternatively, when a trust’s underlying indebtedness is paid in full, either through collections or through a prepayment of the indebtedness, the trust is to pay any remaining collections over to its Funding LLC as the sole beneficiary of the trust. The collections will then be available to be distributed to us as the sole member of the respective Funding LLC.</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Net Book Value of</w:t>
            </w: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Expected Annualized</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Term ABS Financing</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Issue Number</w:t>
            </w: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1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Dealer Loans</w:t>
            </w:r>
          </w:p>
        </w:tc>
        <w:tc>
          <w:tcPr>
            <w:tcW w:w="10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Revolving Period</w:t>
            </w: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Conveyed at Closing</w:t>
            </w:r>
          </w:p>
        </w:tc>
        <w:tc>
          <w:tcPr>
            <w:tcW w:w="100" w:type="dxa"/>
            <w:vAlign w:val="bottom"/>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Rates (1)</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center"/>
              <w:spacing w:after="0" w:line="195" w:lineRule="exact"/>
              <w:rPr>
                <w:sz w:val="20"/>
                <w:szCs w:val="20"/>
                <w:color w:val="auto"/>
              </w:rPr>
            </w:pPr>
            <w:r>
              <w:rPr>
                <w:rFonts w:ascii="Arial" w:cs="Arial" w:eastAsia="Arial" w:hAnsi="Arial"/>
                <w:sz w:val="18"/>
                <w:szCs w:val="18"/>
                <w:color w:val="auto"/>
                <w:w w:val="87"/>
              </w:rPr>
              <w:t>18 months</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Term ABS 2009-1</w:t>
            </w:r>
          </w:p>
        </w:tc>
        <w:tc>
          <w:tcPr>
            <w:tcW w:w="1220" w:type="dxa"/>
            <w:vAlign w:val="bottom"/>
            <w:gridSpan w:val="2"/>
          </w:tcPr>
          <w:p>
            <w:pPr>
              <w:jc w:val="right"/>
              <w:ind w:right="228"/>
              <w:spacing w:after="0"/>
              <w:rPr>
                <w:sz w:val="20"/>
                <w:szCs w:val="20"/>
                <w:color w:val="auto"/>
              </w:rPr>
            </w:pPr>
            <w:r>
              <w:rPr>
                <w:rFonts w:ascii="Arial" w:cs="Arial" w:eastAsia="Arial" w:hAnsi="Arial"/>
                <w:sz w:val="18"/>
                <w:szCs w:val="18"/>
                <w:color w:val="auto"/>
              </w:rPr>
              <w:t>2009-1</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December 3, 2009</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$142,301</w:t>
            </w:r>
          </w:p>
        </w:tc>
        <w:tc>
          <w:tcPr>
            <w:tcW w:w="1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(Through May 15, 2011)</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underwriter’s fees, insurance premiums and other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9600" w:firstLine="8"/>
        <w:spacing w:after="0" w:line="425" w:lineRule="auto"/>
        <w:tabs>
          <w:tab w:leader="none" w:pos="1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DEBT – (Concluded) Debt Covenants</w:t>
      </w:r>
    </w:p>
    <w:p>
      <w:pPr>
        <w:spacing w:after="0" w:line="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As of June 30, 2010, we are in compliance with all our debt covenants relating to the line of credit facility, including those that require the maintenance of certain financial ratios and other financial conditions. These covenants require a minimum ratio of our assets to debt and a minimum ratio of our earnings before interest, taxes and non-cash expenses to fixed charges. These covenants also limit the maximum ratio of our funded debt to tangible net worth. Additionally, we must maintain consolidated net income of not less than $1 for the two most recently ended fiscal quarters. Some of these debt covenants may indirectly limit the repurchase of common stock or payment of dividends on common stock.</w:t>
      </w:r>
    </w:p>
    <w:p>
      <w:pPr>
        <w:spacing w:after="0" w:line="64" w:lineRule="exact"/>
        <w:rPr>
          <w:sz w:val="20"/>
          <w:szCs w:val="20"/>
          <w:color w:val="auto"/>
        </w:rPr>
      </w:pPr>
    </w:p>
    <w:p>
      <w:pPr>
        <w:jc w:val="both"/>
        <w:ind w:right="520" w:firstLine="225"/>
        <w:spacing w:after="0" w:line="259" w:lineRule="auto"/>
        <w:rPr>
          <w:sz w:val="20"/>
          <w:szCs w:val="20"/>
          <w:color w:val="auto"/>
        </w:rPr>
      </w:pPr>
      <w:r>
        <w:rPr>
          <w:rFonts w:ascii="Arial" w:cs="Arial" w:eastAsia="Arial" w:hAnsi="Arial"/>
          <w:sz w:val="18"/>
          <w:szCs w:val="18"/>
          <w:color w:val="auto"/>
        </w:rPr>
        <w:t>In addition to the covenants stated above, our revolving secured warehouse facilities and Term ABS financings contain covenants that measure the performance of the contributed assets. As of June 30, 2010, we were in compliance with all such covenants. As of the end of the quarter, we are also in compliance with our covenants under the Senior Notes Indenture. The Indenture includes covenants that limit the maximum ratio of our funded debt to tangible net worth and also require a minimum collateral coverage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purchase interest rate cap agreements to manage the interest rate risk on certain borrowings.</w:t>
      </w:r>
    </w:p>
    <w:p>
      <w:pPr>
        <w:spacing w:after="0" w:line="117" w:lineRule="exact"/>
        <w:rPr>
          <w:sz w:val="20"/>
          <w:szCs w:val="20"/>
          <w:color w:val="auto"/>
        </w:rPr>
      </w:pPr>
    </w:p>
    <w:p>
      <w:pPr>
        <w:ind w:right="280" w:firstLine="215"/>
        <w:spacing w:after="0" w:line="264" w:lineRule="auto"/>
        <w:rPr>
          <w:sz w:val="20"/>
          <w:szCs w:val="20"/>
          <w:color w:val="auto"/>
        </w:rPr>
      </w:pPr>
      <w:r>
        <w:rPr>
          <w:rFonts w:ascii="Arial" w:cs="Arial" w:eastAsia="Arial" w:hAnsi="Arial"/>
          <w:sz w:val="18"/>
          <w:szCs w:val="18"/>
          <w:color w:val="auto"/>
        </w:rPr>
        <w:t>As of June 30, 2010, we had interest rate cap agreements to manage the interest rate risk on our $325.0 million 2003-2 revolving secured warehouse facility with various maturities between February 2011 and May 2012. These instruments had a cap rate of 6.75% to cap the commercial paper rate for the 2003-2 facility.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December 31, 2009, we had interest rate cap agreements to manage the interest rate risk on the 2003-2 facility, as well as on $50.0 million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$75.0 million 2008-2 revolving secured warehouse facility with various maturities between May 2010 and August 2011. These instruments had a cap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6.75% to cap the commercial paper rate for both the 2003-2 and the 2008-2 facilities.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interest rate caps have not been designated as hedging instruments.</w:t>
      </w:r>
    </w:p>
    <w:p>
      <w:pPr>
        <w:spacing w:after="0" w:line="117"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As of June 30, 2010 we had an interest rate swap outstanding to convert $25.0 million of the $75.0 million 2008-2 revolving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warehouse facility into fixed rate debt, bearing an interest rate of 5.11%. This interest rate swap has been designated as a cash flow hedging instrument.</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2009, in addition to the interest rate swap discussed above, the following were also outstanding:</w:t>
      </w:r>
    </w:p>
    <w:p>
      <w:pPr>
        <w:spacing w:after="0" w:line="117" w:lineRule="exact"/>
        <w:rPr>
          <w:sz w:val="20"/>
          <w:szCs w:val="20"/>
          <w:color w:val="auto"/>
        </w:rPr>
      </w:pPr>
    </w:p>
    <w:p>
      <w:pPr>
        <w:jc w:val="both"/>
        <w:ind w:left="660" w:right="60" w:hanging="314"/>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interest rate swap to convert the outstanding balance of the 2008-1 floating rate Term ABS financing, which ceased to revolve on April 15, 2009 and was paid in full during the second quarter of 2010, into fixed rate debt, bearing an interest rate of 6.37%. This interest rate swap was designated as a cash flow hedging instrument.</w:t>
      </w:r>
    </w:p>
    <w:p>
      <w:pPr>
        <w:spacing w:after="0" w:line="86" w:lineRule="exact"/>
        <w:rPr>
          <w:rFonts w:ascii="Arial" w:cs="Arial" w:eastAsia="Arial" w:hAnsi="Arial"/>
          <w:sz w:val="18"/>
          <w:szCs w:val="18"/>
          <w:b w:val="1"/>
          <w:bCs w:val="1"/>
          <w:color w:val="auto"/>
        </w:rPr>
      </w:pPr>
    </w:p>
    <w:p>
      <w:pPr>
        <w:ind w:left="660" w:right="360" w:hanging="314"/>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interest rate swap, also related to the outstanding balance of the 2008-1 floating rate Term ABS financing, that required the counterparties to make a payment depending on our actual debt balance outstanding on the facility relative to our original forecasted balance and on the level of interest rates. This interest rate swap was not designated as a hedging instrument.</w:t>
      </w:r>
    </w:p>
    <w:p>
      <w:pPr>
        <w:spacing w:after="0" w:line="73"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At June 30, 2010, we had minimal exposure to credit loss on the outstanding interest rate swap. We do not believe that any reasonably likely change in interest rates would have a materially adverse effect on our financial position, our results of operations or our cash flows.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 (Concluded)</w:t>
      </w:r>
    </w:p>
    <w:p>
      <w:pPr>
        <w:spacing w:after="0" w:line="121"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Information related to the fair values of derivative instruments in our consolidated balance sheets as of June 30, 2010 and December 31, 2009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22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6"/>
              </w:rPr>
              <w:t>June 30,</w:t>
            </w: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location</w:t>
            </w:r>
          </w:p>
        </w:tc>
        <w:tc>
          <w:tcPr>
            <w:tcW w:w="80" w:type="dxa"/>
            <w:vAlign w:val="bottom"/>
          </w:tcPr>
          <w:p>
            <w:pPr>
              <w:spacing w:after="0"/>
              <w:rPr>
                <w:sz w:val="14"/>
                <w:szCs w:val="14"/>
                <w:color w:val="auto"/>
              </w:rPr>
            </w:pPr>
          </w:p>
        </w:tc>
        <w:tc>
          <w:tcPr>
            <w:tcW w:w="62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b w:val="1"/>
                <w:bCs w:val="1"/>
                <w:color w:val="auto"/>
              </w:rPr>
              <w:t>Liability Derivatives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rate swap</w:t>
            </w:r>
          </w:p>
        </w:tc>
        <w:tc>
          <w:tcPr>
            <w:tcW w:w="3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Asset Derivatives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400"/>
              <w:spacing w:after="0"/>
              <w:rPr>
                <w:sz w:val="20"/>
                <w:szCs w:val="20"/>
                <w:color w:val="auto"/>
              </w:rPr>
            </w:pPr>
            <w:r>
              <w:rPr>
                <w:rFonts w:ascii="Arial" w:cs="Arial" w:eastAsia="Arial" w:hAnsi="Arial"/>
                <w:sz w:val="18"/>
                <w:szCs w:val="18"/>
                <w:color w:val="auto"/>
              </w:rPr>
              <w:t>Interest rate caps</w:t>
            </w:r>
          </w:p>
        </w:tc>
        <w:tc>
          <w:tcPr>
            <w:tcW w:w="32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 Derivatives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Liability Derivatives</w:t>
            </w: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Information related to the effect of derivative instruments designated as hedging instruments on our consolidated income statements for the three months ended June 30, 2010 and 2009 is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4"/>
              </w:rPr>
              <w:t>Gain / (Loss)</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w w:val="91"/>
              </w:rPr>
              <w:t>Loss Reclassified from 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920" w:type="dxa"/>
            <w:vAlign w:val="bottom"/>
            <w:gridSpan w:val="7"/>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Recognized in OCI on Derivative</w:t>
            </w:r>
          </w:p>
        </w:tc>
        <w:tc>
          <w:tcPr>
            <w:tcW w:w="280" w:type="dxa"/>
            <w:vAlign w:val="bottom"/>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(Effective Portion)</w:t>
            </w:r>
          </w:p>
        </w:tc>
        <w:tc>
          <w:tcPr>
            <w:tcW w:w="280" w:type="dxa"/>
            <w:vAlign w:val="bottom"/>
          </w:tcPr>
          <w:p>
            <w:pPr>
              <w:spacing w:after="0"/>
              <w:rPr>
                <w:sz w:val="14"/>
                <w:szCs w:val="14"/>
                <w:color w:val="auto"/>
              </w:rPr>
            </w:pPr>
          </w:p>
        </w:tc>
        <w:tc>
          <w:tcPr>
            <w:tcW w:w="3020" w:type="dxa"/>
            <w:vAlign w:val="bottom"/>
            <w:gridSpan w:val="5"/>
          </w:tcPr>
          <w:p>
            <w:pPr>
              <w:ind w:left="760"/>
              <w:spacing w:after="0"/>
              <w:rPr>
                <w:sz w:val="20"/>
                <w:szCs w:val="20"/>
                <w:color w:val="auto"/>
              </w:rPr>
            </w:pPr>
            <w:r>
              <w:rPr>
                <w:rFonts w:ascii="Arial" w:cs="Arial" w:eastAsia="Arial" w:hAnsi="Arial"/>
                <w:sz w:val="14"/>
                <w:szCs w:val="14"/>
                <w:b w:val="1"/>
                <w:bCs w:val="1"/>
                <w:color w:val="auto"/>
                <w:w w:val="96"/>
              </w:rPr>
              <w:t>OCI into Income (Effective Portion)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June 30,</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2"/>
              </w:rPr>
              <w:t>Three Months Ended June 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Hedging Relationships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2"/>
                <w:szCs w:val="12"/>
                <w:color w:val="auto"/>
              </w:rPr>
            </w:pPr>
          </w:p>
        </w:tc>
        <w:tc>
          <w:tcPr>
            <w:tcW w:w="54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rate swap</w:t>
            </w:r>
          </w:p>
        </w:tc>
        <w:tc>
          <w:tcPr>
            <w:tcW w:w="5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562</w:t>
            </w:r>
          </w:p>
        </w:tc>
        <w:tc>
          <w:tcPr>
            <w:tcW w:w="6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3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6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0"/>
              </w:rPr>
              <w:t>(1,042)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4"/>
              </w:rPr>
              <w:t>Gain / (Loss)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w w:val="91"/>
              </w:rPr>
              <w:t>Loss Reclassified from 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920" w:type="dxa"/>
            <w:vAlign w:val="bottom"/>
            <w:gridSpan w:val="7"/>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Recognized in OCI on Derivative</w:t>
            </w:r>
          </w:p>
        </w:tc>
        <w:tc>
          <w:tcPr>
            <w:tcW w:w="280" w:type="dxa"/>
            <w:vAlign w:val="bottom"/>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(Effective Portion)</w:t>
            </w:r>
          </w:p>
        </w:tc>
        <w:tc>
          <w:tcPr>
            <w:tcW w:w="280" w:type="dxa"/>
            <w:vAlign w:val="bottom"/>
          </w:tcPr>
          <w:p>
            <w:pPr>
              <w:spacing w:after="0"/>
              <w:rPr>
                <w:sz w:val="14"/>
                <w:szCs w:val="14"/>
                <w:color w:val="auto"/>
              </w:rPr>
            </w:pPr>
          </w:p>
        </w:tc>
        <w:tc>
          <w:tcPr>
            <w:tcW w:w="3020" w:type="dxa"/>
            <w:vAlign w:val="bottom"/>
            <w:gridSpan w:val="5"/>
          </w:tcPr>
          <w:p>
            <w:pPr>
              <w:ind w:left="760"/>
              <w:spacing w:after="0"/>
              <w:rPr>
                <w:sz w:val="20"/>
                <w:szCs w:val="20"/>
                <w:color w:val="auto"/>
              </w:rPr>
            </w:pPr>
            <w:r>
              <w:rPr>
                <w:rFonts w:ascii="Arial" w:cs="Arial" w:eastAsia="Arial" w:hAnsi="Arial"/>
                <w:sz w:val="14"/>
                <w:szCs w:val="14"/>
                <w:b w:val="1"/>
                <w:bCs w:val="1"/>
                <w:color w:val="auto"/>
                <w:w w:val="96"/>
              </w:rPr>
              <w:t>OCI into Income (Effective Portion)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jc w:val="center"/>
              <w:ind w:right="59"/>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5"/>
          </w:tcPr>
          <w:p>
            <w:pPr>
              <w:jc w:val="center"/>
              <w:ind w:right="59"/>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Hedging Relationships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2"/>
                <w:szCs w:val="12"/>
                <w:color w:val="auto"/>
              </w:rPr>
            </w:pPr>
          </w:p>
        </w:tc>
        <w:tc>
          <w:tcPr>
            <w:tcW w:w="54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rate swap</w:t>
            </w:r>
          </w:p>
        </w:tc>
        <w:tc>
          <w:tcPr>
            <w:tcW w:w="5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6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(698)</w:t>
            </w:r>
          </w:p>
        </w:tc>
        <w:tc>
          <w:tcPr>
            <w:tcW w:w="3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(608)</w:t>
            </w:r>
          </w:p>
        </w:tc>
        <w:tc>
          <w:tcPr>
            <w:tcW w:w="6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0"/>
              </w:rPr>
              <w:t>(2,139)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80" w:firstLine="215"/>
        <w:spacing w:after="0" w:line="277" w:lineRule="auto"/>
        <w:rPr>
          <w:sz w:val="20"/>
          <w:szCs w:val="20"/>
          <w:color w:val="auto"/>
        </w:rPr>
      </w:pPr>
      <w:r>
        <w:rPr>
          <w:rFonts w:ascii="Arial" w:cs="Arial" w:eastAsia="Arial" w:hAnsi="Arial"/>
          <w:sz w:val="18"/>
          <w:szCs w:val="18"/>
          <w:color w:val="auto"/>
        </w:rPr>
        <w:t>As of June 30, 2010, we expect to reclassify losses of $0.2 million from accumulated other comprehensive income into income during the next twelve months.</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Information related to the effect of derivative instruments not designated as hedging instruments on our consolidated income statements for the three months ended June 30, 2010 and 2009 is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Derivatives Not</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Amount of (Loss) / Gain Recognized in Income on Derivative</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Designated as Hedging</w:t>
            </w: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7"/>
          </w:tcPr>
          <w:p>
            <w:pPr>
              <w:ind w:left="80"/>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2"/>
                <w:szCs w:val="12"/>
                <w:color w:val="auto"/>
              </w:rPr>
            </w:pPr>
          </w:p>
        </w:tc>
        <w:tc>
          <w:tcPr>
            <w:tcW w:w="1900" w:type="dxa"/>
            <w:vAlign w:val="bottom"/>
            <w:gridSpan w:val="5"/>
          </w:tcPr>
          <w:p>
            <w:pPr>
              <w:jc w:val="right"/>
              <w:ind w:right="94"/>
              <w:spacing w:after="0" w:line="142" w:lineRule="exact"/>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Instruments</w:t>
            </w:r>
          </w:p>
        </w:tc>
        <w:tc>
          <w:tcPr>
            <w:tcW w:w="540" w:type="dxa"/>
            <w:vAlign w:val="bottom"/>
          </w:tcPr>
          <w:p>
            <w:pPr>
              <w:spacing w:after="0"/>
              <w:rPr>
                <w:sz w:val="12"/>
                <w:szCs w:val="12"/>
                <w:color w:val="auto"/>
              </w:rPr>
            </w:pPr>
          </w:p>
        </w:tc>
        <w:tc>
          <w:tcPr>
            <w:tcW w:w="14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ind w:left="96"/>
              <w:spacing w:after="0" w:line="195" w:lineRule="exact"/>
              <w:rPr>
                <w:sz w:val="20"/>
                <w:szCs w:val="20"/>
                <w:color w:val="auto"/>
              </w:rPr>
            </w:pPr>
            <w:r>
              <w:rPr>
                <w:rFonts w:ascii="Arial" w:cs="Arial" w:eastAsia="Arial" w:hAnsi="Arial"/>
                <w:sz w:val="18"/>
                <w:szCs w:val="18"/>
                <w:color w:val="auto"/>
                <w:w w:val="89"/>
              </w:rPr>
              <w:t>Interest</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5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5"/>
              </w:rPr>
              <w:t>expense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rate swap</w:t>
            </w:r>
          </w:p>
        </w:tc>
        <w:tc>
          <w:tcPr>
            <w:tcW w:w="1980" w:type="dxa"/>
            <w:vAlign w:val="bottom"/>
            <w:gridSpan w:val="3"/>
          </w:tcPr>
          <w:p>
            <w:pPr>
              <w:jc w:val="center"/>
              <w:ind w:left="170"/>
              <w:spacing w:after="0"/>
              <w:rPr>
                <w:sz w:val="20"/>
                <w:szCs w:val="20"/>
                <w:color w:val="auto"/>
              </w:rPr>
            </w:pPr>
            <w:r>
              <w:rPr>
                <w:rFonts w:ascii="Arial" w:cs="Arial" w:eastAsia="Arial" w:hAnsi="Arial"/>
                <w:sz w:val="18"/>
                <w:szCs w:val="18"/>
                <w:color w:val="auto"/>
                <w:w w:val="87"/>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i w:val="1"/>
          <w:iCs w:val="1"/>
          <w:color w:val="auto"/>
        </w:rPr>
        <w:t xml:space="preserve">Cash and Cash Equivalents and Restricted Cash and Cash Equivalents. </w:t>
      </w:r>
      <w:r>
        <w:rPr>
          <w:rFonts w:ascii="Arial" w:cs="Arial" w:eastAsia="Arial" w:hAnsi="Arial"/>
          <w:sz w:val="18"/>
          <w:szCs w:val="18"/>
          <w:color w:val="auto"/>
        </w:rPr>
        <w:t>The carrying amount of cash and cash equivalents and restricted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approximate their fair value due to the short maturity of these instruments.</w:t>
      </w:r>
    </w:p>
    <w:p>
      <w:pPr>
        <w:spacing w:after="0" w:line="62"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Restricted securities consist of amounts held in trusts by TPAs to pay claims on vehicle service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for which we do not have the intent or ability to hold to maturity are classified as available for sale and stated at fair value. The fair value of restricted securities are based on quoted market values.</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Net Investment in Loans Receivable. </w:t>
      </w:r>
      <w:r>
        <w:rPr>
          <w:rFonts w:ascii="Arial" w:cs="Arial" w:eastAsia="Arial" w:hAnsi="Arial"/>
          <w:sz w:val="18"/>
          <w:szCs w:val="18"/>
          <w:color w:val="auto"/>
        </w:rPr>
        <w:t>Loans receivable, net represents our net investment in Consumer Loans. The fair value is determined by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present value of future Loan payment inflows and Dealer Holdback outflows estimated by us utilizing a discount rate comparable with the rate used to calculate our allowance for credit losses.</w:t>
      </w:r>
    </w:p>
    <w:p>
      <w:pPr>
        <w:spacing w:after="0" w:line="73"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i w:val="1"/>
          <w:iCs w:val="1"/>
          <w:color w:val="auto"/>
        </w:rPr>
        <w:t xml:space="preserve">Derivative Instruments. </w:t>
      </w:r>
      <w:r>
        <w:rPr>
          <w:rFonts w:ascii="Arial" w:cs="Arial" w:eastAsia="Arial" w:hAnsi="Arial"/>
          <w:sz w:val="17"/>
          <w:szCs w:val="17"/>
          <w:color w:val="auto"/>
        </w:rPr>
        <w:t>The fair value of interest rate caps and interest rate swaps are based on quoted prices for similar instruments in active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influenced by a number of factors, including interest rates, amount of debt outstanding, and number of months until maturity.</w:t>
      </w:r>
    </w:p>
    <w:p>
      <w:pPr>
        <w:spacing w:after="0" w:line="38"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The fair value of debt is determined using quoted market prices, if available, or calculated using the estimated value of each debt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current rates offered to us for debt with similar maturities.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comparison of the carrying value and estimated fair value of these financial instruments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0"/>
              </w:rPr>
              <w:t>As of June 30,</w:t>
            </w:r>
          </w:p>
        </w:tc>
        <w:tc>
          <w:tcPr>
            <w:tcW w:w="10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9"/>
              </w:rPr>
              <w:t>Estimated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63,859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63,859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82,456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Restricted securities available for sale</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2,893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Loans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1,134,776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1,144,030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1,050,013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1,056,059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Line of 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97,300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Secured financing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240,500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243,015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404,597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Mortgage note</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4,635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4,744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244,007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251,250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1,445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Level 1 Valuation is based upon quoted prices for identical instruments traded in active markets.</w:t>
      </w:r>
    </w:p>
    <w:p>
      <w:pPr>
        <w:spacing w:after="0" w:line="131" w:lineRule="exact"/>
        <w:rPr>
          <w:sz w:val="20"/>
          <w:szCs w:val="20"/>
          <w:color w:val="auto"/>
        </w:rPr>
      </w:pPr>
    </w:p>
    <w:p>
      <w:pPr>
        <w:ind w:left="660" w:right="80" w:hanging="661"/>
        <w:spacing w:after="0" w:line="277"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76" w:lineRule="exact"/>
        <w:rPr>
          <w:sz w:val="20"/>
          <w:szCs w:val="20"/>
          <w:color w:val="auto"/>
        </w:rPr>
      </w:pPr>
    </w:p>
    <w:p>
      <w:pPr>
        <w:ind w:left="660" w:right="240" w:hanging="661"/>
        <w:spacing w:after="0" w:line="277"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 — (Concluded)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provides the fair value measurements of applicable assets and liabilities, measured at fair value on a recurring basis,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 and December 31, 2009: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June 30, 2010</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8"/>
              </w:rPr>
              <w:t>As of December 31, 2009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Restricted securities available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2,893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2,893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3,121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432"/>
        </w:trPr>
        <w:tc>
          <w:tcPr>
            <w:tcW w:w="37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In the normal course of our business, affiliated Dealer-Partners assign Consumer Loans to us under the Portfolio and Purchase Programs. Dealer Loans and Purchased Loans with affiliated Dealer-Partners are on the same terms as those with non-affiliated Dealer-Partners. Affiliated Dealer-Partners are comprised of Dealer-Partners owned or controlled by: (1) our majority shareholder and Chairman; and (2) a member of the Chairman’s immediate family.</w:t>
      </w:r>
    </w:p>
    <w:p>
      <w:pPr>
        <w:spacing w:after="0" w:line="39" w:lineRule="exact"/>
        <w:rPr>
          <w:sz w:val="20"/>
          <w:szCs w:val="20"/>
          <w:color w:val="auto"/>
        </w:rPr>
      </w:pPr>
    </w:p>
    <w:p>
      <w:pPr>
        <w:jc w:val="both"/>
        <w:ind w:right="300" w:firstLine="215"/>
        <w:spacing w:after="0" w:line="264" w:lineRule="auto"/>
        <w:rPr>
          <w:sz w:val="20"/>
          <w:szCs w:val="20"/>
          <w:color w:val="auto"/>
        </w:rPr>
      </w:pPr>
      <w:r>
        <w:rPr>
          <w:rFonts w:ascii="Arial" w:cs="Arial" w:eastAsia="Arial" w:hAnsi="Arial"/>
          <w:sz w:val="18"/>
          <w:szCs w:val="18"/>
          <w:color w:val="auto"/>
        </w:rPr>
        <w:t>Affiliated Dealer Loan balances were $11.2 million and $12.7 million as of June 30, 2010 and December 31, 2009, respectively. Affiliated Dealer Loan balances were 1.1% and 1.5% of total consolidated Dealer Loan balances as of June 30, 2010 and December 31, 2009, respectively. A summary of related party Loan activity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2"/>
              </w:rPr>
              <w:t>June 30, 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2"/>
              </w:rPr>
              <w:t>June 30,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Affiliated</w:t>
            </w:r>
          </w:p>
        </w:tc>
        <w:tc>
          <w:tcPr>
            <w:tcW w:w="300" w:type="dxa"/>
            <w:vAlign w:val="bottom"/>
          </w:tcPr>
          <w:p>
            <w:pPr>
              <w:spacing w:after="0"/>
              <w:rPr>
                <w:sz w:val="10"/>
                <w:szCs w:val="10"/>
                <w:color w:val="auto"/>
              </w:rPr>
            </w:pPr>
          </w:p>
        </w:tc>
        <w:tc>
          <w:tcPr>
            <w:tcW w:w="14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0"/>
                <w:szCs w:val="10"/>
                <w:color w:val="auto"/>
              </w:rPr>
            </w:pPr>
          </w:p>
        </w:tc>
        <w:tc>
          <w:tcPr>
            <w:tcW w:w="11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Affiliated</w:t>
            </w:r>
          </w:p>
        </w:tc>
        <w:tc>
          <w:tcPr>
            <w:tcW w:w="32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Dealer-Partner</w:t>
            </w:r>
          </w:p>
        </w:tc>
        <w:tc>
          <w:tcPr>
            <w:tcW w:w="3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Dealer-Partner</w:t>
            </w:r>
          </w:p>
        </w:tc>
        <w:tc>
          <w:tcPr>
            <w:tcW w:w="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4"/>
                <w:szCs w:val="14"/>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activity</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activity</w:t>
            </w:r>
          </w:p>
        </w:tc>
        <w:tc>
          <w:tcPr>
            <w:tcW w:w="124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New Dealer and Purchased Loans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1,039</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1,591</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Dealer Loan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801</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958</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2"/>
              </w:rPr>
              <w:t>June 30, 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2"/>
              </w:rPr>
              <w:t>June 30,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Affiliated</w:t>
            </w:r>
          </w:p>
        </w:tc>
        <w:tc>
          <w:tcPr>
            <w:tcW w:w="300" w:type="dxa"/>
            <w:vAlign w:val="bottom"/>
          </w:tcPr>
          <w:p>
            <w:pPr>
              <w:spacing w:after="0"/>
              <w:rPr>
                <w:sz w:val="10"/>
                <w:szCs w:val="10"/>
                <w:color w:val="auto"/>
              </w:rPr>
            </w:pPr>
          </w:p>
        </w:tc>
        <w:tc>
          <w:tcPr>
            <w:tcW w:w="14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0"/>
                <w:szCs w:val="10"/>
                <w:color w:val="auto"/>
              </w:rPr>
            </w:pPr>
          </w:p>
        </w:tc>
        <w:tc>
          <w:tcPr>
            <w:tcW w:w="11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Affiliated</w:t>
            </w:r>
          </w:p>
        </w:tc>
        <w:tc>
          <w:tcPr>
            <w:tcW w:w="32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Dealer-Partner</w:t>
            </w:r>
          </w:p>
        </w:tc>
        <w:tc>
          <w:tcPr>
            <w:tcW w:w="3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Dealer-Partner</w:t>
            </w:r>
          </w:p>
        </w:tc>
        <w:tc>
          <w:tcPr>
            <w:tcW w:w="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activity</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activity</w:t>
            </w:r>
          </w:p>
        </w:tc>
        <w:tc>
          <w:tcPr>
            <w:tcW w:w="124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New Dealer and Purchased Loans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2,638</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3,621</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Dealer Loan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1,648</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1,906</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7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1,059</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1,065</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Our majority shareholder and Chairman has indirect control over entities that, in the past, offered secured lines of credit to automobile dealers, and has the right or obligation to reacquire these entities under certain circumstances until December 31, 2014 or the repayment of the related purchase money note.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 reconciliation of the U.S. federal statutory rate to the Company’s effective tax rate, excluding the results of the discontinued United Kingdom operations,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State income taxes</w:t>
            </w:r>
          </w:p>
        </w:tc>
        <w:tc>
          <w:tcPr>
            <w:tcW w:w="1420" w:type="dxa"/>
            <w:vAlign w:val="bottom"/>
            <w:gridSpan w:val="2"/>
          </w:tcPr>
          <w:p>
            <w:pPr>
              <w:jc w:val="right"/>
              <w:ind w:right="668"/>
              <w:spacing w:after="0"/>
              <w:rPr>
                <w:sz w:val="20"/>
                <w:szCs w:val="20"/>
                <w:color w:val="auto"/>
              </w:rPr>
            </w:pPr>
            <w:r>
              <w:rPr>
                <w:rFonts w:ascii="Arial" w:cs="Arial" w:eastAsia="Arial" w:hAnsi="Arial"/>
                <w:sz w:val="18"/>
                <w:szCs w:val="18"/>
                <w:color w:val="auto"/>
              </w:rPr>
              <w:t>1.5</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18"/>
                <w:szCs w:val="18"/>
                <w:color w:val="auto"/>
              </w:rPr>
            </w:pP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penalties</w:t>
            </w: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Reversal of reserves as a result of settlement with IRS</w:t>
            </w:r>
          </w:p>
        </w:tc>
        <w:tc>
          <w:tcPr>
            <w:tcW w:w="1420" w:type="dxa"/>
            <w:vAlign w:val="bottom"/>
            <w:gridSpan w:val="2"/>
          </w:tcPr>
          <w:p>
            <w:pPr>
              <w:jc w:val="right"/>
              <w:ind w:right="608"/>
              <w:spacing w:after="0"/>
              <w:rPr>
                <w:sz w:val="20"/>
                <w:szCs w:val="20"/>
                <w:color w:val="auto"/>
              </w:rPr>
            </w:pPr>
            <w:r>
              <w:rPr>
                <w:rFonts w:ascii="Arial" w:cs="Arial" w:eastAsia="Arial" w:hAnsi="Arial"/>
                <w:sz w:val="18"/>
                <w:szCs w:val="18"/>
                <w:color w:val="auto"/>
              </w:rPr>
              <w:t>(10.4)</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(4.9)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1420" w:type="dxa"/>
            <w:vAlign w:val="bottom"/>
            <w:gridSpan w:val="2"/>
          </w:tcPr>
          <w:p>
            <w:pPr>
              <w:jc w:val="right"/>
              <w:ind w:right="508"/>
              <w:spacing w:after="0"/>
              <w:rPr>
                <w:sz w:val="20"/>
                <w:szCs w:val="20"/>
                <w:color w:val="auto"/>
              </w:rPr>
            </w:pPr>
            <w:r>
              <w:rPr>
                <w:rFonts w:ascii="Arial" w:cs="Arial" w:eastAsia="Arial" w:hAnsi="Arial"/>
                <w:sz w:val="18"/>
                <w:szCs w:val="18"/>
                <w:color w:val="auto"/>
              </w:rPr>
              <w:t>26.4%</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36.7%</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31.9%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2"/>
        <w:spacing w:after="0" w:line="259" w:lineRule="auto"/>
        <w:rPr>
          <w:sz w:val="20"/>
          <w:szCs w:val="20"/>
          <w:color w:val="auto"/>
        </w:rPr>
      </w:pPr>
      <w:r>
        <w:rPr>
          <w:rFonts w:ascii="Arial" w:cs="Arial" w:eastAsia="Arial" w:hAnsi="Arial"/>
          <w:sz w:val="18"/>
          <w:szCs w:val="18"/>
          <w:color w:val="auto"/>
        </w:rPr>
        <w:t>The differences between the U.S. federal statutory rate and our effective tax rate are primarily due to state income taxes and reserves for uncertain tax positions and related interest and penalties that are included in the provision for income taxes. The decreases for the three and six months ended June 30, 2010, as compared to the same periods in 2009, are primarily due to a reversal of the previously accrued tax reserves and related interest as a result of a settlement of the Internal Revenue Service (“IRS”) audit detailed below.</w:t>
      </w:r>
    </w:p>
    <w:p>
      <w:pPr>
        <w:spacing w:after="0" w:line="79"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federal income tax returns for 2004, 2005, and 2006 have been under examination by the IRS since February 2007, and in March 2010, the IRS began examining the federal returns for 2007 and 2008. On June 7, 2010, we reached a settlement with the IRS which closed our 2004 through 2008 tax years. As a result of the settlement, we agreed to pay a total of $6.8 million in federal and state taxes and interest related to these years. We also concluded that all 2004 through 2008 uncertain federal jurisdiction tax positions taken in previous periods are effectively settled.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is a summary of changes of the reserve for unrecognized gross tax benefits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8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0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June 30, 2010</w:t>
            </w:r>
          </w:p>
        </w:tc>
        <w:tc>
          <w:tcPr>
            <w:tcW w:w="100" w:type="dxa"/>
            <w:vAlign w:val="bottom"/>
            <w:gridSpan w:val="2"/>
          </w:tcPr>
          <w:p>
            <w:pPr>
              <w:spacing w:after="0"/>
              <w:rPr>
                <w:sz w:val="14"/>
                <w:szCs w:val="14"/>
                <w:color w:val="auto"/>
              </w:rPr>
            </w:pPr>
          </w:p>
        </w:tc>
      </w:tr>
      <w:tr>
        <w:trPr>
          <w:trHeight w:val="210"/>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Gross tax contingencies balance at January 1, 2010</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11,830</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current year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(4,702)</w:t>
            </w:r>
          </w:p>
        </w:tc>
      </w:tr>
      <w:tr>
        <w:trPr>
          <w:trHeight w:val="216"/>
        </w:trPr>
        <w:tc>
          <w:tcPr>
            <w:tcW w:w="10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as a result of a lapse of the statute of limitations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r>
      <w:tr>
        <w:trPr>
          <w:trHeight w:val="223"/>
        </w:trPr>
        <w:tc>
          <w:tcPr>
            <w:tcW w:w="10180" w:type="dxa"/>
            <w:vAlign w:val="bottom"/>
          </w:tcPr>
          <w:p>
            <w:pPr>
              <w:spacing w:after="0"/>
              <w:rPr>
                <w:sz w:val="20"/>
                <w:szCs w:val="20"/>
                <w:color w:val="auto"/>
              </w:rPr>
            </w:pPr>
            <w:r>
              <w:rPr>
                <w:rFonts w:ascii="Arial" w:cs="Arial" w:eastAsia="Arial" w:hAnsi="Arial"/>
                <w:sz w:val="18"/>
                <w:szCs w:val="18"/>
                <w:color w:val="auto"/>
              </w:rPr>
              <w:t>Gross tax contingencies balance at June 30, 2010</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settlements amount include $6.2 million of additional taxes for the 2004 through 2008 period that was paid to the IRS because of the settlement discussed above. These additional taxes resulted from an acceleration of taxes already provided for in prior periods and the payment did not have an impact on our net income during the reporting periods. The reversal of reserves for other uncertain tax positions and related interest as a result of the settlement with the IRS had a favorable impact of $6.9 million and $5.9 million (after-tax) on our net income for the three and six month periods ended June 30, 2010, respectively.</w:t>
      </w:r>
    </w:p>
    <w:p>
      <w:pPr>
        <w:spacing w:after="0" w:line="80"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total amount of unrecognized tax benefit that, if recognized, would favorably affect the effective income tax rate in future periods, was approximately $7.9 million as of June 30, 2010. It is reasonably possible that the total amount of unrecognized tax benefit will decrease within the next twelve months as a result of the lapse of statutes of limitations. Accrued interest and penalties related to uncertain tax positions were $1.5 million and $3.9 million as of June 30, 2010 and December 31, 2009,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860" w:firstLine="8"/>
        <w:spacing w:after="0" w:line="378" w:lineRule="auto"/>
        <w:tabs>
          <w:tab w:leader="none" w:pos="27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CAPITAL TRANSACTIONS Net Income Per Share</w:t>
      </w:r>
    </w:p>
    <w:p>
      <w:pPr>
        <w:ind w:right="200" w:firstLine="225"/>
        <w:spacing w:after="0" w:line="264" w:lineRule="auto"/>
        <w:rPr>
          <w:sz w:val="20"/>
          <w:szCs w:val="20"/>
          <w:color w:val="auto"/>
        </w:rPr>
      </w:pPr>
      <w:r>
        <w:rPr>
          <w:rFonts w:ascii="Arial" w:cs="Arial" w:eastAsia="Arial" w:hAnsi="Arial"/>
          <w:sz w:val="18"/>
          <w:szCs w:val="18"/>
          <w:color w:val="auto"/>
        </w:rPr>
        <w:t>Basic net income per share has been computed by dividing net income by the basic number of common shares outstanding. Diluted net income per share has been computed by dividing net income by the diluted number of common and common equivalent shares outstanding using the treasury stock method. The share effect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560" w:type="dxa"/>
            <w:vAlign w:val="bottom"/>
            <w:gridSpan w:val="4"/>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0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and common equivalent shares</w:t>
            </w: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Basic number of common shares outstanding</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31,172,229</w:t>
            </w:r>
          </w:p>
        </w:tc>
        <w:tc>
          <w:tcPr>
            <w:tcW w:w="1820" w:type="dxa"/>
            <w:vAlign w:val="bottom"/>
            <w:gridSpan w:val="2"/>
          </w:tcPr>
          <w:p>
            <w:pPr>
              <w:jc w:val="right"/>
              <w:ind w:right="900"/>
              <w:spacing w:after="0"/>
              <w:rPr>
                <w:sz w:val="20"/>
                <w:szCs w:val="20"/>
                <w:color w:val="auto"/>
              </w:rPr>
            </w:pPr>
            <w:r>
              <w:rPr>
                <w:rFonts w:ascii="Arial" w:cs="Arial" w:eastAsia="Arial" w:hAnsi="Arial"/>
                <w:sz w:val="18"/>
                <w:szCs w:val="18"/>
                <w:color w:val="auto"/>
                <w:w w:val="99"/>
              </w:rPr>
              <w:t>30,600,531</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31,107,721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30,510,439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stock options</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364,952</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610,172</w:t>
            </w: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366,357</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Dilutive effect of restricted stock and restricted stock units</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63,846</w:t>
            </w:r>
          </w:p>
        </w:tc>
        <w:tc>
          <w:tcPr>
            <w:tcW w:w="920" w:type="dxa"/>
            <w:vAlign w:val="bottom"/>
          </w:tcPr>
          <w:p>
            <w:pPr>
              <w:jc w:val="right"/>
              <w:spacing w:after="0"/>
              <w:rPr>
                <w:sz w:val="20"/>
                <w:szCs w:val="20"/>
                <w:color w:val="auto"/>
              </w:rPr>
            </w:pPr>
            <w:r>
              <w:rPr>
                <w:rFonts w:ascii="Arial" w:cs="Arial" w:eastAsia="Arial" w:hAnsi="Arial"/>
                <w:sz w:val="18"/>
                <w:szCs w:val="18"/>
                <w:color w:val="auto"/>
              </w:rPr>
              <w:t>212,484</w:t>
            </w:r>
          </w:p>
        </w:tc>
        <w:tc>
          <w:tcPr>
            <w:tcW w:w="9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126,508</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193,047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number of common and common equivalent shares</w:t>
            </w: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31,601,027</w:t>
            </w:r>
          </w:p>
        </w:tc>
        <w:tc>
          <w:tcPr>
            <w:tcW w:w="18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9"/>
              </w:rPr>
              <w:t>31,423,187</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31,600,586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31,285,734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There were no stock options, restricted stock or restricted stock units that would be anti-dilutive for the three and six months ended June 30, 2010 and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Pursuant to our Amended and Restated Incentive Compensation Plan (the “Incentive Plan”), the number of shares reserved for granting of restricted stock, restricted stock units, stock options, and performance awards to team members, officers, directors, and contractors at any time prior to April 6, 2019 is 1.5 million shares. The shares available for future grants under the Incentive Plan totaled 313,193 as of June 30, 2010.</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restricted stock activity under the Incentive Plan for the six months ended June 30, 2010 and 2009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gridSpan w:val="4"/>
          </w:tcPr>
          <w:p>
            <w:pPr>
              <w:ind w:left="54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4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4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Balance</w:t>
            </w:r>
          </w:p>
        </w:tc>
        <w:tc>
          <w:tcPr>
            <w:tcW w:w="4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242,277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Granted</w:t>
            </w:r>
          </w:p>
        </w:tc>
        <w:tc>
          <w:tcPr>
            <w:tcW w:w="6600" w:type="dxa"/>
            <w:vAlign w:val="bottom"/>
            <w:gridSpan w:val="4"/>
          </w:tcPr>
          <w:p>
            <w:pPr>
              <w:jc w:val="right"/>
              <w:ind w:right="680"/>
              <w:spacing w:after="0"/>
              <w:rPr>
                <w:sz w:val="20"/>
                <w:szCs w:val="20"/>
                <w:color w:val="auto"/>
              </w:rPr>
            </w:pPr>
            <w:r>
              <w:rPr>
                <w:rFonts w:ascii="Arial" w:cs="Arial" w:eastAsia="Arial" w:hAnsi="Arial"/>
                <w:sz w:val="18"/>
                <w:szCs w:val="18"/>
                <w:color w:val="auto"/>
              </w:rPr>
              <w:t>19,183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6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(142,682)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Forfeited</w:t>
            </w:r>
          </w:p>
        </w:tc>
        <w:tc>
          <w:tcPr>
            <w:tcW w:w="5160" w:type="dxa"/>
            <w:vAlign w:val="bottom"/>
            <w:gridSpan w:val="2"/>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(2,593)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Ending Balance</w:t>
            </w:r>
          </w:p>
        </w:tc>
        <w:tc>
          <w:tcPr>
            <w:tcW w:w="516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116,185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600" w:type="dxa"/>
            <w:vAlign w:val="bottom"/>
            <w:vMerge w:val="restart"/>
          </w:tcPr>
          <w:p>
            <w:pPr>
              <w:jc w:val="right"/>
              <w:ind w:right="267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TRANSACTIONS — (Concluded)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summary of the restricted stock unit activity under the Incentive Plan for the six months ended June 30, 2010 and 2009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Nonvested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Vested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5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5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Grant-Date</w:t>
            </w:r>
          </w:p>
        </w:tc>
        <w:tc>
          <w:tcPr>
            <w:tcW w:w="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Grant-Date</w:t>
            </w: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15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6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Units</w:t>
            </w: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Per Share</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Units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648,250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768,250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32,500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39.89</w:t>
            </w:r>
          </w:p>
        </w:tc>
        <w:tc>
          <w:tcPr>
            <w:tcW w:w="28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32,500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(149,650)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r>
        <w:trPr>
          <w:trHeight w:val="223"/>
        </w:trPr>
        <w:tc>
          <w:tcPr>
            <w:tcW w:w="4380" w:type="dxa"/>
            <w:vAlign w:val="bottom"/>
            <w:gridSpan w:val="3"/>
          </w:tcPr>
          <w:p>
            <w:pPr>
              <w:spacing w:after="0"/>
              <w:rPr>
                <w:sz w:val="20"/>
                <w:szCs w:val="20"/>
                <w:color w:val="auto"/>
              </w:rPr>
            </w:pPr>
            <w:r>
              <w:rPr>
                <w:rFonts w:ascii="Arial" w:cs="Arial" w:eastAsia="Arial" w:hAnsi="Arial"/>
                <w:sz w:val="18"/>
                <w:szCs w:val="18"/>
                <w:color w:val="auto"/>
              </w:rPr>
              <w:t>Outstanding at June 30, 2010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531,100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20.36</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269,650</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22.94</w:t>
            </w:r>
          </w:p>
        </w:tc>
        <w:tc>
          <w:tcPr>
            <w:tcW w:w="5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800,750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Nonvested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Vested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5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5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Grant-Date</w:t>
            </w:r>
          </w:p>
        </w:tc>
        <w:tc>
          <w:tcPr>
            <w:tcW w:w="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Grant-Date</w:t>
            </w: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15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6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Units</w:t>
            </w: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Per Share</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Units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18.99</w:t>
            </w: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62,500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21.38</w:t>
            </w:r>
          </w:p>
        </w:tc>
        <w:tc>
          <w:tcPr>
            <w:tcW w:w="28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62,500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26.30</w:t>
            </w: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7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622,500</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742,500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any vested restricted stock units is February 22, 2017.</w:t>
      </w:r>
    </w:p>
    <w:p>
      <w:pPr>
        <w:spacing w:after="0" w:line="76" w:lineRule="exact"/>
        <w:rPr>
          <w:rFonts w:ascii="Arial" w:cs="Arial" w:eastAsia="Arial" w:hAnsi="Arial"/>
          <w:sz w:val="18"/>
          <w:szCs w:val="18"/>
          <w:i w:val="1"/>
          <w:iCs w:val="1"/>
          <w:color w:val="auto"/>
        </w:rPr>
      </w:pPr>
    </w:p>
    <w:p>
      <w:pPr>
        <w:ind w:left="460" w:right="100" w:hanging="452"/>
        <w:spacing w:after="0" w:line="277" w:lineRule="auto"/>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vested restricted stock units is February 22, 2014 for 60,000 restricted stock units and February 22, 2016 for 89,650 restricted stock units.</w:t>
      </w:r>
    </w:p>
    <w:p>
      <w:pPr>
        <w:spacing w:after="0" w:line="21" w:lineRule="exact"/>
        <w:rPr>
          <w:rFonts w:ascii="Arial" w:cs="Arial" w:eastAsia="Arial" w:hAnsi="Arial"/>
          <w:sz w:val="18"/>
          <w:szCs w:val="18"/>
          <w:i w:val="1"/>
          <w:iCs w:val="1"/>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any vested restricted stock units is February 22, 2016.</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distribution date of vested restricted stock units is February 22, 2014.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compensation expense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vMerge w:val="restart"/>
          </w:tcPr>
          <w:p>
            <w:pPr>
              <w:jc w:val="right"/>
              <w:ind w:right="65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INFORMATION</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We have two reportable business segments: United States and Other. The United States segment is our dominant segment and primarily consists of the United States automobile financing business. The Other segment consists of businesses in liquidation.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Selected segment information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14"/>
                <w:szCs w:val="14"/>
                <w:color w:val="auto"/>
              </w:rPr>
            </w:pPr>
          </w:p>
        </w:tc>
        <w:tc>
          <w:tcPr>
            <w:tcW w:w="2160" w:type="dxa"/>
            <w:vAlign w:val="bottom"/>
            <w:gridSpan w:val="11"/>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10"/>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48"/>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111,778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92,375</w:t>
            </w:r>
          </w:p>
        </w:tc>
        <w:tc>
          <w:tcPr>
            <w:tcW w:w="80" w:type="dxa"/>
            <w:vAlign w:val="bottom"/>
          </w:tcPr>
          <w:p>
            <w:pPr>
              <w:spacing w:after="0"/>
              <w:rPr>
                <w:sz w:val="18"/>
                <w:szCs w:val="18"/>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$ 215,039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$ 180,261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111,779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$ 92,373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$ 215,041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$ 180,261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66,668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56,994</w:t>
            </w:r>
          </w:p>
        </w:tc>
        <w:tc>
          <w:tcPr>
            <w:tcW w:w="80" w:type="dxa"/>
            <w:vAlign w:val="bottom"/>
          </w:tcPr>
          <w:p>
            <w:pPr>
              <w:spacing w:after="0"/>
              <w:rPr>
                <w:sz w:val="18"/>
                <w:szCs w:val="18"/>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$ 119,138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$ 102,964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Total income from continuing operations before provision for income taxes</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66,636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$ 57,074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$ 119,093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$ 103,029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9"/>
          </w:tcPr>
          <w:p>
            <w:pPr>
              <w:jc w:val="right"/>
              <w:ind w:right="800"/>
              <w:spacing w:after="0" w:line="142" w:lineRule="exact"/>
              <w:rPr>
                <w:sz w:val="20"/>
                <w:szCs w:val="20"/>
                <w:color w:val="auto"/>
              </w:rPr>
            </w:pPr>
            <w:r>
              <w:rPr>
                <w:rFonts w:ascii="Arial" w:cs="Arial" w:eastAsia="Arial" w:hAnsi="Arial"/>
                <w:sz w:val="14"/>
                <w:szCs w:val="14"/>
                <w:b w:val="1"/>
                <w:bCs w:val="1"/>
                <w:color w:val="auto"/>
              </w:rPr>
              <w:t>June 30, 2010</w:t>
            </w:r>
          </w:p>
        </w:tc>
        <w:tc>
          <w:tcPr>
            <w:tcW w:w="12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6"/>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1,254,755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1,175,550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79"/>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1,254,818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1,176,236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COMPREHENSIVE INCOME</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Our comprehensive income information is set forth below:</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10"/>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2009</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49,040</w:t>
            </w:r>
          </w:p>
        </w:tc>
        <w:tc>
          <w:tcPr>
            <w:tcW w:w="62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$ 36,185</w:t>
            </w:r>
          </w:p>
        </w:tc>
        <w:tc>
          <w:tcPr>
            <w:tcW w:w="13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$ 81,050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$ 65,186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Unrealized gain on securities available for sale,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380" w:type="dxa"/>
            <w:vAlign w:val="bottom"/>
            <w:gridSpan w:val="6"/>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interest rate swap,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521</w:t>
            </w:r>
          </w:p>
        </w:tc>
        <w:tc>
          <w:tcPr>
            <w:tcW w:w="13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49,514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$ 36,721</w:t>
            </w:r>
          </w:p>
        </w:tc>
        <w:tc>
          <w:tcPr>
            <w:tcW w:w="8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$ 81,828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$ 66,107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third quarter of 2010, we increased the amount of the revolving secured line of credit facility from $150.0 million to $170.0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Tender Offer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second quarter of 2010, we commenced a tender offer to purchase up to 4.0 million shares of our outstanding common stock at a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$50.00 per share. Upon expiration of the tender offer during the third quarter of 2010, we repurchased 4.0 million common shares at a cost of $200.0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included approximately 2.9 million shares beneficially owned by Donald A. Foss, our Chairman of the Board, and approximately 0.8 million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beneficially owned by the trustee of certain grantor retained annuity trusts created by Mr. Foss. We financed the purchase of our securities in the tender offer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borrowing under our $170.0 million revolving secured line of credit facility and $325.0 million revolving secured warehouse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included in Item 8 — Financial Statements and Supplementary Data, of our 2009 Annual Report on Form 10-K, as well as Item 1- Consolidated Financial Statements, of this Form 10-Q, which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We provide auto loans to consumers regardless of their credit history. Our product is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121"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Critical success factors include our ability to access capital on acceptable terms, accurately forecast Consumer Loan performance, and maintain or grow Consumer Loan volume at the level and on the terms that we anticipate, with an objective to maximize economic profit. Economic profit is a financial metric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Capital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strategy for accessing capital on acceptable terms needed to maintain and grow the business is to: (1) maintain consistent financial performance;</w:t>
      </w:r>
    </w:p>
    <w:p>
      <w:pPr>
        <w:spacing w:after="0" w:line="46" w:lineRule="exact"/>
        <w:rPr>
          <w:sz w:val="20"/>
          <w:szCs w:val="20"/>
          <w:color w:val="auto"/>
        </w:rPr>
      </w:pPr>
    </w:p>
    <w:p>
      <w:pPr>
        <w:jc w:val="both"/>
        <w:ind w:right="20"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 modest financial leverage; and (3) maintain multiple funding sources. Our funded debt to equity ratio is 0.8:1 at June 30, 2010. As of June 30, 2010, our pro forma funded debt to equity ratio was 1.8:1 after completion of our tender offer on July 19, 2010. We currently utilize the following forms of debt financing: (1) a revolving secured line of credit with a commercial bank syndicate; (2) revolving secured warehouse facilities with institutional investors;</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Term ABS financing with qualified institutional investors; and (4) Senior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Performance</w:t>
      </w:r>
    </w:p>
    <w:p>
      <w:pPr>
        <w:spacing w:after="0" w:line="121" w:lineRule="exact"/>
        <w:rPr>
          <w:sz w:val="20"/>
          <w:szCs w:val="20"/>
          <w:color w:val="auto"/>
        </w:rPr>
      </w:pPr>
    </w:p>
    <w:p>
      <w:pPr>
        <w:ind w:right="240" w:firstLine="215"/>
        <w:spacing w:after="0" w:line="286" w:lineRule="auto"/>
        <w:rPr>
          <w:sz w:val="20"/>
          <w:szCs w:val="20"/>
          <w:color w:val="auto"/>
        </w:rPr>
      </w:pPr>
      <w:r>
        <w:rPr>
          <w:rFonts w:ascii="Arial" w:cs="Arial" w:eastAsia="Arial" w:hAnsi="Arial"/>
          <w:sz w:val="17"/>
          <w:szCs w:val="17"/>
          <w:color w:val="auto"/>
        </w:rPr>
        <w:t>At the time the Consumer Loan is submitted to us for assignment, we forecast future expected cash flows from the Consumer Loan. Based on these forecasts, an advance or one-time payment is made to the related Dealer-Partner at a price designed to achieve an acceptable return on capital. If Consumer Loan performance equals or exceeds our original expectation, it is likely our target return on capital will be achieved.</w:t>
      </w:r>
    </w:p>
    <w:p>
      <w:pPr>
        <w:spacing w:after="0" w:line="5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June 30, 2010, with the forecasts as of March 31, 2010, as of December 31, 2009,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Forecasted Collection Percentage as of</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Variance in Forecasted Collection Percentage from</w:t>
            </w:r>
          </w:p>
        </w:tc>
        <w:tc>
          <w:tcPr>
            <w:tcW w:w="0" w:type="dxa"/>
            <w:vAlign w:val="bottom"/>
          </w:tcPr>
          <w:p>
            <w:pPr>
              <w:spacing w:after="0"/>
              <w:rPr>
                <w:sz w:val="1"/>
                <w:szCs w:val="1"/>
                <w:color w:val="auto"/>
              </w:rPr>
            </w:pPr>
          </w:p>
        </w:tc>
      </w:tr>
      <w:tr>
        <w:trPr>
          <w:trHeight w:val="119"/>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Consumer Loan Assignment Year</w:t>
            </w:r>
          </w:p>
        </w:tc>
        <w:tc>
          <w:tcPr>
            <w:tcW w:w="98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0"/>
                <w:szCs w:val="10"/>
                <w:color w:val="auto"/>
              </w:rPr>
            </w:pPr>
          </w:p>
        </w:tc>
        <w:tc>
          <w:tcPr>
            <w:tcW w:w="1200" w:type="dxa"/>
            <w:vAlign w:val="bottom"/>
          </w:tcPr>
          <w:p>
            <w:pPr>
              <w:jc w:val="right"/>
              <w:ind w:right="204"/>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32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1060" w:type="dxa"/>
            <w:vAlign w:val="bottom"/>
          </w:tcPr>
          <w:p>
            <w:pPr>
              <w:jc w:val="right"/>
              <w:ind w:right="264"/>
              <w:spacing w:after="0" w:line="119" w:lineRule="exact"/>
              <w:rPr>
                <w:sz w:val="20"/>
                <w:szCs w:val="20"/>
                <w:color w:val="auto"/>
              </w:rPr>
            </w:pPr>
            <w:r>
              <w:rPr>
                <w:rFonts w:ascii="Arial" w:cs="Arial" w:eastAsia="Arial" w:hAnsi="Arial"/>
                <w:sz w:val="13"/>
                <w:szCs w:val="13"/>
                <w:b w:val="1"/>
                <w:bCs w:val="1"/>
                <w:color w:val="auto"/>
              </w:rPr>
              <w:t>Initial</w:t>
            </w:r>
          </w:p>
        </w:tc>
        <w:tc>
          <w:tcPr>
            <w:tcW w:w="80" w:type="dxa"/>
            <w:vAlign w:val="bottom"/>
          </w:tcPr>
          <w:p>
            <w:pPr>
              <w:spacing w:after="0"/>
              <w:rPr>
                <w:sz w:val="10"/>
                <w:szCs w:val="10"/>
                <w:color w:val="auto"/>
              </w:rPr>
            </w:pPr>
          </w:p>
        </w:tc>
        <w:tc>
          <w:tcPr>
            <w:tcW w:w="1380" w:type="dxa"/>
            <w:vAlign w:val="bottom"/>
          </w:tcPr>
          <w:p>
            <w:pPr>
              <w:jc w:val="right"/>
              <w:ind w:right="304"/>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1400" w:type="dxa"/>
            <w:vAlign w:val="bottom"/>
          </w:tcPr>
          <w:p>
            <w:pPr>
              <w:jc w:val="right"/>
              <w:ind w:right="424"/>
              <w:spacing w:after="0" w:line="119" w:lineRule="exact"/>
              <w:rPr>
                <w:sz w:val="20"/>
                <w:szCs w:val="20"/>
                <w:color w:val="auto"/>
              </w:rPr>
            </w:pPr>
            <w:r>
              <w:rPr>
                <w:rFonts w:ascii="Arial" w:cs="Arial" w:eastAsia="Arial" w:hAnsi="Arial"/>
                <w:sz w:val="13"/>
                <w:szCs w:val="13"/>
                <w:b w:val="1"/>
                <w:bCs w:val="1"/>
                <w:color w:val="auto"/>
              </w:rPr>
              <w:t>Initial</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280" w:type="dxa"/>
            <w:vAlign w:val="bottom"/>
            <w:gridSpan w:val="2"/>
          </w:tcPr>
          <w:p>
            <w:pPr>
              <w:jc w:val="right"/>
              <w:ind w:right="384"/>
              <w:spacing w:after="0"/>
              <w:rPr>
                <w:sz w:val="20"/>
                <w:szCs w:val="20"/>
                <w:color w:val="auto"/>
              </w:rPr>
            </w:pPr>
            <w:r>
              <w:rPr>
                <w:rFonts w:ascii="Arial" w:cs="Arial" w:eastAsia="Arial" w:hAnsi="Arial"/>
                <w:sz w:val="14"/>
                <w:szCs w:val="14"/>
                <w:b w:val="1"/>
                <w:bCs w:val="1"/>
                <w:color w:val="auto"/>
              </w:rPr>
              <w:t>2010</w:t>
            </w:r>
          </w:p>
        </w:tc>
        <w:tc>
          <w:tcPr>
            <w:tcW w:w="1400" w:type="dxa"/>
            <w:vAlign w:val="bottom"/>
            <w:gridSpan w:val="2"/>
          </w:tcPr>
          <w:p>
            <w:pPr>
              <w:jc w:val="right"/>
              <w:ind w:right="43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060" w:type="dxa"/>
            <w:vAlign w:val="bottom"/>
          </w:tcPr>
          <w:p>
            <w:pPr>
              <w:jc w:val="right"/>
              <w:ind w:right="184"/>
              <w:spacing w:after="0"/>
              <w:rPr>
                <w:sz w:val="20"/>
                <w:szCs w:val="20"/>
                <w:color w:val="auto"/>
              </w:rPr>
            </w:pPr>
            <w:r>
              <w:rPr>
                <w:rFonts w:ascii="Arial" w:cs="Arial" w:eastAsia="Arial" w:hAnsi="Arial"/>
                <w:sz w:val="14"/>
                <w:szCs w:val="14"/>
                <w:b w:val="1"/>
                <w:bCs w:val="1"/>
                <w:color w:val="auto"/>
              </w:rPr>
              <w:t>Forecast</w:t>
            </w:r>
          </w:p>
        </w:tc>
        <w:tc>
          <w:tcPr>
            <w:tcW w:w="1460" w:type="dxa"/>
            <w:vAlign w:val="bottom"/>
            <w:gridSpan w:val="2"/>
          </w:tcPr>
          <w:p>
            <w:pPr>
              <w:jc w:val="right"/>
              <w:ind w:right="464"/>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8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70.5%</w:t>
            </w:r>
          </w:p>
        </w:tc>
        <w:tc>
          <w:tcPr>
            <w:tcW w:w="1280" w:type="dxa"/>
            <w:vAlign w:val="bottom"/>
            <w:gridSpan w:val="2"/>
          </w:tcPr>
          <w:p>
            <w:pPr>
              <w:jc w:val="right"/>
              <w:ind w:right="224"/>
              <w:spacing w:after="0"/>
              <w:rPr>
                <w:sz w:val="20"/>
                <w:szCs w:val="20"/>
                <w:color w:val="auto"/>
              </w:rPr>
            </w:pPr>
            <w:r>
              <w:rPr>
                <w:rFonts w:ascii="Arial" w:cs="Arial" w:eastAsia="Arial" w:hAnsi="Arial"/>
                <w:sz w:val="18"/>
                <w:szCs w:val="18"/>
                <w:color w:val="auto"/>
              </w:rPr>
              <w:t>70.5%</w:t>
            </w:r>
          </w:p>
        </w:tc>
        <w:tc>
          <w:tcPr>
            <w:tcW w:w="1400" w:type="dxa"/>
            <w:vAlign w:val="bottom"/>
            <w:gridSpan w:val="2"/>
          </w:tcPr>
          <w:p>
            <w:pPr>
              <w:jc w:val="right"/>
              <w:ind w:right="318"/>
              <w:spacing w:after="0"/>
              <w:rPr>
                <w:sz w:val="20"/>
                <w:szCs w:val="20"/>
                <w:color w:val="auto"/>
              </w:rPr>
            </w:pPr>
            <w:r>
              <w:rPr>
                <w:rFonts w:ascii="Arial" w:cs="Arial" w:eastAsia="Arial" w:hAnsi="Arial"/>
                <w:sz w:val="18"/>
                <w:szCs w:val="18"/>
                <w:color w:val="auto"/>
              </w:rPr>
              <w:t>70.4%</w:t>
            </w:r>
          </w:p>
        </w:tc>
        <w:tc>
          <w:tcPr>
            <w:tcW w:w="1140" w:type="dxa"/>
            <w:vAlign w:val="bottom"/>
            <w:gridSpan w:val="2"/>
          </w:tcPr>
          <w:p>
            <w:pPr>
              <w:jc w:val="right"/>
              <w:ind w:right="184"/>
              <w:spacing w:after="0"/>
              <w:rPr>
                <w:sz w:val="20"/>
                <w:szCs w:val="20"/>
                <w:color w:val="auto"/>
              </w:rPr>
            </w:pPr>
            <w:r>
              <w:rPr>
                <w:rFonts w:ascii="Arial" w:cs="Arial" w:eastAsia="Arial" w:hAnsi="Arial"/>
                <w:sz w:val="18"/>
                <w:szCs w:val="18"/>
                <w:color w:val="auto"/>
              </w:rPr>
              <w:t>67.9%</w:t>
            </w:r>
          </w:p>
        </w:tc>
        <w:tc>
          <w:tcPr>
            <w:tcW w:w="1460" w:type="dxa"/>
            <w:vAlign w:val="bottom"/>
            <w:gridSpan w:val="2"/>
          </w:tcPr>
          <w:p>
            <w:pPr>
              <w:jc w:val="right"/>
              <w:ind w:right="364"/>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358"/>
              <w:spacing w:after="0"/>
              <w:rPr>
                <w:sz w:val="20"/>
                <w:szCs w:val="20"/>
                <w:color w:val="auto"/>
              </w:rPr>
            </w:pPr>
            <w:r>
              <w:rPr>
                <w:rFonts w:ascii="Arial" w:cs="Arial" w:eastAsia="Arial" w:hAnsi="Arial"/>
                <w:sz w:val="18"/>
                <w:szCs w:val="18"/>
                <w:color w:val="auto"/>
              </w:rPr>
              <w:t>0.1%</w:t>
            </w:r>
          </w:p>
        </w:tc>
        <w:tc>
          <w:tcPr>
            <w:tcW w:w="1500" w:type="dxa"/>
            <w:vAlign w:val="bottom"/>
            <w:gridSpan w:val="2"/>
          </w:tcPr>
          <w:p>
            <w:pPr>
              <w:jc w:val="right"/>
              <w:ind w:right="36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73.7%</w:t>
            </w:r>
          </w:p>
        </w:tc>
        <w:tc>
          <w:tcPr>
            <w:tcW w:w="12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73.7%</w:t>
            </w:r>
          </w:p>
        </w:tc>
        <w:tc>
          <w:tcPr>
            <w:tcW w:w="14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73.7%</w:t>
            </w:r>
          </w:p>
        </w:tc>
        <w:tc>
          <w:tcPr>
            <w:tcW w:w="114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72.0%</w:t>
            </w:r>
          </w:p>
        </w:tc>
        <w:tc>
          <w:tcPr>
            <w:tcW w:w="14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0.0%</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0.0%</w:t>
            </w:r>
          </w:p>
        </w:tc>
        <w:tc>
          <w:tcPr>
            <w:tcW w:w="1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8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73.1%</w:t>
            </w:r>
          </w:p>
        </w:tc>
        <w:tc>
          <w:tcPr>
            <w:tcW w:w="1280" w:type="dxa"/>
            <w:vAlign w:val="bottom"/>
            <w:gridSpan w:val="2"/>
          </w:tcPr>
          <w:p>
            <w:pPr>
              <w:jc w:val="right"/>
              <w:ind w:right="224"/>
              <w:spacing w:after="0"/>
              <w:rPr>
                <w:sz w:val="20"/>
                <w:szCs w:val="20"/>
                <w:color w:val="auto"/>
              </w:rPr>
            </w:pPr>
            <w:r>
              <w:rPr>
                <w:rFonts w:ascii="Arial" w:cs="Arial" w:eastAsia="Arial" w:hAnsi="Arial"/>
                <w:sz w:val="18"/>
                <w:szCs w:val="18"/>
                <w:color w:val="auto"/>
              </w:rPr>
              <w:t>73.1%</w:t>
            </w:r>
          </w:p>
        </w:tc>
        <w:tc>
          <w:tcPr>
            <w:tcW w:w="1400" w:type="dxa"/>
            <w:vAlign w:val="bottom"/>
            <w:gridSpan w:val="2"/>
          </w:tcPr>
          <w:p>
            <w:pPr>
              <w:jc w:val="right"/>
              <w:ind w:right="318"/>
              <w:spacing w:after="0"/>
              <w:rPr>
                <w:sz w:val="20"/>
                <w:szCs w:val="20"/>
                <w:color w:val="auto"/>
              </w:rPr>
            </w:pPr>
            <w:r>
              <w:rPr>
                <w:rFonts w:ascii="Arial" w:cs="Arial" w:eastAsia="Arial" w:hAnsi="Arial"/>
                <w:sz w:val="18"/>
                <w:szCs w:val="18"/>
                <w:color w:val="auto"/>
              </w:rPr>
              <w:t>73.1%</w:t>
            </w:r>
          </w:p>
        </w:tc>
        <w:tc>
          <w:tcPr>
            <w:tcW w:w="1140" w:type="dxa"/>
            <w:vAlign w:val="bottom"/>
            <w:gridSpan w:val="2"/>
          </w:tcPr>
          <w:p>
            <w:pPr>
              <w:jc w:val="right"/>
              <w:ind w:right="184"/>
              <w:spacing w:after="0"/>
              <w:rPr>
                <w:sz w:val="20"/>
                <w:szCs w:val="20"/>
                <w:color w:val="auto"/>
              </w:rPr>
            </w:pPr>
            <w:r>
              <w:rPr>
                <w:rFonts w:ascii="Arial" w:cs="Arial" w:eastAsia="Arial" w:hAnsi="Arial"/>
                <w:sz w:val="18"/>
                <w:szCs w:val="18"/>
                <w:color w:val="auto"/>
              </w:rPr>
              <w:t>73.0%</w:t>
            </w:r>
          </w:p>
        </w:tc>
        <w:tc>
          <w:tcPr>
            <w:tcW w:w="1460" w:type="dxa"/>
            <w:vAlign w:val="bottom"/>
            <w:gridSpan w:val="2"/>
          </w:tcPr>
          <w:p>
            <w:pPr>
              <w:jc w:val="right"/>
              <w:ind w:right="364"/>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358"/>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36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73.8%</w:t>
            </w:r>
          </w:p>
        </w:tc>
        <w:tc>
          <w:tcPr>
            <w:tcW w:w="12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73.8%</w:t>
            </w:r>
          </w:p>
        </w:tc>
        <w:tc>
          <w:tcPr>
            <w:tcW w:w="14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73.7%</w:t>
            </w:r>
          </w:p>
        </w:tc>
        <w:tc>
          <w:tcPr>
            <w:tcW w:w="114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74.0%</w:t>
            </w:r>
          </w:p>
        </w:tc>
        <w:tc>
          <w:tcPr>
            <w:tcW w:w="14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0.0%</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0.1%</w:t>
            </w:r>
          </w:p>
        </w:tc>
        <w:tc>
          <w:tcPr>
            <w:tcW w:w="1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8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70.2%</w:t>
            </w:r>
          </w:p>
        </w:tc>
        <w:tc>
          <w:tcPr>
            <w:tcW w:w="1280" w:type="dxa"/>
            <w:vAlign w:val="bottom"/>
            <w:gridSpan w:val="2"/>
          </w:tcPr>
          <w:p>
            <w:pPr>
              <w:jc w:val="right"/>
              <w:ind w:right="224"/>
              <w:spacing w:after="0"/>
              <w:rPr>
                <w:sz w:val="20"/>
                <w:szCs w:val="20"/>
                <w:color w:val="auto"/>
              </w:rPr>
            </w:pPr>
            <w:r>
              <w:rPr>
                <w:rFonts w:ascii="Arial" w:cs="Arial" w:eastAsia="Arial" w:hAnsi="Arial"/>
                <w:sz w:val="18"/>
                <w:szCs w:val="18"/>
                <w:color w:val="auto"/>
              </w:rPr>
              <w:t>70.3%</w:t>
            </w:r>
          </w:p>
        </w:tc>
        <w:tc>
          <w:tcPr>
            <w:tcW w:w="1400" w:type="dxa"/>
            <w:vAlign w:val="bottom"/>
            <w:gridSpan w:val="2"/>
          </w:tcPr>
          <w:p>
            <w:pPr>
              <w:jc w:val="right"/>
              <w:ind w:right="318"/>
              <w:spacing w:after="0"/>
              <w:rPr>
                <w:sz w:val="20"/>
                <w:szCs w:val="20"/>
                <w:color w:val="auto"/>
              </w:rPr>
            </w:pPr>
            <w:r>
              <w:rPr>
                <w:rFonts w:ascii="Arial" w:cs="Arial" w:eastAsia="Arial" w:hAnsi="Arial"/>
                <w:sz w:val="18"/>
                <w:szCs w:val="18"/>
                <w:color w:val="auto"/>
              </w:rPr>
              <w:t>70.3%</w:t>
            </w:r>
          </w:p>
        </w:tc>
        <w:tc>
          <w:tcPr>
            <w:tcW w:w="1140" w:type="dxa"/>
            <w:vAlign w:val="bottom"/>
            <w:gridSpan w:val="2"/>
          </w:tcPr>
          <w:p>
            <w:pPr>
              <w:jc w:val="right"/>
              <w:ind w:right="184"/>
              <w:spacing w:after="0"/>
              <w:rPr>
                <w:sz w:val="20"/>
                <w:szCs w:val="20"/>
                <w:color w:val="auto"/>
              </w:rPr>
            </w:pPr>
            <w:r>
              <w:rPr>
                <w:rFonts w:ascii="Arial" w:cs="Arial" w:eastAsia="Arial" w:hAnsi="Arial"/>
                <w:sz w:val="18"/>
                <w:szCs w:val="18"/>
                <w:color w:val="auto"/>
              </w:rPr>
              <w:t>71.4%</w:t>
            </w:r>
          </w:p>
        </w:tc>
        <w:tc>
          <w:tcPr>
            <w:tcW w:w="1460" w:type="dxa"/>
            <w:vAlign w:val="bottom"/>
            <w:gridSpan w:val="2"/>
          </w:tcPr>
          <w:p>
            <w:pPr>
              <w:jc w:val="right"/>
              <w:ind w:right="364"/>
              <w:spacing w:after="0"/>
              <w:rPr>
                <w:sz w:val="20"/>
                <w:szCs w:val="20"/>
                <w:color w:val="auto"/>
              </w:rPr>
            </w:pPr>
            <w:r>
              <w:rPr>
                <w:rFonts w:ascii="Arial" w:cs="Arial" w:eastAsia="Arial" w:hAnsi="Arial"/>
                <w:sz w:val="18"/>
                <w:szCs w:val="18"/>
                <w:color w:val="auto"/>
              </w:rPr>
              <w:t>-0.1%</w:t>
            </w:r>
          </w:p>
        </w:tc>
        <w:tc>
          <w:tcPr>
            <w:tcW w:w="1500" w:type="dxa"/>
            <w:vAlign w:val="bottom"/>
            <w:gridSpan w:val="2"/>
          </w:tcPr>
          <w:p>
            <w:pPr>
              <w:jc w:val="right"/>
              <w:ind w:right="358"/>
              <w:spacing w:after="0"/>
              <w:rPr>
                <w:sz w:val="20"/>
                <w:szCs w:val="20"/>
                <w:color w:val="auto"/>
              </w:rPr>
            </w:pPr>
            <w:r>
              <w:rPr>
                <w:rFonts w:ascii="Arial" w:cs="Arial" w:eastAsia="Arial" w:hAnsi="Arial"/>
                <w:sz w:val="18"/>
                <w:szCs w:val="18"/>
                <w:color w:val="auto"/>
              </w:rPr>
              <w:t>-0.1%</w:t>
            </w:r>
          </w:p>
        </w:tc>
        <w:tc>
          <w:tcPr>
            <w:tcW w:w="1500" w:type="dxa"/>
            <w:vAlign w:val="bottom"/>
            <w:gridSpan w:val="2"/>
          </w:tcPr>
          <w:p>
            <w:pPr>
              <w:jc w:val="right"/>
              <w:ind w:right="36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68.0%</w:t>
            </w:r>
          </w:p>
        </w:tc>
        <w:tc>
          <w:tcPr>
            <w:tcW w:w="12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68.1%</w:t>
            </w:r>
          </w:p>
        </w:tc>
        <w:tc>
          <w:tcPr>
            <w:tcW w:w="14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68.3%</w:t>
            </w:r>
          </w:p>
        </w:tc>
        <w:tc>
          <w:tcPr>
            <w:tcW w:w="114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70.7%</w:t>
            </w:r>
          </w:p>
        </w:tc>
        <w:tc>
          <w:tcPr>
            <w:tcW w:w="14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-0.1%</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-0.3%</w:t>
            </w:r>
          </w:p>
        </w:tc>
        <w:tc>
          <w:tcPr>
            <w:tcW w:w="1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8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69.8%</w:t>
            </w:r>
          </w:p>
        </w:tc>
        <w:tc>
          <w:tcPr>
            <w:tcW w:w="1280" w:type="dxa"/>
            <w:vAlign w:val="bottom"/>
            <w:gridSpan w:val="2"/>
          </w:tcPr>
          <w:p>
            <w:pPr>
              <w:jc w:val="right"/>
              <w:ind w:right="224"/>
              <w:spacing w:after="0"/>
              <w:rPr>
                <w:sz w:val="20"/>
                <w:szCs w:val="20"/>
                <w:color w:val="auto"/>
              </w:rPr>
            </w:pPr>
            <w:r>
              <w:rPr>
                <w:rFonts w:ascii="Arial" w:cs="Arial" w:eastAsia="Arial" w:hAnsi="Arial"/>
                <w:sz w:val="18"/>
                <w:szCs w:val="18"/>
                <w:color w:val="auto"/>
              </w:rPr>
              <w:t>69.8%</w:t>
            </w:r>
          </w:p>
        </w:tc>
        <w:tc>
          <w:tcPr>
            <w:tcW w:w="1400" w:type="dxa"/>
            <w:vAlign w:val="bottom"/>
            <w:gridSpan w:val="2"/>
          </w:tcPr>
          <w:p>
            <w:pPr>
              <w:jc w:val="right"/>
              <w:ind w:right="318"/>
              <w:spacing w:after="0"/>
              <w:rPr>
                <w:sz w:val="20"/>
                <w:szCs w:val="20"/>
                <w:color w:val="auto"/>
              </w:rPr>
            </w:pPr>
            <w:r>
              <w:rPr>
                <w:rFonts w:ascii="Arial" w:cs="Arial" w:eastAsia="Arial" w:hAnsi="Arial"/>
                <w:sz w:val="18"/>
                <w:szCs w:val="18"/>
                <w:color w:val="auto"/>
              </w:rPr>
              <w:t>70.0%</w:t>
            </w:r>
          </w:p>
        </w:tc>
        <w:tc>
          <w:tcPr>
            <w:tcW w:w="1140" w:type="dxa"/>
            <w:vAlign w:val="bottom"/>
            <w:gridSpan w:val="2"/>
          </w:tcPr>
          <w:p>
            <w:pPr>
              <w:jc w:val="right"/>
              <w:ind w:right="184"/>
              <w:spacing w:after="0"/>
              <w:rPr>
                <w:sz w:val="20"/>
                <w:szCs w:val="20"/>
                <w:color w:val="auto"/>
              </w:rPr>
            </w:pPr>
            <w:r>
              <w:rPr>
                <w:rFonts w:ascii="Arial" w:cs="Arial" w:eastAsia="Arial" w:hAnsi="Arial"/>
                <w:sz w:val="18"/>
                <w:szCs w:val="18"/>
                <w:color w:val="auto"/>
              </w:rPr>
              <w:t>69.7%</w:t>
            </w:r>
          </w:p>
        </w:tc>
        <w:tc>
          <w:tcPr>
            <w:tcW w:w="1460" w:type="dxa"/>
            <w:vAlign w:val="bottom"/>
            <w:gridSpan w:val="2"/>
          </w:tcPr>
          <w:p>
            <w:pPr>
              <w:jc w:val="right"/>
              <w:ind w:right="364"/>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358"/>
              <w:spacing w:after="0"/>
              <w:rPr>
                <w:sz w:val="20"/>
                <w:szCs w:val="20"/>
                <w:color w:val="auto"/>
              </w:rPr>
            </w:pPr>
            <w:r>
              <w:rPr>
                <w:rFonts w:ascii="Arial" w:cs="Arial" w:eastAsia="Arial" w:hAnsi="Arial"/>
                <w:sz w:val="18"/>
                <w:szCs w:val="18"/>
                <w:color w:val="auto"/>
              </w:rPr>
              <w:t>-0.2%</w:t>
            </w:r>
          </w:p>
        </w:tc>
        <w:tc>
          <w:tcPr>
            <w:tcW w:w="1500" w:type="dxa"/>
            <w:vAlign w:val="bottom"/>
            <w:gridSpan w:val="2"/>
          </w:tcPr>
          <w:p>
            <w:pPr>
              <w:jc w:val="right"/>
              <w:ind w:right="36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77.2%</w:t>
            </w:r>
          </w:p>
        </w:tc>
        <w:tc>
          <w:tcPr>
            <w:tcW w:w="12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76.4%</w:t>
            </w:r>
          </w:p>
        </w:tc>
        <w:tc>
          <w:tcPr>
            <w:tcW w:w="14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75.6%</w:t>
            </w:r>
          </w:p>
        </w:tc>
        <w:tc>
          <w:tcPr>
            <w:tcW w:w="114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71.9%</w:t>
            </w:r>
          </w:p>
        </w:tc>
        <w:tc>
          <w:tcPr>
            <w:tcW w:w="14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0.8%</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1.6%</w:t>
            </w:r>
          </w:p>
        </w:tc>
        <w:tc>
          <w:tcPr>
            <w:tcW w:w="15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2010 (1)</w:t>
            </w:r>
          </w:p>
        </w:tc>
        <w:tc>
          <w:tcPr>
            <w:tcW w:w="80" w:type="dxa"/>
            <w:vAlign w:val="bottom"/>
          </w:tcPr>
          <w:p>
            <w:pPr>
              <w:spacing w:after="0"/>
              <w:rPr>
                <w:sz w:val="20"/>
                <w:szCs w:val="20"/>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75.3%</w:t>
            </w:r>
          </w:p>
        </w:tc>
        <w:tc>
          <w:tcPr>
            <w:tcW w:w="1280" w:type="dxa"/>
            <w:vAlign w:val="bottom"/>
            <w:gridSpan w:val="2"/>
          </w:tcPr>
          <w:p>
            <w:pPr>
              <w:jc w:val="right"/>
              <w:ind w:right="224"/>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0"/>
                <w:szCs w:val="20"/>
                <w:color w:val="auto"/>
              </w:rPr>
            </w:pPr>
          </w:p>
        </w:tc>
        <w:tc>
          <w:tcPr>
            <w:tcW w:w="1320" w:type="dxa"/>
            <w:vAlign w:val="bottom"/>
          </w:tcPr>
          <w:p>
            <w:pPr>
              <w:jc w:val="right"/>
              <w:ind w:right="45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4"/>
              <w:spacing w:after="0"/>
              <w:rPr>
                <w:sz w:val="20"/>
                <w:szCs w:val="20"/>
                <w:color w:val="auto"/>
              </w:rPr>
            </w:pPr>
            <w:r>
              <w:rPr>
                <w:rFonts w:ascii="Arial" w:cs="Arial" w:eastAsia="Arial" w:hAnsi="Arial"/>
                <w:sz w:val="18"/>
                <w:szCs w:val="18"/>
                <w:color w:val="auto"/>
              </w:rPr>
              <w:t>73.6%</w:t>
            </w:r>
          </w:p>
        </w:tc>
        <w:tc>
          <w:tcPr>
            <w:tcW w:w="1460" w:type="dxa"/>
            <w:vAlign w:val="bottom"/>
            <w:gridSpan w:val="2"/>
          </w:tcPr>
          <w:p>
            <w:pPr>
              <w:jc w:val="right"/>
              <w:ind w:right="36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forecasted collection rate for 2010 Consumer Loans as of June 30, 2010 includes both Consumer Loans that were in our portfolio as of March 31,</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2010 and Consumer Loans assigned during the most recent quarter. The following table provides forecasted collection rates for each of these segments: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Forecasted Collection Percentage as of</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2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2010 Consumer Loan Assignment Period</w:t>
            </w:r>
          </w:p>
        </w:tc>
        <w:tc>
          <w:tcPr>
            <w:tcW w:w="88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June 30,</w:t>
            </w:r>
          </w:p>
        </w:tc>
        <w:tc>
          <w:tcPr>
            <w:tcW w:w="620" w:type="dxa"/>
            <w:vAlign w:val="bottom"/>
          </w:tcPr>
          <w:p>
            <w:pPr>
              <w:spacing w:after="0"/>
              <w:rPr>
                <w:sz w:val="10"/>
                <w:szCs w:val="10"/>
                <w:color w:val="auto"/>
              </w:rPr>
            </w:pPr>
          </w:p>
        </w:tc>
        <w:tc>
          <w:tcPr>
            <w:tcW w:w="104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0"/>
                <w:szCs w:val="10"/>
                <w:color w:val="auto"/>
              </w:rPr>
            </w:pPr>
          </w:p>
        </w:tc>
        <w:tc>
          <w:tcPr>
            <w:tcW w:w="9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66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1, 2010 through March 31, 2010</w:t>
            </w:r>
          </w:p>
        </w:tc>
        <w:tc>
          <w:tcPr>
            <w:tcW w:w="52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76.9%</w:t>
            </w:r>
          </w:p>
        </w:tc>
        <w:tc>
          <w:tcPr>
            <w:tcW w:w="620" w:type="dxa"/>
            <w:vAlign w:val="bottom"/>
          </w:tcPr>
          <w:p>
            <w:pPr>
              <w:spacing w:after="0"/>
              <w:rPr>
                <w:sz w:val="16"/>
                <w:szCs w:val="16"/>
                <w:color w:val="auto"/>
              </w:rPr>
            </w:pPr>
          </w:p>
        </w:tc>
        <w:tc>
          <w:tcPr>
            <w:tcW w:w="1040" w:type="dxa"/>
            <w:vAlign w:val="bottom"/>
            <w:tcBorders>
              <w:top w:val="single" w:sz="8" w:color="auto"/>
            </w:tcBorders>
          </w:tcPr>
          <w:p>
            <w:pPr>
              <w:jc w:val="right"/>
              <w:ind w:right="118"/>
              <w:spacing w:after="0" w:line="195" w:lineRule="exact"/>
              <w:rPr>
                <w:sz w:val="20"/>
                <w:szCs w:val="20"/>
                <w:color w:val="auto"/>
              </w:rPr>
            </w:pPr>
            <w:r>
              <w:rPr>
                <w:rFonts w:ascii="Arial" w:cs="Arial" w:eastAsia="Arial" w:hAnsi="Arial"/>
                <w:sz w:val="18"/>
                <w:szCs w:val="18"/>
                <w:color w:val="auto"/>
              </w:rPr>
              <w:t>73.4%</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96"/>
              <w:spacing w:after="0" w:line="195"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April 1, 2010 through June 30, 2010</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73.6%</w:t>
            </w:r>
          </w:p>
        </w:tc>
        <w:tc>
          <w:tcPr>
            <w:tcW w:w="620" w:type="dxa"/>
            <w:vAlign w:val="bottom"/>
          </w:tcPr>
          <w:p>
            <w:pPr>
              <w:spacing w:after="0"/>
              <w:rPr>
                <w:sz w:val="20"/>
                <w:szCs w:val="20"/>
                <w:color w:val="auto"/>
              </w:rPr>
            </w:pPr>
          </w:p>
        </w:tc>
        <w:tc>
          <w:tcPr>
            <w:tcW w:w="104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9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Consumer Loans assigned in 2002 through 2004 and 2008 through 2010 have performed better than our initial expectations while Consumer Loans assigned in 2001 and 2005 through 2007 have performed worse. During the second quarter of 2010, forecasted collection rates increased for Consumer Loans assigned during 2009 and 2010 and were consistent with expectations at the start of the period for other assignment years. During the first six months of 2010, forecasted collection rates increased for Consumer Loans assigned in 2009 and 2010, and decreased modestly for 2007 and 2008 Consumer Loan assignments.</w:t>
      </w:r>
    </w:p>
    <w:p>
      <w:pPr>
        <w:spacing w:after="0" w:line="80" w:lineRule="exact"/>
        <w:rPr>
          <w:sz w:val="20"/>
          <w:szCs w:val="20"/>
          <w:color w:val="auto"/>
        </w:rPr>
      </w:pPr>
    </w:p>
    <w:p>
      <w:pPr>
        <w:ind w:right="160" w:firstLine="215"/>
        <w:spacing w:after="0" w:line="264" w:lineRule="auto"/>
        <w:rPr>
          <w:sz w:val="20"/>
          <w:szCs w:val="20"/>
          <w:color w:val="auto"/>
        </w:rPr>
      </w:pPr>
      <w:r>
        <w:rPr>
          <w:rFonts w:ascii="Arial" w:cs="Arial" w:eastAsia="Arial" w:hAnsi="Arial"/>
          <w:sz w:val="18"/>
          <w:szCs w:val="18"/>
          <w:color w:val="auto"/>
        </w:rPr>
        <w:t>As a result of current economic conditions and uncertainty about future conditions, our forecasts of future collection rates are subject to a greater than normal degree of risk. Our pricing strategy considers this in that we have established advance rates that are intended to allow us to achieve acceptable levels of profitability, even if collection rates are less than we currently forecast.</w:t>
      </w:r>
    </w:p>
    <w:p>
      <w:pPr>
        <w:spacing w:after="0" w:line="73"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June 30, 2010. Payments of Dealer Holdback and accelerated Dealer Holdback are not included in the advance percentage paid to the Dealer-Partner. All amounts, unless otherwise noted, are presented as a percentage of the initial balance of the Consumer Loan (principal + interest). The table includes both Dealer Loans and Purchased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Consumer Loan</w:t>
            </w:r>
          </w:p>
        </w:tc>
        <w:tc>
          <w:tcPr>
            <w:tcW w:w="2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right"/>
              <w:ind w:right="1448"/>
              <w:spacing w:after="0"/>
              <w:rPr>
                <w:sz w:val="20"/>
                <w:szCs w:val="20"/>
                <w:color w:val="auto"/>
              </w:rPr>
            </w:pPr>
            <w:r>
              <w:rPr>
                <w:rFonts w:ascii="Arial" w:cs="Arial" w:eastAsia="Arial" w:hAnsi="Arial"/>
                <w:sz w:val="14"/>
                <w:szCs w:val="14"/>
                <w:b w:val="1"/>
                <w:bCs w:val="1"/>
                <w:color w:val="auto"/>
                <w:w w:val="95"/>
              </w:rPr>
              <w:t>As of June 30, 2010</w:t>
            </w: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gridSpan w:val="2"/>
            <w:vMerge w:val="continue"/>
          </w:tcPr>
          <w:p>
            <w:pPr>
              <w:spacing w:after="0"/>
              <w:rPr>
                <w:sz w:val="10"/>
                <w:szCs w:val="10"/>
                <w:color w:val="auto"/>
              </w:rPr>
            </w:pPr>
          </w:p>
        </w:tc>
        <w:tc>
          <w:tcPr>
            <w:tcW w:w="2060" w:type="dxa"/>
            <w:vAlign w:val="bottom"/>
          </w:tcPr>
          <w:p>
            <w:pPr>
              <w:jc w:val="right"/>
              <w:ind w:right="613"/>
              <w:spacing w:after="0" w:line="119" w:lineRule="exact"/>
              <w:rPr>
                <w:sz w:val="20"/>
                <w:szCs w:val="20"/>
                <w:color w:val="auto"/>
              </w:rPr>
            </w:pPr>
            <w:r>
              <w:rPr>
                <w:rFonts w:ascii="Arial" w:cs="Arial" w:eastAsia="Arial" w:hAnsi="Arial"/>
                <w:sz w:val="13"/>
                <w:szCs w:val="13"/>
                <w:b w:val="1"/>
                <w:bCs w:val="1"/>
                <w:color w:val="auto"/>
              </w:rPr>
              <w:t>Forecasted</w:t>
            </w:r>
          </w:p>
        </w:tc>
        <w:tc>
          <w:tcPr>
            <w:tcW w:w="120" w:type="dxa"/>
            <w:vAlign w:val="bottom"/>
          </w:tcPr>
          <w:p>
            <w:pPr>
              <w:spacing w:after="0"/>
              <w:rPr>
                <w:sz w:val="10"/>
                <w:szCs w:val="10"/>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Advance %</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Spread %</w:t>
            </w:r>
          </w:p>
        </w:tc>
        <w:tc>
          <w:tcPr>
            <w:tcW w:w="100" w:type="dxa"/>
            <w:vAlign w:val="bottom"/>
          </w:tcPr>
          <w:p>
            <w:pPr>
              <w:spacing w:after="0"/>
              <w:rPr>
                <w:sz w:val="10"/>
                <w:szCs w:val="10"/>
                <w:color w:val="auto"/>
              </w:rPr>
            </w:pPr>
          </w:p>
        </w:tc>
        <w:tc>
          <w:tcPr>
            <w:tcW w:w="2080" w:type="dxa"/>
            <w:vAlign w:val="bottom"/>
          </w:tcPr>
          <w:p>
            <w:pPr>
              <w:jc w:val="right"/>
              <w:ind w:right="531"/>
              <w:spacing w:after="0" w:line="119" w:lineRule="exact"/>
              <w:rPr>
                <w:sz w:val="20"/>
                <w:szCs w:val="20"/>
                <w:color w:val="auto"/>
              </w:rPr>
            </w:pPr>
            <w:r>
              <w:rPr>
                <w:rFonts w:ascii="Arial" w:cs="Arial" w:eastAsia="Arial" w:hAnsi="Arial"/>
                <w:sz w:val="13"/>
                <w:szCs w:val="13"/>
                <w:b w:val="1"/>
                <w:bCs w:val="1"/>
                <w:color w:val="auto"/>
              </w:rPr>
              <w:t>% of Forecast</w:t>
            </w: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120" w:type="dxa"/>
            <w:vAlign w:val="bottom"/>
          </w:tcPr>
          <w:p>
            <w:pPr>
              <w:spacing w:after="0"/>
              <w:rPr>
                <w:sz w:val="14"/>
                <w:szCs w:val="14"/>
                <w:color w:val="auto"/>
              </w:rPr>
            </w:pPr>
          </w:p>
        </w:tc>
        <w:tc>
          <w:tcPr>
            <w:tcW w:w="2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Collection %</w:t>
            </w:r>
          </w:p>
        </w:tc>
        <w:tc>
          <w:tcPr>
            <w:tcW w:w="12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Realized (1)</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67.5%</w:t>
            </w:r>
          </w:p>
        </w:tc>
        <w:tc>
          <w:tcPr>
            <w:tcW w:w="1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46.0%</w:t>
            </w:r>
          </w:p>
        </w:tc>
        <w:tc>
          <w:tcPr>
            <w:tcW w:w="27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21.5%</w:t>
            </w:r>
          </w:p>
        </w:tc>
        <w:tc>
          <w:tcPr>
            <w:tcW w:w="218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0" w:type="dxa"/>
            <w:vAlign w:val="bottom"/>
          </w:tcPr>
          <w:p>
            <w:pPr>
              <w:spacing w:after="0"/>
              <w:rPr>
                <w:sz w:val="18"/>
                <w:szCs w:val="18"/>
                <w:color w:val="auto"/>
              </w:rPr>
            </w:pPr>
          </w:p>
        </w:tc>
        <w:tc>
          <w:tcPr>
            <w:tcW w:w="2060" w:type="dxa"/>
            <w:vAlign w:val="bottom"/>
          </w:tcPr>
          <w:p>
            <w:pPr>
              <w:jc w:val="right"/>
              <w:ind w:right="633"/>
              <w:spacing w:after="0"/>
              <w:rPr>
                <w:sz w:val="20"/>
                <w:szCs w:val="20"/>
                <w:color w:val="auto"/>
              </w:rPr>
            </w:pPr>
            <w:r>
              <w:rPr>
                <w:rFonts w:ascii="Arial" w:cs="Arial" w:eastAsia="Arial" w:hAnsi="Arial"/>
                <w:sz w:val="18"/>
                <w:szCs w:val="18"/>
                <w:color w:val="auto"/>
              </w:rPr>
              <w:t>70.5%</w:t>
            </w:r>
          </w:p>
        </w:tc>
        <w:tc>
          <w:tcPr>
            <w:tcW w:w="1580" w:type="dxa"/>
            <w:vAlign w:val="bottom"/>
            <w:gridSpan w:val="2"/>
          </w:tcPr>
          <w:p>
            <w:pPr>
              <w:jc w:val="right"/>
              <w:ind w:right="68"/>
              <w:spacing w:after="0"/>
              <w:rPr>
                <w:sz w:val="20"/>
                <w:szCs w:val="20"/>
                <w:color w:val="auto"/>
              </w:rPr>
            </w:pPr>
            <w:r>
              <w:rPr>
                <w:rFonts w:ascii="Arial" w:cs="Arial" w:eastAsia="Arial" w:hAnsi="Arial"/>
                <w:sz w:val="18"/>
                <w:szCs w:val="18"/>
                <w:color w:val="auto"/>
              </w:rPr>
              <w:t>42.2%</w:t>
            </w:r>
          </w:p>
        </w:tc>
        <w:tc>
          <w:tcPr>
            <w:tcW w:w="2780" w:type="dxa"/>
            <w:vAlign w:val="bottom"/>
            <w:gridSpan w:val="3"/>
          </w:tcPr>
          <w:p>
            <w:pPr>
              <w:jc w:val="right"/>
              <w:ind w:right="668"/>
              <w:spacing w:after="0"/>
              <w:rPr>
                <w:sz w:val="20"/>
                <w:szCs w:val="20"/>
                <w:color w:val="auto"/>
              </w:rPr>
            </w:pPr>
            <w:r>
              <w:rPr>
                <w:rFonts w:ascii="Arial" w:cs="Arial" w:eastAsia="Arial" w:hAnsi="Arial"/>
                <w:sz w:val="18"/>
                <w:szCs w:val="18"/>
                <w:color w:val="auto"/>
              </w:rPr>
              <w:t>28.3%</w:t>
            </w:r>
          </w:p>
        </w:tc>
        <w:tc>
          <w:tcPr>
            <w:tcW w:w="2180" w:type="dxa"/>
            <w:vAlign w:val="bottom"/>
            <w:gridSpan w:val="2"/>
          </w:tcPr>
          <w:p>
            <w:pPr>
              <w:jc w:val="right"/>
              <w:ind w:right="65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73.7%</w:t>
            </w:r>
          </w:p>
        </w:tc>
        <w:tc>
          <w:tcPr>
            <w:tcW w:w="1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43.4%</w:t>
            </w:r>
          </w:p>
        </w:tc>
        <w:tc>
          <w:tcPr>
            <w:tcW w:w="27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30.3%</w:t>
            </w:r>
          </w:p>
        </w:tc>
        <w:tc>
          <w:tcPr>
            <w:tcW w:w="218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18"/>
                <w:szCs w:val="18"/>
                <w:color w:val="auto"/>
              </w:rPr>
            </w:pPr>
          </w:p>
        </w:tc>
        <w:tc>
          <w:tcPr>
            <w:tcW w:w="2060" w:type="dxa"/>
            <w:vAlign w:val="bottom"/>
          </w:tcPr>
          <w:p>
            <w:pPr>
              <w:jc w:val="right"/>
              <w:ind w:right="633"/>
              <w:spacing w:after="0"/>
              <w:rPr>
                <w:sz w:val="20"/>
                <w:szCs w:val="20"/>
                <w:color w:val="auto"/>
              </w:rPr>
            </w:pPr>
            <w:r>
              <w:rPr>
                <w:rFonts w:ascii="Arial" w:cs="Arial" w:eastAsia="Arial" w:hAnsi="Arial"/>
                <w:sz w:val="18"/>
                <w:szCs w:val="18"/>
                <w:color w:val="auto"/>
              </w:rPr>
              <w:t>73.1%</w:t>
            </w:r>
          </w:p>
        </w:tc>
        <w:tc>
          <w:tcPr>
            <w:tcW w:w="1580" w:type="dxa"/>
            <w:vAlign w:val="bottom"/>
            <w:gridSpan w:val="2"/>
          </w:tcPr>
          <w:p>
            <w:pPr>
              <w:jc w:val="right"/>
              <w:ind w:right="68"/>
              <w:spacing w:after="0"/>
              <w:rPr>
                <w:sz w:val="20"/>
                <w:szCs w:val="20"/>
                <w:color w:val="auto"/>
              </w:rPr>
            </w:pPr>
            <w:r>
              <w:rPr>
                <w:rFonts w:ascii="Arial" w:cs="Arial" w:eastAsia="Arial" w:hAnsi="Arial"/>
                <w:sz w:val="18"/>
                <w:szCs w:val="18"/>
                <w:color w:val="auto"/>
              </w:rPr>
              <w:t>44.0%</w:t>
            </w:r>
          </w:p>
        </w:tc>
        <w:tc>
          <w:tcPr>
            <w:tcW w:w="2780" w:type="dxa"/>
            <w:vAlign w:val="bottom"/>
            <w:gridSpan w:val="3"/>
          </w:tcPr>
          <w:p>
            <w:pPr>
              <w:jc w:val="right"/>
              <w:ind w:right="668"/>
              <w:spacing w:after="0"/>
              <w:rPr>
                <w:sz w:val="20"/>
                <w:szCs w:val="20"/>
                <w:color w:val="auto"/>
              </w:rPr>
            </w:pPr>
            <w:r>
              <w:rPr>
                <w:rFonts w:ascii="Arial" w:cs="Arial" w:eastAsia="Arial" w:hAnsi="Arial"/>
                <w:sz w:val="18"/>
                <w:szCs w:val="18"/>
                <w:color w:val="auto"/>
              </w:rPr>
              <w:t>29.1%</w:t>
            </w:r>
          </w:p>
        </w:tc>
        <w:tc>
          <w:tcPr>
            <w:tcW w:w="2180" w:type="dxa"/>
            <w:vAlign w:val="bottom"/>
            <w:gridSpan w:val="2"/>
          </w:tcPr>
          <w:p>
            <w:pPr>
              <w:jc w:val="right"/>
              <w:ind w:right="65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73.8%</w:t>
            </w:r>
          </w:p>
        </w:tc>
        <w:tc>
          <w:tcPr>
            <w:tcW w:w="1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46.9%</w:t>
            </w:r>
          </w:p>
        </w:tc>
        <w:tc>
          <w:tcPr>
            <w:tcW w:w="27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26.9%</w:t>
            </w:r>
          </w:p>
        </w:tc>
        <w:tc>
          <w:tcPr>
            <w:tcW w:w="218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18"/>
                <w:szCs w:val="18"/>
                <w:color w:val="auto"/>
              </w:rPr>
            </w:pPr>
          </w:p>
        </w:tc>
        <w:tc>
          <w:tcPr>
            <w:tcW w:w="2060" w:type="dxa"/>
            <w:vAlign w:val="bottom"/>
          </w:tcPr>
          <w:p>
            <w:pPr>
              <w:jc w:val="right"/>
              <w:ind w:right="633"/>
              <w:spacing w:after="0"/>
              <w:rPr>
                <w:sz w:val="20"/>
                <w:szCs w:val="20"/>
                <w:color w:val="auto"/>
              </w:rPr>
            </w:pPr>
            <w:r>
              <w:rPr>
                <w:rFonts w:ascii="Arial" w:cs="Arial" w:eastAsia="Arial" w:hAnsi="Arial"/>
                <w:sz w:val="18"/>
                <w:szCs w:val="18"/>
                <w:color w:val="auto"/>
              </w:rPr>
              <w:t>70.2%</w:t>
            </w:r>
          </w:p>
        </w:tc>
        <w:tc>
          <w:tcPr>
            <w:tcW w:w="1580" w:type="dxa"/>
            <w:vAlign w:val="bottom"/>
            <w:gridSpan w:val="2"/>
          </w:tcPr>
          <w:p>
            <w:pPr>
              <w:jc w:val="right"/>
              <w:ind w:right="68"/>
              <w:spacing w:after="0"/>
              <w:rPr>
                <w:sz w:val="20"/>
                <w:szCs w:val="20"/>
                <w:color w:val="auto"/>
              </w:rPr>
            </w:pPr>
            <w:r>
              <w:rPr>
                <w:rFonts w:ascii="Arial" w:cs="Arial" w:eastAsia="Arial" w:hAnsi="Arial"/>
                <w:sz w:val="18"/>
                <w:szCs w:val="18"/>
                <w:color w:val="auto"/>
              </w:rPr>
              <w:t>46.6%</w:t>
            </w:r>
          </w:p>
        </w:tc>
        <w:tc>
          <w:tcPr>
            <w:tcW w:w="2780" w:type="dxa"/>
            <w:vAlign w:val="bottom"/>
            <w:gridSpan w:val="3"/>
          </w:tcPr>
          <w:p>
            <w:pPr>
              <w:jc w:val="right"/>
              <w:ind w:right="668"/>
              <w:spacing w:after="0"/>
              <w:rPr>
                <w:sz w:val="20"/>
                <w:szCs w:val="20"/>
                <w:color w:val="auto"/>
              </w:rPr>
            </w:pPr>
            <w:r>
              <w:rPr>
                <w:rFonts w:ascii="Arial" w:cs="Arial" w:eastAsia="Arial" w:hAnsi="Arial"/>
                <w:sz w:val="18"/>
                <w:szCs w:val="18"/>
                <w:color w:val="auto"/>
              </w:rPr>
              <w:t>23.6%</w:t>
            </w:r>
          </w:p>
        </w:tc>
        <w:tc>
          <w:tcPr>
            <w:tcW w:w="2180" w:type="dxa"/>
            <w:vAlign w:val="bottom"/>
            <w:gridSpan w:val="2"/>
          </w:tcPr>
          <w:p>
            <w:pPr>
              <w:jc w:val="right"/>
              <w:ind w:right="65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68.0%</w:t>
            </w:r>
          </w:p>
        </w:tc>
        <w:tc>
          <w:tcPr>
            <w:tcW w:w="1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46.5%</w:t>
            </w:r>
          </w:p>
        </w:tc>
        <w:tc>
          <w:tcPr>
            <w:tcW w:w="27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21.5%</w:t>
            </w:r>
          </w:p>
        </w:tc>
        <w:tc>
          <w:tcPr>
            <w:tcW w:w="218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8"/>
                <w:szCs w:val="18"/>
                <w:color w:val="auto"/>
              </w:rPr>
            </w:pPr>
          </w:p>
        </w:tc>
        <w:tc>
          <w:tcPr>
            <w:tcW w:w="2060" w:type="dxa"/>
            <w:vAlign w:val="bottom"/>
          </w:tcPr>
          <w:p>
            <w:pPr>
              <w:jc w:val="right"/>
              <w:ind w:right="633"/>
              <w:spacing w:after="0"/>
              <w:rPr>
                <w:sz w:val="20"/>
                <w:szCs w:val="20"/>
                <w:color w:val="auto"/>
              </w:rPr>
            </w:pPr>
            <w:r>
              <w:rPr>
                <w:rFonts w:ascii="Arial" w:cs="Arial" w:eastAsia="Arial" w:hAnsi="Arial"/>
                <w:sz w:val="18"/>
                <w:szCs w:val="18"/>
                <w:color w:val="auto"/>
              </w:rPr>
              <w:t>69.8%</w:t>
            </w:r>
          </w:p>
        </w:tc>
        <w:tc>
          <w:tcPr>
            <w:tcW w:w="1580" w:type="dxa"/>
            <w:vAlign w:val="bottom"/>
            <w:gridSpan w:val="2"/>
          </w:tcPr>
          <w:p>
            <w:pPr>
              <w:jc w:val="right"/>
              <w:ind w:right="68"/>
              <w:spacing w:after="0"/>
              <w:rPr>
                <w:sz w:val="20"/>
                <w:szCs w:val="20"/>
                <w:color w:val="auto"/>
              </w:rPr>
            </w:pPr>
            <w:r>
              <w:rPr>
                <w:rFonts w:ascii="Arial" w:cs="Arial" w:eastAsia="Arial" w:hAnsi="Arial"/>
                <w:sz w:val="18"/>
                <w:szCs w:val="18"/>
                <w:color w:val="auto"/>
              </w:rPr>
              <w:t>44.6%</w:t>
            </w:r>
          </w:p>
        </w:tc>
        <w:tc>
          <w:tcPr>
            <w:tcW w:w="2780" w:type="dxa"/>
            <w:vAlign w:val="bottom"/>
            <w:gridSpan w:val="3"/>
          </w:tcPr>
          <w:p>
            <w:pPr>
              <w:jc w:val="right"/>
              <w:ind w:right="668"/>
              <w:spacing w:after="0"/>
              <w:rPr>
                <w:sz w:val="20"/>
                <w:szCs w:val="20"/>
                <w:color w:val="auto"/>
              </w:rPr>
            </w:pPr>
            <w:r>
              <w:rPr>
                <w:rFonts w:ascii="Arial" w:cs="Arial" w:eastAsia="Arial" w:hAnsi="Arial"/>
                <w:sz w:val="18"/>
                <w:szCs w:val="18"/>
                <w:color w:val="auto"/>
              </w:rPr>
              <w:t>25.2%</w:t>
            </w:r>
          </w:p>
        </w:tc>
        <w:tc>
          <w:tcPr>
            <w:tcW w:w="2180" w:type="dxa"/>
            <w:vAlign w:val="bottom"/>
            <w:gridSpan w:val="2"/>
          </w:tcPr>
          <w:p>
            <w:pPr>
              <w:jc w:val="right"/>
              <w:ind w:right="65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77.2%</w:t>
            </w:r>
          </w:p>
        </w:tc>
        <w:tc>
          <w:tcPr>
            <w:tcW w:w="1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43.9%</w:t>
            </w:r>
          </w:p>
        </w:tc>
        <w:tc>
          <w:tcPr>
            <w:tcW w:w="27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33.3%</w:t>
            </w:r>
          </w:p>
        </w:tc>
        <w:tc>
          <w:tcPr>
            <w:tcW w:w="218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0"/>
                <w:szCs w:val="20"/>
                <w:color w:val="auto"/>
              </w:rPr>
            </w:pPr>
          </w:p>
        </w:tc>
        <w:tc>
          <w:tcPr>
            <w:tcW w:w="2060" w:type="dxa"/>
            <w:vAlign w:val="bottom"/>
          </w:tcPr>
          <w:p>
            <w:pPr>
              <w:jc w:val="right"/>
              <w:ind w:right="633"/>
              <w:spacing w:after="0"/>
              <w:rPr>
                <w:sz w:val="20"/>
                <w:szCs w:val="20"/>
                <w:color w:val="auto"/>
              </w:rPr>
            </w:pPr>
            <w:r>
              <w:rPr>
                <w:rFonts w:ascii="Arial" w:cs="Arial" w:eastAsia="Arial" w:hAnsi="Arial"/>
                <w:sz w:val="18"/>
                <w:szCs w:val="18"/>
                <w:color w:val="auto"/>
              </w:rPr>
              <w:t>75.3%</w:t>
            </w:r>
          </w:p>
        </w:tc>
        <w:tc>
          <w:tcPr>
            <w:tcW w:w="1580" w:type="dxa"/>
            <w:vAlign w:val="bottom"/>
            <w:gridSpan w:val="2"/>
          </w:tcPr>
          <w:p>
            <w:pPr>
              <w:jc w:val="right"/>
              <w:ind w:right="68"/>
              <w:spacing w:after="0"/>
              <w:rPr>
                <w:sz w:val="20"/>
                <w:szCs w:val="20"/>
                <w:color w:val="auto"/>
              </w:rPr>
            </w:pPr>
            <w:r>
              <w:rPr>
                <w:rFonts w:ascii="Arial" w:cs="Arial" w:eastAsia="Arial" w:hAnsi="Arial"/>
                <w:sz w:val="18"/>
                <w:szCs w:val="18"/>
                <w:color w:val="auto"/>
              </w:rPr>
              <w:t>44.9%</w:t>
            </w:r>
          </w:p>
        </w:tc>
        <w:tc>
          <w:tcPr>
            <w:tcW w:w="2780" w:type="dxa"/>
            <w:vAlign w:val="bottom"/>
            <w:gridSpan w:val="3"/>
          </w:tcPr>
          <w:p>
            <w:pPr>
              <w:jc w:val="right"/>
              <w:ind w:right="668"/>
              <w:spacing w:after="0"/>
              <w:rPr>
                <w:sz w:val="20"/>
                <w:szCs w:val="20"/>
                <w:color w:val="auto"/>
              </w:rPr>
            </w:pPr>
            <w:r>
              <w:rPr>
                <w:rFonts w:ascii="Arial" w:cs="Arial" w:eastAsia="Arial" w:hAnsi="Arial"/>
                <w:sz w:val="18"/>
                <w:szCs w:val="18"/>
                <w:color w:val="auto"/>
              </w:rPr>
              <w:t>30.4%</w:t>
            </w:r>
          </w:p>
        </w:tc>
        <w:tc>
          <w:tcPr>
            <w:tcW w:w="2180" w:type="dxa"/>
            <w:vAlign w:val="bottom"/>
            <w:gridSpan w:val="2"/>
          </w:tcPr>
          <w:p>
            <w:pPr>
              <w:jc w:val="right"/>
              <w:ind w:right="65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Presented as a percentage of total forecasted collections.</w:t>
      </w:r>
    </w:p>
    <w:p>
      <w:pPr>
        <w:spacing w:after="0" w:line="117"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2006 and prior Consumer Loan assignments, the risk of a material forecast variance is modest, as we have currently realized in excess of 95% of the expected collections. Conversely, the forecasted collection rates for more recent Consumer Loan assignments are less certain as a significant portion of our forecast has not been realized.</w:t>
      </w:r>
    </w:p>
    <w:p>
      <w:pPr>
        <w:spacing w:after="0" w:line="39"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spread between the forecasted collection rate and the advance rate declined during the 2003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The decline in the spread for 2010 Consumer Loan assignments reflects advance rate increases implemented during the last four months of 2009 and the first quarter of 2010 to increase unit volume as a result of an increase in the amount of capital available to us.</w:t>
      </w:r>
    </w:p>
    <w:p>
      <w:pPr>
        <w:spacing w:after="0" w:line="64"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following table presents forecasted Consumer Loan collection rates, advance rates (includes amounts paid to acquire Purchased Loans), and the spread (the forecasted collection rate less the advance rate) as of June 30, 2010 for Purchased Loans and Dealer Loans separately. Payments of Dealer Holdback and accelerated Dealer Holdback are not included in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advance percentage paid to the Dealer-Partner. All amounts are presented as a percentage of the initial balance of the Consumer Loan (principal + interest).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Consumer Loan</w:t>
            </w:r>
          </w:p>
        </w:tc>
        <w:tc>
          <w:tcPr>
            <w:tcW w:w="5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Forecasted</w:t>
            </w:r>
          </w:p>
        </w:tc>
        <w:tc>
          <w:tcPr>
            <w:tcW w:w="50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Advance %</w:t>
            </w:r>
          </w:p>
        </w:tc>
        <w:tc>
          <w:tcPr>
            <w:tcW w:w="520" w:type="dxa"/>
            <w:vAlign w:val="bottom"/>
          </w:tcPr>
          <w:p>
            <w:pPr>
              <w:spacing w:after="0"/>
              <w:rPr>
                <w:sz w:val="14"/>
                <w:szCs w:val="14"/>
                <w:color w:val="auto"/>
              </w:rPr>
            </w:pP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52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Collection %</w:t>
            </w:r>
          </w:p>
        </w:tc>
        <w:tc>
          <w:tcPr>
            <w:tcW w:w="5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68.1%</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48.6%</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128"/>
              <w:spacing w:after="0"/>
              <w:rPr>
                <w:sz w:val="20"/>
                <w:szCs w:val="20"/>
                <w:color w:val="auto"/>
              </w:rPr>
            </w:pPr>
            <w:r>
              <w:rPr>
                <w:rFonts w:ascii="Arial" w:cs="Arial" w:eastAsia="Arial" w:hAnsi="Arial"/>
                <w:sz w:val="18"/>
                <w:szCs w:val="18"/>
                <w:color w:val="auto"/>
              </w:rPr>
              <w:t>68.9%</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46.3%</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77.3%</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44.9%</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520" w:type="dxa"/>
            <w:vAlign w:val="bottom"/>
            <w:gridSpan w:val="2"/>
          </w:tcPr>
          <w:p>
            <w:pPr>
              <w:jc w:val="right"/>
              <w:ind w:right="128"/>
              <w:spacing w:after="0"/>
              <w:rPr>
                <w:sz w:val="20"/>
                <w:szCs w:val="20"/>
                <w:color w:val="auto"/>
              </w:rPr>
            </w:pPr>
            <w:r>
              <w:rPr>
                <w:rFonts w:ascii="Arial" w:cs="Arial" w:eastAsia="Arial" w:hAnsi="Arial"/>
                <w:sz w:val="18"/>
                <w:szCs w:val="18"/>
                <w:color w:val="auto"/>
              </w:rPr>
              <w:t>75.2%</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47.1%</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Dealer Loans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67.9%</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45.9%</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128"/>
              <w:spacing w:after="0"/>
              <w:rPr>
                <w:sz w:val="20"/>
                <w:szCs w:val="20"/>
                <w:color w:val="auto"/>
              </w:rPr>
            </w:pPr>
            <w:r>
              <w:rPr>
                <w:rFonts w:ascii="Arial" w:cs="Arial" w:eastAsia="Arial" w:hAnsi="Arial"/>
                <w:sz w:val="18"/>
                <w:szCs w:val="18"/>
                <w:color w:val="auto"/>
              </w:rPr>
              <w:t>70.4%</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43.6%</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77.2%</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43.6%</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520" w:type="dxa"/>
            <w:vAlign w:val="bottom"/>
            <w:gridSpan w:val="2"/>
          </w:tcPr>
          <w:p>
            <w:pPr>
              <w:jc w:val="right"/>
              <w:ind w:right="128"/>
              <w:spacing w:after="0"/>
              <w:rPr>
                <w:sz w:val="20"/>
                <w:szCs w:val="20"/>
                <w:color w:val="auto"/>
              </w:rPr>
            </w:pPr>
            <w:r>
              <w:rPr>
                <w:rFonts w:ascii="Arial" w:cs="Arial" w:eastAsia="Arial" w:hAnsi="Arial"/>
                <w:sz w:val="18"/>
                <w:szCs w:val="18"/>
                <w:color w:val="auto"/>
              </w:rPr>
              <w:t>75.3%</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44.6%</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ability to maintain and grow Consumer Loan volume is impacted by our pricing strategy, the number of Dealer-Partners actively participating in our programs, and the competitive environment. The following table summarizes changes in Consumer Loan assignment volume in each of the last six quarters as compared to the same period in the previous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vMerge w:val="restart"/>
          </w:tcPr>
          <w:p>
            <w:pPr>
              <w:spacing w:after="0"/>
              <w:rPr>
                <w:sz w:val="14"/>
                <w:szCs w:val="14"/>
                <w:color w:val="auto"/>
              </w:rPr>
            </w:pPr>
          </w:p>
        </w:tc>
        <w:tc>
          <w:tcPr>
            <w:tcW w:w="29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Year over Year Percent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auto"/>
            </w:tcBorders>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Unit Volume</w:t>
            </w:r>
          </w:p>
        </w:tc>
        <w:tc>
          <w:tcPr>
            <w:tcW w:w="540" w:type="dxa"/>
            <w:vAlign w:val="bottom"/>
          </w:tcPr>
          <w:p>
            <w:pPr>
              <w:spacing w:after="0"/>
              <w:rPr>
                <w:sz w:val="12"/>
                <w:szCs w:val="12"/>
                <w:color w:val="auto"/>
              </w:rPr>
            </w:pPr>
          </w:p>
        </w:tc>
        <w:tc>
          <w:tcPr>
            <w:tcW w:w="13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Dollar Volume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-13.0%</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-16.2%</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-5.7%</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11.2%</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22.7%</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payments made to Dealer-Partners for advances on Dealer Loans and the acquisition of Purchased Loans. Payments of Dealer Holdback and accelerated Dealer Holdback are not included.</w:t>
      </w:r>
    </w:p>
    <w:p>
      <w:pPr>
        <w:spacing w:after="0" w:line="62"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color w:val="auto"/>
        </w:rPr>
        <w:t>Dollar and unit volume increased during the first two quarters of 2010 as compared to the same periods in 2009 due to pricing changes implemented during the last four months of 2009 and the first quarter of 2010 that reduced per unit profitability in exchange for increased unit volume.</w:t>
      </w:r>
    </w:p>
    <w:p>
      <w:pPr>
        <w:spacing w:after="0" w:line="16"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With the amount of capital available to us, we are in position to grow year over year unit volumes. We will continue to monitor unit volumes and will make additional pricing changes with an objective to maximize economic profit given the capital we have available. Future growth rates will partially depend on how unit volumes respond to pricing changes, which will be influenced to a large degree by how quickly competition returns to our market.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changes in Consumer Loan unit volume and active Dealer-Partners: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3"/>
              </w:rPr>
              <w:t>Six Months Ended 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71,439</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61,510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56,319</w:t>
            </w: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50,826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Dealer-Partners active both periods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1,803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80" w:type="dxa"/>
            <w:vAlign w:val="bottom"/>
            <w:gridSpan w:val="2"/>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2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6,466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New active Dealer-Partners (2)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614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Attrition (3)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-22.9%</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Active Dealer-Partners are Dealer-Partners who have received funding for at least one Loan during the period.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New active Dealer-Partners are Dealer-Partners who enrolled in our program and have received funding for their first Loan from us during the period.</w:t>
      </w:r>
    </w:p>
    <w:p>
      <w:pPr>
        <w:spacing w:after="0" w:line="99" w:lineRule="exact"/>
        <w:rPr>
          <w:rFonts w:ascii="Arial" w:cs="Arial" w:eastAsia="Arial" w:hAnsi="Arial"/>
          <w:sz w:val="16"/>
          <w:szCs w:val="16"/>
          <w:color w:val="auto"/>
        </w:rPr>
      </w:pPr>
    </w:p>
    <w:p>
      <w:pPr>
        <w:ind w:left="460" w:right="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Dealer-Partners who have received funding for at least one Loan during the comparable period of the prior year but did not receive funding for any Loans during the current period divided by prior year comparable period Consumer Loan unit volume.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Consumer Loans are assigned to us through either our Portfolio Program or our Purchase Program. The following table summarizes the portion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Consumer Loan volume that was assigned to us through our Purchase Program: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71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New Purchased Loan unit volume as a percentage of total unit volume</w:t>
            </w: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2010</w:t>
            </w:r>
          </w:p>
        </w:tc>
        <w:tc>
          <w:tcPr>
            <w:tcW w:w="1380" w:type="dxa"/>
            <w:vAlign w:val="bottom"/>
            <w:gridSpan w:val="2"/>
          </w:tcPr>
          <w:p>
            <w:pPr>
              <w:jc w:val="center"/>
              <w:ind w:left="482"/>
              <w:spacing w:after="0" w:line="142" w:lineRule="exact"/>
              <w:rPr>
                <w:sz w:val="20"/>
                <w:szCs w:val="20"/>
                <w:color w:val="auto"/>
              </w:rPr>
            </w:pPr>
            <w:r>
              <w:rPr>
                <w:rFonts w:ascii="Arial" w:cs="Arial" w:eastAsia="Arial" w:hAnsi="Arial"/>
                <w:sz w:val="14"/>
                <w:szCs w:val="14"/>
                <w:b w:val="1"/>
                <w:bCs w:val="1"/>
                <w:color w:val="auto"/>
                <w:w w:val="96"/>
              </w:rPr>
              <w:t>2009</w:t>
            </w:r>
          </w:p>
        </w:tc>
        <w:tc>
          <w:tcPr>
            <w:tcW w:w="5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360" w:type="dxa"/>
            <w:vAlign w:val="bottom"/>
            <w:gridSpan w:val="2"/>
          </w:tcPr>
          <w:p>
            <w:pPr>
              <w:jc w:val="center"/>
              <w:ind w:left="482"/>
              <w:spacing w:after="0" w:line="142" w:lineRule="exact"/>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195"/>
        </w:trPr>
        <w:tc>
          <w:tcPr>
            <w:tcW w:w="6540" w:type="dxa"/>
            <w:vAlign w:val="bottom"/>
            <w:vMerge w:val="continue"/>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9.5%</w:t>
            </w:r>
          </w:p>
        </w:tc>
        <w:tc>
          <w:tcPr>
            <w:tcW w:w="58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14.0%</w:t>
            </w:r>
          </w:p>
        </w:tc>
        <w:tc>
          <w:tcPr>
            <w:tcW w:w="56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9.3%</w:t>
            </w:r>
          </w:p>
        </w:tc>
        <w:tc>
          <w:tcPr>
            <w:tcW w:w="56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16.1%</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New Purchased Loan dollar volume as a percentage of total dollar volume</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380" w:type="dxa"/>
            <w:vAlign w:val="bottom"/>
            <w:gridSpan w:val="2"/>
          </w:tcPr>
          <w:p>
            <w:pPr>
              <w:jc w:val="center"/>
              <w:ind w:left="482"/>
              <w:spacing w:after="0"/>
              <w:rPr>
                <w:sz w:val="20"/>
                <w:szCs w:val="20"/>
                <w:color w:val="auto"/>
              </w:rPr>
            </w:pPr>
            <w:r>
              <w:rPr>
                <w:rFonts w:ascii="Arial" w:cs="Arial" w:eastAsia="Arial" w:hAnsi="Arial"/>
                <w:sz w:val="18"/>
                <w:szCs w:val="18"/>
                <w:color w:val="auto"/>
                <w:w w:val="90"/>
              </w:rPr>
              <w:t>17.0%</w:t>
            </w:r>
          </w:p>
        </w:tc>
        <w:tc>
          <w:tcPr>
            <w:tcW w:w="1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11.3%</w:t>
            </w:r>
          </w:p>
        </w:tc>
        <w:tc>
          <w:tcPr>
            <w:tcW w:w="1360" w:type="dxa"/>
            <w:vAlign w:val="bottom"/>
            <w:gridSpan w:val="2"/>
          </w:tcPr>
          <w:p>
            <w:pPr>
              <w:jc w:val="center"/>
              <w:ind w:left="482"/>
              <w:spacing w:after="0"/>
              <w:rPr>
                <w:sz w:val="20"/>
                <w:szCs w:val="20"/>
                <w:color w:val="auto"/>
              </w:rPr>
            </w:pPr>
            <w:r>
              <w:rPr>
                <w:rFonts w:ascii="Arial" w:cs="Arial" w:eastAsia="Arial" w:hAnsi="Arial"/>
                <w:sz w:val="18"/>
                <w:szCs w:val="18"/>
                <w:color w:val="auto"/>
                <w:w w:val="93"/>
              </w:rPr>
              <w:t>19.4%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0" w:firstLine="225"/>
        <w:spacing w:after="0" w:line="264" w:lineRule="auto"/>
        <w:rPr>
          <w:sz w:val="20"/>
          <w:szCs w:val="20"/>
          <w:color w:val="auto"/>
        </w:rPr>
      </w:pPr>
      <w:r>
        <w:rPr>
          <w:rFonts w:ascii="Arial" w:cs="Arial" w:eastAsia="Arial" w:hAnsi="Arial"/>
          <w:sz w:val="18"/>
          <w:szCs w:val="18"/>
          <w:color w:val="auto"/>
        </w:rPr>
        <w:t>For the three and six months ended June 30, 2010, new Purchased Loan unit and dollar volume as a percentage of total unit and dollar volume, respectively, decreased as compared to 2009 primarily due to the continued impact of program enrollment eligibility changes we made in 2008, which restricts new Dealer-Partners’ access to the Purchase Program.</w:t>
      </w:r>
    </w:p>
    <w:p>
      <w:pPr>
        <w:spacing w:after="0" w:line="73" w:lineRule="exact"/>
        <w:rPr>
          <w:sz w:val="20"/>
          <w:szCs w:val="20"/>
          <w:color w:val="auto"/>
        </w:rPr>
      </w:pPr>
    </w:p>
    <w:p>
      <w:pPr>
        <w:ind w:right="540" w:firstLine="215"/>
        <w:spacing w:after="0" w:line="277" w:lineRule="auto"/>
        <w:rPr>
          <w:sz w:val="20"/>
          <w:szCs w:val="20"/>
          <w:color w:val="auto"/>
        </w:rPr>
      </w:pPr>
      <w:r>
        <w:rPr>
          <w:rFonts w:ascii="Arial" w:cs="Arial" w:eastAsia="Arial" w:hAnsi="Arial"/>
          <w:sz w:val="18"/>
          <w:szCs w:val="18"/>
          <w:color w:val="auto"/>
        </w:rPr>
        <w:t>As of June 30, 2010 and December 31, 2009, the net Purchased Loans receivable balance was 23.4% and 27.5%, respectively, of the total net Loans receivable balance.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Three and Six Months Ended June 30, 2010 Compared to Three and Six Months Ended June 30,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 June 30,</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95,549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81,124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7,201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7,985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4,048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111,779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92,373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16,515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5,920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6,894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(3,790)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6,282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4,829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35,299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color w:val="auto"/>
                <w:w w:val="97"/>
              </w:rPr>
              <w:t>Income from continuing operations before provision for income taxes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66,636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57,074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20,924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49,065</w:t>
            </w:r>
          </w:p>
        </w:tc>
        <w:tc>
          <w:tcPr>
            <w:tcW w:w="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36,150</w:t>
            </w:r>
          </w:p>
        </w:tc>
        <w:tc>
          <w:tcPr>
            <w:tcW w:w="640" w:type="dxa"/>
            <w:vAlign w:val="bottom"/>
            <w:vMerge w:val="continue"/>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(Loss) gain from discontinued United Kingdom operations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gain from discontinued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36,185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1.18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gain from discontinued operations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31,172,229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30,600,531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31,601,027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31,423,187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185,212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157,850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13,661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13,880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8,750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215,041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180,261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33,636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12,462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14,889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7,487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8,216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(3,626)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15,208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11,494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9,638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95,948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77,232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color w:val="auto"/>
                <w:w w:val="97"/>
              </w:rPr>
              <w:t>Income from continuing operations before provision for income taxes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119,093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103,029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37,867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81,080</w:t>
            </w:r>
          </w:p>
        </w:tc>
        <w:tc>
          <w:tcPr>
            <w:tcW w:w="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65,162</w:t>
            </w:r>
          </w:p>
        </w:tc>
        <w:tc>
          <w:tcPr>
            <w:tcW w:w="640" w:type="dxa"/>
            <w:vAlign w:val="bottom"/>
            <w:vMerge w:val="continue"/>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(Loss) gain from discontinued United Kingdom operations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gain from discontinued operations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65,186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2.14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gain from discontinued operations per common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31,107,721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30,510,439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31,600,586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31,285,734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 Compared to Three and Six Months Ended June 30,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highlights changes in income from continuing operations for the three and six months ended June 30, 2010, as compared to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June 30, 2009</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65,162</w:t>
            </w: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Increase in finance charges</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premiums earned</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Increase in other income</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expenses (1)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Increase in provision for credit losses</w:t>
            </w:r>
          </w:p>
        </w:tc>
        <w:tc>
          <w:tcPr>
            <w:tcW w:w="44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(5,580)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Increase in provision for claims</w:t>
            </w:r>
          </w:p>
        </w:tc>
        <w:tc>
          <w:tcPr>
            <w:tcW w:w="44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(1,453)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provision for income taxes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continuing operations, June 30, 2010</w:t>
            </w: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60" w:type="dxa"/>
            <w:vAlign w:val="bottom"/>
            <w:gridSpan w:val="2"/>
            <w:vMerge w:val="continue"/>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49,065</w:t>
            </w:r>
          </w:p>
        </w:tc>
        <w:tc>
          <w:tcPr>
            <w:tcW w:w="340" w:type="dxa"/>
            <w:vAlign w:val="bottom"/>
          </w:tcPr>
          <w:p>
            <w:pPr>
              <w:spacing w:after="0"/>
              <w:rPr>
                <w:sz w:val="24"/>
                <w:szCs w:val="24"/>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consist of salaries and wages, general and administrative, and sales and marketing expenses.</w:t>
      </w:r>
    </w:p>
    <w:p>
      <w:pPr>
        <w:spacing w:after="0" w:line="117"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i w:val="1"/>
          <w:iCs w:val="1"/>
          <w:color w:val="auto"/>
        </w:rPr>
        <w:t xml:space="preserve">Finance Charges. </w:t>
      </w:r>
      <w:r>
        <w:rPr>
          <w:rFonts w:ascii="Arial" w:cs="Arial" w:eastAsia="Arial" w:hAnsi="Arial"/>
          <w:sz w:val="16"/>
          <w:szCs w:val="16"/>
          <w:color w:val="auto"/>
        </w:rPr>
        <w:t>For the three months ended June 30, 2010, finance charges increased $14.4 million, or 17.8%, as compared to the same period in 2009.</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2010, finance charges increased $27.4 million, or 17.3%, as compared to the same period in 2009. The increases were the result of an increase in the average yield on our Loan portfolio and an increase in the average Loan receivable balance,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908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Ended</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8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June 30, 2010</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due to an increase in the average yield on our Loan portfolio</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Change due to an increase in the average Loan receivable balance</w:t>
            </w:r>
          </w:p>
        </w:tc>
        <w:tc>
          <w:tcPr>
            <w:tcW w:w="1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finance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8"/>
              </w:rPr>
              <w:t>Three Months Ended June 30,</w:t>
            </w: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360" w:type="dxa"/>
            <w:vAlign w:val="bottom"/>
            <w:vMerge w:val="restart"/>
          </w:tcPr>
          <w:p>
            <w:pPr>
              <w:spacing w:after="0"/>
              <w:rPr>
                <w:sz w:val="20"/>
                <w:szCs w:val="20"/>
                <w:color w:val="auto"/>
              </w:rPr>
            </w:pPr>
            <w:r>
              <w:rPr>
                <w:rFonts w:ascii="Arial" w:cs="Arial" w:eastAsia="Arial" w:hAnsi="Arial"/>
                <w:sz w:val="18"/>
                <w:szCs w:val="18"/>
                <w:color w:val="auto"/>
              </w:rPr>
              <w:t>Average yield on our Loan portfolio</w:t>
            </w:r>
          </w:p>
        </w:tc>
        <w:tc>
          <w:tcPr>
            <w:tcW w:w="6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36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34.3%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30.7%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increases in the average yield on our Loan portfolio were primarily due to an increase in forecasted collection rates throughout 2009 as well as higher yields on Consumer Loans assigned during the last three quarters of 2009 and the first two quarters of 2010. The increases in the average Loan receivable balance were primarily due to growth in new Loan volume during the last quarter of 2009 and first two quarters of 2010.</w:t>
      </w:r>
    </w:p>
    <w:p>
      <w:pPr>
        <w:spacing w:after="0" w:line="5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i w:val="1"/>
          <w:iCs w:val="1"/>
          <w:color w:val="auto"/>
        </w:rPr>
        <w:t xml:space="preserve">Premiums Earned. </w:t>
      </w:r>
      <w:r>
        <w:rPr>
          <w:rFonts w:ascii="Arial" w:cs="Arial" w:eastAsia="Arial" w:hAnsi="Arial"/>
          <w:sz w:val="17"/>
          <w:szCs w:val="17"/>
          <w:color w:val="auto"/>
        </w:rPr>
        <w:t>For the three months ended June 30, 2010, premiums earned increased $1.0 million, or 14.5%, as compared to the same period in 2009.</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2010, premiums earned increased $2.3 million, or 16.7%, as compared to the same period in 2009. The increases were due to a revision in our revenue recognition timing, partially offset by a decline in the size of our reinsurance portfolio. During the third quarter of 2009, we revised our revenue recognition timing in order to better match the timing with our expected costs of servicing vehicle contracts. The decline in the size of our reinsurance portfolio is primarily due to the termination of our arrangement with one of our third party insurers during the fourth quarter of 2009. Prior to the fourth quarter of 2009, VSC Re reinsured vehicle service contracts that were underwritten by two of our three third party insurers. VSC Re currently reinsures vehicle service contracts that are underwritten by one of our two third party insurers.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For the three months ended June 30, 2010, other income increased $3.9 million, or 97.3%, as compared to the same period in 2009.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2010, other income increased $5.1 million, or 58.6%, as compared to the same period in 2009. For the three and six month periods, the increase was primarily a result of $3.4 million of income recognized during the second quarter of 2010 related to an arrangement with one of our third party vehicle service contract providers. This arrangement was discontinued in 2008 and no additional income is expected beyond the amount recognized to date. While we continue to generate income from vehicle service contracts, such amounts are captured through VSC Re and recorded over the life of the contracts.</w:t>
      </w:r>
    </w:p>
    <w:p>
      <w:pPr>
        <w:spacing w:after="0" w:line="85"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i w:val="1"/>
          <w:iCs w:val="1"/>
          <w:color w:val="auto"/>
        </w:rPr>
        <w:t xml:space="preserve">Salaries and wages. </w:t>
      </w:r>
      <w:r>
        <w:rPr>
          <w:rFonts w:ascii="Arial" w:cs="Arial" w:eastAsia="Arial" w:hAnsi="Arial"/>
          <w:sz w:val="18"/>
          <w:szCs w:val="18"/>
          <w:color w:val="auto"/>
        </w:rPr>
        <w:t>For the three months ended June 30, 2010, salaries and wages decreased $2.5 million, or 14.9%,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For the six months ended June 30, 2010, salaries and wages decreased $3.5 million, or 10.3%, as compared to the same period in 2009. The decreases were primarily the result of:</w:t>
      </w:r>
    </w:p>
    <w:p>
      <w:pPr>
        <w:spacing w:after="0" w:line="73"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Reduced expenses related to stock compensation due to the timing of expense related to long-term incentive compensation;</w:t>
      </w:r>
    </w:p>
    <w:p>
      <w:pPr>
        <w:spacing w:after="0" w:line="130" w:lineRule="exact"/>
        <w:rPr>
          <w:rFonts w:ascii="Arial" w:cs="Arial" w:eastAsia="Arial" w:hAnsi="Arial"/>
          <w:sz w:val="18"/>
          <w:szCs w:val="18"/>
          <w:b w:val="1"/>
          <w:bCs w:val="1"/>
          <w:color w:val="auto"/>
        </w:rPr>
      </w:pPr>
    </w:p>
    <w:p>
      <w:pPr>
        <w:ind w:left="660" w:right="720" w:hanging="314"/>
        <w:spacing w:after="0" w:line="342" w:lineRule="auto"/>
        <w:tabs>
          <w:tab w:leader="none" w:pos="66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Reduced expenses related to information technology primarily due to an approximate 25% reduction in information technology headcount. Secondarily, a higher percentage of the work being performed has been capitalized as software developed for internal use; and</w:t>
      </w:r>
    </w:p>
    <w:p>
      <w:pPr>
        <w:spacing w:after="0" w:line="29" w:lineRule="exact"/>
        <w:rPr>
          <w:rFonts w:ascii="Arial" w:cs="Arial" w:eastAsia="Arial" w:hAnsi="Arial"/>
          <w:sz w:val="16"/>
          <w:szCs w:val="16"/>
          <w:b w:val="1"/>
          <w:bCs w:val="1"/>
          <w:color w:val="auto"/>
        </w:rPr>
      </w:pPr>
    </w:p>
    <w:p>
      <w:pPr>
        <w:ind w:left="660" w:hanging="314"/>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Reduced expenses related to collections due to fewer delinquent accounts which reduce the amount of collection effort.</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addition, for the three month period, the decrease was also partially the result of an increased percentage of Loan origination costs being deferred due to a decrease in the Purchased Loan unit volume as a percentage of total unit volume.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For the three months ended June 30, 2010, general and administrative expense decreased $1.0 million, or 14.1%,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2009. For the six months ended June 30, 2010, general and administrative expense decreased $2.4 million, or 16.3%, as compared to the same period in 2009. The decreases primarily resulted from (1) decreased legal costs and (2) decreased consulting fees primarily related to the IRS audit which is now complete.</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For the three months ended June 30, 2010, sales and marketing expense increased $1.3 million, or 35.6%,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2009. For the six months ended June 30, 2010, sales and marketing expense increased $2.2 million, or 28.8%, as compared to the same period in 2009. The increases were due primarily to increased sales commissions due to an increase in commission per Loan assignment and an increase in the number of Loan assignments.</w:t>
      </w:r>
    </w:p>
    <w:p>
      <w:pPr>
        <w:spacing w:after="0" w:line="7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i w:val="1"/>
          <w:iCs w:val="1"/>
          <w:color w:val="auto"/>
        </w:rPr>
        <w:t>Provision for Credit Losses</w:t>
      </w:r>
      <w:r>
        <w:rPr>
          <w:rFonts w:ascii="Arial" w:cs="Arial" w:eastAsia="Arial" w:hAnsi="Arial"/>
          <w:sz w:val="16"/>
          <w:szCs w:val="16"/>
          <w:color w:val="auto"/>
        </w:rPr>
        <w:t>. For the three months ended June 30, 2010, the provision for credit losses increased $5.6 million, or 147.2%,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2009. For the six months ended June 30, 2010, the provision for credit losses increased $11.8 million, or 326.6%, as compared to the same period in 2009. Under GAAP, when forecasted future cash flows decline relative to the cash flows expected at the time of assignment, a provision for credit losses is recorded immediately as a current period expense and a corresponding allowance for credit losses is established. For purposes of calculating the required allowance, Dealer Loans are grouped by Dealer-Partner and Purchased Loans are grouped by month of purchase. As a result, regardless of the overall performance of the portfolio of Consumer Loans, a provision can be required if any individual Loan pool performs worse than expected. Conversely, a previously recorded provision can be reversed if any previously impaired individual Loan pool experiences an improvement in performance.</w:t>
      </w:r>
    </w:p>
    <w:p>
      <w:pPr>
        <w:spacing w:after="0" w:line="5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During the three and six months ended June 30, 2010, overall Consumer Loan performance exceeded our expectations at the start of the periods. However, impaired Loan pools within our portfolio experienced net declines in forecasted cash flows, resulting in provision for credit losses of $1.8 million and</w:t>
      </w:r>
    </w:p>
    <w:p>
      <w:pPr>
        <w:ind w:right="260"/>
        <w:spacing w:after="0" w:line="254" w:lineRule="auto"/>
        <w:rPr>
          <w:sz w:val="20"/>
          <w:szCs w:val="20"/>
          <w:color w:val="auto"/>
        </w:rPr>
      </w:pPr>
      <w:r>
        <w:rPr>
          <w:rFonts w:ascii="Arial" w:cs="Arial" w:eastAsia="Arial" w:hAnsi="Arial"/>
          <w:sz w:val="18"/>
          <w:szCs w:val="18"/>
          <w:color w:val="auto"/>
        </w:rPr>
        <w:t>$8.2 million for the three and six months ended June 30, 2010, respectively. During the three and six months ended June 30, 2009, overall Consumer Loan performance also exceeded our expectations at the start of the periods. Consistent with the overall performance of the portfolio, impaired Loan pools experienced net improvements in forecasted cash flows, resulting in a reversal of provision for credit losses of $3.8 million and $3.6 million for the three months and six months ended June 30, 2009,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For the three months ended June 30, 2010, interest expense increased $5.0 million, or 68.4%, as compared to the same period in 2009.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2010, interest expense increased $8.8 million, or 57.6%, as compared to the same period in 2009. The following table shows interest expense, the average outstanding debt balance, and the pre-tax average cost of debt for the three and six months ended June 30, 2010 and 2009: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3"/>
              </w:rPr>
              <w:t>Three Months Ended 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23,972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Average outstanding debt balance</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509,867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604,863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500,968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614,571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Pre-tax average cost of debt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For the three and six months ended June 30, 2010, the increases in interest expense were primarily due to increases in our pre-tax average cost of debt due to the issuance of the Senior Notes during the first quarter of 2010 and an increase in available and unused credit capacity.</w:t>
      </w:r>
    </w:p>
    <w:p>
      <w:pPr>
        <w:spacing w:after="0" w:line="38"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i w:val="1"/>
          <w:iCs w:val="1"/>
          <w:color w:val="auto"/>
        </w:rPr>
        <w:t xml:space="preserve">Provision for claims. </w:t>
      </w:r>
      <w:r>
        <w:rPr>
          <w:rFonts w:ascii="Arial" w:cs="Arial" w:eastAsia="Arial" w:hAnsi="Arial"/>
          <w:sz w:val="16"/>
          <w:szCs w:val="16"/>
          <w:color w:val="auto"/>
        </w:rPr>
        <w:t>For the three months ended June 30, 2010, provision for claims increased $1.5 million, or 30.1%, as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2009. For the six months ended June 30, 2010, provision for claims increased $1.9 million, or 19.3%, as compared to the same period in 2009. The increases were due to an increase in claims paid per reinsured vehicle service contract, partially offset by a decline in the size of our reinsurance portfolio.</w:t>
      </w:r>
    </w:p>
    <w:p>
      <w:pPr>
        <w:spacing w:after="0" w:line="3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three months ended June 30, 2010, the effective tax rate decreased to 26.4%, from 36.7% in the same period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2010, the effective tax rate decreased to 31.9%, from 36.8% in the same period in 2009. The decreases for the three and six month periods, as compared to the same periods in prior year, were primarily due to the reversal of reserves for uncertain tax positions and associated interest as a result of the completion of the IRS audit during the second quarter of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need capital to fund new Loans and pay Dealer Holdback. Our primary sources of capital are cash flows from operating activities, collections of Consumer Loans and borrowings under: (1) a revolving secured line of credit with a commercial bank syndicate; (2) revolving secured warehouse facilities with institutional investors; (3) Term ABS financings with qualified institutional investors; and (4) Senior Notes. There are various restrictive debt covenants for each financing arrangement and we are in compliance with those covenants as of June 30, 2010. For information regarding these financings and the covenants included in the related documents, see Note 5 to the consolidated financial statements contained in Item 1 of this Form 10-Q, which is incorporated herein by reference.</w:t>
      </w:r>
    </w:p>
    <w:p>
      <w:pPr>
        <w:spacing w:after="0" w:line="85" w:lineRule="exact"/>
        <w:rPr>
          <w:sz w:val="20"/>
          <w:szCs w:val="20"/>
          <w:color w:val="auto"/>
        </w:rPr>
      </w:pPr>
    </w:p>
    <w:p>
      <w:pPr>
        <w:jc w:val="both"/>
        <w:ind w:right="320" w:firstLine="225"/>
        <w:spacing w:after="0" w:line="264" w:lineRule="auto"/>
        <w:rPr>
          <w:sz w:val="20"/>
          <w:szCs w:val="20"/>
          <w:color w:val="auto"/>
        </w:rPr>
      </w:pPr>
      <w:r>
        <w:rPr>
          <w:rFonts w:ascii="Arial" w:cs="Arial" w:eastAsia="Arial" w:hAnsi="Arial"/>
          <w:sz w:val="18"/>
          <w:szCs w:val="18"/>
          <w:color w:val="auto"/>
        </w:rPr>
        <w:t>Cash and cash equivalents decreased to $1.5 million as of June 30, 2010 from $2.2 million at December 31, 2009. Our total balance sheet indebtedness decreased to $493.5 million at June 30, 2010 from $507.0 million at December 31, 2009 as the net cash provided by our operating activities and principal collections from our Loan portfolio exceeded the cash used to fund new Loans.</w:t>
      </w:r>
    </w:p>
    <w:p>
      <w:pPr>
        <w:spacing w:after="0" w:line="73"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During the first quarter of 2010, we issued $250.0 million aggregate principal amount of 9.125% First Priority Senior Notes. Concurrently with the issuance of the Senior Notes, we amended the agreements governing our line of credit facility with a commercial bank syndicate to facilitate the issuance of the Senior Notes and future secured indebtedness. The net proceeds from the offering of the Senior Notes were used to repay all outstanding borrowings under our line of credit facility and to repay all outstanding borrowings under our $325.0 million revolving secured warehouse facility, subject to our ability to reborrow in each case.</w:t>
      </w:r>
    </w:p>
    <w:p>
      <w:pPr>
        <w:spacing w:after="0" w:line="80"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Senior Notes were issued pursuant to an Indenture, dated as of February 1, 2010, among us, BVPP and VRS, as Guarantors, and U.S. Bank National Association, as Trustee.</w:t>
      </w:r>
    </w:p>
    <w:p>
      <w:pPr>
        <w:spacing w:after="0" w:line="62"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The Senior Notes mature on February 1, 2017 and bear interest at a rate of 9.125% per annum, computed on the basis of 360-day year composed of twelve 30-day months and payable semi-annually on February 1 and August 1 of each year, beginning on August 1, 2010. The Senior Notes were issued at 97.495% of the aggregate principal amount for net proceeds of $243.7 million, representing a yield to maturity of 9.625%.</w:t>
      </w:r>
    </w:p>
    <w:p>
      <w:pPr>
        <w:spacing w:after="0" w:line="57" w:lineRule="exact"/>
        <w:rPr>
          <w:sz w:val="20"/>
          <w:szCs w:val="20"/>
          <w:color w:val="auto"/>
        </w:rPr>
      </w:pPr>
    </w:p>
    <w:p>
      <w:pPr>
        <w:ind w:right="440" w:firstLine="225"/>
        <w:spacing w:after="0" w:line="291" w:lineRule="auto"/>
        <w:rPr>
          <w:sz w:val="20"/>
          <w:szCs w:val="20"/>
          <w:color w:val="auto"/>
        </w:rPr>
      </w:pPr>
      <w:r>
        <w:rPr>
          <w:rFonts w:ascii="Arial" w:cs="Arial" w:eastAsia="Arial" w:hAnsi="Arial"/>
          <w:sz w:val="16"/>
          <w:szCs w:val="16"/>
          <w:color w:val="auto"/>
        </w:rPr>
        <w:t>During the second quarter of 2010, we extended the maturity of the revolving secured line of credit facility with a commercial bank syndicate from June 23, 2011 to June 22, 2012. The interest rate on borrowings under the facility was changed from the prime rate plus 1.0% or the Eurodollar rate plus</w:t>
      </w:r>
    </w:p>
    <w:p>
      <w:pPr>
        <w:ind w:right="280"/>
        <w:spacing w:after="0" w:line="261" w:lineRule="auto"/>
        <w:rPr>
          <w:sz w:val="20"/>
          <w:szCs w:val="20"/>
          <w:color w:val="auto"/>
        </w:rPr>
      </w:pPr>
      <w:r>
        <w:rPr>
          <w:rFonts w:ascii="Arial" w:cs="Arial" w:eastAsia="Arial" w:hAnsi="Arial"/>
          <w:sz w:val="18"/>
          <w:szCs w:val="18"/>
          <w:color w:val="auto"/>
        </w:rPr>
        <w:t>2.75%, at the Company’s option, to the prime rate plus 1.25% or the Eurodollar rate plus 2.25%, at the Company’s option. The floor on the Eurodollar rate decreased from 1.50%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0.75%. None of the financial covenants were modified. Additionally, during the third quarter of 2010, we increased the amount of the facility from $150.0 million to $170.0 million.</w:t>
      </w:r>
    </w:p>
    <w:p>
      <w:pPr>
        <w:spacing w:after="0" w:line="62"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Also during the second quarter of 2010, we extended the date on which our $325.0 million revolving secured warehouse facility will cease to revolve from August 23, 2010 to June 15, 2013. The interest rate on borrowings under the $325.0 million revolving secured warehouse facility was decreased from a floating rate equal to the commercial paper rate plus 5% to the commercial paper rate plus 3.5%. In addition, the agreement was modified to provide that in the event that the facility is not renewed and the borrower is in compliance with the terms and conditions of the agreement, any amounts outstanding will be repaid over time as the collections on the loans securing the facility are received.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second quarter of 2010, we commenced a tender offer to purchase up to 4.0 million shares of our outstanding common stock at a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$50.00 per share. Upon expiration of the tender offer during the third quarter of 2010, we repurchased 4.0 million common shares at a cost of $200.0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included approximately 2.9 million shares beneficially owned by Donald A. Foss, our Chairman of the Board, and approximately 0.8 million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beneficially owned by the trustee of certain grantor retained annuity trusts created by Mr. Foss. We financed the purchase of our securities in the tender offer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borrowing under our $170.0 million revolving secured line of credit facility and $325.0 million revolving secured warehouse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total future contractual obligations requiring repayments as of June 30, 2010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Less than</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More than</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color w:val="auto"/>
              </w:rPr>
              <w:t>(Dollars in thousands)</w:t>
            </w: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1 Year</w:t>
            </w:r>
          </w:p>
        </w:tc>
        <w:tc>
          <w:tcPr>
            <w:tcW w:w="3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13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3-5 Years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r>
      <w:tr>
        <w:trPr>
          <w:trHeight w:val="195"/>
        </w:trPr>
        <w:tc>
          <w:tcPr>
            <w:tcW w:w="3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Long-term debt, including current</w:t>
            </w:r>
          </w:p>
        </w:tc>
        <w:tc>
          <w:tcPr>
            <w:tcW w:w="72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and capital leases (1)</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$ 499,465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34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$ 177,726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63,640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$ 250,000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688</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142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(2)</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3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future obligations (3)</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7,859</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7,859</w:t>
            </w:r>
          </w:p>
        </w:tc>
      </w:tr>
      <w:tr>
        <w:trPr>
          <w:trHeight w:val="27"/>
        </w:trPr>
        <w:tc>
          <w:tcPr>
            <w:tcW w:w="3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contractual obligations (4)</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$ 512,058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10,340</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$ 180,077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63,782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$ 250,000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w:t>
            </w:r>
          </w:p>
        </w:tc>
      </w:tr>
      <w:tr>
        <w:trPr>
          <w:trHeight w:val="20"/>
        </w:trPr>
        <w:tc>
          <w:tcPr>
            <w:tcW w:w="3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Long-term debt obligations included in the above table consist solely of principal repayments. We are also obligated to make interest payments at the applicable interest rates, as discussed in Note 5 to the consolidated financial statements contained in Item 1 of this Form 10-Q, which is incorporated herein by reference. Based on the actual amounts outstanding under our revolving line of credit, our warehouse facilities, and our Senior Notes at June 30, 2010, the forecasted amounts outstanding on all other debt and the actual interest rates in effect as of June 30, 2010, interest is expected to be approximately $16.6 million during 2010; $32.6 million during 2011; and $132.9 million during 2012 and thereafter.</w:t>
      </w:r>
    </w:p>
    <w:p>
      <w:pPr>
        <w:spacing w:after="0" w:line="23"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 obligations consist solely of contractual obligations related to the information system needs.</w:t>
      </w:r>
    </w:p>
    <w:p>
      <w:pPr>
        <w:spacing w:after="0" w:line="7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future obligations included in the above table consist solely of reserves for uncertain tax positions. Payments are contingent upon examination and would occur in the periods in which the uncertain tax positions are settled.</w:t>
      </w:r>
    </w:p>
    <w:p>
      <w:pPr>
        <w:spacing w:after="0" w:line="21" w:lineRule="exact"/>
        <w:rPr>
          <w:rFonts w:ascii="Arial" w:cs="Arial" w:eastAsia="Arial" w:hAnsi="Arial"/>
          <w:sz w:val="18"/>
          <w:szCs w:val="18"/>
          <w:color w:val="auto"/>
        </w:rPr>
      </w:pPr>
    </w:p>
    <w:p>
      <w:pPr>
        <w:ind w:left="460" w:right="380" w:hanging="452"/>
        <w:spacing w:after="0" w:line="31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have contractual obligations to pay Dealer Holdback to our Dealer-Partners; however, as payments of Dealer Holdback are contingent upon the receipt of customer payments and the repayment of advances, these obligations are excluded from the table above. Additionally, we completed a $200.0 million tender offer on July 19, 2010 which is not reflected in this table as it was not an obligation as of June 30, 2010.</w:t>
      </w:r>
    </w:p>
    <w:p>
      <w:pPr>
        <w:spacing w:after="0" w:line="39" w:lineRule="exact"/>
        <w:rPr>
          <w:sz w:val="20"/>
          <w:szCs w:val="20"/>
          <w:color w:val="auto"/>
        </w:rPr>
      </w:pPr>
    </w:p>
    <w:p>
      <w:pPr>
        <w:jc w:val="both"/>
        <w:ind w:right="400" w:firstLine="225"/>
        <w:spacing w:after="0" w:line="312" w:lineRule="auto"/>
        <w:rPr>
          <w:sz w:val="20"/>
          <w:szCs w:val="20"/>
          <w:color w:val="auto"/>
        </w:rPr>
      </w:pPr>
      <w:r>
        <w:rPr>
          <w:rFonts w:ascii="Arial" w:cs="Arial" w:eastAsia="Arial" w:hAnsi="Arial"/>
          <w:sz w:val="16"/>
          <w:szCs w:val="16"/>
          <w:color w:val="auto"/>
        </w:rPr>
        <w:t>Based upon anticipated cash flows, management believes that cash flows from operations and its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 Item 7 of our Annual Report on Form 10-K for the year ended December 31, 2009 discusses several critical accounting estimates, which we believe involve a high degree of judgment and complexity. There have been no material changes to the estimates and assumptions associated with these accounting estimates from those discussed in our Annual Report on Form 10-K for the year ended December 31, 2009.</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Securities and Exchange Commission.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80"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2009, other risk factors discussed herein or listed from time to time in our reports filed with the Securities and Exchange Commission and the following:</w:t>
      </w:r>
    </w:p>
    <w:p>
      <w:pPr>
        <w:spacing w:after="0" w:line="85" w:lineRule="exact"/>
        <w:rPr>
          <w:sz w:val="20"/>
          <w:szCs w:val="20"/>
          <w:color w:val="auto"/>
        </w:rPr>
      </w:pPr>
    </w:p>
    <w:p>
      <w:pPr>
        <w:ind w:left="660" w:right="560" w:hanging="314"/>
        <w:spacing w:after="0" w:line="277"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may be unable to execute our business strategy due to current economic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terms of our debt limit how we conduct our business.</w:t>
      </w:r>
    </w:p>
    <w:p>
      <w:pPr>
        <w:spacing w:after="0" w:line="130" w:lineRule="exact"/>
        <w:rPr>
          <w:rFonts w:ascii="Arial" w:cs="Arial" w:eastAsia="Arial" w:hAnsi="Arial"/>
          <w:sz w:val="18"/>
          <w:szCs w:val="18"/>
          <w:b w:val="1"/>
          <w:bCs w:val="1"/>
          <w:color w:val="auto"/>
        </w:rPr>
      </w:pPr>
    </w:p>
    <w:p>
      <w:pPr>
        <w:ind w:left="660" w:right="440" w:hanging="314"/>
        <w:spacing w:after="0" w:line="342" w:lineRule="auto"/>
        <w:tabs>
          <w:tab w:leader="none" w:pos="66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660" w:right="680" w:hanging="314"/>
        <w:spacing w:after="0" w:line="277"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660" w:right="360" w:hanging="314"/>
        <w:spacing w:after="0" w:line="277"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130" w:lineRule="exact"/>
        <w:rPr>
          <w:rFonts w:ascii="Arial" w:cs="Arial" w:eastAsia="Arial" w:hAnsi="Arial"/>
          <w:sz w:val="18"/>
          <w:szCs w:val="18"/>
          <w:b w:val="1"/>
          <w:bCs w:val="1"/>
          <w:color w:val="auto"/>
        </w:rPr>
      </w:pPr>
    </w:p>
    <w:p>
      <w:pPr>
        <w:ind w:left="660" w:right="60" w:hanging="314"/>
        <w:spacing w:after="0" w:line="264"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Our operations are dependent on technology.</w:t>
      </w:r>
    </w:p>
    <w:p>
      <w:pPr>
        <w:spacing w:after="0" w:line="130"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concentration of our Dealer-Partners in several states could adversely affect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153" w:lineRule="exact"/>
        <w:rPr>
          <w:rFonts w:ascii="Arial" w:cs="Arial" w:eastAsia="Arial" w:hAnsi="Arial"/>
          <w:sz w:val="16"/>
          <w:szCs w:val="16"/>
          <w:b w:val="1"/>
          <w:bCs w:val="1"/>
          <w:color w:val="auto"/>
        </w:rPr>
      </w:pPr>
    </w:p>
    <w:p>
      <w:pPr>
        <w:ind w:left="660" w:right="120" w:hanging="314"/>
        <w:spacing w:after="0" w:line="277"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Reliance on our outsourced business functions could adversely affect our business.</w:t>
      </w:r>
    </w:p>
    <w:p>
      <w:pPr>
        <w:spacing w:after="0" w:line="130" w:lineRule="exact"/>
        <w:rPr>
          <w:rFonts w:ascii="Arial" w:cs="Arial" w:eastAsia="Arial" w:hAnsi="Arial"/>
          <w:sz w:val="18"/>
          <w:szCs w:val="18"/>
          <w:b w:val="1"/>
          <w:bCs w:val="1"/>
          <w:color w:val="auto"/>
        </w:rPr>
      </w:pPr>
    </w:p>
    <w:p>
      <w:pPr>
        <w:ind w:left="660" w:right="720" w:hanging="314"/>
        <w:spacing w:after="0" w:line="277"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Refer to our Annual Report on Form 10-K for the year ended December 31, 2009 for a complete discussion of our market risk. There have been no material changes to the market risk information included in our 2009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233"/>
        <w:spacing w:after="0" w:line="291" w:lineRule="auto"/>
        <w:tabs>
          <w:tab w:leader="none" w:pos="47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59" w:lineRule="exact"/>
        <w:rPr>
          <w:rFonts w:ascii="Arial" w:cs="Arial" w:eastAsia="Arial" w:hAnsi="Arial"/>
          <w:sz w:val="16"/>
          <w:szCs w:val="16"/>
          <w:color w:val="auto"/>
        </w:rPr>
      </w:pPr>
    </w:p>
    <w:p>
      <w:pPr>
        <w:ind w:right="60" w:firstLine="233"/>
        <w:spacing w:after="0" w:line="264"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Rules 13a-15(f) and 15d-15(f) under the Exchange Act) during the fiscal quarter to which this report relates that have materially affected, or are reasonably likely to materially affect, our internal control over financial reporting.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Index of Exhibits following the signature page, which is incorporated herein by reference.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CREDIT ACCEPTANCE CORPORATION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/s/ Kenneth S. Booth</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-130810</wp:posOffset>
            </wp:positionV>
            <wp:extent cx="28473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August 3, 2010</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40" w:type="dxa"/>
            <w:vAlign w:val="bottom"/>
          </w:tcPr>
          <w:p>
            <w:pPr>
              <w:ind w:left="314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964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1040" w:type="dxa"/>
            <w:vAlign w:val="bottom"/>
          </w:tcPr>
          <w:p>
            <w:pPr>
              <w:ind w:left="360"/>
              <w:spacing w:after="0" w:line="157" w:lineRule="exact"/>
              <w:rPr>
                <w:sz w:val="20"/>
                <w:szCs w:val="20"/>
                <w:color w:val="auto"/>
              </w:rPr>
            </w:pPr>
            <w:r>
              <w:rPr>
                <w:rFonts w:ascii="Arial" w:cs="Arial" w:eastAsia="Arial" w:hAnsi="Arial"/>
                <w:sz w:val="14"/>
                <w:szCs w:val="14"/>
                <w:b w:val="1"/>
                <w:bCs w:val="1"/>
                <w:color w:val="auto"/>
              </w:rPr>
              <w:t>No.</w:t>
            </w:r>
          </w:p>
        </w:tc>
        <w:tc>
          <w:tcPr>
            <w:tcW w:w="640" w:type="dxa"/>
            <w:vAlign w:val="bottom"/>
          </w:tcPr>
          <w:p>
            <w:pPr>
              <w:spacing w:after="0"/>
              <w:rPr>
                <w:sz w:val="13"/>
                <w:szCs w:val="13"/>
                <w:color w:val="auto"/>
              </w:rPr>
            </w:pPr>
          </w:p>
        </w:tc>
        <w:tc>
          <w:tcPr>
            <w:tcW w:w="9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4(f)(134)</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9640" w:type="dxa"/>
            <w:vAlign w:val="bottom"/>
          </w:tcPr>
          <w:p>
            <w:pPr>
              <w:ind w:left="220"/>
              <w:spacing w:after="0"/>
              <w:rPr>
                <w:sz w:val="20"/>
                <w:szCs w:val="20"/>
                <w:color w:val="auto"/>
              </w:rPr>
            </w:pPr>
            <w:r>
              <w:rPr>
                <w:rFonts w:ascii="Arial" w:cs="Arial" w:eastAsia="Arial" w:hAnsi="Arial"/>
                <w:sz w:val="18"/>
                <w:szCs w:val="18"/>
                <w:color w:val="auto"/>
                <w:w w:val="89"/>
              </w:rPr>
              <w:t>Tenth Amendment, dated as of June 9, 2010, to Fourth Amended and Restated Credit Agreement, dated February 7, 2006, between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40" w:type="dxa"/>
            <w:vAlign w:val="bottom"/>
          </w:tcPr>
          <w:p>
            <w:pPr>
              <w:ind w:left="220"/>
              <w:spacing w:after="0"/>
              <w:rPr>
                <w:sz w:val="20"/>
                <w:szCs w:val="20"/>
                <w:color w:val="auto"/>
              </w:rPr>
            </w:pPr>
            <w:r>
              <w:rPr>
                <w:rFonts w:ascii="Arial" w:cs="Arial" w:eastAsia="Arial" w:hAnsi="Arial"/>
                <w:sz w:val="18"/>
                <w:szCs w:val="18"/>
                <w:color w:val="auto"/>
                <w:w w:val="92"/>
              </w:rPr>
              <w:t>the Company, the Banks which are parties thereto from time to time, and Comerica Bank as Administrative Agent for the Banks.</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4(f)(135)</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9640" w:type="dxa"/>
            <w:vAlign w:val="bottom"/>
          </w:tcPr>
          <w:p>
            <w:pPr>
              <w:ind w:left="220"/>
              <w:spacing w:after="0"/>
              <w:rPr>
                <w:sz w:val="20"/>
                <w:szCs w:val="20"/>
                <w:color w:val="auto"/>
              </w:rPr>
            </w:pPr>
            <w:r>
              <w:rPr>
                <w:rFonts w:ascii="Arial" w:cs="Arial" w:eastAsia="Arial" w:hAnsi="Arial"/>
                <w:sz w:val="18"/>
                <w:szCs w:val="18"/>
                <w:color w:val="auto"/>
                <w:w w:val="91"/>
              </w:rPr>
              <w:t>Fourth Amended and Restated Loan and Security Agreement, dated as of June 16, 2010 among the Company, CAC Warehouse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40" w:type="dxa"/>
            <w:vAlign w:val="bottom"/>
          </w:tcPr>
          <w:p>
            <w:pPr>
              <w:ind w:left="220"/>
              <w:spacing w:after="0"/>
              <w:rPr>
                <w:sz w:val="20"/>
                <w:szCs w:val="20"/>
                <w:color w:val="auto"/>
              </w:rPr>
            </w:pPr>
            <w:r>
              <w:rPr>
                <w:rFonts w:ascii="Arial" w:cs="Arial" w:eastAsia="Arial" w:hAnsi="Arial"/>
                <w:sz w:val="18"/>
                <w:szCs w:val="18"/>
                <w:color w:val="auto"/>
                <w:w w:val="93"/>
              </w:rPr>
              <w:t>Funding Corporation II, Variable Funding Capital Company LLC, Wells Fargo Securities, LLC, and Wells Fargo Bank, National</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40" w:type="dxa"/>
            <w:vAlign w:val="bottom"/>
          </w:tcPr>
          <w:p>
            <w:pPr>
              <w:ind w:left="22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4(f)(136)</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9640" w:type="dxa"/>
            <w:vAlign w:val="bottom"/>
          </w:tcPr>
          <w:p>
            <w:pPr>
              <w:ind w:left="220"/>
              <w:spacing w:after="0"/>
              <w:rPr>
                <w:sz w:val="20"/>
                <w:szCs w:val="20"/>
                <w:color w:val="auto"/>
              </w:rPr>
            </w:pPr>
            <w:r>
              <w:rPr>
                <w:rFonts w:ascii="Arial" w:cs="Arial" w:eastAsia="Arial" w:hAnsi="Arial"/>
                <w:sz w:val="18"/>
                <w:szCs w:val="18"/>
                <w:color w:val="auto"/>
                <w:w w:val="90"/>
              </w:rPr>
              <w:t>Second Amended and Restated Contribution Agreement, dated as of June 16, 2010, between the Company and CAC Warehouse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40" w:type="dxa"/>
            <w:vAlign w:val="bottom"/>
          </w:tcPr>
          <w:p>
            <w:pPr>
              <w:ind w:left="220"/>
              <w:spacing w:after="0"/>
              <w:rPr>
                <w:sz w:val="20"/>
                <w:szCs w:val="20"/>
                <w:color w:val="auto"/>
              </w:rPr>
            </w:pPr>
            <w:r>
              <w:rPr>
                <w:rFonts w:ascii="Arial" w:cs="Arial" w:eastAsia="Arial" w:hAnsi="Arial"/>
                <w:sz w:val="18"/>
                <w:szCs w:val="18"/>
                <w:color w:val="auto"/>
              </w:rPr>
              <w:t>Funding Corporation II.</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31(a)</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96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31(b)</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96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32(a)</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9640" w:type="dxa"/>
            <w:vAlign w:val="bottom"/>
          </w:tcPr>
          <w:p>
            <w:pPr>
              <w:ind w:left="2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40" w:type="dxa"/>
            <w:vAlign w:val="bottom"/>
          </w:tcPr>
          <w:p>
            <w:pPr>
              <w:ind w:left="22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32(b)</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9640" w:type="dxa"/>
            <w:vAlign w:val="bottom"/>
          </w:tcPr>
          <w:p>
            <w:pPr>
              <w:ind w:left="2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40" w:type="dxa"/>
            <w:vAlign w:val="bottom"/>
          </w:tcPr>
          <w:p>
            <w:pPr>
              <w:ind w:left="22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June 9, 2010, and incorporated herein by reference,</w:t>
      </w:r>
    </w:p>
    <w:p>
      <w:pPr>
        <w:spacing w:after="0" w:line="130" w:lineRule="exact"/>
        <w:rPr>
          <w:rFonts w:ascii="Arial" w:cs="Arial" w:eastAsia="Arial" w:hAnsi="Arial"/>
          <w:sz w:val="18"/>
          <w:szCs w:val="18"/>
          <w:color w:val="auto"/>
        </w:rPr>
      </w:pPr>
    </w:p>
    <w:p>
      <w:pPr>
        <w:ind w:right="1140"/>
        <w:spacing w:after="0" w:line="418" w:lineRule="auto"/>
        <w:rPr>
          <w:rFonts w:ascii="Arial" w:cs="Arial" w:eastAsia="Arial" w:hAnsi="Arial"/>
          <w:sz w:val="18"/>
          <w:szCs w:val="18"/>
          <w:color w:val="auto"/>
        </w:rPr>
      </w:pPr>
      <w:r>
        <w:rPr>
          <w:rFonts w:ascii="Arial" w:cs="Arial" w:eastAsia="Arial" w:hAnsi="Arial"/>
          <w:sz w:val="18"/>
          <w:szCs w:val="18"/>
          <w:color w:val="auto"/>
        </w:rPr>
        <w:t>2 Previously filed as an exhibit to the Company’s Current Report on Form 8-K, dated June 18, 2010, and incorporated herein by reference, 3 Filed herewith.</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1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4(f)(136)”</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103" w:lineRule="exact"/>
        <w:rPr>
          <w:sz w:val="20"/>
          <w:szCs w:val="20"/>
          <w:color w:val="auto"/>
        </w:rPr>
      </w:pPr>
    </w:p>
    <w:p>
      <w:pPr>
        <w:ind w:right="660" w:firstLine="222"/>
        <w:spacing w:after="0" w:line="264" w:lineRule="auto"/>
        <w:rPr>
          <w:sz w:val="20"/>
          <w:szCs w:val="20"/>
          <w:color w:val="auto"/>
        </w:rPr>
      </w:pPr>
      <w:r>
        <w:rPr>
          <w:rFonts w:ascii="Arial" w:cs="Arial" w:eastAsia="Arial" w:hAnsi="Arial"/>
          <w:sz w:val="18"/>
          <w:szCs w:val="18"/>
          <w:color w:val="auto"/>
        </w:rPr>
        <w:t>This SECOND AMENDED AND RESTATED CONTRIBUTION AGREEMENT, dated as of June 16, 2010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between CREDIT ACCEPTANCE CORPORATION, a Michigan corporation (“</w:t>
      </w:r>
      <w:r>
        <w:rPr>
          <w:rFonts w:ascii="Arial" w:cs="Arial" w:eastAsia="Arial" w:hAnsi="Arial"/>
          <w:sz w:val="18"/>
          <w:szCs w:val="18"/>
          <w:u w:val="single" w:color="auto"/>
          <w:color w:val="auto"/>
        </w:rPr>
        <w:t>CAC</w:t>
      </w:r>
      <w:r>
        <w:rPr>
          <w:rFonts w:ascii="Arial" w:cs="Arial" w:eastAsia="Arial" w:hAnsi="Arial"/>
          <w:sz w:val="18"/>
          <w:szCs w:val="18"/>
          <w:color w:val="auto"/>
        </w:rPr>
        <w:t>”) and CAC WAREHOUSE FUNDING CORPORATION II, a Nevada corporation (“</w:t>
      </w:r>
      <w:r>
        <w:rPr>
          <w:rFonts w:ascii="Arial" w:cs="Arial" w:eastAsia="Arial" w:hAnsi="Arial"/>
          <w:sz w:val="18"/>
          <w:szCs w:val="18"/>
          <w:u w:val="single" w:color="auto"/>
          <w:color w:val="auto"/>
        </w:rPr>
        <w:t>Funding</w:t>
      </w:r>
      <w:r>
        <w:rPr>
          <w:rFonts w:ascii="Arial" w:cs="Arial" w:eastAsia="Arial" w:hAnsi="Arial"/>
          <w:sz w:val="18"/>
          <w:szCs w:val="18"/>
          <w:color w:val="auto"/>
        </w:rPr>
        <w:t>”).</w:t>
      </w:r>
    </w:p>
    <w:p>
      <w:pPr>
        <w:spacing w:after="0" w:line="73"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CAC and Funding entered into a First Amended and Restated Contribution Agreement dated as of August 31, 2007, and desire to amend such First Amended and Restated Contribution Agreement in its entirety as provided herein.</w:t>
      </w:r>
    </w:p>
    <w:p>
      <w:pPr>
        <w:spacing w:after="0" w:line="62"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Funding desires to acquire from time to time certain Loans and related rights and collateral, including certain of CAC’s rights in any related Dealer Agreements and Purchase Agreements, all of the related Contracts, and the Collections (other than Dealer Collections) derived therefrom during the full term of this Agreement, and CAC desires to transfer, convey and assign from time to time such Loans and related property to Funding upon the terms and conditions hereinafter set forth. CAC has also agreed to service the Loans and related property to be transferred, conveyed and assigned to Funding.</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consideration of the premises and the mutual agreements set forth herein, it is hereby agreed by and between CAC and Funding as follows: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03"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used herein shall have the meanings specified herein or, if not so specified, the meaning specified in, or incorporated by reference into the Loan and Security Agreement and shall include in the singular number the plural and in the plural number the singular:</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Conveyed Property</w:t>
      </w:r>
      <w:r>
        <w:rPr>
          <w:rFonts w:ascii="Arial" w:cs="Arial" w:eastAsia="Arial" w:hAnsi="Arial"/>
          <w:sz w:val="18"/>
          <w:szCs w:val="18"/>
          <w:color w:val="auto"/>
        </w:rPr>
        <w:t>” means the Initial Contributed Property and the Subsequent Conveyed Property.</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Contributed Property</w:t>
      </w:r>
      <w:r>
        <w:rPr>
          <w:rFonts w:ascii="Arial" w:cs="Arial" w:eastAsia="Arial" w:hAnsi="Arial"/>
          <w:sz w:val="18"/>
          <w:szCs w:val="18"/>
          <w:color w:val="auto"/>
        </w:rPr>
        <w:t>” means (i) Loans listed on Exhibit A hereto delivered to the Servicer, the Collateral Agent and the Backup Servicer on the Initial Funding Date and (ii) all Related Security with respect thereto.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Funding Date</w:t>
      </w:r>
      <w:r>
        <w:rPr>
          <w:rFonts w:ascii="Arial" w:cs="Arial" w:eastAsia="Arial" w:hAnsi="Arial"/>
          <w:sz w:val="18"/>
          <w:szCs w:val="18"/>
          <w:color w:val="auto"/>
        </w:rPr>
        <w:t>” means September 30, 2003.</w:t>
      </w:r>
    </w:p>
    <w:p>
      <w:pPr>
        <w:spacing w:after="0" w:line="117"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and Security Agreement</w:t>
      </w:r>
      <w:r>
        <w:rPr>
          <w:rFonts w:ascii="Arial" w:cs="Arial" w:eastAsia="Arial" w:hAnsi="Arial"/>
          <w:sz w:val="17"/>
          <w:szCs w:val="17"/>
          <w:color w:val="auto"/>
        </w:rPr>
        <w:t>” shall mean the Fourth Amended and Restated Loan and Security Agreement dated as of June 16, 2010 among Funding, CAC, the Investors named therein, the CP Conduits named therein, Wells Fargo Securities, LLC, as the Deal Agent, Wells Fargo Bank, National Association as the Liquidity Agent, the other Liquidity Agents named therein, and Wells Fargo Bank, National Association as the Backup Servicer and the Collateral Agent, as such agreement may be amended, modified or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Security</w:t>
      </w:r>
      <w:r>
        <w:rPr>
          <w:rFonts w:ascii="Arial" w:cs="Arial" w:eastAsia="Arial" w:hAnsi="Arial"/>
          <w:sz w:val="18"/>
          <w:szCs w:val="18"/>
          <w:color w:val="auto"/>
        </w:rPr>
        <w:t>” With respect to any Loan all of CAC’s interest in:</w:t>
      </w:r>
    </w:p>
    <w:p>
      <w:pPr>
        <w:spacing w:after="0" w:line="117" w:lineRule="exact"/>
        <w:rPr>
          <w:sz w:val="20"/>
          <w:szCs w:val="20"/>
          <w:color w:val="auto"/>
        </w:rPr>
      </w:pPr>
    </w:p>
    <w:p>
      <w:pPr>
        <w:jc w:val="both"/>
        <w:ind w:right="240" w:firstLine="458"/>
        <w:spacing w:after="0" w:line="264"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Dealer Agreements (other than Excluded Dealer Agreement Rights, but including CAC’s rights to service the Loans and the related Contracts and receive the related collection fee and receive reimbursement of certain recovery expenses, in accordance with the terms of the Dealer Agreements) and Contracts securing payment of such Loan;</w:t>
      </w:r>
    </w:p>
    <w:p>
      <w:pPr>
        <w:spacing w:after="0" w:line="73" w:lineRule="exact"/>
        <w:rPr>
          <w:rFonts w:ascii="Arial" w:cs="Arial" w:eastAsia="Arial" w:hAnsi="Arial"/>
          <w:sz w:val="18"/>
          <w:szCs w:val="18"/>
          <w:color w:val="auto"/>
        </w:rPr>
      </w:pPr>
    </w:p>
    <w:p>
      <w:pPr>
        <w:ind w:firstLine="458"/>
        <w:spacing w:after="0" w:line="264" w:lineRule="auto"/>
        <w:tabs>
          <w:tab w:leader="none" w:pos="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spacing w:after="0" w:line="73" w:lineRule="exact"/>
        <w:rPr>
          <w:rFonts w:ascii="Arial" w:cs="Arial" w:eastAsia="Arial" w:hAnsi="Arial"/>
          <w:sz w:val="18"/>
          <w:szCs w:val="18"/>
          <w:color w:val="auto"/>
        </w:rPr>
      </w:pPr>
    </w:p>
    <w:p>
      <w:pPr>
        <w:ind w:right="60" w:firstLine="458"/>
        <w:spacing w:after="0" w:line="264" w:lineRule="auto"/>
        <w:tabs>
          <w:tab w:leader="none" w:pos="7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guarantees, insurance (including insurance insuring the priority of perfection of any lien) or other agreements or arrangements of any kind from time to time supporting or securing payment of each Contract whether pursuant to such Contract or otherwise; including any of the foregoing relating to any Contract securing payment of such Loan;</w:t>
      </w:r>
    </w:p>
    <w:p>
      <w:pPr>
        <w:spacing w:after="0" w:line="73" w:lineRule="exact"/>
        <w:rPr>
          <w:rFonts w:ascii="Arial" w:cs="Arial" w:eastAsia="Arial" w:hAnsi="Arial"/>
          <w:sz w:val="18"/>
          <w:szCs w:val="18"/>
          <w:color w:val="auto"/>
        </w:rPr>
      </w:pPr>
    </w:p>
    <w:p>
      <w:pPr>
        <w:ind w:left="760" w:hanging="30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CAC’s interests in all Records, documents and writing evidencing or related to such Loan;</w:t>
      </w:r>
    </w:p>
    <w:p>
      <w:pPr>
        <w:spacing w:after="0" w:line="117" w:lineRule="exact"/>
        <w:rPr>
          <w:rFonts w:ascii="Arial" w:cs="Arial" w:eastAsia="Arial" w:hAnsi="Arial"/>
          <w:sz w:val="18"/>
          <w:szCs w:val="18"/>
          <w:color w:val="auto"/>
        </w:rPr>
      </w:pPr>
    </w:p>
    <w:p>
      <w:pPr>
        <w:ind w:right="240" w:firstLine="458"/>
        <w:spacing w:after="0" w:line="277"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Collections (other than Dealer Collections), the Collection Account, the Reserve Account, and all amounts on deposit therein and investments thereof; and</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Proceeds of each of the foregoing.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avoidance of doubt, the term “Related Security” with respect to any Dealer Loan includes all rights arising after the end of the Revolving Period under such Dealer Loan which rights are attributable to advances made under such Dealer Loan as the result of Contracts being added after the last date of the last full Collection Period during the Revolving Period to the identifiable group of Dealer Loan Contracts to which such Loan relates.</w:t>
      </w:r>
    </w:p>
    <w:p>
      <w:pPr>
        <w:spacing w:after="0" w:line="5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Conveyed Property</w:t>
      </w:r>
      <w:r>
        <w:rPr>
          <w:rFonts w:ascii="Arial" w:cs="Arial" w:eastAsia="Arial" w:hAnsi="Arial"/>
          <w:sz w:val="18"/>
          <w:szCs w:val="18"/>
          <w:color w:val="auto"/>
        </w:rPr>
        <w:t>” means, with respect to the date of any Incremental Funding, (i) the Loans added to Exhibit A hereto as of the date of such Incremental Funding and (ii) all Related Security with respect thereto.</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Terms</w:t>
      </w:r>
      <w:r>
        <w:rPr>
          <w:rFonts w:ascii="Arial" w:cs="Arial" w:eastAsia="Arial" w:hAnsi="Arial"/>
          <w:sz w:val="18"/>
          <w:szCs w:val="18"/>
          <w:color w:val="auto"/>
        </w:rPr>
        <w:t>. All accounting terms not specifically defined herein shall be construed in accordance with GAAP. All terms used in Article 9 of the UCC, and not specifically defined herein, are used herein as defined in such Article 9.</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Unless otherwise stated in this Agreement, in the computation of a period of time from a specified date to a later specified date, the word “from” means “from and including” and the words “to” and “until” each means “to but excluding.”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CONTRIBUTION AND SERVICING OF LOANS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Contribution and Sale of Loans</w:t>
      </w:r>
      <w:r>
        <w:rPr>
          <w:rFonts w:ascii="Arial" w:cs="Arial" w:eastAsia="Arial" w:hAnsi="Arial"/>
          <w:sz w:val="18"/>
          <w:szCs w:val="18"/>
          <w:color w:val="auto"/>
        </w:rPr>
        <w:t>.</w:t>
      </w:r>
    </w:p>
    <w:p>
      <w:pPr>
        <w:spacing w:after="0" w:line="117" w:lineRule="exact"/>
        <w:rPr>
          <w:sz w:val="20"/>
          <w:szCs w:val="20"/>
          <w:color w:val="auto"/>
        </w:rPr>
      </w:pPr>
    </w:p>
    <w:p>
      <w:pPr>
        <w:ind w:right="260" w:firstLine="233"/>
        <w:spacing w:after="0" w:line="277" w:lineRule="auto"/>
        <w:tabs>
          <w:tab w:leader="none" w:pos="4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consideration of the payments described in Section 3.1, effective as of the Initial Funding Date, CAC did convey, assign, sell and transfer without recourse, except as set forth herein, to Funding all of its right, title and interest in and to the Initial Contributed Property.</w:t>
      </w:r>
    </w:p>
    <w:p>
      <w:pPr>
        <w:spacing w:after="0" w:line="62" w:lineRule="exact"/>
        <w:rPr>
          <w:rFonts w:ascii="Arial" w:cs="Arial" w:eastAsia="Arial" w:hAnsi="Arial"/>
          <w:sz w:val="18"/>
          <w:szCs w:val="18"/>
          <w:color w:val="auto"/>
        </w:rPr>
      </w:pPr>
    </w:p>
    <w:p>
      <w:pPr>
        <w:ind w:firstLine="233"/>
        <w:spacing w:after="0" w:line="259"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CAC hereby further agrees that on the date of each Incremental Funding during the Revolving Period, in consideration of the payment described in Section 3.1 with respect to the date of such Incremental Funding, CAC shall and CAC does hereby agree to, convey, assign, sell and transfer without recourse, except as set forth in this Agreement, to Funding all of its right, title and interest in and to the Subsequent Conveyed Property with respect to the date of such Incremental Funding.</w:t>
      </w:r>
    </w:p>
    <w:p>
      <w:pPr>
        <w:spacing w:after="0" w:line="78" w:lineRule="exact"/>
        <w:rPr>
          <w:rFonts w:ascii="Arial" w:cs="Arial" w:eastAsia="Arial" w:hAnsi="Arial"/>
          <w:sz w:val="18"/>
          <w:szCs w:val="18"/>
          <w:color w:val="auto"/>
        </w:rPr>
      </w:pPr>
    </w:p>
    <w:p>
      <w:pPr>
        <w:ind w:right="100" w:firstLine="233"/>
        <w:spacing w:after="0" w:line="279" w:lineRule="auto"/>
        <w:tabs>
          <w:tab w:leader="none" w:pos="47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CAC hereby further agrees that the above-described conveyances shall, without the need for any further action on the part of CAC or Funding, include all rights arising after the end of the Revolving Period under any Dealer Loan included in the Initial Contributed Property or Subsequent Conveyed Property which rights are attributable to advances made under such Loans as the result of Dealer Loan Contracts being added after the last day of the last full Collection Period during the Revolving Period to the identifiable group of Dealer Loan Contracts to which such Dealer Loan relates.</w:t>
      </w:r>
    </w:p>
    <w:p>
      <w:pPr>
        <w:spacing w:after="0" w:line="63" w:lineRule="exact"/>
        <w:rPr>
          <w:rFonts w:ascii="Arial" w:cs="Arial" w:eastAsia="Arial" w:hAnsi="Arial"/>
          <w:sz w:val="17"/>
          <w:szCs w:val="17"/>
          <w:color w:val="auto"/>
        </w:rPr>
      </w:pPr>
    </w:p>
    <w:p>
      <w:pPr>
        <w:ind w:right="360" w:firstLine="233"/>
        <w:spacing w:after="0" w:line="264"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such contribution, sale, assignment, transfer and conveyance does not constitute an assumption by Funding of any obligations of CAC or any other Person to Obligors or to any other Person in connection with the Loans or under any Contract, Dealer Agreement, Purchase Agreement or other agreement and instrument relating to the Loans.</w:t>
      </w:r>
    </w:p>
    <w:p>
      <w:pPr>
        <w:spacing w:after="0" w:line="73" w:lineRule="exact"/>
        <w:rPr>
          <w:rFonts w:ascii="Arial" w:cs="Arial" w:eastAsia="Arial" w:hAnsi="Arial"/>
          <w:sz w:val="18"/>
          <w:szCs w:val="18"/>
          <w:color w:val="auto"/>
        </w:rPr>
      </w:pPr>
    </w:p>
    <w:p>
      <w:pPr>
        <w:ind w:right="160" w:firstLine="233"/>
        <w:spacing w:after="0" w:line="302" w:lineRule="auto"/>
        <w:tabs>
          <w:tab w:leader="none" w:pos="47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connection with any such foregoing conveyance, CAC agrees to record and file on or prior to the Initial Funding Date, at its own expense, a financing statement or statements with respect to the Conveyed Property conveyed by CAC hereunder meeting the requirements of applicable state law in such manner and in such jurisdictions as are necessary to perfect the interests of Funding created hereby, and to deliver either the originals of such financing statements or a file-stamped copy of such financing statements or other evidence of such filings to Funding on or before the Initial Funding Date.</w:t>
      </w:r>
    </w:p>
    <w:p>
      <w:pPr>
        <w:spacing w:after="0" w:line="46" w:lineRule="exact"/>
        <w:rPr>
          <w:rFonts w:ascii="Arial" w:cs="Arial" w:eastAsia="Arial" w:hAnsi="Arial"/>
          <w:sz w:val="16"/>
          <w:szCs w:val="16"/>
          <w:color w:val="auto"/>
        </w:rPr>
      </w:pPr>
    </w:p>
    <w:p>
      <w:pPr>
        <w:ind w:firstLine="233"/>
        <w:spacing w:after="0" w:line="257"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Conveyed Property purchased hereunder or to enable Funding to exercise or enforce any of its rights hereunder. CAC shall, upon request of Funding, obtain such additional search reports as Funding shall request. To the fullest extent permitted by applicable law, Funding shall be authorized and permitted to file continuation statements and amendments to financing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and assignments thereof to preserve and protect its right, title and interest in, to and under the Conveyed Property.</w:t>
      </w:r>
    </w:p>
    <w:p>
      <w:pPr>
        <w:spacing w:after="0" w:line="117" w:lineRule="exact"/>
        <w:rPr>
          <w:sz w:val="20"/>
          <w:szCs w:val="20"/>
          <w:color w:val="auto"/>
        </w:rPr>
      </w:pPr>
    </w:p>
    <w:p>
      <w:pPr>
        <w:ind w:right="60" w:firstLine="233"/>
        <w:spacing w:after="0" w:line="287" w:lineRule="auto"/>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It is the express intent of CAC and Funding that the conveyance of the Loans and other Conveyed Property by CAC to Funding pursuant to this Agreement be construed as a absolute sale and contribution of such Loans and other Conveyed Property by CAC to Funding and that CAC relinquishes all title and control over the Loans upon the transfer of each such Loan under this Agreement (except to the extent CAC acts as the Servicer of the Loans). Further, it is not the intention of CAC and Funding that such conveyance be deemed a grant of a security interest in the Loans and other Conveyed Property by CAC to Funding in the nature of a consensual lien securing an obligation. However, in the event that, notwithstanding the express intent of the parties, the Loans and other Conveyed Property are construed to constitute property of CAC, then (i) this Agreement also shall be deemed to be, and hereby is, a security agreement within the meaning of the UCC as enacted in the State of New York; and (ii) the conveyance by CAC provided for in this Agreement shall be deemed to be, and CAC hereby grants to Funding, a security interest in, to and under all of CAC’s right, title and interest in, to and under the Conveyed Property, to secure the rights of Funding set forth in this Agreement or as may be determined in connection therewith by applicable law. CAC and Funding shall, to the extent consistent with this Agreement, take such actions as may be necessary to ensure that, if this Agreement were deemed to create a security interest in the Loans and other Conveyed Property, such security interest would be a perfected security interest in favor of Funding under applicable law and will be maintained as such throughout the term of this Agreement.</w:t>
      </w:r>
    </w:p>
    <w:p>
      <w:pPr>
        <w:spacing w:after="0" w:line="60" w:lineRule="exact"/>
        <w:rPr>
          <w:rFonts w:ascii="Arial" w:cs="Arial" w:eastAsia="Arial" w:hAnsi="Arial"/>
          <w:sz w:val="16"/>
          <w:szCs w:val="16"/>
          <w:color w:val="auto"/>
        </w:rPr>
      </w:pPr>
    </w:p>
    <w:p>
      <w:pPr>
        <w:ind w:firstLine="233"/>
        <w:spacing w:after="0" w:line="271"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connection with such conveyance, CAC agrees to deliver to Funding on the Initial Funding Date, one or more computer files or microfiche lists containing true and complete lists of all applicable Dealer Agreements and Loans conveyed to Funding on the Initial Funding Date, and all Contracts securing all such Loans, identified by, as applicable, account number, dealer number and pool number. Such file or list shall be marked as Exhibit A to this Agreement, shall be delivered to Funding as confidential and proprietary, and is hereby incorporated into and made a part of this Agreement. Such list and such Exhibit A shall be supplemented and updated by lists delivered by CAC to Funding on the date of each Incremental Funding in the Revolving Period describing all Conveyed Property conveyed on the date of each such Incremental Funding so that, on each such date, Funding will have an aggregate list constituting Exhibit A that describes all Loans conveyed by CAC to Funding hereunder on or prior to said date of Incremental Funding, any related Dealer Agreements, Purchase Agreements and all Contracts relating to such Loans.</w:t>
      </w:r>
    </w:p>
    <w:p>
      <w:pPr>
        <w:spacing w:after="0" w:line="70" w:lineRule="exact"/>
        <w:rPr>
          <w:rFonts w:ascii="Arial" w:cs="Arial" w:eastAsia="Arial" w:hAnsi="Arial"/>
          <w:sz w:val="17"/>
          <w:szCs w:val="17"/>
          <w:color w:val="auto"/>
        </w:rPr>
      </w:pPr>
    </w:p>
    <w:p>
      <w:pPr>
        <w:jc w:val="both"/>
        <w:ind w:right="60" w:firstLine="233"/>
        <w:spacing w:after="0" w:line="257"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CAC will reflect the transactions described in paragraph (a) of this Section 2.1 on its internal non-consolidated financial statements and on its non-consolidated state tax returns as a sale or other absolute transfer of the Loans from CAC to Funding, even though CAC will reflect this transaction on its consolidated financial statements as an “on-balance sheet” item in accordance with generally accepted accounting principles. CAC will present the data in its consolidated financial statements with an accompanying footnote describing Funding’s separate existence and stating that such item is a financing secured by the Loans and is non-recourse to CAC.</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ind w:firstLine="225"/>
        <w:spacing w:after="0" w:line="293"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Servicing of Loans</w:t>
      </w:r>
      <w:r>
        <w:rPr>
          <w:rFonts w:ascii="Arial" w:cs="Arial" w:eastAsia="Arial" w:hAnsi="Arial"/>
          <w:sz w:val="16"/>
          <w:szCs w:val="16"/>
          <w:color w:val="auto"/>
        </w:rPr>
        <w:t>. The servicing, administering and collection of the Loans shall be conducted by the Servicer, which hereby agrees to perform, take or cause to be taken all such action as may be necessary or advisable to collect each Loan from time to time, all in accordance with applicable laws, rules and regulations and with the care and diligence which the Servicer employs in servicing similar loans for its own account, in accordance with the Credit Guidelines and the Collection Guidelines. Funding hereby appoints the Servicer as its agent to enforce Funding’s and any Assignee’s rights and interests in, to and under the Loans, the Related Security, the Collections, and the other Conveyed Property. The Servicer shall hold in trust for Funding and any Assignees, in accordance with its interests, all Records which evidence or relate to the Loans, Related Security, Collections and other Conveyed Property.</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CONSIDERATION AND PAYMENT; LOANS</w:t>
      </w:r>
    </w:p>
    <w:p>
      <w:pPr>
        <w:spacing w:after="0" w:line="103"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The consideration for the Loans and other Conveyed Property conveyed on the Initial Funding Date to Funding by CAC under this Agreement shall be an amount equal to (i) the net cash proceeds of each advance to Funding under the Loan and Security Agreement used by Funding to purchase the Loans and other Conveyed Property conveyed on the Initial Funding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value attributable to CAC’s common stock in Funding (which constitutes and will constitute all of the equity interests issued by Funding) as a result of the coveyance of such Loans and other Conveyed Property. Thereafter, on the date of each Incremental Funding in the Revolving Period, the consideration for the Loans and other Conveyed Property conveyed on the date of such Incremental Funding will equal the Outstanding Balance of the Loans conveyed less the Loan Loss Reserve in each case as in effect as of the date of such Incremental Funding. Such consideration shall be payable (i) in cash in the amount of the net cash proceeds of each Incremental Funding under the Loan and Security Agreement used by Funding to purchase the Loans and other Conveyed Property conveyed on the date of such Incremental Funding,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increase in the value attributable to CAC’s common stock in Funding (which constitutes and will constitute all of the equity interests issued by Funding) as a result of the coveyance of such Loans and other Conveyed Property.</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CAC represents and warrants to Funding as of the Closing Date, the Initial Funding Date and the date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Incremental Funding during the Revolving Period, that:</w:t>
      </w:r>
    </w:p>
    <w:p>
      <w:pPr>
        <w:spacing w:after="0" w:line="103" w:lineRule="exact"/>
        <w:rPr>
          <w:sz w:val="20"/>
          <w:szCs w:val="20"/>
          <w:color w:val="auto"/>
        </w:rPr>
      </w:pPr>
    </w:p>
    <w:p>
      <w:pPr>
        <w:ind w:right="200" w:firstLine="233"/>
        <w:spacing w:after="0" w:line="259" w:lineRule="auto"/>
        <w:tabs>
          <w:tab w:leader="none" w:pos="47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CAC is duly organized and is validly existing as a corporation in good standing under the laws of the State of Michigan, with power and authority to own its properties and to conduct its business as such properties are currently owned and such business is presently conducted, and has and had at all relevant times, full power, authority, and legal right to acquire, own, sell, and service the Loans and the related Contracts, and to perform its obligations under the Transaction Documents.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5" w:name="page46"/>
    <w:bookmarkEnd w:id="45"/>
    <w:p>
      <w:pPr>
        <w:ind w:right="220" w:firstLine="233"/>
        <w:spacing w:after="0" w:line="286" w:lineRule="auto"/>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Due Qualification</w:t>
      </w:r>
      <w:r>
        <w:rPr>
          <w:rFonts w:ascii="Arial" w:cs="Arial" w:eastAsia="Arial" w:hAnsi="Arial"/>
          <w:sz w:val="17"/>
          <w:szCs w:val="17"/>
          <w:color w:val="auto"/>
        </w:rPr>
        <w:t>. CAC is duly qualified to do business as a foreign corporation in good standing, and has obtained all necessary licenses and approvals in all jurisdictions in which the ownership or lease of property or the conduct of its business, including the servicing of the Loans and the related Contracts as required by this Agreement, requires such qualifications except where such failure will not have a Material Adverse Effect.</w:t>
      </w:r>
    </w:p>
    <w:p>
      <w:pPr>
        <w:spacing w:after="0" w:line="57" w:lineRule="exact"/>
        <w:rPr>
          <w:rFonts w:ascii="Arial" w:cs="Arial" w:eastAsia="Arial" w:hAnsi="Arial"/>
          <w:sz w:val="17"/>
          <w:szCs w:val="17"/>
          <w:color w:val="auto"/>
        </w:rPr>
      </w:pPr>
    </w:p>
    <w:p>
      <w:pPr>
        <w:ind w:firstLine="233"/>
        <w:spacing w:after="0" w:line="264" w:lineRule="auto"/>
        <w:tabs>
          <w:tab w:leader="none" w:pos="4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Power and Authority</w:t>
      </w:r>
      <w:r>
        <w:rPr>
          <w:rFonts w:ascii="Arial" w:cs="Arial" w:eastAsia="Arial" w:hAnsi="Arial"/>
          <w:sz w:val="18"/>
          <w:szCs w:val="18"/>
          <w:color w:val="auto"/>
        </w:rPr>
        <w:t>. CAC has the power and authority to execute and deliver this Agreement and the other Transaction Documents to which it is a party and to carry out their respective terms; and the execution, delivery, and performance of this Agreement and the other Transaction Documents to which it is a party have been duly authorized by CAC by all necessary corporate action.</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Valid Sale; Binding Obligations</w:t>
      </w:r>
      <w:r>
        <w:rPr>
          <w:rFonts w:ascii="Arial" w:cs="Arial" w:eastAsia="Arial" w:hAnsi="Arial"/>
          <w:sz w:val="17"/>
          <w:szCs w:val="17"/>
          <w:color w:val="auto"/>
        </w:rPr>
        <w:t>. This Agreement evidences a valid sale, transfer, and assignment of the Conveyed Property enforceable against</w:t>
      </w:r>
    </w:p>
    <w:p>
      <w:pPr>
        <w:spacing w:after="0" w:line="34" w:lineRule="exact"/>
        <w:rPr>
          <w:rFonts w:ascii="Arial" w:cs="Arial" w:eastAsia="Arial" w:hAnsi="Arial"/>
          <w:sz w:val="17"/>
          <w:szCs w:val="17"/>
          <w:color w:val="auto"/>
        </w:rPr>
      </w:pPr>
    </w:p>
    <w:p>
      <w:pPr>
        <w:spacing w:after="0" w:line="277" w:lineRule="auto"/>
        <w:rPr>
          <w:rFonts w:ascii="Arial" w:cs="Arial" w:eastAsia="Arial" w:hAnsi="Arial"/>
          <w:sz w:val="17"/>
          <w:szCs w:val="17"/>
          <w:color w:val="auto"/>
        </w:rPr>
      </w:pPr>
      <w:r>
        <w:rPr>
          <w:rFonts w:ascii="Arial" w:cs="Arial" w:eastAsia="Arial" w:hAnsi="Arial"/>
          <w:sz w:val="17"/>
          <w:szCs w:val="17"/>
          <w:color w:val="auto"/>
        </w:rPr>
        <w:t>creditors of and purchasers from CAC; and this Agreement and the other Transaction Documents to which CAC is a party constitute legal, valid and binding obligations of CAC enforceable in accordance with their terms, subject to the effects of bankruptcy, insolvency, reorganization, or other similar laws affecting the enforcement of creditors’ or secured creditors’ rights generally and to general principles of equity.</w:t>
      </w:r>
    </w:p>
    <w:p>
      <w:pPr>
        <w:spacing w:after="0" w:line="65" w:lineRule="exact"/>
        <w:rPr>
          <w:rFonts w:ascii="Arial" w:cs="Arial" w:eastAsia="Arial" w:hAnsi="Arial"/>
          <w:sz w:val="17"/>
          <w:szCs w:val="17"/>
          <w:color w:val="auto"/>
        </w:rPr>
      </w:pPr>
    </w:p>
    <w:p>
      <w:pPr>
        <w:ind w:right="60" w:firstLine="233"/>
        <w:spacing w:after="0" w:line="255" w:lineRule="auto"/>
        <w:tabs>
          <w:tab w:leader="none" w:pos="4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consummation of the transactions contemplated by this Agreement and the other Transaction Documents to which it is a party and the fulfillment of the terms hereof and thereof do not conflict with, result in any breach of any of the terms and provisions of, or constitute (with or without notice or lapse of time) a default under, the Articles of Incorporation or by-laws of CAC, or any indenture, agreement, or other instrument to which CAC is a party or by which it is or may be bound; nor result in the creation or imposition of any Lien upon any of its properties pursuant to the terms of any such indenture, agreement (other than this Agreement), or other instrument; or violate any law or, to the best of CAC’s knowledge, any order, rule, or regulation applicable to CAC of any court or of any federal or state regulatory body, administrative agency, or other governmental instrumentality having jurisdiction over CAC or its properties.</w:t>
      </w:r>
    </w:p>
    <w:p>
      <w:pPr>
        <w:spacing w:after="0" w:line="81" w:lineRule="exact"/>
        <w:rPr>
          <w:rFonts w:ascii="Arial" w:cs="Arial" w:eastAsia="Arial" w:hAnsi="Arial"/>
          <w:sz w:val="18"/>
          <w:szCs w:val="18"/>
          <w:color w:val="auto"/>
        </w:rPr>
      </w:pPr>
    </w:p>
    <w:p>
      <w:pPr>
        <w:ind w:right="40" w:firstLine="233"/>
        <w:spacing w:after="0" w:line="297" w:lineRule="auto"/>
        <w:tabs>
          <w:tab w:leader="none" w:pos="45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are no proceedings or investigations pending, or to CAC’s best knowledge threatened, before any court, regulatory body, administrative agency, or other governmental instrumentality having jurisdiction over CAC or its properties: A) asserting the invalidity of this Agreement or any other Transaction Document to which it is a party; B) seeking to prevent the consummation of any of the transactions contemplated by this Agreement or any other Transaction Document to which it is a party; or C) seeking any determination or ruling that might materially and adversely affect the performance by CAC of its obligations under, or the validity or enforceability of, this Agreement, or any other Transaction Document to which it is a party.</w:t>
      </w:r>
    </w:p>
    <w:p>
      <w:pPr>
        <w:spacing w:after="0" w:line="50" w:lineRule="exact"/>
        <w:rPr>
          <w:rFonts w:ascii="Arial" w:cs="Arial" w:eastAsia="Arial" w:hAnsi="Arial"/>
          <w:sz w:val="16"/>
          <w:szCs w:val="16"/>
          <w:color w:val="auto"/>
        </w:rPr>
      </w:pPr>
    </w:p>
    <w:p>
      <w:pPr>
        <w:ind w:right="180" w:firstLine="233"/>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Solvency; Fraudulent Conveyance</w:t>
      </w:r>
      <w:r>
        <w:rPr>
          <w:rFonts w:ascii="Arial" w:cs="Arial" w:eastAsia="Arial" w:hAnsi="Arial"/>
          <w:sz w:val="18"/>
          <w:szCs w:val="18"/>
          <w:color w:val="auto"/>
        </w:rPr>
        <w:t>. CAC is solvent, is able to pay its debts as they become due and will not be rendered insolvent by the transactions contemplated by the Transaction Documents and, after giving effect thereto, will not be left with an unreasonably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6" w:name="page47"/>
    <w:bookmarkEnd w:id="46"/>
    <w:p>
      <w:pPr>
        <w:ind w:right="60"/>
        <w:spacing w:after="0" w:line="297" w:lineRule="auto"/>
        <w:rPr>
          <w:sz w:val="20"/>
          <w:szCs w:val="20"/>
          <w:color w:val="auto"/>
        </w:rPr>
      </w:pPr>
      <w:r>
        <w:rPr>
          <w:rFonts w:ascii="Arial" w:cs="Arial" w:eastAsia="Arial" w:hAnsi="Arial"/>
          <w:sz w:val="16"/>
          <w:szCs w:val="16"/>
          <w:color w:val="auto"/>
        </w:rPr>
        <w:t>small amount of capital with which to engage in its business. CAC does not intend to incur, nor does it believe that it has incurred, debts beyond its ability to pay such debts as they mature. CAC does not contemplate the commencement of insolvency, bankruptcy, liquidation or consolidation proceedings or the appointment of a receiver, liquidator, conservator, trustee or similar official or any of its assets. The amount of consideration being received by CAC upon the sale or other absolute transfer of the Conveyed Property to Funding constitutes reasonably equivalent value and fair consideration for the Conveyed Property. CAC is not transfering the Conveyed Property to Funding with any intent to hinder, delay or defraud any of its creditors.</w:t>
      </w:r>
    </w:p>
    <w:p>
      <w:pPr>
        <w:spacing w:after="0" w:line="50" w:lineRule="exact"/>
        <w:rPr>
          <w:sz w:val="20"/>
          <w:szCs w:val="20"/>
          <w:color w:val="auto"/>
        </w:rPr>
      </w:pPr>
    </w:p>
    <w:p>
      <w:pPr>
        <w:ind w:right="320" w:firstLine="233"/>
        <w:spacing w:after="0" w:line="25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As of the Initial Funding Date, CAC has granted a security interest (as defined in the UCC as enacted in the State of Michigan) to Funding in the Conveyed Property, which is enforceable in accordance with Applicable Law upon the Initial Funding Date. Upon the filing of UCC-1 financing statements naming Funding as secured party and CAC as debtor, Funding shall have a first priority perfected security interest in the Conveyed Property. All filings (including, without limitation, UCC filings) as are necessary in any jurisdiction to perfect the interest of Funding in the Conveyed Property have been made.</w:t>
      </w:r>
    </w:p>
    <w:p>
      <w:pPr>
        <w:spacing w:after="0" w:line="80" w:lineRule="exact"/>
        <w:rPr>
          <w:rFonts w:ascii="Arial" w:cs="Arial" w:eastAsia="Arial" w:hAnsi="Arial"/>
          <w:sz w:val="18"/>
          <w:szCs w:val="18"/>
          <w:color w:val="auto"/>
        </w:rPr>
      </w:pPr>
    </w:p>
    <w:p>
      <w:pPr>
        <w:ind w:left="440" w:hanging="207"/>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This Contribution Agreement is the only agreement pursuant to which Funding purchases Loans from CAC.</w:t>
      </w:r>
    </w:p>
    <w:p>
      <w:pPr>
        <w:spacing w:after="0" w:line="117" w:lineRule="exact"/>
        <w:rPr>
          <w:rFonts w:ascii="Arial" w:cs="Arial" w:eastAsia="Arial" w:hAnsi="Arial"/>
          <w:sz w:val="18"/>
          <w:szCs w:val="18"/>
          <w:color w:val="auto"/>
        </w:rPr>
      </w:pPr>
    </w:p>
    <w:p>
      <w:pPr>
        <w:ind w:firstLine="233"/>
        <w:spacing w:after="0" w:line="25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Perfection</w:t>
      </w:r>
      <w:r>
        <w:rPr>
          <w:rFonts w:ascii="Arial" w:cs="Arial" w:eastAsia="Arial" w:hAnsi="Arial"/>
          <w:sz w:val="18"/>
          <w:szCs w:val="18"/>
          <w:color w:val="auto"/>
        </w:rPr>
        <w:t>. As of the Initial Funding Date, CAC will be the owner of all of the Loans and the other Conveyed Property, free and clear of all Liens. On or prior to the date of each contribution of Loans and the other Conveyed Property to Funding pursuant to this Agreement, all financing statements and other documents required to be recorded or filed in order to perfect and protect the ownership interest of Funding in and to the Loans and the other Conveyed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80" w:lineRule="exact"/>
        <w:rPr>
          <w:rFonts w:ascii="Arial" w:cs="Arial" w:eastAsia="Arial" w:hAnsi="Arial"/>
          <w:sz w:val="18"/>
          <w:szCs w:val="18"/>
          <w:color w:val="auto"/>
        </w:rPr>
      </w:pPr>
    </w:p>
    <w:p>
      <w:pPr>
        <w:ind w:right="40" w:firstLine="233"/>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Accuracy of Information</w:t>
      </w:r>
      <w:r>
        <w:rPr>
          <w:rFonts w:ascii="Arial" w:cs="Arial" w:eastAsia="Arial" w:hAnsi="Arial"/>
          <w:sz w:val="18"/>
          <w:szCs w:val="18"/>
          <w:color w:val="auto"/>
        </w:rPr>
        <w:t>. All information with respect to the Loans and other Conveyed Property provided to Funding hereunder by CAC was true and correct in all material respects as of the date such information was provided to Funding and did not omit to state any material facts necessary to make the statements contained therein not misleading.</w:t>
      </w:r>
    </w:p>
    <w:p>
      <w:pPr>
        <w:spacing w:after="0" w:line="73" w:lineRule="exact"/>
        <w:rPr>
          <w:rFonts w:ascii="Arial" w:cs="Arial" w:eastAsia="Arial" w:hAnsi="Arial"/>
          <w:sz w:val="18"/>
          <w:szCs w:val="18"/>
          <w:color w:val="auto"/>
        </w:rPr>
      </w:pPr>
    </w:p>
    <w:p>
      <w:pPr>
        <w:ind w:right="20" w:firstLine="233"/>
        <w:spacing w:after="0" w:line="272"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CAC has filed on or before their respective due dates, all tax returns which are required to be filed in any jurisdiction or has obtained extensions for filing such tax returns and has paid all taxes, assessments, fees and other governmental charges against CAC or any of its properties, income or franchises, to the extent that such taxes have become due, other than any taxes or assessments, the validity of which are being contested in good faith by appropriate proceedings and with respect to which adequate provision has been made on the books of the Seller as may be required by GAAP. To the best knowledge of CAC, all such tax returns were true and correct in all material respects and CAC knows of any proposed material additional tax assessment against it nor any basis therefor. Any taxes, assessments, fees and other governmental charges payable by CAC in connection with the execution and delivery of the Transaction Documents have been paid or shall have been paid at or prior to Closing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right="160" w:firstLine="233"/>
        <w:spacing w:after="0" w:line="255" w:lineRule="auto"/>
        <w:tabs>
          <w:tab w:leader="none" w:pos="53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Place of Business</w:t>
      </w:r>
      <w:r>
        <w:rPr>
          <w:rFonts w:ascii="Arial" w:cs="Arial" w:eastAsia="Arial" w:hAnsi="Arial"/>
          <w:sz w:val="18"/>
          <w:szCs w:val="18"/>
          <w:color w:val="auto"/>
        </w:rPr>
        <w:t>. The principal place of business and chief executive office of CAC is in Southfield, Michigan, and the office where CAC keeps all of its Records is at the address listed in Section 8.3, or such other locations notified to Funding and the Deal Agent in accordance with this Agreement in jurisdictions where all action required by the terms of this Agreement has been taken and completed; provided that the Servicer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spacing w:after="0" w:line="85" w:lineRule="exact"/>
        <w:rPr>
          <w:rFonts w:ascii="Arial" w:cs="Arial" w:eastAsia="Arial" w:hAnsi="Arial"/>
          <w:sz w:val="18"/>
          <w:szCs w:val="18"/>
          <w:color w:val="auto"/>
        </w:rPr>
      </w:pPr>
    </w:p>
    <w:p>
      <w:pPr>
        <w:ind w:left="480" w:hanging="247"/>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Good Title</w:t>
      </w:r>
      <w:r>
        <w:rPr>
          <w:rFonts w:ascii="Arial" w:cs="Arial" w:eastAsia="Arial" w:hAnsi="Arial"/>
          <w:sz w:val="17"/>
          <w:szCs w:val="17"/>
          <w:color w:val="auto"/>
        </w:rPr>
        <w:t>. Upon the contribution of the Loans and related property to Funding pursuant to this Agreement, Funding shall acquire all of CAC’s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ownership and other interest in each Loan, and in the Related Security, Collections and proceeds with respect thereto, in each case free and clear of any Lien.</w:t>
      </w:r>
    </w:p>
    <w:p>
      <w:pPr>
        <w:spacing w:after="0" w:line="125" w:lineRule="exact"/>
        <w:rPr>
          <w:rFonts w:ascii="Arial" w:cs="Arial" w:eastAsia="Arial" w:hAnsi="Arial"/>
          <w:sz w:val="17"/>
          <w:szCs w:val="17"/>
          <w:color w:val="auto"/>
        </w:rPr>
      </w:pPr>
    </w:p>
    <w:p>
      <w:pPr>
        <w:jc w:val="both"/>
        <w:ind w:right="220" w:firstLine="233"/>
        <w:spacing w:after="0" w:line="264"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Tradenames, Etc.</w:t>
      </w:r>
      <w:r>
        <w:rPr>
          <w:rFonts w:ascii="Arial" w:cs="Arial" w:eastAsia="Arial" w:hAnsi="Arial"/>
          <w:sz w:val="18"/>
          <w:szCs w:val="18"/>
          <w:color w:val="auto"/>
        </w:rPr>
        <w:t xml:space="preserve">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73" w:lineRule="exact"/>
        <w:rPr>
          <w:rFonts w:ascii="Arial" w:cs="Arial" w:eastAsia="Arial" w:hAnsi="Arial"/>
          <w:sz w:val="18"/>
          <w:szCs w:val="18"/>
          <w:color w:val="auto"/>
        </w:rPr>
      </w:pPr>
    </w:p>
    <w:p>
      <w:pPr>
        <w:ind w:right="140" w:firstLine="233"/>
        <w:spacing w:after="0" w:line="255"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Nature of Loans, Contracts</w:t>
      </w:r>
      <w:r>
        <w:rPr>
          <w:rFonts w:ascii="Arial" w:cs="Arial" w:eastAsia="Arial" w:hAnsi="Arial"/>
          <w:sz w:val="18"/>
          <w:szCs w:val="18"/>
          <w:color w:val="auto"/>
        </w:rPr>
        <w:t>. Each Dealer Loan and Purchased Loan represented by CAC to be an Eligible Dealer Loan or Eligible Purchased Loan, as applicable, or included in the calculation of the Aggregate Outstanding Eligible Loan Balance, at the time of such representation, or at the time of such calculation, as applicable, in fact satisfies the definition of “Eligible Dealer Loan” or “Eligible Purchased Loan”, as applicable, set forth in the Loan and Security Agreement. Each Dealer Loan Contract classified as an “Eligible Dealer Loan Contract” (or included in any aggregation of balances of “Eligible Dealer Loan Contracts”) by CAC satisfies at the time of such classification the definition of “Eligible Dealer Loan Contract” set forth in the Loan and Security Agreement.</w:t>
      </w:r>
    </w:p>
    <w:p>
      <w:pPr>
        <w:spacing w:after="0" w:line="85" w:lineRule="exact"/>
        <w:rPr>
          <w:rFonts w:ascii="Arial" w:cs="Arial" w:eastAsia="Arial" w:hAnsi="Arial"/>
          <w:sz w:val="18"/>
          <w:szCs w:val="18"/>
          <w:color w:val="auto"/>
        </w:rPr>
      </w:pPr>
    </w:p>
    <w:p>
      <w:pPr>
        <w:ind w:right="140" w:firstLine="233"/>
        <w:spacing w:after="0" w:line="342"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Amount of Loans</w:t>
      </w:r>
      <w:r>
        <w:rPr>
          <w:rFonts w:ascii="Arial" w:cs="Arial" w:eastAsia="Arial" w:hAnsi="Arial"/>
          <w:sz w:val="16"/>
          <w:szCs w:val="16"/>
          <w:color w:val="auto"/>
        </w:rPr>
        <w:t>. The Funding Notice shall provide (A) the aggregate Outstanding Balance of the Contracts; (B) the Aggregate Outstanding Eligible Loan Balance; and (C) the Aggregate Outstanding Eligible Loan Net Balance; each as of the Cut-off Date and as reported in the Loan Servicing System.</w:t>
      </w:r>
    </w:p>
    <w:p>
      <w:pPr>
        <w:spacing w:after="0" w:line="15" w:lineRule="exact"/>
        <w:rPr>
          <w:rFonts w:ascii="Arial" w:cs="Arial" w:eastAsia="Arial" w:hAnsi="Arial"/>
          <w:sz w:val="16"/>
          <w:szCs w:val="16"/>
          <w:color w:val="auto"/>
        </w:rPr>
      </w:pPr>
    </w:p>
    <w:p>
      <w:pPr>
        <w:ind w:left="460" w:hanging="227"/>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Collections and Servicing</w:t>
      </w:r>
      <w:r>
        <w:rPr>
          <w:rFonts w:ascii="Arial" w:cs="Arial" w:eastAsia="Arial" w:hAnsi="Arial"/>
          <w:sz w:val="16"/>
          <w:szCs w:val="16"/>
          <w:color w:val="auto"/>
        </w:rPr>
        <w:t>. Since June 30, 2007, there has been no material adverse change in the ability of the Servicer to service and collect the Loans.</w:t>
      </w:r>
    </w:p>
    <w:p>
      <w:pPr>
        <w:spacing w:after="0" w:line="140" w:lineRule="exact"/>
        <w:rPr>
          <w:rFonts w:ascii="Arial" w:cs="Arial" w:eastAsia="Arial" w:hAnsi="Arial"/>
          <w:sz w:val="16"/>
          <w:szCs w:val="16"/>
          <w:color w:val="auto"/>
        </w:rPr>
      </w:pPr>
    </w:p>
    <w:p>
      <w:pPr>
        <w:ind w:right="240" w:firstLine="233"/>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 an Investment Company</w:t>
      </w:r>
      <w:r>
        <w:rPr>
          <w:rFonts w:ascii="Arial" w:cs="Arial" w:eastAsia="Arial" w:hAnsi="Arial"/>
          <w:sz w:val="18"/>
          <w:szCs w:val="18"/>
          <w:color w:val="auto"/>
        </w:rPr>
        <w:t>. CAC is not, and is not controlled by, an “investment company” within the meaning of the Investment Company Act of 1940, as amended, or each is exempt from all provisions of such Act.</w:t>
      </w:r>
    </w:p>
    <w:p>
      <w:pPr>
        <w:spacing w:after="0" w:line="62" w:lineRule="exact"/>
        <w:rPr>
          <w:rFonts w:ascii="Arial" w:cs="Arial" w:eastAsia="Arial" w:hAnsi="Arial"/>
          <w:sz w:val="18"/>
          <w:szCs w:val="18"/>
          <w:color w:val="auto"/>
        </w:rPr>
      </w:pPr>
    </w:p>
    <w:p>
      <w:pPr>
        <w:ind w:left="440" w:hanging="207"/>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CAC is in compliance in all material respects with the Employee Retirement Income Security Act of 1974, as amended.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Bulk Sales</w:t>
      </w:r>
      <w:r>
        <w:rPr>
          <w:rFonts w:ascii="Arial" w:cs="Arial" w:eastAsia="Arial" w:hAnsi="Arial"/>
          <w:sz w:val="18"/>
          <w:szCs w:val="18"/>
          <w:color w:val="auto"/>
        </w:rPr>
        <w:t>. No transaction contemplated by this Agreement requires compliance with any bulk sales act or similar law.</w:t>
      </w:r>
    </w:p>
    <w:p>
      <w:pPr>
        <w:spacing w:after="0" w:line="117" w:lineRule="exact"/>
        <w:rPr>
          <w:rFonts w:ascii="Arial" w:cs="Arial" w:eastAsia="Arial" w:hAnsi="Arial"/>
          <w:sz w:val="18"/>
          <w:szCs w:val="18"/>
          <w:color w:val="auto"/>
        </w:rPr>
      </w:pPr>
    </w:p>
    <w:p>
      <w:pPr>
        <w:ind w:right="120" w:firstLine="233"/>
        <w:spacing w:after="0" w:line="264"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Preference; Voidability</w:t>
      </w:r>
      <w:r>
        <w:rPr>
          <w:rFonts w:ascii="Arial" w:cs="Arial" w:eastAsia="Arial" w:hAnsi="Arial"/>
          <w:sz w:val="18"/>
          <w:szCs w:val="18"/>
          <w:color w:val="auto"/>
        </w:rPr>
        <w:t>. The transfer of the Loans, Collections, Related Security and other Conveyed Property by CAC to Funding, has not been made for or on account of an antecedent debt owed by Funding to CAC, or by CAC to Funding, and such transfer is not voidable under any Section of the Bankruptcy Reform Act of 1978 (11 U.S.C. § § 101 et seq.), as amended.</w:t>
      </w:r>
    </w:p>
    <w:p>
      <w:pPr>
        <w:spacing w:after="0" w:line="73" w:lineRule="exact"/>
        <w:rPr>
          <w:rFonts w:ascii="Arial" w:cs="Arial" w:eastAsia="Arial" w:hAnsi="Arial"/>
          <w:sz w:val="18"/>
          <w:szCs w:val="18"/>
          <w:color w:val="auto"/>
        </w:rPr>
      </w:pPr>
    </w:p>
    <w:p>
      <w:pPr>
        <w:ind w:right="160" w:firstLine="233"/>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Consents</w:t>
      </w:r>
      <w:r>
        <w:rPr>
          <w:rFonts w:ascii="Arial" w:cs="Arial" w:eastAsia="Arial" w:hAnsi="Arial"/>
          <w:sz w:val="18"/>
          <w:szCs w:val="18"/>
          <w:color w:val="auto"/>
        </w:rPr>
        <w:t>. With respect to each Loan and the other Conveyed Property, all consents, licenses, approvals or authorizations of or registrations or declarations with any Governmental Authority required to be obtained, effected or given by CAC, in connection with the pledge of such Conveyed Property to Funding have been duly obtained, effected or given and are in full force and effect.</w:t>
      </w:r>
    </w:p>
    <w:p>
      <w:pPr>
        <w:spacing w:after="0" w:line="73" w:lineRule="exact"/>
        <w:rPr>
          <w:rFonts w:ascii="Arial" w:cs="Arial" w:eastAsia="Arial" w:hAnsi="Arial"/>
          <w:sz w:val="18"/>
          <w:szCs w:val="18"/>
          <w:color w:val="auto"/>
        </w:rPr>
      </w:pPr>
    </w:p>
    <w:p>
      <w:pPr>
        <w:ind w:right="100" w:firstLine="233"/>
        <w:spacing w:after="0" w:line="264"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Upon delivery, Exhibit A to this Agreement and each supplement or addendum thereto will be an accurate and complete listing of all Loans and the related Contracts and any related Dealer Agreements in all material respects on the date each such Loan was sold to Funding hereunder, and the information contained therein is and will be true and correct in all material respects as of such date.</w:t>
      </w:r>
    </w:p>
    <w:p>
      <w:pPr>
        <w:spacing w:after="0" w:line="73" w:lineRule="exact"/>
        <w:rPr>
          <w:rFonts w:ascii="Arial" w:cs="Arial" w:eastAsia="Arial" w:hAnsi="Arial"/>
          <w:sz w:val="18"/>
          <w:szCs w:val="18"/>
          <w:color w:val="auto"/>
        </w:rPr>
      </w:pPr>
    </w:p>
    <w:p>
      <w:pPr>
        <w:ind w:right="40" w:firstLine="233"/>
        <w:spacing w:after="0" w:line="27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Adverse Selection</w:t>
      </w:r>
      <w:r>
        <w:rPr>
          <w:rFonts w:ascii="Arial" w:cs="Arial" w:eastAsia="Arial" w:hAnsi="Arial"/>
          <w:sz w:val="18"/>
          <w:szCs w:val="18"/>
          <w:color w:val="auto"/>
        </w:rPr>
        <w:t>. No selection procedure believed by CAC to be adverse to the interests of Funding has been or will be used in selecting the Loans or any Dealer Agreements.</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No proceeds of any sale of Conveyed Property will be used (i) for a purpose that violates, or would be inconsistent with,</w:t>
      </w:r>
    </w:p>
    <w:p>
      <w:pPr>
        <w:spacing w:after="0" w:line="2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Regulation T, U or X promulgated by the Board of Governors of the Federal Reserve System from time to time or (ii) to acquire any security in any transaction which is subject to Section 12, 13 or 14 of the Securities Exchange Act of 1934, as amended.</w:t>
      </w:r>
    </w:p>
    <w:p>
      <w:pPr>
        <w:spacing w:after="0" w:line="7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Reaffirmation of Representations and Warranties by CAC; Notice of Breach</w:t>
      </w:r>
      <w:r>
        <w:rPr>
          <w:rFonts w:ascii="Arial" w:cs="Arial" w:eastAsia="Arial" w:hAnsi="Arial"/>
          <w:sz w:val="18"/>
          <w:szCs w:val="18"/>
          <w:color w:val="auto"/>
        </w:rPr>
        <w:t>. The representations and warranties set forth in Section 4.1 shall survive the conveyance of the Loans to Funding, and termination of the rights and obligations of Funding and CAC under this Agreement. Upon discovery by Funding or CAC of a breach of any of the foregoing representations and warranties, the party discovering such breach shall give prompt written notice to the other within three Business Days of such discovery.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CAC</w:t>
      </w:r>
    </w:p>
    <w:p>
      <w:pPr>
        <w:spacing w:after="0" w:line="10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So long as this Agreement is in effect, and until all Loans, which have been conveyed to Funding pursuant hereto, shall have been paid in full or written-off as uncollectible, and all amounts owed by CAC pursuant to this Agreement have been paid in full, unless Funding and the Agent otherwise consent in writing, CAC hereby covenants and agrees as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left="-40" w:firstLine="233"/>
        <w:spacing w:after="0" w:line="293" w:lineRule="auto"/>
        <w:tabs>
          <w:tab w:leader="none" w:pos="43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Conduct of Business</w:t>
      </w:r>
      <w:r>
        <w:rPr>
          <w:rFonts w:ascii="Arial" w:cs="Arial" w:eastAsia="Arial" w:hAnsi="Arial"/>
          <w:sz w:val="16"/>
          <w:szCs w:val="16"/>
          <w:color w:val="auto"/>
        </w:rPr>
        <w:t>. CAC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Conveyed Property. CAC will carry on and conduct its business in substantially the same manner and in substantially the same fields of enterprise as it is presently conducted and do all things necessary to remain duly incorporated, validly existing and in good standing as a domestic corporation in its jurisdiction of incorporation and CAC will maintain all requisite authority to conduct its business in each jurisdiction in which its business is conducted.</w:t>
      </w:r>
    </w:p>
    <w:p>
      <w:pPr>
        <w:spacing w:after="0" w:line="56" w:lineRule="exact"/>
        <w:rPr>
          <w:rFonts w:ascii="Arial" w:cs="Arial" w:eastAsia="Arial" w:hAnsi="Arial"/>
          <w:sz w:val="16"/>
          <w:szCs w:val="16"/>
          <w:color w:val="auto"/>
        </w:rPr>
      </w:pPr>
    </w:p>
    <w:p>
      <w:pPr>
        <w:ind w:left="440" w:hanging="247"/>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CAC will comply in all material respects with all Applicable Laws.</w:t>
      </w:r>
    </w:p>
    <w:p>
      <w:pPr>
        <w:spacing w:after="0" w:line="117" w:lineRule="exact"/>
        <w:rPr>
          <w:rFonts w:ascii="Arial" w:cs="Arial" w:eastAsia="Arial" w:hAnsi="Arial"/>
          <w:sz w:val="18"/>
          <w:szCs w:val="18"/>
          <w:color w:val="auto"/>
        </w:rPr>
      </w:pPr>
    </w:p>
    <w:p>
      <w:pPr>
        <w:ind w:left="-40" w:right="140" w:firstLine="233"/>
        <w:spacing w:after="0" w:line="297" w:lineRule="auto"/>
        <w:tabs>
          <w:tab w:leader="none" w:pos="43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Furnishing of Information and Inspection of Records</w:t>
      </w:r>
      <w:r>
        <w:rPr>
          <w:rFonts w:ascii="Arial" w:cs="Arial" w:eastAsia="Arial" w:hAnsi="Arial"/>
          <w:sz w:val="16"/>
          <w:szCs w:val="16"/>
          <w:color w:val="auto"/>
        </w:rPr>
        <w:t>. CAC will furnish to Funding from time to time such information with respect to the Loans as Funding may reasonably request, including, without limitation, listings identifying the Obligor and the Outstanding Balance for each Loan. CAC will at any time and from time to time during regular business hours permit Funding, or its agents or representatives, (i) to examine and make copies of and abstracts from all Records and (ii) to visit the offices and properties of CAC for the purpose of examining such Records, and to discuss matters relating to Loans or CAC’s performance hereunder with any of the officers, directors, employees or independent public accountants of CAC having knowledge of such matters.</w:t>
      </w:r>
    </w:p>
    <w:p>
      <w:pPr>
        <w:spacing w:after="0" w:line="50" w:lineRule="exact"/>
        <w:rPr>
          <w:rFonts w:ascii="Arial" w:cs="Arial" w:eastAsia="Arial" w:hAnsi="Arial"/>
          <w:sz w:val="16"/>
          <w:szCs w:val="16"/>
          <w:color w:val="auto"/>
        </w:rPr>
      </w:pPr>
    </w:p>
    <w:p>
      <w:pPr>
        <w:ind w:left="-40" w:right="120" w:firstLine="233"/>
        <w:spacing w:after="0" w:line="264"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CAC will maintain and implement administrative and operating procedures (including without limitation, an ability to recreate records evidencing the Loans and the Contracts in the event of the destruction of the originals thereof), and keep and maintain all documents, books, records and other information reasonably necessary or advisable for the collection of all Loans.</w:t>
      </w:r>
    </w:p>
    <w:p>
      <w:pPr>
        <w:spacing w:after="0" w:line="73" w:lineRule="exact"/>
        <w:rPr>
          <w:rFonts w:ascii="Arial" w:cs="Arial" w:eastAsia="Arial" w:hAnsi="Arial"/>
          <w:sz w:val="18"/>
          <w:szCs w:val="18"/>
          <w:color w:val="auto"/>
        </w:rPr>
      </w:pPr>
    </w:p>
    <w:p>
      <w:pPr>
        <w:jc w:val="both"/>
        <w:ind w:left="-40" w:right="100" w:firstLine="233"/>
        <w:spacing w:after="0" w:line="264" w:lineRule="auto"/>
        <w:tabs>
          <w:tab w:leader="none" w:pos="4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Performance and Compliance with Dealer Agreements and Purchase Agreements</w:t>
      </w:r>
      <w:r>
        <w:rPr>
          <w:rFonts w:ascii="Arial" w:cs="Arial" w:eastAsia="Arial" w:hAnsi="Arial"/>
          <w:sz w:val="18"/>
          <w:szCs w:val="18"/>
          <w:color w:val="auto"/>
        </w:rPr>
        <w:t>. CAC, at its expense, will timely and fully perform and comply with all provisions, covenants and other promises required to be observed by it under the Loans, Dealer Agreements, Purchase Agreements and Contracts, and all other agreements related thereto in all material respects.</w:t>
      </w:r>
    </w:p>
    <w:p>
      <w:pPr>
        <w:spacing w:after="0" w:line="73" w:lineRule="exact"/>
        <w:rPr>
          <w:rFonts w:ascii="Arial" w:cs="Arial" w:eastAsia="Arial" w:hAnsi="Arial"/>
          <w:sz w:val="18"/>
          <w:szCs w:val="18"/>
          <w:color w:val="auto"/>
        </w:rPr>
      </w:pPr>
    </w:p>
    <w:p>
      <w:pPr>
        <w:ind w:left="-40" w:right="340" w:firstLine="233"/>
        <w:spacing w:after="0" w:line="277" w:lineRule="auto"/>
        <w:tabs>
          <w:tab w:leader="none" w:pos="41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Credit and Collection Policies</w:t>
      </w:r>
      <w:r>
        <w:rPr>
          <w:rFonts w:ascii="Arial" w:cs="Arial" w:eastAsia="Arial" w:hAnsi="Arial"/>
          <w:sz w:val="18"/>
          <w:szCs w:val="18"/>
          <w:color w:val="auto"/>
        </w:rPr>
        <w:t>. As long as it is the Servicer, CAC will comply in all material respects with the Credit Guidelines (as in effect on the Closing Date) and the Collection Guidelines in regard to each Loan and any related Dealer Agreement.</w:t>
      </w:r>
    </w:p>
    <w:p>
      <w:pPr>
        <w:spacing w:after="0" w:line="62" w:lineRule="exact"/>
        <w:rPr>
          <w:rFonts w:ascii="Arial" w:cs="Arial" w:eastAsia="Arial" w:hAnsi="Arial"/>
          <w:sz w:val="18"/>
          <w:szCs w:val="18"/>
          <w:color w:val="auto"/>
        </w:rPr>
      </w:pPr>
    </w:p>
    <w:p>
      <w:pPr>
        <w:ind w:left="-40" w:right="180" w:firstLine="233"/>
        <w:spacing w:after="0" w:line="277"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Collections Received</w:t>
      </w:r>
      <w:r>
        <w:rPr>
          <w:rFonts w:ascii="Arial" w:cs="Arial" w:eastAsia="Arial" w:hAnsi="Arial"/>
          <w:sz w:val="18"/>
          <w:szCs w:val="18"/>
          <w:color w:val="auto"/>
        </w:rPr>
        <w:t>. CAC shall hold in trust, and deposit to the Collection Account, not later than the close of business on the second Business Day following the Date of receipt, all Collections received from time to time by CAC or the Servicer.</w:t>
      </w:r>
    </w:p>
    <w:p>
      <w:pPr>
        <w:spacing w:after="0" w:line="62" w:lineRule="exact"/>
        <w:rPr>
          <w:rFonts w:ascii="Arial" w:cs="Arial" w:eastAsia="Arial" w:hAnsi="Arial"/>
          <w:sz w:val="18"/>
          <w:szCs w:val="18"/>
          <w:color w:val="auto"/>
        </w:rPr>
      </w:pPr>
    </w:p>
    <w:p>
      <w:pPr>
        <w:ind w:left="-40" w:right="220" w:firstLine="233"/>
        <w:spacing w:after="0" w:line="277"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Sale Treatment</w:t>
      </w:r>
      <w:r>
        <w:rPr>
          <w:rFonts w:ascii="Arial" w:cs="Arial" w:eastAsia="Arial" w:hAnsi="Arial"/>
          <w:sz w:val="18"/>
          <w:szCs w:val="18"/>
          <w:color w:val="auto"/>
        </w:rPr>
        <w:t>. CAC agrees to treat the conveyance of the Conveyed Property made pursuant to this Agreement for all purposes (including, without limitation, tax and financial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50" w:name="page51"/>
    <w:bookmarkEnd w:id="50"/>
    <w:p>
      <w:pPr>
        <w:ind w:right="60"/>
        <w:spacing w:after="0" w:line="264" w:lineRule="auto"/>
        <w:rPr>
          <w:sz w:val="20"/>
          <w:szCs w:val="20"/>
          <w:color w:val="auto"/>
        </w:rPr>
      </w:pPr>
      <w:r>
        <w:rPr>
          <w:rFonts w:ascii="Arial" w:cs="Arial" w:eastAsia="Arial" w:hAnsi="Arial"/>
          <w:sz w:val="18"/>
          <w:szCs w:val="18"/>
          <w:color w:val="auto"/>
        </w:rPr>
        <w:t>accounting purposes) as an absolute contribution and, to the extent any such reporting is required, shall report the transactions contemplated by this Agreement on all relevant books, records, tax returns, financial statements and other applicable documents as a complete disposition of the Contributed Party to Funding.</w:t>
      </w:r>
    </w:p>
    <w:p>
      <w:pPr>
        <w:spacing w:after="0" w:line="73" w:lineRule="exact"/>
        <w:rPr>
          <w:sz w:val="20"/>
          <w:szCs w:val="20"/>
          <w:color w:val="auto"/>
        </w:rPr>
      </w:pPr>
    </w:p>
    <w:p>
      <w:pPr>
        <w:ind w:right="240" w:firstLine="233"/>
        <w:spacing w:after="0" w:line="277"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CAC will promptly give Funding written notice upon becoming aware that CAC is not in compliance in all material respects with ERISA or that any ERISA lien on any of the Loans exists.</w:t>
      </w:r>
    </w:p>
    <w:p>
      <w:pPr>
        <w:spacing w:after="0" w:line="62" w:lineRule="exact"/>
        <w:rPr>
          <w:rFonts w:ascii="Arial" w:cs="Arial" w:eastAsia="Arial" w:hAnsi="Arial"/>
          <w:sz w:val="18"/>
          <w:szCs w:val="18"/>
          <w:color w:val="auto"/>
        </w:rPr>
      </w:pPr>
    </w:p>
    <w:p>
      <w:pPr>
        <w:jc w:val="both"/>
        <w:ind w:firstLine="233"/>
        <w:spacing w:after="0" w:line="279"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Preservation of Security Interest</w:t>
      </w:r>
      <w:r>
        <w:rPr>
          <w:rFonts w:ascii="Arial" w:cs="Arial" w:eastAsia="Arial" w:hAnsi="Arial"/>
          <w:sz w:val="17"/>
          <w:szCs w:val="17"/>
          <w:color w:val="auto"/>
        </w:rPr>
        <w:t>. CAC will file such financing and continuation statements and any other documents that may be required by any law or regulation of any Governmental Authority to preserve and perfect the security interest of Funding in, to and under the Conveyed Property. CAC will maintain possession of the Dealer Agreements and the Contract Files and Records, as custodian for the Collateral Agent, as set forth in Section 6.2(c) of the Loan and Security Agreement. CAC, as Servicer, will comply with its covenants under Section 5.4(d) of the Loan and Security Agreement.</w:t>
      </w:r>
    </w:p>
    <w:p>
      <w:pPr>
        <w:spacing w:after="0" w:line="63" w:lineRule="exact"/>
        <w:rPr>
          <w:rFonts w:ascii="Arial" w:cs="Arial" w:eastAsia="Arial" w:hAnsi="Arial"/>
          <w:sz w:val="17"/>
          <w:szCs w:val="17"/>
          <w:color w:val="auto"/>
        </w:rPr>
      </w:pPr>
    </w:p>
    <w:p>
      <w:pPr>
        <w:ind w:right="80" w:firstLine="233"/>
        <w:spacing w:after="0" w:line="259"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Separateness</w:t>
      </w:r>
      <w:r>
        <w:rPr>
          <w:rFonts w:ascii="Arial" w:cs="Arial" w:eastAsia="Arial" w:hAnsi="Arial"/>
          <w:sz w:val="18"/>
          <w:szCs w:val="18"/>
          <w:color w:val="auto"/>
        </w:rPr>
        <w:t>. CAC will take such actions that are required on its part to be performed to cause (i) Funding to be in compliance, at all relevant times, with Section 5.2(o) of the Loan and Security Agreement, and (ii) all factual assumptions set forth in the most recent opinion letters delivered by Dykema Gossett PLLC or Skadden, Arps, Slate, Meagher &amp; Flom LLP to the Collateral Agent with respect to certain bankruptcy matters to remain true at all relevant times.</w:t>
      </w:r>
    </w:p>
    <w:p>
      <w:pPr>
        <w:spacing w:after="0" w:line="78" w:lineRule="exact"/>
        <w:rPr>
          <w:rFonts w:ascii="Arial" w:cs="Arial" w:eastAsia="Arial" w:hAnsi="Arial"/>
          <w:sz w:val="18"/>
          <w:szCs w:val="18"/>
          <w:color w:val="auto"/>
        </w:rPr>
      </w:pPr>
    </w:p>
    <w:p>
      <w:pPr>
        <w:ind w:right="120" w:firstLine="233"/>
        <w:spacing w:after="0" w:line="26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 to Potential Purchasers</w:t>
      </w:r>
      <w:r>
        <w:rPr>
          <w:rFonts w:ascii="Arial" w:cs="Arial" w:eastAsia="Arial" w:hAnsi="Arial"/>
          <w:sz w:val="18"/>
          <w:szCs w:val="18"/>
          <w:color w:val="auto"/>
        </w:rPr>
        <w:t>. At all times before the termination of this Agreement, if a third party, including a potential purchaser of the Loans, inquires, CAC will promptly reply that (i) CAC has sold the Loans to Funding and (ii) Funding has granted a security interest therein to the Collateral Agent for the benefit of the Lenders, and CAC will not claim any ownership interest in the Loans.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Negative Covenants</w:t>
      </w:r>
      <w:r>
        <w:rPr>
          <w:rFonts w:ascii="Arial" w:cs="Arial" w:eastAsia="Arial" w:hAnsi="Arial"/>
          <w:sz w:val="18"/>
          <w:szCs w:val="18"/>
          <w:color w:val="auto"/>
        </w:rPr>
        <w:t>. During the term of this Agreement, unless Funding and the Agent shall otherwise consent in writing:</w:t>
      </w:r>
    </w:p>
    <w:p>
      <w:pPr>
        <w:spacing w:after="0" w:line="117" w:lineRule="exact"/>
        <w:rPr>
          <w:sz w:val="20"/>
          <w:szCs w:val="20"/>
          <w:color w:val="auto"/>
        </w:rPr>
      </w:pPr>
    </w:p>
    <w:p>
      <w:pPr>
        <w:ind w:right="60" w:firstLine="233"/>
        <w:spacing w:after="0" w:line="272" w:lineRule="auto"/>
        <w:tabs>
          <w:tab w:leader="none" w:pos="47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Sales, Liens, Etc</w:t>
      </w:r>
      <w:r>
        <w:rPr>
          <w:rFonts w:ascii="Arial" w:cs="Arial" w:eastAsia="Arial" w:hAnsi="Arial"/>
          <w:sz w:val="17"/>
          <w:szCs w:val="17"/>
          <w:color w:val="auto"/>
        </w:rPr>
        <w:t>. Except as otherwise provided herein, CAC will not sell, assign (by operation of law or otherwise) or otherwise dispose of, or create or suffer to exist any Lien upon (or the filing of any financing statement) or with respect to (i) any of the Loans, the Related Security, Collections or other Conveyed Property, (ii) any goods (other than inventory), the sale, which may give rise to any Loan, Related Security or Collections or other Conveyed Property or (iii) any account to which any Collections of any Loan are sent, or, in each case, assign any right to receive income in respect thereof. CAC shall, and will cause each of its Subsidiaries to, specifically exclude from the property subject to any Lien granted on inventory any and all accounts receivable generated by sales of such inventory and the proceeds thereof and shall provide, upon Funding’s request, evidence satisfactory to Funding that any such Lien (and each related UCC financing statement or other related filing) expressly excludes any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right="240"/>
        <w:spacing w:after="0" w:line="277" w:lineRule="auto"/>
        <w:rPr>
          <w:sz w:val="20"/>
          <w:szCs w:val="20"/>
          <w:color w:val="auto"/>
        </w:rPr>
      </w:pPr>
      <w:r>
        <w:rPr>
          <w:rFonts w:ascii="Arial" w:cs="Arial" w:eastAsia="Arial" w:hAnsi="Arial"/>
          <w:sz w:val="18"/>
          <w:szCs w:val="18"/>
          <w:color w:val="auto"/>
        </w:rPr>
        <w:t>accounts receivable. CAC will provide Funding and the Deal Agent with a copy of any inventory financing agreement at least three Business Days prior to the effectiveness thereof.</w:t>
      </w:r>
    </w:p>
    <w:p>
      <w:pPr>
        <w:spacing w:after="0" w:line="62" w:lineRule="exact"/>
        <w:rPr>
          <w:sz w:val="20"/>
          <w:szCs w:val="20"/>
          <w:color w:val="auto"/>
        </w:rPr>
      </w:pPr>
    </w:p>
    <w:p>
      <w:pPr>
        <w:ind w:right="680" w:firstLine="233"/>
        <w:spacing w:after="0" w:line="277"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Extension or Amendment of Loans</w:t>
      </w:r>
      <w:r>
        <w:rPr>
          <w:rFonts w:ascii="Arial" w:cs="Arial" w:eastAsia="Arial" w:hAnsi="Arial"/>
          <w:sz w:val="18"/>
          <w:szCs w:val="18"/>
          <w:color w:val="auto"/>
        </w:rPr>
        <w:t>. CAC will not extend, amend or otherwise modify the terms of any Loan, Dealer Agreement, Purchase Agreement or Contract except as permitted by any other Transaction Document.</w:t>
      </w:r>
    </w:p>
    <w:p>
      <w:pPr>
        <w:spacing w:after="0" w:line="62" w:lineRule="exact"/>
        <w:rPr>
          <w:rFonts w:ascii="Arial" w:cs="Arial" w:eastAsia="Arial" w:hAnsi="Arial"/>
          <w:sz w:val="18"/>
          <w:szCs w:val="18"/>
          <w:color w:val="auto"/>
        </w:rPr>
      </w:pPr>
    </w:p>
    <w:p>
      <w:pPr>
        <w:ind w:right="40" w:firstLine="233"/>
        <w:spacing w:after="0" w:line="259" w:lineRule="auto"/>
        <w:tabs>
          <w:tab w:leader="none" w:pos="4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Credit Guidelines and Collection Guidelines</w:t>
      </w:r>
      <w:r>
        <w:rPr>
          <w:rFonts w:ascii="Arial" w:cs="Arial" w:eastAsia="Arial" w:hAnsi="Arial"/>
          <w:sz w:val="18"/>
          <w:szCs w:val="18"/>
          <w:color w:val="auto"/>
        </w:rPr>
        <w:t>. CAC will not amend, modify, restate or replace, in whole or in part, the Credit Guidelines or Collection Guidelines, which change would impair the collectibility of any Loan or Contract or otherwise adversely affect the interests or the remedies of Funding under this Agreement or any other Transaction Document, unless such change is permitted under the Loan and Security Agreement and unless CAC obtains the prior written consent of Funding.</w:t>
      </w:r>
    </w:p>
    <w:p>
      <w:pPr>
        <w:spacing w:after="0" w:line="78" w:lineRule="exact"/>
        <w:rPr>
          <w:rFonts w:ascii="Arial" w:cs="Arial" w:eastAsia="Arial" w:hAnsi="Arial"/>
          <w:sz w:val="18"/>
          <w:szCs w:val="18"/>
          <w:color w:val="auto"/>
        </w:rPr>
      </w:pPr>
    </w:p>
    <w:p>
      <w:pPr>
        <w:ind w:right="160" w:firstLine="233"/>
        <w:spacing w:after="0" w:line="264"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Change in Payment Instructions to Obligors</w:t>
      </w:r>
      <w:r>
        <w:rPr>
          <w:rFonts w:ascii="Arial" w:cs="Arial" w:eastAsia="Arial" w:hAnsi="Arial"/>
          <w:sz w:val="18"/>
          <w:szCs w:val="18"/>
          <w:color w:val="auto"/>
        </w:rPr>
        <w:t>. CAC will not make any change in its instructions to Obligors regarding payments to be made directly or indirectly, unless such change is permitted under the Loan and Security Agreement and Funding and CAC have each consented to such change and have received duly executed documentation related thereto.</w:t>
      </w:r>
    </w:p>
    <w:p>
      <w:pPr>
        <w:spacing w:after="0" w:line="73" w:lineRule="exact"/>
        <w:rPr>
          <w:rFonts w:ascii="Arial" w:cs="Arial" w:eastAsia="Arial" w:hAnsi="Arial"/>
          <w:sz w:val="18"/>
          <w:szCs w:val="18"/>
          <w:color w:val="auto"/>
        </w:rPr>
      </w:pPr>
    </w:p>
    <w:p>
      <w:pPr>
        <w:ind w:right="20" w:firstLine="233"/>
        <w:spacing w:after="0" w:line="259" w:lineRule="auto"/>
        <w:tabs>
          <w:tab w:leader="none" w:pos="47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Change of Name, Etc.</w:t>
      </w:r>
      <w:r>
        <w:rPr>
          <w:rFonts w:ascii="Arial" w:cs="Arial" w:eastAsia="Arial" w:hAnsi="Arial"/>
          <w:sz w:val="18"/>
          <w:szCs w:val="18"/>
          <w:color w:val="auto"/>
        </w:rPr>
        <w:t xml:space="preserve"> CAC will not change its name, identity, jurisdiction of organization or structure or location of its chief executive office, unless at least ten (10) days prior to the effective date of any such change CAC delivers to Funding and the Deal Agent such documents, instruments or agreements, including, without limitation, appropriate financing statements under the UCC, executed by CAC, as are necessary to reflect such change and to continue the perfection of Funding’s and any assignee’s interest in the Loans.</w:t>
      </w:r>
    </w:p>
    <w:p>
      <w:pPr>
        <w:spacing w:after="0" w:line="78" w:lineRule="exact"/>
        <w:rPr>
          <w:rFonts w:ascii="Arial" w:cs="Arial" w:eastAsia="Arial" w:hAnsi="Arial"/>
          <w:sz w:val="18"/>
          <w:szCs w:val="18"/>
          <w:color w:val="auto"/>
        </w:rPr>
      </w:pPr>
    </w:p>
    <w:p>
      <w:pPr>
        <w:ind w:firstLine="233"/>
        <w:spacing w:after="0" w:line="259" w:lineRule="auto"/>
        <w:tabs>
          <w:tab w:leader="none" w:pos="45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Separate Business</w:t>
      </w:r>
      <w:r>
        <w:rPr>
          <w:rFonts w:ascii="Arial" w:cs="Arial" w:eastAsia="Arial" w:hAnsi="Arial"/>
          <w:sz w:val="18"/>
          <w:szCs w:val="18"/>
          <w:color w:val="auto"/>
        </w:rPr>
        <w:t>. CAC will not: (i) fail to maintain separate books, financial statements, accounting records and other corporate documents from those of Funding; (ii) commingle any of its assets or the assets of any of its Affiliates with those of Funding (except to the extent that CAC acts as the Servicer of the Loans); (iii) pay from its own assets any obligation or indebtedness of any kind incurred by Funding; (iv) directly, or through any of its Affiliates, borrow funds or accept credit or guaranties from Funding.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Indemnities by CAC</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293" w:lineRule="auto"/>
        <w:tabs>
          <w:tab w:leader="none" w:pos="467"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Without limiting any other rights that any such Person may have hereunder or under Applicable Law, CAC hereby agrees to indemnify Funding, or its assignee, and each of their respective Affiliates and officers, directors, employees and agents thereof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forthwith on demand, from and against any and all damages, losses, claims, liabilities and related costs and expenses, including attorneys’ fees and disbursements (all of the foregoing being collectively referred to as the “</w:t>
      </w:r>
      <w:r>
        <w:rPr>
          <w:rFonts w:ascii="Arial" w:cs="Arial" w:eastAsia="Arial" w:hAnsi="Arial"/>
          <w:sz w:val="16"/>
          <w:szCs w:val="16"/>
          <w:u w:val="single" w:color="auto"/>
          <w:color w:val="auto"/>
        </w:rPr>
        <w:t>Indemnified Amounts</w:t>
      </w:r>
      <w:r>
        <w:rPr>
          <w:rFonts w:ascii="Arial" w:cs="Arial" w:eastAsia="Arial" w:hAnsi="Arial"/>
          <w:sz w:val="16"/>
          <w:szCs w:val="16"/>
          <w:color w:val="auto"/>
        </w:rPr>
        <w:t xml:space="preserve">”) awarded against or incurred by such Indemnified Party arising out of or as a result of this Agreement or in respect of any Loan or any Contract,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Indemnified Amounts to the extent resulting from gross negligence or willful misconduct on the part of such Indemnified Party or (b) Indemnified Amounts that arise as a result of non-payment of Loans due to credit problems 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jc w:val="both"/>
        <w:ind w:right="20"/>
        <w:spacing w:after="0" w:line="259" w:lineRule="auto"/>
        <w:rPr>
          <w:sz w:val="20"/>
          <w:szCs w:val="20"/>
          <w:color w:val="auto"/>
        </w:rPr>
      </w:pPr>
      <w:r>
        <w:rPr>
          <w:rFonts w:ascii="Arial" w:cs="Arial" w:eastAsia="Arial" w:hAnsi="Arial"/>
          <w:sz w:val="18"/>
          <w:szCs w:val="18"/>
          <w:color w:val="auto"/>
        </w:rPr>
        <w:t xml:space="preserve">the Dealers or Obligors. If CAC has made any indemnity payment pursuant to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such payment fully indemnified the recipient thereof and the recipient thereafter collects any payments from others in respect of such Indemnified Amounts then, the recipient shall repay to CAC an amount equal to the amount it has collected from others in respect of such indemnified amounts. Without limiting the foregoing, CAC shall indemnify each Indemnified Party for Indemnified Amounts relating to or resulting from:</w:t>
      </w:r>
    </w:p>
    <w:p>
      <w:pPr>
        <w:spacing w:after="0" w:line="79" w:lineRule="exact"/>
        <w:rPr>
          <w:sz w:val="20"/>
          <w:szCs w:val="20"/>
          <w:color w:val="auto"/>
        </w:rPr>
      </w:pPr>
    </w:p>
    <w:p>
      <w:pPr>
        <w:ind w:right="420" w:firstLine="458"/>
        <w:spacing w:after="0" w:line="277" w:lineRule="auto"/>
        <w:tabs>
          <w:tab w:leader="none" w:pos="6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Contract or Loan treated as or represented by CAC to be an Eligible Contract or Eligible Loan that is not at the applicable time an Eligible Contract or Eligible Loan;</w:t>
      </w:r>
    </w:p>
    <w:p>
      <w:pPr>
        <w:spacing w:after="0" w:line="62" w:lineRule="exact"/>
        <w:rPr>
          <w:rFonts w:ascii="Arial" w:cs="Arial" w:eastAsia="Arial" w:hAnsi="Arial"/>
          <w:sz w:val="18"/>
          <w:szCs w:val="18"/>
          <w:color w:val="auto"/>
        </w:rPr>
      </w:pPr>
    </w:p>
    <w:p>
      <w:pPr>
        <w:ind w:right="60" w:firstLine="458"/>
        <w:spacing w:after="0" w:line="277" w:lineRule="auto"/>
        <w:tabs>
          <w:tab w:leader="none" w:pos="7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reliance on any representation or warranty made or deemed made by CAC or any of its officers under or in connection with this Agreement, which shall have been false or incorrect in any material respect when made or deemed made or delivered;</w:t>
      </w:r>
    </w:p>
    <w:p>
      <w:pPr>
        <w:spacing w:after="0" w:line="62" w:lineRule="exact"/>
        <w:rPr>
          <w:rFonts w:ascii="Arial" w:cs="Arial" w:eastAsia="Arial" w:hAnsi="Arial"/>
          <w:sz w:val="18"/>
          <w:szCs w:val="18"/>
          <w:color w:val="auto"/>
        </w:rPr>
      </w:pPr>
    </w:p>
    <w:p>
      <w:pPr>
        <w:ind w:firstLine="458"/>
        <w:spacing w:after="0" w:line="264" w:lineRule="auto"/>
        <w:tabs>
          <w:tab w:leader="none" w:pos="7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by CAC to comply with any term, provision or covenant contained in this Agreement or any agreement executed in connection with this Agreement, or with any Applicable Law, with respect to any Loan, Dealer Agreement, any Contract, or the nonconformity of any Loan, Dealer Agreement, Purchase Agreement or Contract with any such Applicable Law;</w:t>
      </w:r>
    </w:p>
    <w:p>
      <w:pPr>
        <w:spacing w:after="0" w:line="73" w:lineRule="exact"/>
        <w:rPr>
          <w:rFonts w:ascii="Arial" w:cs="Arial" w:eastAsia="Arial" w:hAnsi="Arial"/>
          <w:sz w:val="18"/>
          <w:szCs w:val="18"/>
          <w:color w:val="auto"/>
        </w:rPr>
      </w:pPr>
    </w:p>
    <w:p>
      <w:pPr>
        <w:ind w:right="300" w:firstLine="458"/>
        <w:spacing w:after="0" w:line="277" w:lineRule="auto"/>
        <w:tabs>
          <w:tab w:leader="none" w:pos="7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to vest and maintain vested in Funding, or its assignees, a first priority perfected security interest in the Conveyed Property, free and clear of any Lien;</w:t>
      </w:r>
    </w:p>
    <w:p>
      <w:pPr>
        <w:spacing w:after="0" w:line="62" w:lineRule="exact"/>
        <w:rPr>
          <w:rFonts w:ascii="Arial" w:cs="Arial" w:eastAsia="Arial" w:hAnsi="Arial"/>
          <w:sz w:val="18"/>
          <w:szCs w:val="18"/>
          <w:color w:val="auto"/>
        </w:rPr>
      </w:pPr>
    </w:p>
    <w:p>
      <w:pPr>
        <w:ind w:right="780" w:firstLine="458"/>
        <w:spacing w:after="0" w:line="342"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failure to file, or any delay in filing, financing statements or other similar instruments or documents under the UCC of any applicable jurisdiction or other Applicable Laws with respect to the Conveyed Property, whether on the Initial Funding Date or at any subsequent time;</w:t>
      </w:r>
    </w:p>
    <w:p>
      <w:pPr>
        <w:spacing w:after="0" w:line="15" w:lineRule="exact"/>
        <w:rPr>
          <w:rFonts w:ascii="Arial" w:cs="Arial" w:eastAsia="Arial" w:hAnsi="Arial"/>
          <w:sz w:val="16"/>
          <w:szCs w:val="16"/>
          <w:color w:val="auto"/>
        </w:rPr>
      </w:pPr>
    </w:p>
    <w:p>
      <w:pPr>
        <w:ind w:right="140" w:firstLine="458"/>
        <w:spacing w:after="0" w:line="264" w:lineRule="auto"/>
        <w:tabs>
          <w:tab w:leader="none" w:pos="7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dispute, claim, offset or defense (other than the discharge in bankruptcy of the Dealer or Obligor) of the relevant Dealer or Obligor to the payment of any Loan or Contract (including, without limitation, a defense based on such Loan or Contract not being a legal, valid and binding obligation of such Obligor enforceable against it in accordance with its terms);</w:t>
      </w:r>
    </w:p>
    <w:p>
      <w:pPr>
        <w:spacing w:after="0" w:line="73" w:lineRule="exact"/>
        <w:rPr>
          <w:rFonts w:ascii="Arial" w:cs="Arial" w:eastAsia="Arial" w:hAnsi="Arial"/>
          <w:sz w:val="18"/>
          <w:szCs w:val="18"/>
          <w:color w:val="auto"/>
        </w:rPr>
      </w:pPr>
    </w:p>
    <w:p>
      <w:pPr>
        <w:ind w:right="140" w:firstLine="458"/>
        <w:spacing w:after="0" w:line="277" w:lineRule="auto"/>
        <w:tabs>
          <w:tab w:leader="none" w:pos="8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failure of CAC to perform its duties or obligations in accordance with the provisions of this Agreement or any failure by CAC to perform its respective duties under the Loans;</w:t>
      </w:r>
    </w:p>
    <w:p>
      <w:pPr>
        <w:spacing w:after="0" w:line="62" w:lineRule="exact"/>
        <w:rPr>
          <w:rFonts w:ascii="Arial" w:cs="Arial" w:eastAsia="Arial" w:hAnsi="Arial"/>
          <w:sz w:val="18"/>
          <w:szCs w:val="18"/>
          <w:color w:val="auto"/>
        </w:rPr>
      </w:pPr>
    </w:p>
    <w:p>
      <w:pPr>
        <w:ind w:right="360" w:firstLine="458"/>
        <w:spacing w:after="0" w:line="277" w:lineRule="auto"/>
        <w:tabs>
          <w:tab w:leader="none" w:pos="8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by CAC to pay when due any Taxes for which CAC is liable, including without limitation, sales, excise or personal property taxes payable in connection with the Conveyed Property;</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commingling of Collections of the Loans and Contracts at any time with other funds (except to the extent that CAC acts as the Servicer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3" w:name="page54"/>
    <w:bookmarkEnd w:id="53"/>
    <w:p>
      <w:pPr>
        <w:ind w:left="720" w:hanging="262"/>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(viii) any investigation, litigation or proceeding related to this Agreement or in respect of any Loan or Contract;</w:t>
      </w:r>
    </w:p>
    <w:p>
      <w:pPr>
        <w:spacing w:after="0" w:line="117" w:lineRule="exact"/>
        <w:rPr>
          <w:rFonts w:ascii="Arial" w:cs="Arial" w:eastAsia="Arial" w:hAnsi="Arial"/>
          <w:sz w:val="18"/>
          <w:szCs w:val="18"/>
          <w:color w:val="auto"/>
        </w:rPr>
      </w:pPr>
    </w:p>
    <w:p>
      <w:pPr>
        <w:ind w:right="60" w:firstLine="458"/>
        <w:spacing w:after="0" w:line="277" w:lineRule="auto"/>
        <w:tabs>
          <w:tab w:leader="none" w:pos="7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CAC, in its individual capacity, or any of its agents or representatives to remit to the Servicer, the Deal Agent, or the Collateral Agent Collections of the Loans and Contracts remitted to CAC, in its individual capacity, or any such agent or representative; and</w:t>
      </w:r>
    </w:p>
    <w:p>
      <w:pPr>
        <w:spacing w:after="0" w:line="62" w:lineRule="exact"/>
        <w:rPr>
          <w:rFonts w:ascii="Arial" w:cs="Arial" w:eastAsia="Arial" w:hAnsi="Arial"/>
          <w:sz w:val="18"/>
          <w:szCs w:val="18"/>
          <w:color w:val="auto"/>
        </w:rPr>
      </w:pPr>
    </w:p>
    <w:p>
      <w:pPr>
        <w:ind w:left="820" w:hanging="362"/>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a Contract File to contain the relevant original Contract.</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Notwithstanding the foregoing, CAC shall have no indemnification obligation hereunder with respect to any Loan or Contract in respect of which CAC shall have paid the Release Price under the Loan and Security Agreement after the date of such payment.</w:t>
      </w:r>
    </w:p>
    <w:p>
      <w:pPr>
        <w:spacing w:after="0" w:line="62" w:lineRule="exact"/>
        <w:rPr>
          <w:sz w:val="20"/>
          <w:szCs w:val="20"/>
          <w:color w:val="auto"/>
        </w:rPr>
      </w:pPr>
    </w:p>
    <w:p>
      <w:pPr>
        <w:ind w:right="60" w:firstLine="233"/>
        <w:spacing w:after="0" w:line="277" w:lineRule="auto"/>
        <w:tabs>
          <w:tab w:leader="none" w:pos="4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amounts subject to the indemnification provisions of this Section 5.3 shall be paid by CAC to the Indemnified Party within five (5) Business Days following the the Indemnified Party’s demand therefor.</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obligations of CAC under this Section 5.3 shall survive the termination of this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REPURCHASE OBLIGATION</w:t>
      </w:r>
    </w:p>
    <w:p>
      <w:pPr>
        <w:spacing w:after="0" w:line="10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Mandatory Repurchase upon Breach of Warranty</w:t>
      </w:r>
      <w:r>
        <w:rPr>
          <w:rFonts w:ascii="Arial" w:cs="Arial" w:eastAsia="Arial" w:hAnsi="Arial"/>
          <w:sz w:val="17"/>
          <w:szCs w:val="17"/>
          <w:color w:val="auto"/>
        </w:rPr>
        <w:t>. If any Loan, which has been conveyed to Funding by CAC hereunder and which has been reported by CAC to be an Eligible Dealer Loan or Eligible Purchased Loan, shall fail to meet the conditions set forth in the definition of “Eligible Dealer Loan” or “Eligible Purchased Loan”, as applicable, on the date of such report or for which any representation or warranty made herein in respect of such Loan shall fail to be true on the date so made, CAC shall be deemed to have received on such day a Collection of such Loan in full and shall on such day pay to Funding an amount equal to the Release Price of such Loan. If on any day any Dealer Loan Contract, which has been conveyed to Funding by CAC hereunder and which has been reported by CAC to be an Eligible Dealer Loan Contract, shall fail to meet the conditions set forth in the definition of “Eligible Dealer Loan Contract” on the date of such report or for which any representation or warranty made herein in respect of such Dealer Loan Contract shall fail to be true on the date so made, CAC shall be deemed to have received on such day a Collection in the amount of the Release Price of such Dealer Loan Contract and shall on such day pay to Funding an amount equal to the Release Price of such Contract. For purposes of this Section 6.1, Release Price shall be calculated as of the last day of the immediately preceding collection period. Upon the request of CAC, Funding shall execute and deliver to CAC any assignments, termination statements and any other releases and instruments as CAC may reasonably request in order to effect and evidence the release of Funding’s security interest on the Loans and the Dealer Loan Contracts for which payment has been made in accordance with this Section 6.1 and the transfer of such Loans to CAC.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480" w:firstLine="225"/>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 Recourse</w:t>
      </w:r>
      <w:r>
        <w:rPr>
          <w:rFonts w:ascii="Arial" w:cs="Arial" w:eastAsia="Arial" w:hAnsi="Arial"/>
          <w:sz w:val="18"/>
          <w:szCs w:val="18"/>
          <w:color w:val="auto"/>
        </w:rPr>
        <w:t>. Except as otherwise provided in this Article VI, the purchase and sale of the Loans under this Agreement shall be without recourse to CAC or the Servicer.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CONDITIONS PRECEDENT</w:t>
      </w:r>
    </w:p>
    <w:p>
      <w:pPr>
        <w:spacing w:after="0" w:line="103"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Conditions to Funding’s Obligations Regarding Loans</w:t>
      </w:r>
      <w:r>
        <w:rPr>
          <w:rFonts w:ascii="Arial" w:cs="Arial" w:eastAsia="Arial" w:hAnsi="Arial"/>
          <w:sz w:val="17"/>
          <w:szCs w:val="17"/>
          <w:color w:val="auto"/>
        </w:rPr>
        <w:t>. Consummation of the transactions contemplated hereby on the Closing Date, the Initial Funding Date and, where applicable, on the date of each Incremental Funding, shall be subject to the satisfaction of the following conditions:</w:t>
      </w:r>
    </w:p>
    <w:p>
      <w:pPr>
        <w:spacing w:after="0" w:line="38" w:lineRule="exact"/>
        <w:rPr>
          <w:sz w:val="20"/>
          <w:szCs w:val="20"/>
          <w:color w:val="auto"/>
        </w:rPr>
      </w:pPr>
    </w:p>
    <w:p>
      <w:pPr>
        <w:ind w:right="100" w:firstLine="233"/>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representations and warranties of CAC contained in this Agreement shall be true and correct on the Closing Date, the Initial Funding Date and the date of each Incremental Funding with the same effect as though such representations and warranties had been made on such date and the date of each Incremental Funding;</w:t>
      </w:r>
    </w:p>
    <w:p>
      <w:pPr>
        <w:spacing w:after="0" w:line="73" w:lineRule="exact"/>
        <w:rPr>
          <w:rFonts w:ascii="Arial" w:cs="Arial" w:eastAsia="Arial" w:hAnsi="Arial"/>
          <w:sz w:val="18"/>
          <w:szCs w:val="18"/>
          <w:color w:val="auto"/>
        </w:rPr>
      </w:pPr>
    </w:p>
    <w:p>
      <w:pPr>
        <w:ind w:right="120" w:firstLine="233"/>
        <w:spacing w:after="0" w:line="308" w:lineRule="auto"/>
        <w:tabs>
          <w:tab w:leader="none" w:pos="477"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 respect to those Loans contributed on the Initial Funding Date and the date of each Incremental Funding, all information concerning such Loans provided to Funding shall be true and correct in all material respects as of the Initial Funding Date and the date of each Incremental Funding;</w:t>
      </w:r>
    </w:p>
    <w:p>
      <w:pPr>
        <w:spacing w:after="0" w:line="38" w:lineRule="exact"/>
        <w:rPr>
          <w:rFonts w:ascii="Arial" w:cs="Arial" w:eastAsia="Arial" w:hAnsi="Arial"/>
          <w:sz w:val="17"/>
          <w:szCs w:val="17"/>
          <w:color w:val="auto"/>
        </w:rPr>
      </w:pPr>
    </w:p>
    <w:p>
      <w:pPr>
        <w:ind w:left="480" w:hanging="247"/>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CAC shall have substantially performed all other obligations required to be performed by the provisions of this Agreement;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CAC shall have filed or caused to be filed, or shall have delivered for filing, the financing statement(s) required to be filed pursuant to Section 2.1(e);</w:t>
      </w:r>
    </w:p>
    <w:p>
      <w:pPr>
        <w:spacing w:after="0" w:line="140" w:lineRule="exact"/>
        <w:rPr>
          <w:rFonts w:ascii="Arial" w:cs="Arial" w:eastAsia="Arial" w:hAnsi="Arial"/>
          <w:sz w:val="16"/>
          <w:szCs w:val="16"/>
          <w:color w:val="auto"/>
        </w:rPr>
      </w:pPr>
    </w:p>
    <w:p>
      <w:pPr>
        <w:ind w:right="300" w:firstLine="233"/>
        <w:spacing w:after="0" w:line="286"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corporate and legal proceedings and all instruments in connection with the transactions contemplated by this Agreement shall be satisfactory in form and substance to Funding, and Funding shall have received from CAC copies of all documents (including, without limitation, records of corporate proceedings) relevant to the transactions herein contemplated as Funding may reasonably have requested; and</w:t>
      </w:r>
    </w:p>
    <w:p>
      <w:pPr>
        <w:spacing w:after="0" w:line="57" w:lineRule="exact"/>
        <w:rPr>
          <w:rFonts w:ascii="Arial" w:cs="Arial" w:eastAsia="Arial" w:hAnsi="Arial"/>
          <w:sz w:val="17"/>
          <w:szCs w:val="17"/>
          <w:color w:val="auto"/>
        </w:rPr>
      </w:pPr>
    </w:p>
    <w:p>
      <w:pPr>
        <w:ind w:left="460" w:hanging="227"/>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the Initial Funding Date, CAC shall deliver to Funding and the Deal Agent a Monthly Report as of the Initial Funding Date.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0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and the rights and obligations of the parties hereunder may not be changed orally, but only by an instrument in writing signed by Funding and CAC and consented to in writing by the Deal Agent.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5" w:name="page56"/>
    <w:bookmarkEnd w:id="55"/>
    <w:p>
      <w:pPr>
        <w:ind w:firstLine="225"/>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Notices</w:t>
      </w:r>
      <w:r>
        <w:rPr>
          <w:rFonts w:ascii="Arial" w:cs="Arial" w:eastAsia="Arial" w:hAnsi="Arial"/>
          <w:sz w:val="17"/>
          <w:szCs w:val="17"/>
          <w:color w:val="auto"/>
        </w:rPr>
        <w:t>. Except where telephonic instructions or notices are authorized herein to be given, all notices, demands, instructions and other communications required or permitted to be given to or made upon any party hereto shall be in writing and shall be sent by facsimile transmission with a confirmation of the receipt thereof and shall be deemed to be given for purposes of this Agreement on the day that the receipt of such facsimile transmission is confirmed in accordance with the provisions of this Section 8.3.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and accounts indicated below, and, in the case of telephonic instructions or notices, by calling the telephone number or numbers indicated for such party below:</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in the case of Funding: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CAC Warehouse Funding Corporation II</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Silver Triangle Building</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25505 West Twelve Mile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Southfield, Michigan 48034-8339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Jeff Soutar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(248) 353-2700 (ext. 5646)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Telecopy: (877) 320-1576</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Conduit Administrator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(704) 374-2520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(704) 383-3282</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in the case of CAC and in the case of the Servicer (for so long as the Servicer is CAC):</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Credit Acceptance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Silver Triangle Building</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25505 West Twelve Mile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Southfield, Michigan 48034-8339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Jeff Soutar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(248) 353-2700 (ext. 5646)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Telecopy: (877) 320-1576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as to each party, at such other address as shall be designated by such party in a written notice to each other party.</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56" w:name="page57"/>
    <w:bookmarkEnd w:id="56"/>
    <w:p>
      <w:pPr>
        <w:ind w:right="400" w:firstLine="225"/>
        <w:spacing w:after="0" w:line="312"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spacing w:after="0" w:line="39"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may not be assigned by the parties hereto, except that Funding may assign its rights hereunder pursuant to the Loan and Security Agreement to the Collateral Agent or the Deal Agent, for the benefit of VFCC and any Additional Conduits and the Investors, and that VFCC and any Additional Conduits may assign any or all of its rights to any Liquidity Bank. Funding hereby notifies CAC (and CAC hereby acknowledges) that Funding, pursuant to the Loan and Security Agreement, has assigned its rights hereunder to the Deal Agent. All rights of Funding hereunder may be exercised by the Deal Agent or its assignees, to the extent of their respective rights pursuant to such assignments.</w:t>
      </w:r>
    </w:p>
    <w:p>
      <w:pPr>
        <w:spacing w:after="0" w:line="6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Funding, CAC and the Servicer agree to do and perform, from time to time, any and all acts and to execute any and all further instruments required or reasonably requested by the other parties in order to more fully effect the purposes of this Agreement, including, without limitation, the execution of any financing statements or continuation statements or equivalent documents relating to the Loans for filing under the provisions of the UCC or other laws of any applicable jurisdiction.</w:t>
      </w:r>
    </w:p>
    <w:p>
      <w:pPr>
        <w:spacing w:after="0" w:line="7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Funding, CAC or the Deal Agent,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w:t>
      </w:r>
    </w:p>
    <w:p>
      <w:pPr>
        <w:spacing w:after="0" w:line="63"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including telecopy transmission thereof (and by different parties on separate counterparts), each of which shall be an original, but all of which together shall constitute one and the same instrument.</w:t>
      </w:r>
    </w:p>
    <w:p>
      <w:pPr>
        <w:spacing w:after="0" w:line="38"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Binding Effect; Third-Party Beneficiaries</w:t>
      </w:r>
      <w:r>
        <w:rPr>
          <w:rFonts w:ascii="Arial" w:cs="Arial" w:eastAsia="Arial" w:hAnsi="Arial"/>
          <w:sz w:val="18"/>
          <w:szCs w:val="18"/>
          <w:color w:val="auto"/>
        </w:rPr>
        <w:t>. This Agreement shall inure to the benefit of and be binding upon the parties hereto and their respective successors and permitted assigns. The Deal Agent, the Collateral Agent on behalf of VFCC and the Investors, and any Liquidity Bank are intended by the parties hereto to be third-party beneficiaries of this Agreement.</w:t>
      </w:r>
    </w:p>
    <w:p>
      <w:pPr>
        <w:spacing w:after="0" w:line="73"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Merger and Integration</w:t>
      </w:r>
      <w:r>
        <w:rPr>
          <w:rFonts w:ascii="Arial" w:cs="Arial" w:eastAsia="Arial" w:hAnsi="Arial"/>
          <w:sz w:val="18"/>
          <w:szCs w:val="18"/>
          <w:color w:val="auto"/>
        </w:rPr>
        <w:t>. Except as specifically stated otherwise herein, this Agreement sets forth the entire understanding of the parties relating to the subject matter hereof, and all prior understandings, written or oral, are superseded by this Agreement. This Agreement may not be modified, amended, waived or supplemented except as provided 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firstLine="225"/>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purposes of reference only and shall not otherwise affect the meaning or interpretation of any provision hereof.</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Exhibits</w:t>
      </w:r>
      <w:r>
        <w:rPr>
          <w:rFonts w:ascii="Arial" w:cs="Arial" w:eastAsia="Arial" w:hAnsi="Arial"/>
          <w:sz w:val="18"/>
          <w:szCs w:val="18"/>
          <w:color w:val="auto"/>
        </w:rPr>
        <w:t>. The schedules and exhibits referred to herein shall constitute a part of this Agreement and are incorporated into this Agreement for all purposes.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p>
      <w:pPr>
        <w:ind w:firstLine="225"/>
        <w:spacing w:after="0" w:line="277" w:lineRule="auto"/>
        <w:rPr>
          <w:sz w:val="20"/>
          <w:szCs w:val="20"/>
          <w:color w:val="auto"/>
        </w:rPr>
      </w:pPr>
      <w:r>
        <w:rPr>
          <w:rFonts w:ascii="Arial" w:cs="Arial" w:eastAsia="Arial" w:hAnsi="Arial"/>
          <w:sz w:val="18"/>
          <w:szCs w:val="18"/>
          <w:color w:val="auto"/>
        </w:rPr>
        <w:t>IN WITNESS WHEREOF, Funding and CAC each have caused this Contribution Agreement to be duly executed by their respective officers as of the day and year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FUNDING:</w:t>
            </w: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CAC WAREHOUSE FUNDING</w:t>
            </w:r>
          </w:p>
        </w:tc>
      </w:tr>
      <w:tr>
        <w:trPr>
          <w:trHeight w:val="230"/>
        </w:trPr>
        <w:tc>
          <w:tcPr>
            <w:tcW w:w="3000" w:type="dxa"/>
            <w:vAlign w:val="bottom"/>
          </w:tcPr>
          <w:p>
            <w:pPr>
              <w:spacing w:after="0"/>
              <w:rPr>
                <w:sz w:val="20"/>
                <w:szCs w:val="20"/>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CORPORATION II</w:t>
            </w:r>
          </w:p>
        </w:tc>
      </w:tr>
      <w:tr>
        <w:trPr>
          <w:trHeight w:val="432"/>
        </w:trPr>
        <w:tc>
          <w:tcPr>
            <w:tcW w:w="3000" w:type="dxa"/>
            <w:vAlign w:val="bottom"/>
          </w:tcPr>
          <w:p>
            <w:pPr>
              <w:spacing w:after="0"/>
              <w:rPr>
                <w:sz w:val="24"/>
                <w:szCs w:val="24"/>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By:  /s/ Douglas W. Busk</w:t>
            </w:r>
          </w:p>
        </w:tc>
      </w:tr>
      <w:tr>
        <w:trPr>
          <w:trHeight w:val="209"/>
        </w:trPr>
        <w:tc>
          <w:tcPr>
            <w:tcW w:w="3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Douglas W. Busk</w:t>
            </w:r>
          </w:p>
        </w:tc>
      </w:tr>
      <w:tr>
        <w:trPr>
          <w:trHeight w:val="230"/>
        </w:trPr>
        <w:tc>
          <w:tcPr>
            <w:tcW w:w="30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60"/>
              <w:spacing w:after="0"/>
              <w:rPr>
                <w:sz w:val="20"/>
                <w:szCs w:val="20"/>
                <w:color w:val="auto"/>
              </w:rPr>
            </w:pPr>
            <w:r>
              <w:rPr>
                <w:rFonts w:ascii="Arial" w:cs="Arial" w:eastAsia="Arial" w:hAnsi="Arial"/>
                <w:sz w:val="18"/>
                <w:szCs w:val="18"/>
                <w:color w:val="auto"/>
              </w:rPr>
              <w:t>Treasurer</w:t>
            </w:r>
          </w:p>
        </w:tc>
      </w:tr>
      <w:tr>
        <w:trPr>
          <w:trHeight w:val="418"/>
        </w:trPr>
        <w:tc>
          <w:tcPr>
            <w:tcW w:w="3000" w:type="dxa"/>
            <w:vAlign w:val="bottom"/>
          </w:tcPr>
          <w:p>
            <w:pPr>
              <w:spacing w:after="0"/>
              <w:rPr>
                <w:sz w:val="24"/>
                <w:szCs w:val="24"/>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CAC Warehouse Funding Corporation II</w:t>
            </w:r>
          </w:p>
        </w:tc>
      </w:tr>
      <w:tr>
        <w:trPr>
          <w:trHeight w:val="216"/>
        </w:trPr>
        <w:tc>
          <w:tcPr>
            <w:tcW w:w="3000" w:type="dxa"/>
            <w:vAlign w:val="bottom"/>
          </w:tcPr>
          <w:p>
            <w:pPr>
              <w:spacing w:after="0"/>
              <w:rPr>
                <w:sz w:val="18"/>
                <w:szCs w:val="18"/>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Silver Triangle Building</w:t>
            </w:r>
          </w:p>
        </w:tc>
      </w:tr>
      <w:tr>
        <w:trPr>
          <w:trHeight w:val="216"/>
        </w:trPr>
        <w:tc>
          <w:tcPr>
            <w:tcW w:w="3000" w:type="dxa"/>
            <w:vAlign w:val="bottom"/>
          </w:tcPr>
          <w:p>
            <w:pPr>
              <w:spacing w:after="0"/>
              <w:rPr>
                <w:sz w:val="18"/>
                <w:szCs w:val="18"/>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25505 West Twelve Mile Road</w:t>
            </w:r>
          </w:p>
        </w:tc>
      </w:tr>
      <w:tr>
        <w:trPr>
          <w:trHeight w:val="216"/>
        </w:trPr>
        <w:tc>
          <w:tcPr>
            <w:tcW w:w="3000" w:type="dxa"/>
            <w:vAlign w:val="bottom"/>
          </w:tcPr>
          <w:p>
            <w:pPr>
              <w:spacing w:after="0"/>
              <w:rPr>
                <w:sz w:val="18"/>
                <w:szCs w:val="18"/>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Southfield, Michigan 48034-8339</w:t>
            </w:r>
          </w:p>
        </w:tc>
      </w:tr>
      <w:tr>
        <w:trPr>
          <w:trHeight w:val="216"/>
        </w:trPr>
        <w:tc>
          <w:tcPr>
            <w:tcW w:w="3000" w:type="dxa"/>
            <w:vAlign w:val="bottom"/>
          </w:tcPr>
          <w:p>
            <w:pPr>
              <w:spacing w:after="0"/>
              <w:rPr>
                <w:sz w:val="18"/>
                <w:szCs w:val="18"/>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Attention: Jeff Soutar</w:t>
            </w:r>
          </w:p>
        </w:tc>
      </w:tr>
      <w:tr>
        <w:trPr>
          <w:trHeight w:val="216"/>
        </w:trPr>
        <w:tc>
          <w:tcPr>
            <w:tcW w:w="3000" w:type="dxa"/>
            <w:vAlign w:val="bottom"/>
          </w:tcPr>
          <w:p>
            <w:pPr>
              <w:spacing w:after="0"/>
              <w:rPr>
                <w:sz w:val="18"/>
                <w:szCs w:val="18"/>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Telephone: (248) 353 2700 (ext. 5646)</w:t>
            </w:r>
          </w:p>
        </w:tc>
      </w:tr>
      <w:tr>
        <w:trPr>
          <w:trHeight w:val="230"/>
        </w:trPr>
        <w:tc>
          <w:tcPr>
            <w:tcW w:w="3000" w:type="dxa"/>
            <w:vAlign w:val="bottom"/>
          </w:tcPr>
          <w:p>
            <w:pPr>
              <w:spacing w:after="0"/>
              <w:rPr>
                <w:sz w:val="20"/>
                <w:szCs w:val="20"/>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Telecopy: (877) 320-1576</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CAC:</w:t>
            </w: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CREDIT ACCEPTANCE CORPORATION</w:t>
            </w:r>
          </w:p>
        </w:tc>
      </w:tr>
      <w:tr>
        <w:trPr>
          <w:trHeight w:val="432"/>
        </w:trPr>
        <w:tc>
          <w:tcPr>
            <w:tcW w:w="3000" w:type="dxa"/>
            <w:vAlign w:val="bottom"/>
          </w:tcPr>
          <w:p>
            <w:pPr>
              <w:spacing w:after="0"/>
              <w:rPr>
                <w:sz w:val="24"/>
                <w:szCs w:val="24"/>
                <w:color w:val="auto"/>
              </w:rPr>
            </w:pPr>
          </w:p>
        </w:tc>
        <w:tc>
          <w:tcPr>
            <w:tcW w:w="6980" w:type="dxa"/>
            <w:vAlign w:val="bottom"/>
            <w:gridSpan w:val="3"/>
          </w:tcPr>
          <w:p>
            <w:pPr>
              <w:ind w:left="2120"/>
              <w:spacing w:after="0"/>
              <w:rPr>
                <w:sz w:val="20"/>
                <w:szCs w:val="20"/>
                <w:color w:val="auto"/>
              </w:rPr>
            </w:pPr>
            <w:r>
              <w:rPr>
                <w:rFonts w:ascii="Arial" w:cs="Arial" w:eastAsia="Arial" w:hAnsi="Arial"/>
                <w:sz w:val="18"/>
                <w:szCs w:val="18"/>
                <w:color w:val="auto"/>
              </w:rPr>
              <w:t>By:  /s/ Douglas W. Busk</w:t>
            </w:r>
          </w:p>
        </w:tc>
      </w:tr>
      <w:tr>
        <w:trPr>
          <w:trHeight w:val="209"/>
        </w:trPr>
        <w:tc>
          <w:tcPr>
            <w:tcW w:w="3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Douglas W. Busk</w:t>
            </w:r>
          </w:p>
        </w:tc>
      </w:tr>
      <w:tr>
        <w:trPr>
          <w:trHeight w:val="230"/>
        </w:trPr>
        <w:tc>
          <w:tcPr>
            <w:tcW w:w="30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60"/>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CAC Warehouse Funding Corp.</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Silver Triangle Building</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25505 West Twelve Mile Road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Southfield, Michigan 48034-8339</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Attention: Jeff Soutar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Telephone: (248) 353 2700 (ext. 5646)</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Telecopy: (877) 320-1576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333" w:lineRule="exact"/>
        <w:rPr>
          <w:sz w:val="20"/>
          <w:szCs w:val="20"/>
          <w:color w:val="auto"/>
        </w:rPr>
      </w:pPr>
    </w:p>
    <w:p>
      <w:pPr>
        <w:ind w:left="3560"/>
        <w:spacing w:after="0"/>
        <w:rPr>
          <w:sz w:val="20"/>
          <w:szCs w:val="20"/>
          <w:color w:val="auto"/>
        </w:rPr>
      </w:pPr>
      <w:r>
        <w:rPr>
          <w:rFonts w:ascii="Arial" w:cs="Arial" w:eastAsia="Arial" w:hAnsi="Arial"/>
          <w:sz w:val="18"/>
          <w:szCs w:val="18"/>
          <w:u w:val="single" w:color="auto"/>
          <w:color w:val="auto"/>
        </w:rPr>
        <w:t>List of Conveyed Property</w:t>
      </w:r>
    </w:p>
    <w:p>
      <w:pPr>
        <w:sectPr>
          <w:pgSz w:w="11900" w:h="16838" w:orient="portrait"/>
          <w:cols w:equalWidth="0" w:num="1">
            <w:col w:w="10220"/>
          </w:cols>
          <w:pgMar w:left="14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 (a)</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Brett A. Roberts, certify that:</w:t>
      </w:r>
    </w:p>
    <w:p>
      <w:pPr>
        <w:spacing w:after="0" w:line="117" w:lineRule="exact"/>
        <w:rPr>
          <w:sz w:val="20"/>
          <w:szCs w:val="20"/>
          <w:color w:val="auto"/>
        </w:rPr>
      </w:pPr>
    </w:p>
    <w:p>
      <w:pPr>
        <w:ind w:left="420" w:hanging="184"/>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117" w:lineRule="exact"/>
        <w:rPr>
          <w:rFonts w:ascii="Arial" w:cs="Arial" w:eastAsia="Arial" w:hAnsi="Arial"/>
          <w:sz w:val="18"/>
          <w:szCs w:val="18"/>
          <w:color w:val="auto"/>
        </w:rPr>
      </w:pPr>
    </w:p>
    <w:p>
      <w:pPr>
        <w:ind w:left="240" w:right="220" w:hanging="4"/>
        <w:spacing w:after="0" w:line="342" w:lineRule="auto"/>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40" w:right="500" w:hanging="4"/>
        <w:spacing w:after="0" w:line="308"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40" w:right="40" w:hanging="4"/>
        <w:spacing w:after="0" w:line="264"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4"/>
        <w:spacing w:after="0" w:line="264" w:lineRule="auto"/>
        <w:tabs>
          <w:tab w:leader="none" w:pos="7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40" w:right="240" w:hanging="4"/>
        <w:spacing w:after="0" w:line="308"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00" w:firstLine="4"/>
        <w:spacing w:after="0" w:line="277" w:lineRule="auto"/>
        <w:tabs>
          <w:tab w:leader="none" w:pos="69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60" w:firstLine="4"/>
        <w:spacing w:after="0" w:line="277" w:lineRule="auto"/>
        <w:tabs>
          <w:tab w:leader="none" w:pos="7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A. Roberts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Brett A. Roberts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 (b)</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Kenneth S. Booth, certify that:</w:t>
      </w:r>
    </w:p>
    <w:p>
      <w:pPr>
        <w:spacing w:after="0" w:line="117" w:lineRule="exact"/>
        <w:rPr>
          <w:sz w:val="20"/>
          <w:szCs w:val="20"/>
          <w:color w:val="auto"/>
        </w:rPr>
      </w:pPr>
    </w:p>
    <w:p>
      <w:pPr>
        <w:ind w:left="420" w:hanging="184"/>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117" w:lineRule="exact"/>
        <w:rPr>
          <w:rFonts w:ascii="Arial" w:cs="Arial" w:eastAsia="Arial" w:hAnsi="Arial"/>
          <w:sz w:val="18"/>
          <w:szCs w:val="18"/>
          <w:color w:val="auto"/>
        </w:rPr>
      </w:pPr>
    </w:p>
    <w:p>
      <w:pPr>
        <w:ind w:left="240" w:right="220" w:hanging="4"/>
        <w:spacing w:after="0" w:line="342"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40" w:right="500" w:hanging="4"/>
        <w:spacing w:after="0" w:line="308"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40" w:right="40" w:hanging="4"/>
        <w:spacing w:after="0" w:line="264"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20" w:firstLine="4"/>
        <w:spacing w:after="0" w:line="264"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40" w:right="240" w:hanging="4"/>
        <w:spacing w:after="0" w:line="308"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400" w:firstLine="4"/>
        <w:spacing w:after="0" w:line="277" w:lineRule="auto"/>
        <w:tabs>
          <w:tab w:leader="none" w:pos="69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60" w:firstLine="4"/>
        <w:spacing w:after="0" w:line="277"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S. Booth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Kenneth S. Booth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3"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 (a)</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In connection with the Quarterly Report on Form 10-Q of Credit Acceptance Corporation (the “Company”) for the quarterly period ending June 30, 2010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39" w:lineRule="exact"/>
        <w:rPr>
          <w:sz w:val="20"/>
          <w:szCs w:val="20"/>
          <w:color w:val="auto"/>
        </w:rPr>
      </w:pPr>
    </w:p>
    <w:p>
      <w:pPr>
        <w:ind w:left="480" w:hanging="247"/>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A. Roberts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Brett A. Roberts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3"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 (b)</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Credit Acceptance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In connection with the Quarterly Report on Form 10-Q of Credit Acceptance Corporation (the “Company”) for the quarterly period ending June 30, 2010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39" w:lineRule="exact"/>
        <w:rPr>
          <w:sz w:val="20"/>
          <w:szCs w:val="20"/>
          <w:color w:val="auto"/>
        </w:rPr>
      </w:pPr>
    </w:p>
    <w:p>
      <w:pPr>
        <w:ind w:left="480" w:hanging="247"/>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S. Booth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Kenneth S. Booth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1."/>
      <w:numFmt w:val="decimal"/>
      <w:start w:val="2"/>
    </w:lvl>
    <w:lvl w:ilvl="1">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2"/>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3"/>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3"/>
    </w:lvl>
  </w:abstractNum>
  <w:abstractNum w:abstractNumId="14">
    <w:nsid w:val="440BADFC"/>
    <w:multiLevelType w:val="hybridMultilevel"/>
    <w:lvl w:ilvl="0">
      <w:lvlJc w:val="left"/>
      <w:lvlText w:val="%1."/>
      <w:numFmt w:val="decimal"/>
      <w:start w:val="3"/>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5"/>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0"/>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bullet"/>
      <w:start w:val="1"/>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7"/>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2"/>
    </w:lvl>
  </w:abstractNum>
  <w:abstractNum w:abstractNumId="40">
    <w:nsid w:val="32FFF902"/>
    <w:multiLevelType w:val="hybridMultilevel"/>
    <w:lvl w:ilvl="0">
      <w:lvlJc w:val="left"/>
      <w:lvlText w:val="(%1)"/>
      <w:numFmt w:val="lowerLetter"/>
      <w:start w:val="8"/>
    </w:lvl>
  </w:abstractNum>
  <w:abstractNum w:abstractNumId="41">
    <w:nsid w:val="684A481A"/>
    <w:multiLevelType w:val="hybridMultilevel"/>
    <w:lvl w:ilvl="0">
      <w:lvlJc w:val="left"/>
      <w:lvlText w:val="(%1)"/>
      <w:numFmt w:val="lowerLetter"/>
      <w:start w:val="13"/>
    </w:lvl>
  </w:abstractNum>
  <w:abstractNum w:abstractNumId="42">
    <w:nsid w:val="579478FE"/>
    <w:multiLevelType w:val="hybridMultilevel"/>
    <w:lvl w:ilvl="0">
      <w:lvlJc w:val="left"/>
      <w:lvlText w:val="(%1)"/>
      <w:numFmt w:val="lowerLetter"/>
      <w:start w:val="2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9"/>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2"/>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lowerRoman"/>
      <w:start w:val="10"/>
    </w:lvl>
  </w:abstractNum>
  <w:abstractNum w:abstractNumId="50">
    <w:nsid w:val="520EEDD1"/>
    <w:multiLevelType w:val="hybridMultilevel"/>
    <w:lvl w:ilvl="0">
      <w:lvlJc w:val="left"/>
      <w:lvlText w:val="(%1)"/>
      <w:numFmt w:val="lowerLetter"/>
      <w:start w:val="2"/>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2019-12-10T10:31:30Z</dcterms:created>
  <dcterms:modified xsi:type="dcterms:W3CDTF">2019-12-10T10:31:30Z</dcterms:modified>
</cp:coreProperties>
</file>