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3, 2011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178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11"/>
        </w:trPr>
        <w:tc>
          <w:tcPr>
            <w:tcW w:w="386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Michigan</w:t>
            </w:r>
          </w:p>
        </w:tc>
        <w:tc>
          <w:tcPr>
            <w:tcW w:w="3580" w:type="dxa"/>
            <w:vAlign w:val="bottom"/>
            <w:gridSpan w:val="4"/>
          </w:tcPr>
          <w:p>
            <w:pPr>
              <w:jc w:val="center"/>
              <w:ind w:left="7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6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of incorporation)</w:t>
            </w:r>
          </w:p>
        </w:tc>
        <w:tc>
          <w:tcPr>
            <w:tcW w:w="16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60" w:type="dxa"/>
            <w:vAlign w:val="bottom"/>
            <w:gridSpan w:val="3"/>
          </w:tcPr>
          <w:p>
            <w:pPr>
              <w:jc w:val="center"/>
              <w:ind w:left="1490"/>
              <w:spacing w:after="0"/>
              <w:rPr>
                <w:sz w:val="20"/>
                <w:szCs w:val="20"/>
                <w:color w:val="auto"/>
              </w:rPr>
            </w:pPr>
            <w:r>
              <w:rPr>
                <w:rFonts w:ascii="Arial" w:cs="Arial" w:eastAsia="Arial" w:hAnsi="Arial"/>
                <w:sz w:val="18"/>
                <w:szCs w:val="18"/>
                <w:color w:val="auto"/>
                <w:w w:val="91"/>
              </w:rPr>
              <w:t>25505 West Twelve Mile Road,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Southfield, Michigan</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48034-8339</w:t>
            </w:r>
          </w:p>
        </w:tc>
        <w:tc>
          <w:tcPr>
            <w:tcW w:w="1640" w:type="dxa"/>
            <w:vAlign w:val="bottom"/>
            <w:tcBorders>
              <w:bottom w:val="single" w:sz="8" w:color="auto"/>
            </w:tcBorders>
          </w:tcPr>
          <w:p>
            <w:pPr>
              <w:spacing w:after="0"/>
              <w:rPr>
                <w:sz w:val="20"/>
                <w:szCs w:val="20"/>
                <w:color w:val="auto"/>
              </w:rPr>
            </w:pPr>
          </w:p>
        </w:tc>
      </w:tr>
      <w:tr>
        <w:trPr>
          <w:trHeight w:val="224"/>
        </w:trPr>
        <w:tc>
          <w:tcPr>
            <w:tcW w:w="542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gridSpan w:val="2"/>
          </w:tcPr>
          <w:p>
            <w:pPr>
              <w:jc w:val="center"/>
              <w:ind w:right="2020"/>
              <w:spacing w:after="0"/>
              <w:rPr>
                <w:sz w:val="20"/>
                <w:szCs w:val="20"/>
                <w:color w:val="auto"/>
              </w:rPr>
            </w:pPr>
            <w:r>
              <w:rPr>
                <w:rFonts w:ascii="Arial" w:cs="Arial" w:eastAsia="Arial" w:hAnsi="Arial"/>
                <w:sz w:val="18"/>
                <w:szCs w:val="18"/>
                <w:color w:val="auto"/>
                <w:w w:val="94"/>
              </w:rPr>
              <w:t>(Zip Code)</w:t>
            </w:r>
          </w:p>
        </w:tc>
      </w:tr>
    </w:tbl>
    <w:p>
      <w:pPr>
        <w:spacing w:after="0" w:line="9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8"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2.03. Creation of a Direct Financial Obligation or an Obligation under an Off-Balance Sheet Arrangement of a</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Registrant</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8.01. Other Events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EX-4.F.144</w:t>
      </w:r>
    </w:p>
    <w:p>
      <w:pPr>
        <w:spacing w:after="0" w:line="231" w:lineRule="auto"/>
        <w:rPr>
          <w:sz w:val="20"/>
          <w:szCs w:val="20"/>
          <w:color w:val="auto"/>
        </w:rPr>
      </w:pPr>
      <w:r>
        <w:rPr>
          <w:rFonts w:ascii="Arial" w:cs="Arial" w:eastAsia="Arial" w:hAnsi="Arial"/>
          <w:sz w:val="22"/>
          <w:szCs w:val="22"/>
          <w:u w:val="single" w:color="auto"/>
          <w:color w:val="0000EE"/>
        </w:rPr>
        <w:t>EX-4.F.145</w:t>
      </w: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0"/>
          </w:cols>
          <w:pgMar w:left="820" w:top="111" w:right="10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March 3, 2011, Credit Acceptance Corporation (referred to as the “Company,” “we,” “our,” or “us”) issued $100.0 million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its 9.125% First Priority Senior Secured Notes due 2017 (“senior secured notes”) at an issue price of 106% of the principal amount. The newly-issued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of senior secured notes, referred to in this report as the “additional notes,” were issued as additional senior secured notes under an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dated as of February 1, 2010 (the “2010 Indenture”), among the Company; the Company’s subsidiaries Buyers Vehicle Protection Plan,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Vehicle Remarketing Services, Inc. (the “Guarantors”); and U.S. Bank National Association, as trustee (the “Trustee”), pursuant to which on February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2010 the Company issued $250.0 million aggregate principal amount of senior secured notes (the “prior notes”), which remain outstanding. The 2010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as amended or supplemented, is referred to in this report as the “Indenture.” The additional notes have the same terms as the prior notes,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 price and issue date, and, together with the prior notes and any further senior secured notes that may be issued under the Indenture, will be treated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single class under the Indenture. The description of the Indenture and the senior secured notes contained in this report is qualified in its entirety by reference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complete text of the 2010 Indenture, which is included as Exhibit 4(f)(129) to this report and incorporated by reference herein, and the first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indenture to the 2010 Indenture, which is filed as Exhibit 4(f)(144) to this report and incorporated by reference herein.</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senior secured notes mature on February 1, 2017 and bear interest at a rate of 9.125% per annum, computed on the basis of a 360-day year composed of twelve 30-day months and payable semi-annually on February 1 and August 1 of each year. Interest on the additional notes accrues from February 1, 2011, and the first interest payment date for the additional notes is August 1, 2011.</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senior secured notes are guaranteed on a senior secured basis by the Guarantors, which are also guarantors of obligations under the Fourth Amended and Restated Credit Agreement, dated February 7, 2006, among the Company, the lenders which are parties thereto from time to time (collectively, the “Banks”) and Comerica Bank, as administrative agent, as amended (the “Credit Agreement”). Other existing and future subsidiaries of the Company may become guarantors of the senior secured notes in the future. The Indenture provides for a guarantor of the senior secured notes to be released from its obligations under its guarantee of the senior secured notes, or “note guarantee,” under specified circumstances.</w:t>
      </w:r>
    </w:p>
    <w:p>
      <w:pPr>
        <w:spacing w:after="0" w:line="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senior secured notes and the Guarantors’ note guarantees are secured on a first-priority basis (subject to specified exceptions and permitted liens), together with all indebtedness outstanding from time to time under the Credit Agreement and, under certain circumstances, other future indebtedness, by a security interest in substantially all of the assets of the Company and the Guarantors, subject to certain exceptions such as real property, cash (except to the extent it is deposited with the collateral agent), certain leases and equity interests of the Company’s subsidiaries (other than those of specified subsidiaries including the Guarantors). The assets of the Company and the Guarantors securing the senior secured notes and the note guarantees (the “notes collateral”) will not include our assets transferred to special purpose subsidiaries in connection with securitization transactions and will generally be the same as the collateral securing indebtedness under the Credit Agreement and, under certain circumstances, other future indebtedness, subject to certain limited exceptions as provided in the Fourth Amended and Restated Security Agreement, dated as of February 1, 2010, among the Company, the Guarantors and Comerica Bank, as collateral agent (the “Security Agreement”), and the Amended and Restated Intercreditor Agreement, dated as of February 1, 2010, among the Company, the Guarantors, representatives of the Secured Parties thereunder and Comerica Bank, as administrative agent under the Original Credit Agreement (as defined therein) and as collateral agent (the “Intercreditor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Agreement”). The description of the Security Agreement and the Intercreditor Agreement contained in this report is qualified in its entirety by reference to the complete text of the Security Agreement, which is included as Exhibit 4(f)(132) to this report and incorporated by reference herein, and the Intercreditor Agreement, which is included as Exhibit 4(g)(6) to this report and incorporated by reference herein.</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notes collateral may be released under specified circumstances, including in connection with our permitted securitizations. Under the terms of the Intercreditor Agreement, the Banks, or, in certain circumstances, holders of the senior secured notes or of certain permitted future secured indebtedness, will have the sole ability to direct the collateral agent as to the exercise of remedies (including any sale or liquidation after acceleration of the senior secured notes or indebtedness under the Credit Agreement) with respect to the notes collateral, subject to certain exceptions. The Intercreditor Agreement requires that proceeds from any exercise of rights in the collateral, after the payment of certain expenses, be distributed to the representatives of the secured parties for application to their underlying secured obligations.</w:t>
      </w:r>
    </w:p>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may redeem some or all of the senior secured notes, at its option, at any time and from time to time on and after February 1, 2014, at a redemption price (expressed as a percentage of the principal amount of the senior secured notes to be redeemed) of 104.563%, declining to 102.281% on February 1, 2015 and declining to par on February 1, 2016, in each case plus accrued and unpaid interest, if any, to the redemption date. At any time and from time to time prior to February 1, 2014, the Company may redeem some or all of the senior secured notes at a price equal to 100% of the principal amount of the senior secured notes redeemed, plus a “make-whole” premium set forth in the Indenture and accrued and unpaid interest, if any, to the redemption date. In addition, at any time on or prior to February 1, 2013, the Company may redeem up to 35% of the aggregate principal amount of the senior secured notes with the net cash proceeds of certain equity offerings at a redemption price of 109.125% of the principal amount of the senior secured notes redeemed, plus accrued and unpaid interest, if any, to the redemption date.</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the Company experiences specified change of control events, the Company must offer to repurchase the senior secured notes at an offer price equal to 101% of the aggregate principal amount of the senior secured notes to be repurchased, plus accrued and unpaid interest, if any, to the applicable repurchase date. Under specified circumstances, the Indenture requires the Company to use net proceeds from certain dispositions of assets to offer to repurchase senior secured notes at a repurchase price equal to 100% of the principal amount of the senior secured notes repurchased, plus accrued and unpaid interest, if any, to the applicable repurchase date.</w:t>
      </w:r>
    </w:p>
    <w:p>
      <w:pPr>
        <w:spacing w:after="0" w:line="8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Indenture requires that the Company maintain a ratio of consolidated funded debt to consolidated tangible net worth of no more than 3.25 to 1.0 as of the end of each fiscal quarter and a collateral coverage ratio of at least 1.25 to 1.0. The Indenture also contains covenants that limit the ability of the Company and its subsidiaries to, among other things: (i) incur or guarantee additional indebtedness; (ii) pay dividends or purchase capital stock; (iii) make investments;</w:t>
      </w:r>
    </w:p>
    <w:p>
      <w:pPr>
        <w:ind w:right="500" w:firstLine="8"/>
        <w:spacing w:after="0" w:line="261"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assets; (v) incur liens; (vi) merge, consolidate or sell all or substantially all of their assets; and (vii) enter into transactions with affiliates. These covenants are subject to a number of important limitations and exceptions.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Indenture provides for customary events of default. In the case of an event of default arising from specified events of bankruptcy or insolvency, all outstanding senior secured notes will become due and payable immediately without further action or notice. If any other event of default under the Indenture occurs and is continuing, the Trustee or the holders of at least 25% in principal amount of the then outstanding senior secured notes may declare all the senior secured notes to be due and payable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issuance of the additional notes, the Company and the Guarantors entered into a registration rights agreement, dated March 3, 2011, with a representative on behalf of the initial purchasers of the additional notes. Under the registration rights agreement, if additional notes constituting Transfer Restricted Securities (as such term is defined in the registration rights agreement) remain outstanding on the date falling 400 days after the issue date of the additional notes, the Company will be required to file a registration statement with the Securities and Exchange Commission (the “SEC”) with respect to an offer to exchange the additional notes for newly-issued senior secured notes (“exchange notes”) having terms substantially identical in all material respects to those of the additional notes (except the exchange notes will not contain terms with respect to transfer restrictions) or, under specified circumstances, to file a shelf registration statement with the SEC covering resales of the additional notes. The description of the registration rights agreement contained in this report is qualified in its entirety by reference to the complete text of the registration rights agreement, a copy of which is filed as Exhibit 4(f) (145) to this report and incorporated by reference herein.</w:t>
      </w:r>
    </w:p>
    <w:p>
      <w:pPr>
        <w:spacing w:after="0" w:line="7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additional notes and the related note guarantees have not been registered under the Securities Act of 1933, as amended, and may not be offered or sold in the United States absent registration or an applicable exemption from registration requirements. This report shall not constitute an offer to sell or the solicitation of an offer to buy, nor shall there be any sale of, the additional notes or the related note guarantees in any jurisdiction in which such offer, solicitation or sale would be unlawful prior to registration or qualification under the securities laws of any such jurisdiction.</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use the net proceeds of the offering of the additional notes, together with borrowings under the Credit Agreement, to fund the purchase of shares of our common stock in the tender offer announced February 9, 2011 (the “tender offer”) and the payment of transaction fees and expenses relating to the tender offer. In the event that the net proceeds from the offering of the additional notes exceed the amount required to purchase shares of our common stock in the tender offer and to pay related fees and expenses, which could occur if the tender offer is not consummated for any reason or if the number of shares properly tendered and not properly withdrawn in the tender offer is sufficiently small, we intend to use that excess for general corporate purposes, which may include repayment of debt, expansion of our operations, share repurchases or other uses. In accordance with the terms of the Credit Agreement, we will initially apply the net proceeds from the offering of the additional notes, pending their application as described above, to repay borrowings under the Credit Agreement, to the extent of such borrowings, without reducing the Banks’ commitments thereunder. Amounts so repaid may be reborrowed, subject to the terms of the Credit Agreement.</w:t>
      </w:r>
    </w:p>
    <w:p>
      <w:pPr>
        <w:spacing w:after="0" w:line="7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Certain of the initial purchasers of the additional notes and their affiliates have from time to time performed and may in the future perform various financial advisory, commercial banking, investment banking and other related services for us and our affiliates in the ordinary course of business, for which they have received or will receive customary compensation. Affiliates of certain of the initial purchasers of the additional notes are lenders under the Credit Agreement. An affiliate of one such initial purchaser of the additional notes is a lender under our $75.0 million secured warehouse facility. An entity administered by another initial purchaser of the additional notes and an affiliate of such initial purchaser are a lender and its liquidity agent, respectively, under our</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$325.0 million secured warehouse facility. In addition, certain initial purchasers of the additional notes and their affiliates are parties to our asset-backed secured financings. Those affiliates of the initial purchasers of the additional notes that are lenders under the Credit Agreement will receive proceeds from the offering of the additional notes as repayment of our borrowings under the Credit Agreement, and certain of the initial purchasers of the additional notes and/or their affiliates are holders of our common stock and may receive proceeds from the offering of the additional notes in connection with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report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March 3, 2011, the Company issued a press release announcing the consummation of its previously-announced offering of $100.0 million of its 9.125% First Priority Senior Secured Notes due 2017. The press release is filed as Exhibit 99.1 to this report and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4(f)(129)</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Indenture, dated as of February 1, 2010, among the Company, the Guarantors named therein and U.S. Bank National Association, as</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trustee (incorporated by reference to Exhibit 4(f)(129) to the Company’s Current Report on Form 8-K filed with the SEC on February 5,</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460"/>
              <w:spacing w:after="0"/>
              <w:rPr>
                <w:sz w:val="20"/>
                <w:szCs w:val="20"/>
                <w:color w:val="auto"/>
              </w:rPr>
            </w:pPr>
            <w:r>
              <w:rPr>
                <w:rFonts w:ascii="Arial" w:cs="Arial" w:eastAsia="Arial" w:hAnsi="Arial"/>
                <w:sz w:val="18"/>
                <w:szCs w:val="18"/>
                <w:color w:val="auto"/>
              </w:rPr>
              <w:t>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4(f)(132)</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Fourth Amended and Restated Security Agreement, dated as of February 1, 2010, among the Company, the other Debtors party thereto and</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Comerica Bank, as collateral agent (incorporated by reference to Exhibit 4(f)(132) to the Company’s Current Report on Form 8-K filed</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with the SEC on February 5, 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4(f)(144)</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First Supplemental Indenture, dated as of March 3, 2011, among the Company, the Guarantors named therein and U.S. Bank National</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Association, as trustee.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4(f)(145)</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Registration Rights Agreement, dated March 3, 2011, among Credit Acceptance Corporation, Buyers Vehicle Protection Plan, Inc., Vehicle</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Remarketing Services, Inc. and the representative of the initial purchasers of the Company’s 9.125% First Priority Senior Secured Notes</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due 2017 issued on March 3,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4(g)(6)</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Amended and Restated Intercreditor Agreement, dated as of February 1, 2010, among Credit Acceptance Corporation, the other Grantors</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party thereto, representatives of the Secured Parties thereunder and Comerica Bank, as administrative agent under the Original Credit</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Agreement (as defined therein) and as collateral agent (incorporated by reference to Exhibit 4(g)(6) to the Company’s Current Report on</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filed with the SEC on February 5,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March 3, 2011.</w:t>
            </w:r>
          </w:p>
        </w:tc>
      </w:tr>
      <w:tr>
        <w:trPr>
          <w:trHeight w:val="632"/>
        </w:trPr>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6540" w:type="dxa"/>
            <w:vAlign w:val="bottom"/>
            <w:gridSpan w:val="2"/>
          </w:tcPr>
          <w:p>
            <w:pPr>
              <w:ind w:left="2160"/>
              <w:spacing w:after="0"/>
              <w:rPr>
                <w:sz w:val="20"/>
                <w:szCs w:val="20"/>
                <w:color w:val="auto"/>
              </w:rPr>
            </w:pPr>
            <w:r>
              <w:rPr>
                <w:rFonts w:ascii="Arial" w:cs="Arial" w:eastAsia="Arial" w:hAnsi="Arial"/>
                <w:sz w:val="18"/>
                <w:szCs w:val="18"/>
                <w:color w:val="auto"/>
              </w:rPr>
              <w:t>CREDIT ACCEPTANCE CORPORATION</w:t>
            </w:r>
          </w:p>
        </w:tc>
        <w:tc>
          <w:tcPr>
            <w:tcW w:w="168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6540" w:type="dxa"/>
            <w:vAlign w:val="bottom"/>
            <w:gridSpan w:val="2"/>
          </w:tcPr>
          <w:p>
            <w:pPr>
              <w:ind w:left="2160"/>
              <w:spacing w:after="0"/>
              <w:rPr>
                <w:sz w:val="20"/>
                <w:szCs w:val="20"/>
                <w:color w:val="auto"/>
              </w:rPr>
            </w:pPr>
            <w:r>
              <w:rPr>
                <w:rFonts w:ascii="Arial" w:cs="Arial" w:eastAsia="Arial" w:hAnsi="Arial"/>
                <w:sz w:val="18"/>
                <w:szCs w:val="18"/>
                <w:color w:val="auto"/>
              </w:rPr>
              <w:t>By: /s/ Douglas W. Busk</w:t>
            </w:r>
          </w:p>
        </w:tc>
        <w:tc>
          <w:tcPr>
            <w:tcW w:w="1680" w:type="dxa"/>
            <w:vAlign w:val="bottom"/>
          </w:tcPr>
          <w:p>
            <w:pPr>
              <w:spacing w:after="0"/>
              <w:rPr>
                <w:sz w:val="24"/>
                <w:szCs w:val="24"/>
                <w:color w:val="auto"/>
              </w:rPr>
            </w:pPr>
          </w:p>
        </w:tc>
      </w:tr>
      <w:tr>
        <w:trPr>
          <w:trHeight w:val="195"/>
        </w:trPr>
        <w:tc>
          <w:tcPr>
            <w:tcW w:w="3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Douglas W. Busk</w:t>
            </w:r>
          </w:p>
        </w:tc>
        <w:tc>
          <w:tcPr>
            <w:tcW w:w="1680" w:type="dxa"/>
            <w:vAlign w:val="bottom"/>
          </w:tcPr>
          <w:p>
            <w:pPr>
              <w:spacing w:after="0"/>
              <w:rPr>
                <w:sz w:val="16"/>
                <w:szCs w:val="16"/>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March 3, 2011</w:t>
            </w:r>
          </w:p>
        </w:tc>
        <w:tc>
          <w:tcPr>
            <w:tcW w:w="25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 Treasurer</w:t>
            </w:r>
          </w:p>
        </w:tc>
        <w:tc>
          <w:tcPr>
            <w:tcW w:w="1680" w:type="dxa"/>
            <w:vAlign w:val="bottom"/>
          </w:tcPr>
          <w:p>
            <w:pPr>
              <w:spacing w:after="0"/>
              <w:rPr>
                <w:sz w:val="20"/>
                <w:szCs w:val="20"/>
                <w:color w:val="auto"/>
              </w:rPr>
            </w:pPr>
          </w:p>
        </w:tc>
      </w:tr>
      <w:tr>
        <w:trPr>
          <w:trHeight w:val="632"/>
        </w:trPr>
        <w:tc>
          <w:tcPr>
            <w:tcW w:w="32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4(f)(129)</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Indenture, dated as of February 1, 2010, among the Company, the Guarantors named therein and U.S. Bank National Association, as</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trustee (incorporated by reference to Exhibit 4(f)(129) to the Company’s Current Report on Form 8-K filed with the SEC on February 5,</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460"/>
              <w:spacing w:after="0"/>
              <w:rPr>
                <w:sz w:val="20"/>
                <w:szCs w:val="20"/>
                <w:color w:val="auto"/>
              </w:rPr>
            </w:pPr>
            <w:r>
              <w:rPr>
                <w:rFonts w:ascii="Arial" w:cs="Arial" w:eastAsia="Arial" w:hAnsi="Arial"/>
                <w:sz w:val="18"/>
                <w:szCs w:val="18"/>
                <w:color w:val="auto"/>
              </w:rPr>
              <w:t>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4(f)(132)</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Fourth Amended and Restated Security Agreement, dated as of February 1, 2010, among the Company, the other Debtors party thereto and</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Comerica Bank, as collateral agent (incorporated by reference to Exhibit 4(f)(132) to the Company’s Current Report on Form 8-K filed</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with the SEC on February 5, 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4(f)(144)</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First Supplemental Indenture, dated as of March 3, 2011, among the Company, the Guarantors named therein and U.S. Bank National</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Association, as trustee.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4(f)(145)</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Registration Rights Agreement, dated March 3, 2011, among Credit Acceptance Corporation, Buyers Vehicle Protection Plan, Inc., Vehicle</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Remarketing Services, Inc. and the representative of the initial purchasers of the Company’s 9.125% First Priority Senior Secured Notes</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due 2017 issued on March 3,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4(g)(6)</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Amended and Restated Intercreditor Agreement, dated as of February 1, 2010, among Credit Acceptance Corporation, the other Grantors</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party thereto, representatives of the Secured Parties thereunder and Comerica Bank, as administrative agent under the Original Credit</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Agreement (as defined therein) and as collateral agent (incorporated by reference to Exhibit 4(g)(6) to the Company’s Current Report on</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filed with the SEC on February 5,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March 3, 2011.</w:t>
            </w:r>
          </w:p>
        </w:tc>
      </w:tr>
    </w:tbl>
    <w:p>
      <w:pPr>
        <w:sectPr>
          <w:pgSz w:w="11900" w:h="16838" w:orient="portrait"/>
          <w:cols w:equalWidth="0" w:num="1">
            <w:col w:w="11420"/>
          </w:cols>
          <w:pgMar w:left="240" w:top="41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4(f)(144)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121" w:lineRule="exact"/>
        <w:rPr>
          <w:sz w:val="20"/>
          <w:szCs w:val="20"/>
          <w:color w:val="auto"/>
        </w:rPr>
      </w:pPr>
    </w:p>
    <w:p>
      <w:pPr>
        <w:jc w:val="both"/>
        <w:ind w:right="460" w:firstLine="225"/>
        <w:spacing w:after="0" w:line="302" w:lineRule="auto"/>
        <w:rPr>
          <w:sz w:val="20"/>
          <w:szCs w:val="20"/>
          <w:color w:val="auto"/>
        </w:rPr>
      </w:pPr>
      <w:r>
        <w:rPr>
          <w:rFonts w:ascii="Arial" w:cs="Arial" w:eastAsia="Arial" w:hAnsi="Arial"/>
          <w:sz w:val="16"/>
          <w:szCs w:val="16"/>
          <w:color w:val="auto"/>
        </w:rPr>
        <w:t>FIRST SUPPLEMENTAL INDENTURE (this “</w:t>
      </w:r>
      <w:r>
        <w:rPr>
          <w:rFonts w:ascii="Arial" w:cs="Arial" w:eastAsia="Arial" w:hAnsi="Arial"/>
          <w:sz w:val="16"/>
          <w:szCs w:val="16"/>
          <w:u w:val="single" w:color="auto"/>
          <w:color w:val="auto"/>
        </w:rPr>
        <w:t>First Supplemental Indenture</w:t>
      </w:r>
      <w:r>
        <w:rPr>
          <w:rFonts w:ascii="Arial" w:cs="Arial" w:eastAsia="Arial" w:hAnsi="Arial"/>
          <w:sz w:val="16"/>
          <w:szCs w:val="16"/>
          <w:color w:val="auto"/>
        </w:rPr>
        <w:t>”), dated as of March 3, 2011, among Credit Acceptance Corporation,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Buyers Vehicle Protection Plan, Inc., a Michigan corporation (“</w:t>
      </w:r>
      <w:r>
        <w:rPr>
          <w:rFonts w:ascii="Arial" w:cs="Arial" w:eastAsia="Arial" w:hAnsi="Arial"/>
          <w:sz w:val="16"/>
          <w:szCs w:val="16"/>
          <w:u w:val="single" w:color="auto"/>
          <w:color w:val="auto"/>
        </w:rPr>
        <w:t>BVPP</w:t>
      </w:r>
      <w:r>
        <w:rPr>
          <w:rFonts w:ascii="Arial" w:cs="Arial" w:eastAsia="Arial" w:hAnsi="Arial"/>
          <w:sz w:val="16"/>
          <w:szCs w:val="16"/>
          <w:color w:val="auto"/>
        </w:rPr>
        <w:t>”), Vehicle Remarketing Services, Inc., a Michigan corporation (together with BVPP, the “</w:t>
      </w:r>
      <w:r>
        <w:rPr>
          <w:rFonts w:ascii="Arial" w:cs="Arial" w:eastAsia="Arial" w:hAnsi="Arial"/>
          <w:sz w:val="16"/>
          <w:szCs w:val="16"/>
          <w:u w:val="single" w:color="auto"/>
          <w:color w:val="auto"/>
        </w:rPr>
        <w:t>Guarantors</w:t>
      </w:r>
      <w:r>
        <w:rPr>
          <w:rFonts w:ascii="Arial" w:cs="Arial" w:eastAsia="Arial" w:hAnsi="Arial"/>
          <w:sz w:val="16"/>
          <w:szCs w:val="16"/>
          <w:color w:val="auto"/>
        </w:rPr>
        <w:t>”), and U.S. Bank National Association, a national banking association, as trustee under the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 Capitalized terms used but not defined herein have the respective meanings set forth in the Indenture.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WHEREAS, the Company, the Guarantors and the Trustee have entered into an indenture, dated as of February 1, 2010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by the Company of 9.125% First Priority Senior Secured Notes due 2017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62"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WHEREAS, pursuant to Section 9.01 of the Indenture, the Company, the Guarantors and the Trustee may, without the consent of any Holder of Notes, amend or supplement the Indenture, the Notes, any Security Document or the Intercreditor Agreement to, among other things, make any change that would provide any additional rights or benefits to the Holders of Notes; cure any ambiguity, omission, defect or inconsistency; conform the text of the Indenture, the Notes or any Guarantee to any provision of the section of the Offering Circular entitled “Description of Notes” to the extent that such provision in the section of the Offering Circular entitled “Description of Notes” was intended to be a verbatim recitation of a provision of the Indenture, the Notes or such Guarantee; or make any change that does not adversely affect the legal rights under the Indenture of any such Holder;</w:t>
      </w:r>
    </w:p>
    <w:p>
      <w:pPr>
        <w:spacing w:after="0" w:line="7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WHEREAS, the Company and the Guarantors wish to implement the amendments set forth in this First Supplemental Indenture to provide for the payment of pre-issuance accrued interest with respect to any Additional Notes that may be issued and to correct, and conform to the “Description of Notes” section of the Offering Circular, certain references in the Appendix to the amount of Notes issued on the Issue Date;</w:t>
      </w:r>
    </w:p>
    <w:p>
      <w:pPr>
        <w:spacing w:after="0" w:line="7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Company is delivering contemporaneously herewith to the Trustee, pursuant to the Indenture, an Officers’ Certificate and an Opinion of Counsel in connection with the execution and delivery of this First Supplemental Indenture; and</w:t>
      </w:r>
    </w:p>
    <w:p>
      <w:pPr>
        <w:spacing w:after="0" w:line="62"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WHEREAS, this First Supplemental Indenture complies with and is authorized by the applicable provisions of the Indenture, including Section 9.01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the Guarantors and the Trustee mutually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458"/>
        <w:spacing w:after="0" w:line="264" w:lineRule="auto"/>
        <w:tabs>
          <w:tab w:leader="none" w:pos="695" w:val="left"/>
        </w:tabs>
        <w:numPr>
          <w:ilvl w:val="1"/>
          <w:numId w:val="3"/>
        </w:numPr>
        <w:rPr>
          <w:rFonts w:ascii="Arial" w:cs="Arial" w:eastAsia="Arial" w:hAnsi="Arial"/>
          <w:sz w:val="18"/>
          <w:szCs w:val="18"/>
          <w:color w:val="auto"/>
        </w:rPr>
      </w:pPr>
      <w:r>
        <w:rPr>
          <w:rFonts w:ascii="Arial" w:cs="Arial" w:eastAsia="Arial" w:hAnsi="Arial"/>
          <w:sz w:val="18"/>
          <w:szCs w:val="18"/>
          <w:color w:val="auto"/>
        </w:rPr>
        <w:t>Each of (i) paragraph 1 on the reverse side of the form of Note in Exhibit I to the Appendix, (ii) paragraph 1 on the reverse side of the form of Note in Exhibit II to the Appendix and (iii) paragraph 1 on the reverse side of each of the Notes is hereby amended by deleting therefrom “(or, in the case of any Additional Notes as to which no interest has been paid, from the date of issuance of such Additional Notes)”.</w:t>
      </w:r>
    </w:p>
    <w:p>
      <w:pPr>
        <w:spacing w:after="0" w:line="73" w:lineRule="exact"/>
        <w:rPr>
          <w:rFonts w:ascii="Arial" w:cs="Arial" w:eastAsia="Arial" w:hAnsi="Arial"/>
          <w:sz w:val="18"/>
          <w:szCs w:val="18"/>
          <w:color w:val="auto"/>
        </w:rPr>
      </w:pPr>
    </w:p>
    <w:p>
      <w:pPr>
        <w:ind w:right="100" w:firstLine="458"/>
        <w:spacing w:after="0" w:line="277" w:lineRule="auto"/>
        <w:tabs>
          <w:tab w:leader="none" w:pos="705" w:val="left"/>
        </w:tabs>
        <w:numPr>
          <w:ilvl w:val="1"/>
          <w:numId w:val="3"/>
        </w:numPr>
        <w:rPr>
          <w:rFonts w:ascii="Arial" w:cs="Arial" w:eastAsia="Arial" w:hAnsi="Arial"/>
          <w:sz w:val="18"/>
          <w:szCs w:val="18"/>
          <w:color w:val="auto"/>
        </w:rPr>
      </w:pPr>
      <w:r>
        <w:rPr>
          <w:rFonts w:ascii="Arial" w:cs="Arial" w:eastAsia="Arial" w:hAnsi="Arial"/>
          <w:sz w:val="18"/>
          <w:szCs w:val="18"/>
          <w:color w:val="auto"/>
        </w:rPr>
        <w:t>Each of Section 2.2 of the Appendix and clause (1) of the definition of Initial Notes in Section 1.1 of the Appendix is hereby amended by replacing “$225,000,000” with “$250,000,000”.</w:t>
      </w:r>
    </w:p>
    <w:p>
      <w:pPr>
        <w:spacing w:after="0" w:line="62" w:lineRule="exact"/>
        <w:rPr>
          <w:rFonts w:ascii="Arial" w:cs="Arial" w:eastAsia="Arial" w:hAnsi="Arial"/>
          <w:sz w:val="18"/>
          <w:szCs w:val="18"/>
          <w:color w:val="auto"/>
        </w:rPr>
      </w:pPr>
    </w:p>
    <w:p>
      <w:pPr>
        <w:ind w:firstLine="233"/>
        <w:spacing w:after="0" w:line="342" w:lineRule="auto"/>
        <w:tabs>
          <w:tab w:leader="none" w:pos="40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Effectiveness</w:t>
      </w:r>
      <w:r>
        <w:rPr>
          <w:rFonts w:ascii="Arial" w:cs="Arial" w:eastAsia="Arial" w:hAnsi="Arial"/>
          <w:sz w:val="16"/>
          <w:szCs w:val="16"/>
          <w:color w:val="auto"/>
        </w:rPr>
        <w:t>. Upon the execution and delivery of this First Supplemental Indenture by the Company, the Guarantors and the Trustee, the Indenture shall be amended and supplemented in accordance herewith, and this First Supplemental Indenture shall form a part of the Indenture for all purposes.</w:t>
      </w:r>
    </w:p>
    <w:p>
      <w:pPr>
        <w:spacing w:after="0" w:line="15" w:lineRule="exact"/>
        <w:rPr>
          <w:rFonts w:ascii="Arial" w:cs="Arial" w:eastAsia="Arial" w:hAnsi="Arial"/>
          <w:sz w:val="16"/>
          <w:szCs w:val="16"/>
          <w:color w:val="auto"/>
        </w:rPr>
      </w:pPr>
    </w:p>
    <w:p>
      <w:pPr>
        <w:ind w:right="140" w:firstLine="233"/>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Indenture Remains in Full Force and Effect</w:t>
      </w:r>
      <w:r>
        <w:rPr>
          <w:rFonts w:ascii="Arial" w:cs="Arial" w:eastAsia="Arial" w:hAnsi="Arial"/>
          <w:sz w:val="18"/>
          <w:szCs w:val="18"/>
          <w:color w:val="auto"/>
        </w:rPr>
        <w:t>. Except as amended and supplemented hereby, all provisions of the Indenture shall remain in full force and effect.</w:t>
      </w:r>
    </w:p>
    <w:p>
      <w:pPr>
        <w:spacing w:after="0" w:line="62" w:lineRule="exact"/>
        <w:rPr>
          <w:rFonts w:ascii="Arial" w:cs="Arial" w:eastAsia="Arial" w:hAnsi="Arial"/>
          <w:sz w:val="18"/>
          <w:szCs w:val="18"/>
          <w:color w:val="auto"/>
        </w:rPr>
      </w:pPr>
    </w:p>
    <w:p>
      <w:pPr>
        <w:ind w:right="120" w:firstLine="233"/>
        <w:spacing w:after="0" w:line="342" w:lineRule="auto"/>
        <w:tabs>
          <w:tab w:leader="none" w:pos="40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First Supplemental Indenture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15" w:lineRule="exact"/>
        <w:rPr>
          <w:rFonts w:ascii="Arial" w:cs="Arial" w:eastAsia="Arial" w:hAnsi="Arial"/>
          <w:sz w:val="16"/>
          <w:szCs w:val="16"/>
          <w:color w:val="auto"/>
        </w:rPr>
      </w:pPr>
    </w:p>
    <w:p>
      <w:pPr>
        <w:jc w:val="both"/>
        <w:ind w:right="120" w:firstLine="233"/>
        <w:spacing w:after="0" w:line="342" w:lineRule="auto"/>
        <w:tabs>
          <w:tab w:leader="none" w:pos="40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of this First Supplemental Indenture have been inserted for convenience of reference only, are not intended to be considered a part of this First Supplemental Indenture and shall not modify or restrict any of the terms or provisions of this First Supplemental Indenture.</w:t>
      </w:r>
    </w:p>
    <w:p>
      <w:pPr>
        <w:spacing w:after="0" w:line="15" w:lineRule="exact"/>
        <w:rPr>
          <w:rFonts w:ascii="Arial" w:cs="Arial" w:eastAsia="Arial" w:hAnsi="Arial"/>
          <w:sz w:val="16"/>
          <w:szCs w:val="16"/>
          <w:color w:val="auto"/>
        </w:rPr>
      </w:pPr>
    </w:p>
    <w:p>
      <w:pPr>
        <w:ind w:right="60" w:firstLine="233"/>
        <w:spacing w:after="0" w:line="264"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First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73" w:lineRule="exact"/>
        <w:rPr>
          <w:rFonts w:ascii="Arial" w:cs="Arial" w:eastAsia="Arial" w:hAnsi="Arial"/>
          <w:sz w:val="18"/>
          <w:szCs w:val="18"/>
          <w:color w:val="auto"/>
        </w:rPr>
      </w:pPr>
    </w:p>
    <w:p>
      <w:pPr>
        <w:ind w:right="320" w:firstLine="233"/>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First Supplemental Indenture. Each signed copy shall be an original, but all of them together represent the same agreement. One signed copy is enough to prove this First Supplemental Indenture.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left="240"/>
        <w:spacing w:after="0"/>
        <w:rPr>
          <w:sz w:val="20"/>
          <w:szCs w:val="20"/>
          <w:color w:val="auto"/>
        </w:rPr>
      </w:pPr>
      <w:r>
        <w:rPr>
          <w:rFonts w:ascii="Arial" w:cs="Arial" w:eastAsia="Arial" w:hAnsi="Arial"/>
          <w:sz w:val="16"/>
          <w:szCs w:val="16"/>
          <w:color w:val="auto"/>
        </w:rPr>
        <w:t>IN WITNESS WHEREOF, the parties hereto have caused this First Supplemental Indenture to be duly executed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CCEPTANCE</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22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Douglas W. Busk</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UYERS</w:t>
      </w:r>
      <w:r>
        <w:rPr>
          <w:rFonts w:ascii="Arial" w:cs="Arial" w:eastAsia="Arial" w:hAnsi="Arial"/>
          <w:sz w:val="18"/>
          <w:szCs w:val="18"/>
          <w:color w:val="auto"/>
        </w:rPr>
        <w:t xml:space="preserve"> V</w:t>
      </w:r>
      <w:r>
        <w:rPr>
          <w:rFonts w:ascii="Arial" w:cs="Arial" w:eastAsia="Arial" w:hAnsi="Arial"/>
          <w:sz w:val="12"/>
          <w:szCs w:val="12"/>
          <w:color w:val="auto"/>
        </w:rPr>
        <w:t>EHICLE</w:t>
      </w:r>
      <w:r>
        <w:rPr>
          <w:rFonts w:ascii="Arial" w:cs="Arial" w:eastAsia="Arial" w:hAnsi="Arial"/>
          <w:sz w:val="18"/>
          <w:szCs w:val="18"/>
          <w:color w:val="auto"/>
        </w:rPr>
        <w:t xml:space="preserve"> P</w:t>
      </w:r>
      <w:r>
        <w:rPr>
          <w:rFonts w:ascii="Arial" w:cs="Arial" w:eastAsia="Arial" w:hAnsi="Arial"/>
          <w:sz w:val="12"/>
          <w:szCs w:val="12"/>
          <w:color w:val="auto"/>
        </w:rPr>
        <w:t>ROTECTION</w:t>
      </w:r>
      <w:r>
        <w:rPr>
          <w:rFonts w:ascii="Arial" w:cs="Arial" w:eastAsia="Arial" w:hAnsi="Arial"/>
          <w:sz w:val="18"/>
          <w:szCs w:val="18"/>
          <w:color w:val="auto"/>
        </w:rPr>
        <w:t xml:space="preserve"> P</w:t>
      </w:r>
      <w:r>
        <w:rPr>
          <w:rFonts w:ascii="Arial" w:cs="Arial" w:eastAsia="Arial" w:hAnsi="Arial"/>
          <w:sz w:val="12"/>
          <w:szCs w:val="12"/>
          <w:color w:val="auto"/>
        </w:rPr>
        <w:t>LAN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22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Douglas W. Busk</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EHICLE</w:t>
      </w:r>
      <w:r>
        <w:rPr>
          <w:rFonts w:ascii="Arial" w:cs="Arial" w:eastAsia="Arial" w:hAnsi="Arial"/>
          <w:sz w:val="18"/>
          <w:szCs w:val="18"/>
          <w:color w:val="auto"/>
        </w:rPr>
        <w:t xml:space="preserve"> R</w:t>
      </w:r>
      <w:r>
        <w:rPr>
          <w:rFonts w:ascii="Arial" w:cs="Arial" w:eastAsia="Arial" w:hAnsi="Arial"/>
          <w:sz w:val="12"/>
          <w:szCs w:val="12"/>
          <w:color w:val="auto"/>
        </w:rPr>
        <w:t>EMARKETING</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22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Douglas W. Busk</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22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Raymond S. Haverstock</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[9.125% F</w:t>
      </w:r>
      <w:r>
        <w:rPr>
          <w:rFonts w:ascii="Arial" w:cs="Arial" w:eastAsia="Arial" w:hAnsi="Arial"/>
          <w:sz w:val="12"/>
          <w:szCs w:val="12"/>
          <w:color w:val="auto"/>
        </w:rPr>
        <w:t>IRST</w:t>
      </w:r>
      <w:r>
        <w:rPr>
          <w:rFonts w:ascii="Arial" w:cs="Arial" w:eastAsia="Arial" w:hAnsi="Arial"/>
          <w:sz w:val="18"/>
          <w:szCs w:val="18"/>
          <w:color w:val="auto"/>
        </w:rPr>
        <w:t xml:space="preserve"> P</w:t>
      </w:r>
      <w:r>
        <w:rPr>
          <w:rFonts w:ascii="Arial" w:cs="Arial" w:eastAsia="Arial" w:hAnsi="Arial"/>
          <w:sz w:val="12"/>
          <w:szCs w:val="12"/>
          <w:color w:val="auto"/>
        </w:rPr>
        <w:t>RIORITY</w:t>
      </w:r>
      <w:r>
        <w:rPr>
          <w:rFonts w:ascii="Arial" w:cs="Arial" w:eastAsia="Arial" w:hAnsi="Arial"/>
          <w:sz w:val="18"/>
          <w:szCs w:val="18"/>
          <w:color w:val="auto"/>
        </w:rPr>
        <w:t xml:space="preserve"> S</w:t>
      </w:r>
      <w:r>
        <w:rPr>
          <w:rFonts w:ascii="Arial" w:cs="Arial" w:eastAsia="Arial" w:hAnsi="Arial"/>
          <w:sz w:val="12"/>
          <w:szCs w:val="12"/>
          <w:color w:val="auto"/>
        </w:rPr>
        <w:t>ENIOR</w:t>
      </w:r>
      <w:r>
        <w:rPr>
          <w:rFonts w:ascii="Arial" w:cs="Arial" w:eastAsia="Arial" w:hAnsi="Arial"/>
          <w:sz w:val="18"/>
          <w:szCs w:val="18"/>
          <w:color w:val="auto"/>
        </w:rPr>
        <w:t xml:space="preserve"> S</w:t>
      </w:r>
      <w:r>
        <w:rPr>
          <w:rFonts w:ascii="Arial" w:cs="Arial" w:eastAsia="Arial" w:hAnsi="Arial"/>
          <w:sz w:val="12"/>
          <w:szCs w:val="12"/>
          <w:color w:val="auto"/>
        </w:rPr>
        <w:t>ECURED</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 xml:space="preserve"> — F</w:t>
      </w:r>
      <w:r>
        <w:rPr>
          <w:rFonts w:ascii="Arial" w:cs="Arial" w:eastAsia="Arial" w:hAnsi="Arial"/>
          <w:sz w:val="12"/>
          <w:szCs w:val="12"/>
          <w:color w:val="auto"/>
        </w:rPr>
        <w:t>IRST</w:t>
      </w:r>
      <w:r>
        <w:rPr>
          <w:rFonts w:ascii="Arial" w:cs="Arial" w:eastAsia="Arial" w:hAnsi="Arial"/>
          <w:sz w:val="18"/>
          <w:szCs w:val="18"/>
          <w:color w:val="auto"/>
        </w:rPr>
        <w:t xml:space="preserve"> S</w:t>
      </w:r>
      <w:r>
        <w:rPr>
          <w:rFonts w:ascii="Arial" w:cs="Arial" w:eastAsia="Arial" w:hAnsi="Arial"/>
          <w:sz w:val="12"/>
          <w:szCs w:val="12"/>
          <w:color w:val="auto"/>
        </w:rPr>
        <w:t>UPPLEMENTAL</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w:t>
      </w:r>
    </w:p>
    <w:p>
      <w:pPr>
        <w:sectPr>
          <w:pgSz w:w="11900" w:h="16838" w:orient="portrait"/>
          <w:cols w:equalWidth="0" w:num="1">
            <w:col w:w="10700"/>
          </w:cols>
          <w:pgMar w:left="240" w:top="935" w:right="9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4(f)(145)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9.125% First Priority Senior Secured Notes due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 (“Credit Suisse”),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 10010-3629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Credit Acceptance Corporation, a Michigan corporation (the “Issuer”), proposes to issue and sell to Credit Suisse, as representative of the initial purchasers set forth on Schedule I hereto (the “Initial Purchasers”), upon the terms set forth in a purchase agreement dated February 28, 2011 (the “Purchase Agreement”), $100,000,000 aggregate principal amount of its 9.125% First Priority Senior Secured Notes due 2017 (the “Initial Securities”) to be unconditionally guaranteed (the “Guarantees”) by Buyers Vehicle Protection Plan, Inc. and Vehicle Remarketing Services, Inc. (the “Guarantors” and together with the Issuer, the “Company”). The Initial Securities will be issued pursuant to an Indenture, dated as of February 1, 2010, as amended or supplemented (the “Indenture”), among the Issuer, the Guarantors named therein and U.S. Bank National Association (the “Trustee”). As an inducement to the Initial Purchasers, the Company agrees with the Initial Purchasers, for the benefit of the holders of the Initial Securities (including, without limitation, the Initial Purchasers), the Exchange Securities (as defined below) and the Private Exchange Securities (as defined below) (collectively the “Holders”), as follows:</w:t>
      </w:r>
    </w:p>
    <w:p>
      <w:pPr>
        <w:spacing w:after="0" w:line="58" w:lineRule="exact"/>
        <w:rPr>
          <w:sz w:val="20"/>
          <w:szCs w:val="20"/>
          <w:color w:val="auto"/>
        </w:rPr>
      </w:pPr>
    </w:p>
    <w:p>
      <w:pPr>
        <w:ind w:right="180" w:firstLine="233"/>
        <w:spacing w:after="0" w:line="291"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Registered Exchange Offer</w:t>
      </w:r>
      <w:r>
        <w:rPr>
          <w:rFonts w:ascii="Arial" w:cs="Arial" w:eastAsia="Arial" w:hAnsi="Arial"/>
          <w:sz w:val="16"/>
          <w:szCs w:val="16"/>
          <w:color w:val="auto"/>
        </w:rPr>
        <w:t>. If any Transfer Restricted Securities (as defined in Section 6(d) hereof) other than Exchange Securities (as defined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remain outstanding on the date falling 400 days after the date of original issue of the Initial Securities (the “Issue Date”), the Company shall (a) within</w:t>
      </w: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400 days after the Issue Date, at its own cost, prepare and file with the Securities and Exchange Commission (the “Commission”) a registration statement (the “Exchange Offer Registration Statement”) on an appropriate form under the Securities Act of 1933, as amended (the “Securities Act”), with respect to a proposed offer (the “Registered Exchange Offer”) to the Holders of Initial Securities who are not prohibited by any law or policy of the Commission from participating in the Registered Exchange Offer to issue and deliver to such Holders as soon as practicable after the effectiveness of the Exchange Offer Registration Statement, in exchange for the Initial Securities, a like aggregate principal amount of debt securities (the “Exchange Securities”) of the Issuer issued under the Indenture and identical in all material respects to the Initial Securities (except for the transfer restrictions relating to the Initial Securities and the provisions relating to the matters described in Section 6 hereof) that would be registered under the Securities Act; (b) use its reasonable best efforts to cause the Exchange Offer Registration Statement to be declared effective under the Securities Act within 490 days after the Issue Date; and (c) keep the Registered Exchange Offer open for not less than 20 days (or longer, if required by applicable law) after the date notice of the Registered Exchange Offer is mailed to the Holders of the Initial Securities (such period being called the “Exchange Offer Registration Period”).</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If the Company effects the Registered Exchange Offer, the Company will be entitled (subject to applicable law) to close the Registered Exchange Offer 20 days after the commencement thereof provided that the Company has accepted all the Initial Securities theretofore validly tendered in accordance with the terms of the Registered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240" w:firstLine="225"/>
        <w:spacing w:after="0" w:line="291" w:lineRule="auto"/>
        <w:rPr>
          <w:sz w:val="20"/>
          <w:szCs w:val="20"/>
          <w:color w:val="auto"/>
        </w:rPr>
      </w:pPr>
      <w:r>
        <w:rPr>
          <w:rFonts w:ascii="Arial" w:cs="Arial" w:eastAsia="Arial" w:hAnsi="Arial"/>
          <w:sz w:val="16"/>
          <w:szCs w:val="16"/>
          <w:color w:val="auto"/>
        </w:rPr>
        <w:t>Following the declaration of the effectiveness of the Exchange Offer Registration Statement, the Company shall as soon as practicable commence the Registered Exchange Offer, it being the objective of such Registered Exchange Offer to enable each Holder of Transfer Restricted Securities electing to exchange the Initial Securities for Exchange Securities (assuming that such Holder is not an affiliate of the Company within the meaning of the Securities Act, acquires the Exchange Securities in the ordinary course of such Holder’s business and has no arrangements or understandings with any person to participate in the distribution (within the meaning of the Securities Act) of the Exchange Securities and is not prohibited by any law or policy of the Commission from participating in the Registered Exchange Offer) to trade such Exchange Securities from and after their receipt without any limitations or restrictions under the Securities Act and without material restrictions under the securities laws of the several states of the United States.</w:t>
      </w:r>
    </w:p>
    <w:p>
      <w:pPr>
        <w:spacing w:after="0" w:line="59" w:lineRule="exact"/>
        <w:rPr>
          <w:sz w:val="20"/>
          <w:szCs w:val="20"/>
          <w:color w:val="auto"/>
        </w:rPr>
      </w:pPr>
    </w:p>
    <w:p>
      <w:pPr>
        <w:ind w:right="200" w:firstLine="222"/>
        <w:spacing w:after="0" w:line="270" w:lineRule="auto"/>
        <w:rPr>
          <w:sz w:val="20"/>
          <w:szCs w:val="20"/>
          <w:color w:val="auto"/>
        </w:rPr>
      </w:pPr>
      <w:r>
        <w:rPr>
          <w:rFonts w:ascii="Arial" w:cs="Arial" w:eastAsia="Arial" w:hAnsi="Arial"/>
          <w:sz w:val="17"/>
          <w:szCs w:val="17"/>
          <w:color w:val="auto"/>
        </w:rPr>
        <w:t>The Company acknowledges that, pursuant to current interpretations by the Commission’s staff of Section 5 of the Securities Act, in the absence of an applicable exemption therefrom, (i) each Holder which is a broker-dealer electing to exchange Initial Securities, acquired for its own account as a result of market-making activities or other trading activities, for Exchange Securities (an “Exchanging Dealer”), is required to deliver a prospectus containing the information set forth in (a) Annex A hereto on the cover, (b) Annex B hereto in the “Exchange Offer Procedures” (or other appropriate) section of such prospectus and the “Purpose of the Exchange Offer” (or other appropriate) section of such prospectus and (c) Annex C hereto in the “Plan of Distribution” section of such prospectus in connection with a sale of any such Exchange Securities received by such Exchanging Dealer pursuant to the Registered Exchange Offer and (ii) an Initial Purchaser that elects to sell Exchange Securities acquired in exchange for Initial Securities constituting any portion of an unsold allotment is required to deliver a prospectus containing the information required by Items 507 or 508 of Regulation S-K under the Securities Act, as applicable, in connection with such sale.</w:t>
      </w:r>
    </w:p>
    <w:p>
      <w:pPr>
        <w:spacing w:after="0" w:line="74"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 xml:space="preserve">The Company shall use its reasonable best efforts to keep the Exchange Offer Registration Statement effective and amend and supplement the prospectus contained therein in order to permit such prospectus to be lawfully delivered by all persons subject to the prospectus delivery requirements of the Securities Act for 180 days following the effective date of the Exchange Offer Registration Statement or such shorter period of time as such persons must comply with such requirements in order to resell the Exchange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in the case where such prospectus and any amendment or supplement thereto must be delivered by an Exchanging Dealer or an Initial Purchaser, such period shall be the lesser of 180 days and the date on which all Exchanging Dealers and the Initial Purchasers have sold all Exchange Securities held by them (unless such period is extended pursuant to Section 3(j) below) and (ii) the Company shall make such prospectus and any amendment or supplement thereto available to any requesting broker-dealer for use in connection with any resale of any Exchange Securities for a period of not less than 90 days after the consummation of the Registered Exchange Offer.</w:t>
      </w:r>
    </w:p>
    <w:p>
      <w:pPr>
        <w:spacing w:after="0" w:line="5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upon consummation of the Registered Exchange Offer, any Initial Purchaser holds Initial Securities acquired by it as part of its initial distribution, the Company, simultaneously with the delivery of the Exchange Securities pursuant to the Registered Exchange Offer, shall issue and deliver to such Initial Purchaser upon the written request of such Initial Purchaser, in exchange (the “Private Exchange”) for the Initial Securities held by such Initial Purchaser, a like principal amount of debt securities of the Issuer issued under the Indenture and identical in all material respects (including the existence of restrictions on transfer under the Securities Act and the securities laws of the several states of the United States, but excluding provisions relating to the matters described in Section 6 hereof) to the Initial Securities (the “Private Exchange Securities”). The Initial Securities, the Exchange Securities and the Private Exchange Securities are herein collectively called the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the Registered Exchange Offer, the Company shall: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ind w:left="240" w:firstLine="221"/>
        <w:spacing w:after="0" w:line="277" w:lineRule="auto"/>
        <w:tabs>
          <w:tab w:leader="none" w:pos="71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mail or deliver to each Holder of Initial Securities a copy of the prospectus forming part of the Exchange Offer Registration Statement, together with an appropriate letter of transmittal and related documents;</w:t>
      </w:r>
    </w:p>
    <w:p>
      <w:pPr>
        <w:spacing w:after="0" w:line="62" w:lineRule="exact"/>
        <w:rPr>
          <w:rFonts w:ascii="Arial" w:cs="Arial" w:eastAsia="Arial" w:hAnsi="Arial"/>
          <w:sz w:val="18"/>
          <w:szCs w:val="18"/>
          <w:color w:val="auto"/>
        </w:rPr>
      </w:pPr>
    </w:p>
    <w:p>
      <w:pPr>
        <w:ind w:left="240" w:right="20" w:firstLine="221"/>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keep the Registered Exchange Offer open for not less than 20 days (or longer, if required by applicable law) after the date notice thereof is mailed or delivered to such Holders;</w:t>
      </w:r>
    </w:p>
    <w:p>
      <w:pPr>
        <w:spacing w:after="0" w:line="62" w:lineRule="exact"/>
        <w:rPr>
          <w:rFonts w:ascii="Arial" w:cs="Arial" w:eastAsia="Arial" w:hAnsi="Arial"/>
          <w:sz w:val="18"/>
          <w:szCs w:val="18"/>
          <w:color w:val="auto"/>
        </w:rPr>
      </w:pPr>
    </w:p>
    <w:p>
      <w:pPr>
        <w:ind w:left="240" w:right="200" w:firstLine="221"/>
        <w:spacing w:after="0" w:line="277" w:lineRule="auto"/>
        <w:tabs>
          <w:tab w:leader="none" w:pos="71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the services of a depositary for the Registered Exchange Offer with an address in the Borough of Manhattan, The City of New York, which may be the Trustee or an affiliate of the Trustee;</w:t>
      </w:r>
    </w:p>
    <w:p>
      <w:pPr>
        <w:spacing w:after="0" w:line="62" w:lineRule="exact"/>
        <w:rPr>
          <w:rFonts w:ascii="Arial" w:cs="Arial" w:eastAsia="Arial" w:hAnsi="Arial"/>
          <w:sz w:val="18"/>
          <w:szCs w:val="18"/>
          <w:color w:val="auto"/>
        </w:rPr>
      </w:pPr>
    </w:p>
    <w:p>
      <w:pPr>
        <w:ind w:left="240" w:right="160" w:firstLine="221"/>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permit Holders to withdraw tendered Initial Securities at any time prior to the close of business, New York time, on the last business day on which the Registered Exchange Offer shall remain open; and</w:t>
      </w:r>
    </w:p>
    <w:p>
      <w:pPr>
        <w:spacing w:after="0" w:line="62" w:lineRule="exact"/>
        <w:rPr>
          <w:rFonts w:ascii="Arial" w:cs="Arial" w:eastAsia="Arial" w:hAnsi="Arial"/>
          <w:sz w:val="18"/>
          <w:szCs w:val="18"/>
          <w:color w:val="auto"/>
        </w:rPr>
      </w:pPr>
    </w:p>
    <w:p>
      <w:pPr>
        <w:ind w:left="700" w:hanging="23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otherwise comply with all applicable laws.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soon as reasonably practicable after the close of the Registered Exchange Offer or the Private Exchange, as the case may be, the Company shall:</w:t>
      </w:r>
    </w:p>
    <w:p>
      <w:pPr>
        <w:spacing w:after="0" w:line="140" w:lineRule="exact"/>
        <w:rPr>
          <w:sz w:val="20"/>
          <w:szCs w:val="20"/>
          <w:color w:val="auto"/>
        </w:rPr>
      </w:pPr>
    </w:p>
    <w:p>
      <w:pPr>
        <w:ind w:left="240" w:right="700" w:firstLine="22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 for exchange all the Initial Securities validly tendered and not withdrawn pursuant to the Registered Exchange Offer and the Private Exchange;</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to the Trustee for cancellation all the Initial Securities so accepted for exchange; and</w:t>
      </w:r>
    </w:p>
    <w:p>
      <w:pPr>
        <w:spacing w:after="0" w:line="117" w:lineRule="exact"/>
        <w:rPr>
          <w:rFonts w:ascii="Arial" w:cs="Arial" w:eastAsia="Arial" w:hAnsi="Arial"/>
          <w:sz w:val="18"/>
          <w:szCs w:val="18"/>
          <w:color w:val="auto"/>
        </w:rPr>
      </w:pPr>
    </w:p>
    <w:p>
      <w:pPr>
        <w:ind w:left="240" w:right="160" w:firstLine="221"/>
        <w:spacing w:after="0" w:line="277" w:lineRule="auto"/>
        <w:tabs>
          <w:tab w:leader="none" w:pos="71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the Trustee to authenticate and deliver promptly to each Holder of the Initial Securities, Exchange Securities or Private Exchange Securities, as the case may be, equal in principal amount to the Initial Securities of such Holder so accepted for exchange.</w:t>
      </w:r>
    </w:p>
    <w:p>
      <w:pPr>
        <w:spacing w:after="0" w:line="62"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Each Holder participating in the Registered Exchange Offer shall be required to represent to the Company that at the time of the consummation of the Registered Exchange Offer (i) any Exchange Securities received by such Holder will be acquired in the ordinary course of business, (ii) such Holder has no arrangements or understanding with any person to participate in the distribution of the Securities or the Exchange Securities within the meaning of the Securities Act, (iii) such Holder is not an “affiliate,” as defined in Rule 405 of the Securities Act, of the Company or if it is an affiliate, such Holder will comply with the registration and prospectus delivery requirements of the Securities Act to the extent applicable, (iv) if such Holder is not a broker-dealer, that it is not engaged in, and does not intend to engage in, a distribution (within the meaning of the Securities Act) of the Exchange Securities and (v) if such Holder is a broker-dealer, that it will receive Exchange Securities for its own account in exchange for Initial Securities that were acquired as a result of market-making activities or other trading activities and that it will be required to acknowledge that it will deliver a prospectus in connection with any resale of such Exchange Securities.</w:t>
      </w:r>
    </w:p>
    <w:p>
      <w:pPr>
        <w:spacing w:after="0" w:line="8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Notwithstanding any other provisions hereof, the Company will ensure that (i) any Exchange Offer Registration Statement and any amendment thereto and any prospectus forming part thereof and any supplement thereto complies in all material respects with the Securities Act and the rules and regulations thereunder, (ii) any Exchange Offer Registration Statement and any amendment thereto does not, when it becomes effective, contain an untrue statement of a material fact or omit to state a material fact required to be stated therein or necessary to make the statements therein not misleading and (iii) any prospectus forming part of any Exchange Offer Registration Statement, and any supplement to such prospectus, does not include an untrue statement of a material fact or omit to state a material fact required to be stated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therein or necessary in order to make the statements therein, in the light of the circumstances under which they were made, not misleading.</w:t>
      </w:r>
    </w:p>
    <w:p>
      <w:pPr>
        <w:spacing w:after="0" w:line="117" w:lineRule="exact"/>
        <w:rPr>
          <w:sz w:val="20"/>
          <w:szCs w:val="20"/>
          <w:color w:val="auto"/>
        </w:rPr>
      </w:pPr>
    </w:p>
    <w:p>
      <w:pPr>
        <w:ind w:firstLine="233"/>
        <w:spacing w:after="0" w:line="253"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Shelf Registration</w:t>
      </w:r>
      <w:r>
        <w:rPr>
          <w:rFonts w:ascii="Arial" w:cs="Arial" w:eastAsia="Arial" w:hAnsi="Arial"/>
          <w:sz w:val="18"/>
          <w:szCs w:val="18"/>
          <w:color w:val="auto"/>
        </w:rPr>
        <w:t>. If any Transfer Restricted Securities other than Exchange Securities remain outstanding on the date falling 400 days after the Issue</w:t>
      </w:r>
      <w:r>
        <w:rPr>
          <w:rFonts w:ascii="Arial" w:cs="Arial" w:eastAsia="Arial" w:hAnsi="Arial"/>
          <w:sz w:val="18"/>
          <w:szCs w:val="18"/>
          <w:i w:val="1"/>
          <w:iCs w:val="1"/>
          <w:color w:val="auto"/>
        </w:rPr>
        <w:t xml:space="preserve"> </w:t>
      </w:r>
      <w:r>
        <w:rPr>
          <w:rFonts w:ascii="Arial" w:cs="Arial" w:eastAsia="Arial" w:hAnsi="Arial"/>
          <w:sz w:val="18"/>
          <w:szCs w:val="18"/>
          <w:color w:val="auto"/>
        </w:rPr>
        <w:t>Date and (i) because of any change in law or in applicable interpretations thereof by the staff of the Commission, the Company is not permitted to effect a Registered Exchange Offer and would otherwise be required to effect a Registered Exchange Offer pursuant to Section 1 hereof, (ii) the Registered Exchange Offer is not consummated within 580 days of the Issue Date, (iii) any Initial Purchaser so requests in writing with respect to the Initial Securities (or the Private Exchange Securities) constituting Transfer Restricted Securities that are not eligible to be exchanged for Exchange Securities in the Registered Exchange Offer as a result of being held by such Initial Purchaser and held by it following consummation of the Registered Exchange Offer or (iv) any Holder of Transfer Restricted Securities is prohibited by applicable law or Commission policy from participating in the Registered Exchange Offer or may not resell the Exchange Notes acquired by it in the Registered Exchange Offer to the public without delivery of a prospectus, the Company shall take the following actions:</w:t>
      </w:r>
    </w:p>
    <w:p>
      <w:pPr>
        <w:spacing w:after="0" w:line="89" w:lineRule="exact"/>
        <w:rPr>
          <w:rFonts w:ascii="Arial" w:cs="Arial" w:eastAsia="Arial" w:hAnsi="Arial"/>
          <w:sz w:val="18"/>
          <w:szCs w:val="18"/>
          <w:color w:val="auto"/>
        </w:rPr>
      </w:pPr>
    </w:p>
    <w:p>
      <w:pPr>
        <w:ind w:left="240" w:right="20" w:firstLine="221"/>
        <w:spacing w:after="0" w:line="270" w:lineRule="auto"/>
        <w:tabs>
          <w:tab w:leader="none" w:pos="710" w:val="left"/>
        </w:tabs>
        <w:numPr>
          <w:ilvl w:val="2"/>
          <w:numId w:val="7"/>
        </w:numPr>
        <w:rPr>
          <w:rFonts w:ascii="Arial" w:cs="Arial" w:eastAsia="Arial" w:hAnsi="Arial"/>
          <w:sz w:val="17"/>
          <w:szCs w:val="17"/>
          <w:color w:val="auto"/>
        </w:rPr>
      </w:pPr>
      <w:r>
        <w:rPr>
          <w:rFonts w:ascii="Arial" w:cs="Arial" w:eastAsia="Arial" w:hAnsi="Arial"/>
          <w:sz w:val="17"/>
          <w:szCs w:val="17"/>
          <w:color w:val="auto"/>
        </w:rPr>
        <w:t xml:space="preserve">The Company shall, at its cost, within 30 days after the time its obligation to file an Exchange Offer Registration Statement arises (but no earlier than 400 days after the Issue Date), file with the Commission and thereafter shall use its reasonable best efforts to cause to be declared effective on or prior to the 90th day after the date on which the Shelf Registration Statement (as defined below) is required to be filed (but no earlier than 490 days after the Issue Date) (unless it becomes effective automatically upon filing) a registration statement (the “Shelf Registration Statement” and, together with the Exchange Offer Registration Statement, a “Registration Statement”) on an appropriate form under the Securities Act relating to the offer and sale of the Transfer Restricted Securities by the Holders thereof from time to time in accordance with the methods of distribution set forth in the Shelf Registration Statement and Rule 415 under the Securities Act (hereinafter, the “Shelf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Holder (other than an Initial Purchaser) shall be entitled to have the Securities held by it covered by such Shelf Registration Statement unless such Holder agrees in writing to be bound by all the provisions of this Agreement applicable to such Holder.</w:t>
      </w:r>
    </w:p>
    <w:p>
      <w:pPr>
        <w:spacing w:after="0" w:line="73" w:lineRule="exact"/>
        <w:rPr>
          <w:rFonts w:ascii="Arial" w:cs="Arial" w:eastAsia="Arial" w:hAnsi="Arial"/>
          <w:sz w:val="17"/>
          <w:szCs w:val="17"/>
          <w:color w:val="auto"/>
        </w:rPr>
      </w:pPr>
    </w:p>
    <w:p>
      <w:pPr>
        <w:ind w:left="240" w:right="40" w:firstLine="221"/>
        <w:spacing w:after="0" w:line="271" w:lineRule="auto"/>
        <w:tabs>
          <w:tab w:leader="none" w:pos="720" w:val="left"/>
        </w:tabs>
        <w:numPr>
          <w:ilvl w:val="2"/>
          <w:numId w:val="7"/>
        </w:numPr>
        <w:rPr>
          <w:rFonts w:ascii="Arial" w:cs="Arial" w:eastAsia="Arial" w:hAnsi="Arial"/>
          <w:sz w:val="17"/>
          <w:szCs w:val="17"/>
          <w:color w:val="auto"/>
        </w:rPr>
      </w:pPr>
      <w:r>
        <w:rPr>
          <w:rFonts w:ascii="Arial" w:cs="Arial" w:eastAsia="Arial" w:hAnsi="Arial"/>
          <w:sz w:val="17"/>
          <w:szCs w:val="17"/>
          <w:color w:val="auto"/>
        </w:rPr>
        <w:t xml:space="preserve">The Company shall use its reasonable best efforts to keep the Shelf Registration Statement continuously effective in order to permit the prospectus included therein to be lawfully delivered by the Holders of the relevant Securities until the earlier of (1) three years from the Issue Date and (2) the date on which all Securities registered thereunder are disposed of in accordance therewith (or for such longer period if extended pursuant to Section 3(j) below) or such shorter period that will terminate when all the Securities covered by the Shelf Registration Statement (i) have been sold pursuant thereto or (ii) are no longer Transfer Restricted Securities. The Company shall be deemed not to have used its reasonable best efforts to keep the Shelf Registration Statement effective during the requisite period if it voluntarily takes any action that would result in Holders of Securities covered thereby not being able to offer and sell such Securities during that period, unless such action is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so deemed unless such action results in a Registration Default (after giving effect to Section 6(b) hereof).</w:t>
      </w:r>
    </w:p>
    <w:p>
      <w:pPr>
        <w:spacing w:after="0" w:line="70" w:lineRule="exact"/>
        <w:rPr>
          <w:rFonts w:ascii="Arial" w:cs="Arial" w:eastAsia="Arial" w:hAnsi="Arial"/>
          <w:sz w:val="17"/>
          <w:szCs w:val="17"/>
          <w:color w:val="auto"/>
        </w:rPr>
      </w:pPr>
    </w:p>
    <w:p>
      <w:pPr>
        <w:ind w:left="240" w:right="200" w:firstLine="221"/>
        <w:spacing w:after="0" w:line="288" w:lineRule="auto"/>
        <w:tabs>
          <w:tab w:leader="none" w:pos="710" w:val="left"/>
        </w:tabs>
        <w:numPr>
          <w:ilvl w:val="2"/>
          <w:numId w:val="7"/>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to the contrary, the Company shall cause the Shelf Registration Statement and the related prospectus and any amendment or supplement thereto, as of the effective date of the Shelf Registration Statement, amendment or supplement, (i) to comply in all material respects with the applicable requirements of the Securities Act and the rules and regulations of the Commission thereunder and</w:t>
      </w:r>
    </w:p>
    <w:p>
      <w:pPr>
        <w:ind w:left="500" w:hanging="264"/>
        <w:spacing w:after="0"/>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 to contain any untrue statement of a material fact or omit to state a material fact required to be stated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240"/>
        <w:spacing w:after="0"/>
        <w:rPr>
          <w:sz w:val="20"/>
          <w:szCs w:val="20"/>
          <w:color w:val="auto"/>
        </w:rPr>
      </w:pPr>
      <w:r>
        <w:rPr>
          <w:rFonts w:ascii="Arial" w:cs="Arial" w:eastAsia="Arial" w:hAnsi="Arial"/>
          <w:sz w:val="18"/>
          <w:szCs w:val="18"/>
          <w:color w:val="auto"/>
        </w:rPr>
        <w:t>therein or necessary in order to make the statements therein, in light of the circumstances under which they were made, not misleading.</w:t>
      </w:r>
    </w:p>
    <w:p>
      <w:pPr>
        <w:spacing w:after="0" w:line="117" w:lineRule="exact"/>
        <w:rPr>
          <w:sz w:val="20"/>
          <w:szCs w:val="20"/>
          <w:color w:val="auto"/>
        </w:rPr>
      </w:pPr>
    </w:p>
    <w:p>
      <w:pPr>
        <w:ind w:right="460" w:firstLine="233"/>
        <w:spacing w:after="0" w:line="277" w:lineRule="auto"/>
        <w:tabs>
          <w:tab w:leader="none" w:pos="4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Registration Procedures</w:t>
      </w:r>
      <w:r>
        <w:rPr>
          <w:rFonts w:ascii="Arial" w:cs="Arial" w:eastAsia="Arial" w:hAnsi="Arial"/>
          <w:sz w:val="18"/>
          <w:szCs w:val="18"/>
          <w:color w:val="auto"/>
        </w:rPr>
        <w:t>. In connection with any Shelf Registration contemplated by Section 2 hereof and, to the extent applicable, any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Offer contemplated by Section 1 hereof, the following provisions shall apply:</w:t>
      </w:r>
    </w:p>
    <w:p>
      <w:pPr>
        <w:spacing w:after="0" w:line="62" w:lineRule="exact"/>
        <w:rPr>
          <w:rFonts w:ascii="Arial" w:cs="Arial" w:eastAsia="Arial" w:hAnsi="Arial"/>
          <w:sz w:val="18"/>
          <w:szCs w:val="18"/>
          <w:color w:val="auto"/>
        </w:rPr>
      </w:pPr>
    </w:p>
    <w:p>
      <w:pPr>
        <w:ind w:left="240" w:firstLine="221"/>
        <w:spacing w:after="0" w:line="285" w:lineRule="auto"/>
        <w:tabs>
          <w:tab w:leader="none" w:pos="71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shall (i) furnish to each Initial Purchaser, prior to the filing thereof with the Commission, a copy of the Registration Statement and each amendment thereof and each supplement, if any, to the prospectus included therein and, in the event that an Initial Purchaser (with respect to any portion of an unsold allotment from the original offering) is participating in the Registered Exchange Offer or the Shelf Registration, the Company shall use its reasonable best efforts to reflect in each such document, when so filed with the Commission, such comments as such Initial Purchaser reasonably may propose; (ii) include the information set forth in Annex A hereto on the cover, in Annex B hereto in the “Exchange Offer Procedures” (or other appropriate) section of such prospectus and the “Purpose of the Exchange Offer” (or other appropriate) section of such prospectus and in Annex C hereto in the “Plan of Distribution” section of the prospectus forming a part of the Exchange Offer Registration Statement and include the information set forth in Annex D hereto in the Letter of Transmittal delivered pursuant to the Registered Exchange Offer, in each case subject to any change, addition, deletion or moving of such disclosure requested by the staff of the Commission; (iii) if reasonably requested by an Initial Purchaser, include the information required by Items 507 or 508 of Regulation S-K under the Securities Act, as applicable, in the prospectus forming a part of the Exchange Offer Registration Statement; (iv) include within the prospectus contained in the Exchange Offer Registration Statement a section entitled “Plan of Distribution,” reasonably acceptable to the Initial Purchasers, which shall contain a summary statement of the positions taken or policies made by the staff of the Commission with respect to the potential “underwriter” status of any broker-dealer that is the beneficial owner (as defined in Rule 13d-3 under the Securities Exchange Act of 1934, as amended (the “Exchange Act”)), of Exchange Securities received by such broker-dealer in the Registered Exchange Offer (a “Participating Broker-Dealer”), whether such positions or policies have been publicly disseminated by the staff of the Commission or such positions or policies, in the reasonable judgment of the Initial Purchasers based upon advice of counsel (which may be in-house counsel), represent the prevailing views of the staff of the Commission; and (v) in the case of a Shelf Registration Statement, include in the prospectus included in the Shelf Registration Statement (or, if permitted by Commission Rule 430B(b), in a prospectus supplement that becomes a part thereof pursuant to Commission Rule 430B(f)) that is delivered to any Holder pursuant to Sections 3(d) and (f), the names of the Holders who propose to sell Securities pursuant to the Shelf Registration Statement, as selling security holders.</w:t>
      </w:r>
    </w:p>
    <w:p>
      <w:pPr>
        <w:spacing w:after="0" w:line="278" w:lineRule="exact"/>
        <w:rPr>
          <w:rFonts w:ascii="Arial" w:cs="Arial" w:eastAsia="Arial" w:hAnsi="Arial"/>
          <w:sz w:val="16"/>
          <w:szCs w:val="16"/>
          <w:color w:val="auto"/>
        </w:rPr>
      </w:pPr>
    </w:p>
    <w:p>
      <w:pPr>
        <w:ind w:left="240" w:right="40" w:firstLine="221"/>
        <w:spacing w:after="0" w:line="286" w:lineRule="auto"/>
        <w:tabs>
          <w:tab w:leader="none" w:pos="7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shall give written notice to the Initial Purchasers, the Holders and any Participating Broker-Dealer from whom the Company has received prior written notice that it will be a Participating Broker-Dealer in the Registered Exchange Offer (which notice pursuant to clauses (ii)-(v) hereof shall be accompanied by an instruction to suspend the use of the prospectus until the requisite changes have been made):</w:t>
      </w:r>
    </w:p>
    <w:p>
      <w:pPr>
        <w:spacing w:after="0" w:line="57" w:lineRule="exact"/>
        <w:rPr>
          <w:rFonts w:ascii="Arial" w:cs="Arial" w:eastAsia="Arial" w:hAnsi="Arial"/>
          <w:sz w:val="17"/>
          <w:szCs w:val="17"/>
          <w:color w:val="auto"/>
        </w:rPr>
      </w:pPr>
    </w:p>
    <w:p>
      <w:pPr>
        <w:ind w:left="460" w:right="20" w:firstLine="229"/>
        <w:spacing w:after="0" w:line="277" w:lineRule="auto"/>
        <w:tabs>
          <w:tab w:leader="none" w:pos="900" w:val="left"/>
        </w:tabs>
        <w:numPr>
          <w:ilvl w:val="2"/>
          <w:numId w:val="8"/>
        </w:numPr>
        <w:rPr>
          <w:rFonts w:ascii="Arial" w:cs="Arial" w:eastAsia="Arial" w:hAnsi="Arial"/>
          <w:sz w:val="18"/>
          <w:szCs w:val="18"/>
          <w:color w:val="auto"/>
        </w:rPr>
      </w:pPr>
      <w:r>
        <w:rPr>
          <w:rFonts w:ascii="Arial" w:cs="Arial" w:eastAsia="Arial" w:hAnsi="Arial"/>
          <w:sz w:val="18"/>
          <w:szCs w:val="18"/>
          <w:color w:val="auto"/>
        </w:rPr>
        <w:t>when the Registration Statement or any amendment thereto has been filed with the Commission and when the Registration Statement or any post-effective amendment thereto has become effective;</w:t>
      </w:r>
    </w:p>
    <w:p>
      <w:pPr>
        <w:spacing w:after="0" w:line="62" w:lineRule="exact"/>
        <w:rPr>
          <w:rFonts w:ascii="Arial" w:cs="Arial" w:eastAsia="Arial" w:hAnsi="Arial"/>
          <w:sz w:val="18"/>
          <w:szCs w:val="18"/>
          <w:color w:val="auto"/>
        </w:rPr>
      </w:pPr>
    </w:p>
    <w:p>
      <w:pPr>
        <w:ind w:left="460" w:right="580" w:firstLine="229"/>
        <w:spacing w:after="0" w:line="277" w:lineRule="auto"/>
        <w:tabs>
          <w:tab w:leader="none" w:pos="950" w:val="left"/>
        </w:tabs>
        <w:numPr>
          <w:ilvl w:val="2"/>
          <w:numId w:val="8"/>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the Registration Statement or the prospectus included therein or for additional information;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both"/>
        <w:ind w:left="220" w:right="500" w:firstLine="229"/>
        <w:spacing w:after="0" w:line="25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of any proceedings for that purpose, of the issuance by the Commission of a notification of objection to the use of the form on which the Registration Statement has been filed and of the happening of any event that causes the Company to become an “ineligible issuer,” as defined in Commission Rule 405.</w:t>
      </w:r>
    </w:p>
    <w:p>
      <w:pPr>
        <w:spacing w:after="0" w:line="78" w:lineRule="exact"/>
        <w:rPr>
          <w:rFonts w:ascii="Arial" w:cs="Arial" w:eastAsia="Arial" w:hAnsi="Arial"/>
          <w:sz w:val="18"/>
          <w:szCs w:val="18"/>
          <w:color w:val="auto"/>
        </w:rPr>
      </w:pPr>
    </w:p>
    <w:p>
      <w:pPr>
        <w:ind w:left="220" w:right="20" w:firstLine="229"/>
        <w:spacing w:after="0" w:line="277" w:lineRule="auto"/>
        <w:tabs>
          <w:tab w:leader="none" w:pos="750" w:val="left"/>
        </w:tabs>
        <w:numPr>
          <w:ilvl w:val="1"/>
          <w:numId w:val="9"/>
        </w:numPr>
        <w:rPr>
          <w:rFonts w:ascii="Arial" w:cs="Arial" w:eastAsia="Arial" w:hAnsi="Arial"/>
          <w:sz w:val="18"/>
          <w:szCs w:val="18"/>
          <w:color w:val="auto"/>
        </w:rPr>
      </w:pPr>
      <w:r>
        <w:rPr>
          <w:rFonts w:ascii="Arial" w:cs="Arial" w:eastAsia="Arial" w:hAnsi="Arial"/>
          <w:sz w:val="18"/>
          <w:szCs w:val="18"/>
          <w:color w:val="auto"/>
        </w:rPr>
        <w:t>of the receipt by the Company or its legal counsel of any notification with respect to the suspension of the qualification of the Securities for sale in any jurisdiction or the initiation or threatening of any proceeding for such purpose; and</w:t>
      </w:r>
    </w:p>
    <w:p>
      <w:pPr>
        <w:spacing w:after="0" w:line="62" w:lineRule="exact"/>
        <w:rPr>
          <w:rFonts w:ascii="Arial" w:cs="Arial" w:eastAsia="Arial" w:hAnsi="Arial"/>
          <w:sz w:val="18"/>
          <w:szCs w:val="18"/>
          <w:color w:val="auto"/>
        </w:rPr>
      </w:pPr>
    </w:p>
    <w:p>
      <w:pPr>
        <w:ind w:left="220" w:right="240" w:firstLine="229"/>
        <w:spacing w:after="0" w:line="259"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of the happening of any event that requires the Company to make changes in the Registration Statement or the prospectus in order that the Registration Statement or the prospectus does not contain an untrue statement of a material fact nor omit to state a material fact required to be stated therein or necessary to make the statements therein (in the case of the prospectus, in light of the circumstances under which they were made) not misleading.</w:t>
      </w:r>
    </w:p>
    <w:p>
      <w:pPr>
        <w:spacing w:after="0" w:line="78" w:lineRule="exact"/>
        <w:rPr>
          <w:rFonts w:ascii="Arial" w:cs="Arial" w:eastAsia="Arial" w:hAnsi="Arial"/>
          <w:sz w:val="18"/>
          <w:szCs w:val="18"/>
          <w:color w:val="auto"/>
        </w:rPr>
      </w:pPr>
    </w:p>
    <w:p>
      <w:pPr>
        <w:ind w:right="20" w:firstLine="221"/>
        <w:spacing w:after="0" w:line="277" w:lineRule="auto"/>
        <w:tabs>
          <w:tab w:leader="none" w:pos="4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shall make every reasonable effort to obtain the withdrawal, at the earliest possible time, of any order suspending the effectiveness of the Registration Statement.</w:t>
      </w:r>
    </w:p>
    <w:p>
      <w:pPr>
        <w:spacing w:after="0" w:line="62" w:lineRule="exact"/>
        <w:rPr>
          <w:rFonts w:ascii="Arial" w:cs="Arial" w:eastAsia="Arial" w:hAnsi="Arial"/>
          <w:sz w:val="18"/>
          <w:szCs w:val="18"/>
          <w:color w:val="auto"/>
        </w:rPr>
      </w:pPr>
    </w:p>
    <w:p>
      <w:pPr>
        <w:ind w:right="60" w:firstLine="221"/>
        <w:spacing w:after="0" w:line="25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not otherwise available on the Commission’s Electronic Data Gathering, Analysis and Retrieval (“EDGAR”) System or similar system, upon the written request of a Holder of Securities included within the coverage of the Shelf Registration, the Company shall furnish to each such Holder, without charge, at least one copy of the Shelf Registration Statement and any post-effective amendment or supplement thereto, including financial statements and schedules, and, if the Holder so requests in writing, all exhibits thereto (including those, if any, incorporated by reference). The Company shall not, without the prior consent of the Initial Purchasers, make any offer relating to the Securities that would constitute a “free writing prospectus,” as defined in Commission Rule 405.</w:t>
      </w:r>
    </w:p>
    <w:p>
      <w:pPr>
        <w:spacing w:after="0" w:line="85" w:lineRule="exact"/>
        <w:rPr>
          <w:rFonts w:ascii="Arial" w:cs="Arial" w:eastAsia="Arial" w:hAnsi="Arial"/>
          <w:sz w:val="18"/>
          <w:szCs w:val="18"/>
          <w:color w:val="auto"/>
        </w:rPr>
      </w:pPr>
    </w:p>
    <w:p>
      <w:pPr>
        <w:ind w:right="100" w:firstLine="221"/>
        <w:spacing w:after="0" w:line="279" w:lineRule="auto"/>
        <w:tabs>
          <w:tab w:leader="none" w:pos="4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not otherwise available on the Commission’s EDGAR System or similar system, upon the written request of any Holder, the Company shall deliver to each Exchanging Dealer and each Initial Purchaser, and to any other Holder who so requests in writing, without charge, at least one copy of the Exchange Offer Registration Statement and any post-effective amendment thereto, including financial statements and schedules, and, if any Initial Purchaser or any such Holder requests, all exhibits thereto (including those incorporated by reference).</w:t>
      </w:r>
    </w:p>
    <w:p>
      <w:pPr>
        <w:spacing w:after="0" w:line="63" w:lineRule="exact"/>
        <w:rPr>
          <w:rFonts w:ascii="Arial" w:cs="Arial" w:eastAsia="Arial" w:hAnsi="Arial"/>
          <w:sz w:val="17"/>
          <w:szCs w:val="17"/>
          <w:color w:val="auto"/>
        </w:rPr>
      </w:pPr>
    </w:p>
    <w:p>
      <w:pPr>
        <w:ind w:firstLine="221"/>
        <w:spacing w:after="0" w:line="297" w:lineRule="auto"/>
        <w:tabs>
          <w:tab w:leader="none" w:pos="4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shall, during the period of effectiveness of the Shelf Registration, deliver to each Holder of Securities included within the coverage of the Shelf Registration, without charge, as many copies of the prospectus (including each preliminary prospectus) included in the Shelf Registration Statement and any amendment or supplement thereto as such person may reasonably request. The Company consents, subject to the provisions of this Agreement, to the use of the prospectus or any amendment or supplement thereto by each of the selling Holders in connection with the offering and sale of the Securities covered by the prospectus, or any amendment or supplement thereto, included in the Shelf Registration Statement.</w:t>
      </w:r>
    </w:p>
    <w:p>
      <w:pPr>
        <w:spacing w:after="0" w:line="50" w:lineRule="exact"/>
        <w:rPr>
          <w:rFonts w:ascii="Arial" w:cs="Arial" w:eastAsia="Arial" w:hAnsi="Arial"/>
          <w:sz w:val="16"/>
          <w:szCs w:val="16"/>
          <w:color w:val="auto"/>
        </w:rPr>
      </w:pPr>
    </w:p>
    <w:p>
      <w:pPr>
        <w:ind w:right="240" w:firstLine="221"/>
        <w:spacing w:after="0" w:line="259"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shall deliver to each Initial Purchaser, any Exchanging Dealer, any Participating Broker-Dealer and such other persons required to deliver a prospectus following the Registered Exchange Offer, without charge, as many copies of the final prospectus included in the Exchange Offer Registration Statement and any amendment or supplement thereto as such persons may reasonably request. The Company consents, subject to the provisions of this Agreement, to</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8" w:name="page19"/>
    <w:bookmarkEnd w:id="18"/>
    <w:p>
      <w:pPr>
        <w:ind w:right="220"/>
        <w:spacing w:after="0" w:line="312" w:lineRule="auto"/>
        <w:rPr>
          <w:sz w:val="20"/>
          <w:szCs w:val="20"/>
          <w:color w:val="auto"/>
        </w:rPr>
      </w:pPr>
      <w:r>
        <w:rPr>
          <w:rFonts w:ascii="Arial" w:cs="Arial" w:eastAsia="Arial" w:hAnsi="Arial"/>
          <w:sz w:val="16"/>
          <w:szCs w:val="16"/>
          <w:color w:val="auto"/>
        </w:rPr>
        <w:t>the use of the prospectus or any amendment or supplement thereto by any Initial Purchaser, if necessary, any Participating Broker-Dealer and such other persons required to deliver a prospectus following the Registered Exchange Offer in connection with the offering and sale of the Exchange Securities covered by the prospectus, or any amendment or supplement thereto, included in such Exchange Offer Registration Statement.</w:t>
      </w:r>
    </w:p>
    <w:p>
      <w:pPr>
        <w:spacing w:after="0" w:line="39" w:lineRule="exact"/>
        <w:rPr>
          <w:sz w:val="20"/>
          <w:szCs w:val="20"/>
          <w:color w:val="auto"/>
        </w:rPr>
      </w:pPr>
    </w:p>
    <w:p>
      <w:pPr>
        <w:ind w:right="60" w:firstLine="221"/>
        <w:spacing w:after="0" w:line="29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Prior to any public offering of the Securities pursuant to any Registration Statement, the Company shall use its reasonable best efforts to register or qualify or cooperate with the Holders of the Securities included therein and their respective counsel in connection with the registration or qualification of the Securities for offer and sale under the securities or “blue sky” laws of such states of the United States as any Holder reasonably requests in writing and do any and all other acts or things necessary or advisable to enable the offer and sale in such jurisdictions of the Securities covered by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 qualify generally to do business in any jurisdiction where it is not then so qualified or (ii) take any action which would subject it to general service of process or to taxation in any jurisdiction where it is not then so subject.</w:t>
      </w:r>
    </w:p>
    <w:p>
      <w:pPr>
        <w:spacing w:after="0" w:line="56" w:lineRule="exact"/>
        <w:rPr>
          <w:rFonts w:ascii="Arial" w:cs="Arial" w:eastAsia="Arial" w:hAnsi="Arial"/>
          <w:sz w:val="16"/>
          <w:szCs w:val="16"/>
          <w:color w:val="auto"/>
        </w:rPr>
      </w:pPr>
    </w:p>
    <w:p>
      <w:pPr>
        <w:ind w:right="40" w:firstLine="221"/>
        <w:spacing w:after="0" w:line="286"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shall cooperate with the Holders to facilitate the timely preparation and delivery of global certificates representing the Securities to be sold pursuant to any Registration Statement, free of any restrictive legends and in such denominations and registered in such names as the Holders may request a reasonable period of time prior to sales of the Securities pursuant to such Registration Statement.</w:t>
      </w:r>
    </w:p>
    <w:p>
      <w:pPr>
        <w:spacing w:after="0" w:line="57" w:lineRule="exact"/>
        <w:rPr>
          <w:rFonts w:ascii="Arial" w:cs="Arial" w:eastAsia="Arial" w:hAnsi="Arial"/>
          <w:sz w:val="17"/>
          <w:szCs w:val="17"/>
          <w:color w:val="auto"/>
        </w:rPr>
      </w:pPr>
    </w:p>
    <w:p>
      <w:pPr>
        <w:ind w:firstLine="221"/>
        <w:spacing w:after="0" w:line="285"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contemplated by paragraphs (ii) through (v) of Section 3(b) above during the period for which the Company is required to maintain an effective Registration Statement, the Company shall promptly prepare and file a post-effective amendment to the Registration Statement or a supplement to the related prospectus and any other required document so that, as thereafter delivered to Holders or purchasers of Securities, the prospectus will not contain an untrue statement of a material fact or omit to state any material fact required to be stated therein or necessary to make the statements therein, in light of the circumstances under which they were made, not misleading. The Company shall also promptly provide notice to the Initial Purchasers, the Holders and any known Participating Broker-Dealer of its determination (which determination shall have been made by the Company’s board of directors for a bona fide business purpose) to suspend the availability of a Registration Statement and the related prospectus because the continued effectiveness and use of such Registration Statement and prospectus included therein would require the disclosure of confidential information or interfere with any financing, acquisition, corporate reorganization or other material transaction or development involving the Issuer or any of its consolidated subsidiaries (it being understood that such notice may disclose only the existence of such determination and need not disclose the nature of the basis therefore, which may be kept confidential for such period as may reasonably be required for bona fide business reasons). If the Company notifies the Initial Purchasers, the Holders and any known Participating Broker-Dealer in accordance with paragraphs (ii) through (v) of Section 3(b) above or of its determination pursuant to the second sentence of this Section 3(j) to suspend the use of the prospectus until the requisite changes to the prospectus have been made (each, a “Suspension Notice”), then the Initial Purchasers, the Holders and any such Participating Broker-Dealers shall suspend use of such prospectus, and the period of effectiveness of the Shelf Registration Statement provided for in Section 2(b) above and the Exchange Offer Registration Statement provided for in Section 1 above shall each be extended by the number of days from and including the date of the giving of the Suspension Notice to and including the date when the Initial Purchasers, the Holders and any known Participating Broker-Dealer shall have received such amended or supplemented prospectus or notice that the use of such prospectus may be resumed, as applicable, pursuant to this Section 3(j);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 Exchange Offer Registration Statement, the Company shall not give a Determination Suspension</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9" w:name="page20"/>
    <w:bookmarkEnd w:id="19"/>
    <w:p>
      <w:pPr>
        <w:ind w:right="120"/>
        <w:spacing w:after="0" w:line="255" w:lineRule="auto"/>
        <w:rPr>
          <w:sz w:val="20"/>
          <w:szCs w:val="20"/>
          <w:color w:val="auto"/>
        </w:rPr>
      </w:pPr>
      <w:r>
        <w:rPr>
          <w:rFonts w:ascii="Arial" w:cs="Arial" w:eastAsia="Arial" w:hAnsi="Arial"/>
          <w:sz w:val="18"/>
          <w:szCs w:val="18"/>
          <w:color w:val="auto"/>
        </w:rPr>
        <w:t>Notice (as defined in Section 6(b) hereof) during the Exchange Offer Registration Period. During the period during which the Company is required to maintain an effective Shelf Registration Statement pursuant to this Agreement, the Company will prior to the three-year expiration of that Shelf Registration Statement file, and use its reasonable best efforts to cause to be declared effective (unless it becomes effective automatically upon filing) within a period that avoids any interruption in the ability of Holders of Securities covered by the expiring Shelf Registration Statement to make registered dispositions, a new registration statement relating to the Securities, which shall be deemed the “Shelf Registration Statement” for purposes of this Agreement.</w:t>
      </w:r>
    </w:p>
    <w:p>
      <w:pPr>
        <w:spacing w:after="0" w:line="85" w:lineRule="exact"/>
        <w:rPr>
          <w:sz w:val="20"/>
          <w:szCs w:val="20"/>
          <w:color w:val="auto"/>
        </w:rPr>
      </w:pPr>
    </w:p>
    <w:p>
      <w:pPr>
        <w:ind w:firstLine="221"/>
        <w:spacing w:after="0" w:line="25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the Company will provide a CUSIP number for the Initial Securities, the Exchange Securities or the Private Exchange Securities, as the case may be, and provide the applicable trustee with printed global certificates for the Initial Securities, the Exchange Securities or the Private Exchange Securities, as the case may be, in a form eligible for deposit with The Depository Trust Company.</w:t>
      </w:r>
    </w:p>
    <w:p>
      <w:pPr>
        <w:spacing w:after="0" w:line="78" w:lineRule="exact"/>
        <w:rPr>
          <w:rFonts w:ascii="Arial" w:cs="Arial" w:eastAsia="Arial" w:hAnsi="Arial"/>
          <w:sz w:val="18"/>
          <w:szCs w:val="18"/>
          <w:color w:val="auto"/>
        </w:rPr>
      </w:pPr>
    </w:p>
    <w:p>
      <w:pPr>
        <w:ind w:right="60" w:firstLine="221"/>
        <w:spacing w:after="0" w:line="276"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will comply with all rules and regulations of the Commission to the extent and so long as they are applicable to the Registered Exchange Offer or the Shelf Registration, as applicable, and will make generally available to its security holders (or otherwise provide in accordance with Section 11(a) of the Securities Act and Rule 158 thereunder) an earnings statement satisfying the provisions of Section 11(a) of the Securities Act no later than 45 days after the end of a 12-month period (or 90 days, if such period is a fiscal year) beginning with the first month of the Issuer’s first fiscal quarter commencing after the effective date of the Registration Statement, which statement shall cover such 12-month period.</w:t>
      </w:r>
    </w:p>
    <w:p>
      <w:pPr>
        <w:spacing w:after="0" w:line="64" w:lineRule="exact"/>
        <w:rPr>
          <w:rFonts w:ascii="Arial" w:cs="Arial" w:eastAsia="Arial" w:hAnsi="Arial"/>
          <w:sz w:val="17"/>
          <w:szCs w:val="17"/>
          <w:color w:val="auto"/>
        </w:rPr>
      </w:pPr>
    </w:p>
    <w:p>
      <w:pPr>
        <w:ind w:right="80" w:firstLine="221"/>
        <w:spacing w:after="0" w:line="286" w:lineRule="auto"/>
        <w:tabs>
          <w:tab w:leader="none" w:pos="53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shall cause the Indenture to be qualified under the Trust Indenture Act of 1939, as amended, in a timely manner and containing such changes, if any, as shall be necessary for such qualification. In the event that such qualification would require the appointment of a new trustee under the Indenture, the Company shall appoint a new trustee thereunder pursuant to the applicable provisions of the Indenture.</w:t>
      </w:r>
    </w:p>
    <w:p>
      <w:pPr>
        <w:spacing w:after="0" w:line="57" w:lineRule="exact"/>
        <w:rPr>
          <w:rFonts w:ascii="Arial" w:cs="Arial" w:eastAsia="Arial" w:hAnsi="Arial"/>
          <w:sz w:val="17"/>
          <w:szCs w:val="17"/>
          <w:color w:val="auto"/>
        </w:rPr>
      </w:pPr>
    </w:p>
    <w:p>
      <w:pPr>
        <w:ind w:right="40" w:firstLine="221"/>
        <w:spacing w:after="0" w:line="25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require each Holder of Securities to be sold pursuant to the Shelf Registration Statement to furnish to the Company such information regarding the Holder and the distribution of the Securities as the Company may from time to time reasonably require for inclusion in the Shelf Registration Statement, and the Company may exclude from such registration the Securities of any Holder that unreasonably fails to furnish such information within a reasonable time after receiving such request.</w:t>
      </w:r>
    </w:p>
    <w:p>
      <w:pPr>
        <w:spacing w:after="0" w:line="78" w:lineRule="exact"/>
        <w:rPr>
          <w:rFonts w:ascii="Arial" w:cs="Arial" w:eastAsia="Arial" w:hAnsi="Arial"/>
          <w:sz w:val="18"/>
          <w:szCs w:val="18"/>
          <w:color w:val="auto"/>
        </w:rPr>
      </w:pPr>
    </w:p>
    <w:p>
      <w:pPr>
        <w:ind w:right="100" w:firstLine="221"/>
        <w:spacing w:after="0" w:line="342"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shall enter into such customary agreements (including, if requested, an underwriting agreement in customary form) and take all such other action, if any, as any Holder shall reasonably request in order to facilitate the disposition of the Securities pursuant to any Shelf Registration.</w:t>
      </w:r>
    </w:p>
    <w:p>
      <w:pPr>
        <w:spacing w:after="0" w:line="15" w:lineRule="exact"/>
        <w:rPr>
          <w:rFonts w:ascii="Arial" w:cs="Arial" w:eastAsia="Arial" w:hAnsi="Arial"/>
          <w:sz w:val="16"/>
          <w:szCs w:val="16"/>
          <w:color w:val="auto"/>
        </w:rPr>
      </w:pPr>
    </w:p>
    <w:p>
      <w:pPr>
        <w:ind w:right="40" w:firstLine="221"/>
        <w:spacing w:after="0" w:line="291"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 the case of any Shelf Registration, subject to customary confidentiality agreements being executed by all parties to review information, the Company shall (i) make reasonably available for inspection by the Holders, any underwriter participating in any disposition pursuant to the Shelf Registration Statement and any attorney, accountant or other agent retained by the Holders or any such underwriter all relevant financial and other records, pertinent corporate documents and properties of the Company and (ii) cause the Company’s officers, directors and employees to supply all relevant information reasonably requested by the Holders or any such underwriter, attorney, accountant or agent in connection with the Shelf Registration Statement, in each case, as shall be reasonably necessary to enable such persons to conduct a reasonable investigation within the meaning of Section 11 of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inspection and information gathering shall be coordinated on behalf of the Initial</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0" w:name="page21"/>
    <w:bookmarkEnd w:id="20"/>
    <w:p>
      <w:pPr>
        <w:ind w:left="4"/>
        <w:spacing w:after="0"/>
        <w:rPr>
          <w:sz w:val="20"/>
          <w:szCs w:val="20"/>
          <w:color w:val="auto"/>
        </w:rPr>
      </w:pPr>
      <w:r>
        <w:rPr>
          <w:rFonts w:ascii="Arial" w:cs="Arial" w:eastAsia="Arial" w:hAnsi="Arial"/>
          <w:sz w:val="16"/>
          <w:szCs w:val="16"/>
          <w:color w:val="auto"/>
        </w:rPr>
        <w:t>Purchasers by you and on behalf of the other parties, by one counsel designated by and on behalf of such other parties as described in Section 4 hereof.</w:t>
      </w:r>
    </w:p>
    <w:p>
      <w:pPr>
        <w:spacing w:after="0" w:line="140" w:lineRule="exact"/>
        <w:rPr>
          <w:sz w:val="20"/>
          <w:szCs w:val="20"/>
          <w:color w:val="auto"/>
        </w:rPr>
      </w:pPr>
    </w:p>
    <w:p>
      <w:pPr>
        <w:ind w:left="4" w:firstLine="221"/>
        <w:spacing w:after="0" w:line="284" w:lineRule="auto"/>
        <w:tabs>
          <w:tab w:leader="none" w:pos="484"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case of any Shelf Registration, the Company, if requested by any Holder of Securities covered thereby, shall cause (i) its counsel to deliver an opinion and updates thereof relating to the Securities in customary form addressed to such Holders and the managing underwriters, if any, thereof and dated, in the case of the initial opinion, the effective date of such Shelf Registration Statement (it being agreed that the matters to be covered by such opinion shall include, without limitation, the due incorporation and good standing of the Company and its subsidiaries; the qualification of the Company and its subsidiaries to transact business as foreign corporations; the due authorization, execution and delivery of the relevant agreement of the type referred to in Section 3(o) hereof; the due authorization, execution, authentication and issuance, and the validity and enforceability, of the applicable Securities; the absence of material legal or governmental proceedings involving the Company and its subsidiaries; the absence of governmental approvals required to be obtained in connection with the Shelf Registration Statement, the offering and sale of the applicable Securities or any agreement of the type referred to in Section 3(o) hereof; the compliance as to form of such Shelf Registration Statement and any documents incorporated by reference therein and of the Indenture with the requirements of the Securities Act and the Trust Indenture Act, respectively; and (A) as of the date of the opinion and as of the effective date of the Shelf Registration Statement or most recent post-effective amendment thereto, as the case may be, the absence from such Shelf Registration Statement and the prospectus included therein, as then amended or supplemented, and from any documents incorporated by reference therein and (B) as of an applicable time identified by such Holders or managing underwriters, the absence from such prospectus taken together with any other documents identified by such Holders or managing underwriters, in the case of (A) and (B), of an untrue statement of a material fact or the omission to state therein a material fact required to be stated therein or necessary to make the statements therein not misleading (in the case of any such incorporated documents, in the light of the circumstances existing at the time that such documents were filed with the Commission under the Exchange Act); (ii) its officers to execute and deliver all customary documents and certificates and updates thereof reasonably requested by any underwriters of the applicable Securities and (iii) its independent public accountants and the independent public accountants with respect to any other entity for which financial information is provided in the Shelf Registration Statement to provide to the selling Holders of the applicable Securities and any underwriter therefor a comfort letter in customary form and covering matters of the type customarily covered in comfort letters in connection with primary underwritten offerings, subject to receipt of appropriate documentation as contemplated, and only if permitted, by Statement of Auditing Standards No. 72.</w:t>
      </w:r>
    </w:p>
    <w:p>
      <w:pPr>
        <w:spacing w:after="0" w:line="73" w:lineRule="exact"/>
        <w:rPr>
          <w:rFonts w:ascii="Arial" w:cs="Arial" w:eastAsia="Arial" w:hAnsi="Arial"/>
          <w:sz w:val="16"/>
          <w:szCs w:val="16"/>
          <w:color w:val="auto"/>
        </w:rPr>
      </w:pPr>
    </w:p>
    <w:p>
      <w:pPr>
        <w:jc w:val="both"/>
        <w:ind w:left="4" w:right="120" w:firstLine="221"/>
        <w:spacing w:after="0" w:line="288" w:lineRule="auto"/>
        <w:tabs>
          <w:tab w:leader="none" w:pos="454"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case of the Registered Exchange Offer, if reasonably requested by any Initial Purchaser or any known Participating Broker-Dealer, the Company shall cause (i) its counsel to deliver to such Initial Purchaser or such Participating Broker-Dealer a signed opinion in the form set forth in Sections 7(c) and 7(d) of the Purchase Agreement with such changes as are customary in connection with the preparation of a Registration Statement and</w:t>
      </w:r>
    </w:p>
    <w:p>
      <w:pPr>
        <w:ind w:left="4" w:right="100" w:hanging="4"/>
        <w:spacing w:after="0" w:line="277"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its independent public accountants and the independent public accountants with respect to any other entity for which financial information is provided in the Registration Statement to deliver to such Initial Purchaser or such Participating Broker-Dealer a comfort letter, in customary form, meeting the requirements as to the substance thereof as set forth in Section 7(a) of the Purchase Agreement, with appropriate date changes.</w:t>
      </w:r>
    </w:p>
    <w:p>
      <w:pPr>
        <w:spacing w:after="0" w:line="65" w:lineRule="exact"/>
        <w:rPr>
          <w:rFonts w:ascii="Arial" w:cs="Arial" w:eastAsia="Arial" w:hAnsi="Arial"/>
          <w:sz w:val="17"/>
          <w:szCs w:val="17"/>
          <w:color w:val="auto"/>
        </w:rPr>
      </w:pPr>
    </w:p>
    <w:p>
      <w:pPr>
        <w:ind w:left="4" w:right="160" w:firstLine="221"/>
        <w:spacing w:after="0" w:line="264" w:lineRule="auto"/>
        <w:tabs>
          <w:tab w:leader="none" w:pos="4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a Registered Exchange Offer or a Private Exchange is to be consummated, upon delivery of the Initial Securities by Holders to the Company (or to such other person as directed by the Company) in exchange for the Exchange Securities or the Private Exchange Securities, as the case may be, the Company shall mark, or cause to be marked, on the Initial Securities so</w:t>
      </w:r>
    </w:p>
    <w:p>
      <w:pPr>
        <w:spacing w:after="0" w:line="15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1" w:name="page22"/>
    <w:bookmarkEnd w:id="21"/>
    <w:p>
      <w:pPr>
        <w:ind w:left="180" w:right="120"/>
        <w:spacing w:after="0" w:line="277" w:lineRule="auto"/>
        <w:rPr>
          <w:sz w:val="20"/>
          <w:szCs w:val="20"/>
          <w:color w:val="auto"/>
        </w:rPr>
      </w:pPr>
      <w:r>
        <w:rPr>
          <w:rFonts w:ascii="Arial" w:cs="Arial" w:eastAsia="Arial" w:hAnsi="Arial"/>
          <w:sz w:val="18"/>
          <w:szCs w:val="18"/>
          <w:color w:val="auto"/>
        </w:rPr>
        <w:t>exchanged that such Initial Securities are being canceled in exchange for the Exchange Securities or the Private Exchange Securities, as the case may be; in no event shall the Initial Securities be marked as paid or otherwise satisfied.</w:t>
      </w:r>
    </w:p>
    <w:p>
      <w:pPr>
        <w:spacing w:after="0" w:line="62" w:lineRule="exact"/>
        <w:rPr>
          <w:sz w:val="20"/>
          <w:szCs w:val="20"/>
          <w:color w:val="auto"/>
        </w:rPr>
      </w:pPr>
    </w:p>
    <w:p>
      <w:pPr>
        <w:ind w:left="180" w:right="300" w:firstLine="221"/>
        <w:spacing w:after="0" w:line="279" w:lineRule="auto"/>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will use its reasonable best efforts to (a) if the Initial Securities have been rated prior to the initial sale of such Initial Securities, confirm such ratings will apply to the Securities covered by a Registration Statement or (b) if the Initial Securities were not previously rated, cause the Securities covered by a Registration Statement to be rated with the appropriate rating agencies, if so requested by Holders of a majority in aggregate principal amount of Securities covered by such Registration Statement, or by the managing underwriters, if any.</w:t>
      </w:r>
    </w:p>
    <w:p>
      <w:pPr>
        <w:spacing w:after="0" w:line="63" w:lineRule="exact"/>
        <w:rPr>
          <w:rFonts w:ascii="Arial" w:cs="Arial" w:eastAsia="Arial" w:hAnsi="Arial"/>
          <w:sz w:val="17"/>
          <w:szCs w:val="17"/>
          <w:color w:val="auto"/>
        </w:rPr>
      </w:pPr>
    </w:p>
    <w:p>
      <w:pPr>
        <w:ind w:left="180" w:firstLine="221"/>
        <w:spacing w:after="0" w:line="270"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event that any broker-dealer registered under the Exchange Act shall underwrite any Securities or participate as a member of an underwriting syndicate or selling group or “assist in the distribution” (within the meaning of the Conduct Rules (the “Rules”) of the Financial Industry Regulatory Authority, Inc.) thereof, whether as a Holder of such Securities or as an underwriter, a placement or sales agent or a broker or dealer in respect thereof, or otherwise, the Company will use its reasonable best efforts to assist such broker-dealer in complying with the requirements of such Rules, including, without limitation, by (i) if such Rules, including Rule 2720, shall so require, engaging a “qualified independent underwriter” (as defined in Rule 2720) to participate in the preparation of the Registration Statement relating to such Securities, to exercise usual standards of due diligence in respect thereto and, if any portion of the offering contemplated by such Registration Statement is an underwritten offering or is made through a placement or sales agent, to recommend the yield of such Securities, (ii) indemnifying any such qualified independent underwriter to the extent of the indemnification of underwriters provided in Section 5 hereof and (iii) providing such information to such broker-dealer as may be required in order for such broker-dealer to comply with the requirements of the Rules.</w:t>
      </w:r>
    </w:p>
    <w:p>
      <w:pPr>
        <w:spacing w:after="0" w:line="69" w:lineRule="exact"/>
        <w:rPr>
          <w:rFonts w:ascii="Arial" w:cs="Arial" w:eastAsia="Arial" w:hAnsi="Arial"/>
          <w:sz w:val="17"/>
          <w:szCs w:val="17"/>
          <w:color w:val="auto"/>
        </w:rPr>
      </w:pPr>
    </w:p>
    <w:p>
      <w:pPr>
        <w:ind w:left="180" w:right="820" w:firstLine="221"/>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take all other steps necessary to effect the registration of the Securities covered by a Registration Statement contemplated hereby.</w:t>
      </w:r>
    </w:p>
    <w:p>
      <w:pPr>
        <w:spacing w:after="0" w:line="62" w:lineRule="exact"/>
        <w:rPr>
          <w:rFonts w:ascii="Arial" w:cs="Arial" w:eastAsia="Arial" w:hAnsi="Arial"/>
          <w:sz w:val="18"/>
          <w:szCs w:val="18"/>
          <w:color w:val="auto"/>
        </w:rPr>
      </w:pPr>
    </w:p>
    <w:p>
      <w:pPr>
        <w:ind w:left="-60" w:right="80" w:firstLine="233"/>
        <w:spacing w:after="0" w:line="255"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Registration Expenses</w:t>
      </w:r>
      <w:r>
        <w:rPr>
          <w:rFonts w:ascii="Arial" w:cs="Arial" w:eastAsia="Arial" w:hAnsi="Arial"/>
          <w:sz w:val="18"/>
          <w:szCs w:val="18"/>
          <w:color w:val="auto"/>
        </w:rPr>
        <w:t>. The Company shall bear all fees and expenses incurred in connection with the performance of its obligations under Sections 1</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3 hereof (including the reasonable fees and expenses, if any, of Cravath, Swaine &amp; Moore LLP, counsel for the Initial Purchasers, incurred in connection with the Registered Exchange Offer), whether or not the Registered Exchange Offer or a Shelf Registration is filed or becomes effective, and, in the event of a Shelf Registration, shall bear or reimburse the Holders of the Securities covered thereby for the reasonable fees and disbursements of one firm of counsel designated by the Holders of a majority in aggregate principal amount of the Initial Securities covered thereby to act as counsel for the Holders of the Initial Securities in connection therewith.</w:t>
      </w:r>
    </w:p>
    <w:p>
      <w:pPr>
        <w:spacing w:after="0" w:line="85" w:lineRule="exact"/>
        <w:rPr>
          <w:rFonts w:ascii="Arial" w:cs="Arial" w:eastAsia="Arial" w:hAnsi="Arial"/>
          <w:sz w:val="18"/>
          <w:szCs w:val="18"/>
          <w:color w:val="auto"/>
        </w:rPr>
      </w:pPr>
    </w:p>
    <w:p>
      <w:pPr>
        <w:ind w:left="-60" w:firstLine="233"/>
        <w:spacing w:after="0" w:line="270" w:lineRule="auto"/>
        <w:tabs>
          <w:tab w:leader="none" w:pos="34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(a) The Issuer and the Guarantors, jointly and severally, agree to indemnify and hold harmless each Holder, any Participating Broker-Dealer and each person, if any, who controls such Holder or such Participating Broker-Dealer within the meaning of the Securities Act or the Exchange Act (each Holder, any Participating Broker-Dealer and such controlling persons are referred to collectively as the “Indemnified Parties”) from and against any losses, claims, damages or liabilities, joint or several, or any actions in respect thereof (including, but not limited to, any losses, claims, damages, liabilities or actions relating to purchases and sales of the Securities) to which each Indemnified Party may become subject under the Securities Act, the Exchange Act or otherwise, insofar as such losses, claims, damages, liabilities or actions arise out of or are based upon any untrue statement or alleged untrue statement of a material fact contained in a Registration Statement or prospectus or in any amendment or supplement thereto or in any preliminary prospectus or “issuer free writing prospectus,” as defined in Commission Rule 433 (“Issuer FWP”), relating to a Shelf Registration, or arise out of, or are based upon, the omission or alleged omission to state therein a material fact required to be stated therein or necessary to make the statements therein not misleading, and shall reimburse, as incurred, the Indemnified Parties for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22" w:name="page23"/>
    <w:bookmarkEnd w:id="22"/>
    <w:p>
      <w:pPr>
        <w:ind w:right="20"/>
        <w:spacing w:after="0" w:line="285" w:lineRule="auto"/>
        <w:rPr>
          <w:sz w:val="20"/>
          <w:szCs w:val="20"/>
          <w:color w:val="auto"/>
        </w:rPr>
      </w:pPr>
      <w:r>
        <w:rPr>
          <w:rFonts w:ascii="Arial" w:cs="Arial" w:eastAsia="Arial" w:hAnsi="Arial"/>
          <w:sz w:val="16"/>
          <w:szCs w:val="16"/>
          <w:color w:val="auto"/>
        </w:rPr>
        <w:t xml:space="preserve">reasonable legal or other expenses reasonably incurred by them in connection with investigating or defending any such loss, claim, damage, liability or action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Issuer and the Guarantors shall not be liable in any such case to an Indemnified Party to the extent that such loss, claim, damage or liability arises out of or is based upon any untrue statement or alleged untrue statement or omission or alleged omission made in a Registration Statement or prospectus or in any amendment or supplement thereto or in any preliminary prospectus or Issuer FWP relating to a Shelf Registration in reliance upon and in conformity with written information pertaining to such Indemnified Party and furnished to the Company by or on behalf of such Indemnified Party specifically for inclusion therein and (ii) with respect to any untrue statement or omission or alleged untrue statement or omission made in any preliminary prospectus relating to a Shelf Registration Statement, the indemnity agreement contained in this subsection (a) shall not inure to the benefit of any Holder or Participating Broker-Dealer from whom the person asserting any such losses, claims, damages or liabilities purchased the Securities concerned, to the extent that a prospectus relating to such Securities was required to be delivered (including through satisfaction of the conditions of Commission Rule 172) by such Holder or Participating Broker-Dealer under the Securities Act in connection with such purchase and any such loss, claim, damage or liability of such Holder or Participating Broker-Dealer results from the fact that there was not conveyed to such person, at or prior to the time of the sale of such Securities to such person, an amended or supplemented prospectus or, if permitted by Section 3(d), an Issuer FWP correcting such untrue statement or omission or alleged untrue statement or omission if the Company had previously furnished copies thereof to such Holder or Participating Broker-Dealer;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indemnity agreement will be in addition to any liability which the Issuer or the Guarantors may otherwise have to such Indemnified Party. The Issuer and the Guarantors shall also, jointly and severally, indemnify underwriters, their officers and directors and each person who controls such underwriters within the meaning of the Securities Act or the Exchange Act to the same extent as provided above with respect to the indemnification of the Holders if requested by such Holders.</w:t>
      </w:r>
    </w:p>
    <w:p>
      <w:pPr>
        <w:spacing w:after="0" w:line="67" w:lineRule="exact"/>
        <w:rPr>
          <w:sz w:val="20"/>
          <w:szCs w:val="20"/>
          <w:color w:val="auto"/>
        </w:rPr>
      </w:pPr>
    </w:p>
    <w:p>
      <w:pPr>
        <w:ind w:right="80" w:firstLine="233"/>
        <w:spacing w:after="0" w:line="287"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Holder, severally and not jointly, will indemnify and hold harmless the Issuer and the Guarantors and each person, if any, who controls the Issuer and the Guarantors within the meaning of the Securities Act or the Exchange Act from and against any losses, claims, damages or liabilities or any actions in respect thereof to which the Issuer, the Guarantors or any such controlling person may become subject under the Securities Act, the Exchange Act or otherwise, insofar as such losses, claims, damages, liabilities or actions arise out of or are based upon any untrue statement or alleged untrue statement of a material fact contained in a Registration Statement or prospectus or in any amendment or supplement thereto or in any preliminary prospectus or Issuer FWP relating to a Shelf Registration, or arise out of or are based upon the omission or alleged omission to state therein a material fact necessary to make the statements therein not misleading but in each case only to the extent that the untrue statement or omission or alleged untrue statement or omission was made in reliance upon and in conformity with written information pertaining to such Holder and furnished to the Company by or on behalf of such Holder specifically for inclusion therein; and, subject to the limitation set forth immediately preceding this clause, shall reimburse, as incurred, the Issuer and the Guarantors for any legal or other expenses reasonably incurred by the Issuer, the Guarantors or any such controlling person in connection with investigating or defending any loss, claim, damage, liability or action in respect thereof. This indemnity agreement will be in addition to any liability which such Holder may otherwise have to the Issuer, the Guarantors or any of their respective controlling persons.</w:t>
      </w:r>
    </w:p>
    <w:p>
      <w:pPr>
        <w:spacing w:after="0" w:line="60" w:lineRule="exact"/>
        <w:rPr>
          <w:rFonts w:ascii="Arial" w:cs="Arial" w:eastAsia="Arial" w:hAnsi="Arial"/>
          <w:sz w:val="16"/>
          <w:szCs w:val="16"/>
          <w:color w:val="auto"/>
        </w:rPr>
      </w:pPr>
    </w:p>
    <w:p>
      <w:pPr>
        <w:ind w:firstLine="233"/>
        <w:spacing w:after="0" w:line="255"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Section 5 of notice of the commencement of any action or proceeding (including a governmental investigation), such indemnified party will, if a claim in respect thereof is to be made against the indemnifying party under this Section 5, notify the indemnifying party of the commencement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notify the indemnifying party shall not relieve the indemnifying party from any liability that it may have under subsection (a) or (b) above except to the extent that it has been materially prejudiced (through the forfeiture of substantive rights or defenses) by such failure;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failure to notify the indemnifying party shall not relieve it from any liability that it may have to an indemnified party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20"/>
        <w:spacing w:after="0" w:line="270" w:lineRule="auto"/>
        <w:rPr>
          <w:sz w:val="20"/>
          <w:szCs w:val="20"/>
          <w:color w:val="auto"/>
        </w:rPr>
      </w:pPr>
      <w:r>
        <w:rPr>
          <w:rFonts w:ascii="Arial" w:cs="Arial" w:eastAsia="Arial" w:hAnsi="Arial"/>
          <w:sz w:val="17"/>
          <w:szCs w:val="17"/>
          <w:color w:val="auto"/>
        </w:rPr>
        <w:t>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5 for any legal or other expenses, other than reasonable costs of investigation, subsequently incurred by such indemnified party in connection with the defense thereof.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any indemnified party.</w:t>
      </w:r>
    </w:p>
    <w:p>
      <w:pPr>
        <w:spacing w:after="0" w:line="70" w:lineRule="exact"/>
        <w:rPr>
          <w:sz w:val="20"/>
          <w:szCs w:val="20"/>
          <w:color w:val="auto"/>
        </w:rPr>
      </w:pPr>
    </w:p>
    <w:p>
      <w:pPr>
        <w:ind w:left="480" w:hanging="247"/>
        <w:spacing w:after="0"/>
        <w:tabs>
          <w:tab w:leader="none" w:pos="4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5 is unavailable or insufficient to hold harmless an indemnified party under subsections (a) or</w:t>
      </w:r>
    </w:p>
    <w:p>
      <w:pPr>
        <w:spacing w:after="0" w:line="34" w:lineRule="exact"/>
        <w:rPr>
          <w:rFonts w:ascii="Arial" w:cs="Arial" w:eastAsia="Arial" w:hAnsi="Arial"/>
          <w:sz w:val="17"/>
          <w:szCs w:val="17"/>
          <w:color w:val="auto"/>
        </w:rPr>
      </w:pPr>
    </w:p>
    <w:p>
      <w:pPr>
        <w:ind w:firstLine="8"/>
        <w:spacing w:after="0" w:line="284"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above, then each indemnifying party shall contribute to the amount paid or payable by such indemnified party as a result of the losses, claims, damages or liabilities (or actions in respect thereof) referred to in subsection (a) or (b) above (i) in such proportion as is appropriate to reflect the relative benefits received by the indemnifying party or parties on the one hand and the indemnified party on the other from the exchange of the Securities, pursuant to the Registered Exchange Offer, or (ii) if the allocation provided by the foregoing clause (i) is not permitted by applicable law, in such proportion as is appropriate to reflect not only the relative benefits referred to in clause (i) above but also the relative fault of the indemnifying party or parties on the one hand and the indemnified party on the other in connection with the statements or omissions that resulted in such losses, claims, damages or liabilities (or actions in respect thereof) as well as any other relevant equitable considerations.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such Holder or such other indemnified party, as the case may be, on the other, and the parties’ relative intent, knowledge, access to information and opportunity to correct or prevent such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any other provision of this Section 5(d), the Holders shall not be required to contribute any amount in excess of the amount by which the net proceeds received by such Holders from the sale of the Securities pursuant to a Registration Statement exceeds the amount of damages which such Holders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paragraph (d), each person, if any, who controls such indemnified party within the meaning of the Securities Act or the Exchange Act shall have the same rights to contribution as such indemnified party, and each person, if any, who controls the Company within the meaning of the Securities Act or the Exchange Act shall have the same rights to contribution as the Company.</w:t>
      </w:r>
    </w:p>
    <w:p>
      <w:pPr>
        <w:spacing w:after="0" w:line="62" w:lineRule="exact"/>
        <w:rPr>
          <w:rFonts w:ascii="Arial" w:cs="Arial" w:eastAsia="Arial" w:hAnsi="Arial"/>
          <w:sz w:val="16"/>
          <w:szCs w:val="16"/>
          <w:color w:val="auto"/>
        </w:rPr>
      </w:pPr>
    </w:p>
    <w:p>
      <w:pPr>
        <w:ind w:right="280" w:firstLine="233"/>
        <w:spacing w:after="0" w:line="342" w:lineRule="auto"/>
        <w:tabs>
          <w:tab w:leader="none" w:pos="46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agreements contained in this Section 5 shall survive the sale of the Securities pursuant to a Registration Statement and shall remain in full force and effect, regardless of any termination or cancellation of this Agreement or any investigation made by or on behalf of any indemnified party.</w:t>
      </w:r>
    </w:p>
    <w:p>
      <w:pPr>
        <w:spacing w:after="0" w:line="16" w:lineRule="exact"/>
        <w:rPr>
          <w:sz w:val="20"/>
          <w:szCs w:val="20"/>
          <w:color w:val="auto"/>
        </w:rPr>
      </w:pPr>
    </w:p>
    <w:p>
      <w:pPr>
        <w:ind w:right="32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Additional Interest Under Certain Circumstances</w:t>
      </w:r>
      <w:r>
        <w:rPr>
          <w:rFonts w:ascii="Arial" w:cs="Arial" w:eastAsia="Arial" w:hAnsi="Arial"/>
          <w:sz w:val="18"/>
          <w:szCs w:val="18"/>
          <w:color w:val="auto"/>
        </w:rPr>
        <w:t>. (a) If any Transfer Restricted Securities other than Exchange Securities remain outstanding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falling 400 days after the Issue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additional interest (the “Additional Interest”) with respect to the Initial Securities or the Exchange Securities, as applicable, shall be assessed as follows if any of the following events occur (each such event in clauses (i) through (vi) below a “Registration Default”):</w:t>
      </w:r>
    </w:p>
    <w:p>
      <w:pPr>
        <w:spacing w:after="0" w:line="62" w:lineRule="exact"/>
        <w:rPr>
          <w:sz w:val="20"/>
          <w:szCs w:val="20"/>
          <w:color w:val="auto"/>
        </w:rPr>
      </w:pPr>
    </w:p>
    <w:p>
      <w:pPr>
        <w:ind w:left="680" w:hanging="219"/>
        <w:spacing w:after="0"/>
        <w:tabs>
          <w:tab w:leader="none" w:pos="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the Company fails to file an Exchange Offer Registration Statement with the Commission on or prior to the 400th day after the Issue Date;</w:t>
      </w:r>
    </w:p>
    <w:p>
      <w:pPr>
        <w:spacing w:after="0" w:line="128" w:lineRule="exact"/>
        <w:rPr>
          <w:rFonts w:ascii="Arial" w:cs="Arial" w:eastAsia="Arial" w:hAnsi="Arial"/>
          <w:sz w:val="17"/>
          <w:szCs w:val="17"/>
          <w:color w:val="auto"/>
        </w:rPr>
      </w:pPr>
    </w:p>
    <w:p>
      <w:pPr>
        <w:ind w:left="240" w:right="180" w:firstLine="221"/>
        <w:spacing w:after="0" w:line="277" w:lineRule="auto"/>
        <w:tabs>
          <w:tab w:leader="none" w:pos="7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Exchange Offer Registration Statement has been filed, but is not declared effective by the Commission on or prior to the 490th day after the Issue Date;</w:t>
      </w:r>
    </w:p>
    <w:p>
      <w:pPr>
        <w:spacing w:after="0" w:line="62" w:lineRule="exact"/>
        <w:rPr>
          <w:rFonts w:ascii="Arial" w:cs="Arial" w:eastAsia="Arial" w:hAnsi="Arial"/>
          <w:sz w:val="18"/>
          <w:szCs w:val="18"/>
          <w:color w:val="auto"/>
        </w:rPr>
      </w:pPr>
    </w:p>
    <w:p>
      <w:pPr>
        <w:ind w:left="240" w:right="560" w:firstLine="221"/>
        <w:spacing w:after="0" w:line="277" w:lineRule="auto"/>
        <w:tabs>
          <w:tab w:leader="none" w:pos="7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Registered Exchange Offer is not consummated on or before the 30th business day after the Exchange Offer Registration Statement is declared effective;</w:t>
      </w:r>
    </w:p>
    <w:p>
      <w:pPr>
        <w:spacing w:after="0" w:line="62" w:lineRule="exact"/>
        <w:rPr>
          <w:rFonts w:ascii="Arial" w:cs="Arial" w:eastAsia="Arial" w:hAnsi="Arial"/>
          <w:sz w:val="18"/>
          <w:szCs w:val="18"/>
          <w:color w:val="auto"/>
        </w:rPr>
      </w:pPr>
    </w:p>
    <w:p>
      <w:pPr>
        <w:ind w:left="240" w:right="140" w:firstLine="221"/>
        <w:spacing w:after="0" w:line="264" w:lineRule="auto"/>
        <w:tabs>
          <w:tab w:leader="none" w:pos="7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obligated to file the Shelf Registration Statement pursuant to the provisions of Section 2 hereof, the Company fails to file the Shelf Registration Statement with the Commission on or prior to the 30th day (the “</w:t>
      </w:r>
      <w:r>
        <w:rPr>
          <w:rFonts w:ascii="Arial" w:cs="Arial" w:eastAsia="Arial" w:hAnsi="Arial"/>
          <w:sz w:val="18"/>
          <w:szCs w:val="18"/>
          <w:i w:val="1"/>
          <w:iCs w:val="1"/>
          <w:color w:val="auto"/>
        </w:rPr>
        <w:t>Shelf Filing Date</w:t>
      </w:r>
      <w:r>
        <w:rPr>
          <w:rFonts w:ascii="Arial" w:cs="Arial" w:eastAsia="Arial" w:hAnsi="Arial"/>
          <w:sz w:val="18"/>
          <w:szCs w:val="18"/>
          <w:color w:val="auto"/>
        </w:rPr>
        <w:t>”) after the date on which the obligation to file a Shelf Registration Statement arises (but no earlier than 400 days after the Issue Date),</w:t>
      </w:r>
    </w:p>
    <w:p>
      <w:pPr>
        <w:spacing w:after="0" w:line="73" w:lineRule="exact"/>
        <w:rPr>
          <w:rFonts w:ascii="Arial" w:cs="Arial" w:eastAsia="Arial" w:hAnsi="Arial"/>
          <w:sz w:val="18"/>
          <w:szCs w:val="18"/>
          <w:color w:val="auto"/>
        </w:rPr>
      </w:pPr>
    </w:p>
    <w:p>
      <w:pPr>
        <w:ind w:left="240" w:right="30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obligated to file a Shelf Registration Statement pursuant to the provisions of Section 2 hereof, the Shelf Registration Statement is not declared effective on or prior to the 90th day after the Shelf Filing Date (but no earlier than 490 days after the Issue Date); or</w:t>
      </w:r>
    </w:p>
    <w:p>
      <w:pPr>
        <w:spacing w:after="0" w:line="62" w:lineRule="exact"/>
        <w:rPr>
          <w:rFonts w:ascii="Arial" w:cs="Arial" w:eastAsia="Arial" w:hAnsi="Arial"/>
          <w:sz w:val="18"/>
          <w:szCs w:val="18"/>
          <w:color w:val="auto"/>
        </w:rPr>
      </w:pPr>
    </w:p>
    <w:p>
      <w:pPr>
        <w:ind w:left="240" w:firstLine="221"/>
        <w:spacing w:after="0" w:line="291" w:lineRule="auto"/>
        <w:tabs>
          <w:tab w:leader="none" w:pos="77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required to be filed pursuant to the provisions of Section 1 or Section 2 hereof, after the Registration Statement is declared (or becomes automatically) effective, such Registration Statement thereafter ceases to be (A) effective or (B) usable (except, in the latter case, as permitted in paragraph</w:t>
      </w:r>
    </w:p>
    <w:p>
      <w:pPr>
        <w:ind w:left="240" w:right="60" w:hanging="4"/>
        <w:spacing w:after="0" w:line="252"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this Section 6) in connection with resales of Transfer Restricted Securities during the periods specified herein because either (1) any event occurs as a result of which the related prospectus forming part of such Registration Statement would include any untrue statement of a material fact or omit to state any material fact necessary to make the statements therein in the light of the circumstances under which they were made not misleading, (2) it shall be necessary to amend such Registration Statement or supplement the related prospectus to comply with the Securities Act or the Exchange Act or the respective rules thereunder, or (3) such Registration Statement is a Shelf Registration Statement that has expired before a replacement Shelf Registration Statement has become effective.</w:t>
      </w:r>
    </w:p>
    <w:p>
      <w:pPr>
        <w:spacing w:after="0" w:line="8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 Interest shall accrue on the Initial Securities or the Exchange Securities, as applicable, over and above the interest set forth in the title of the Securities from and including the date on which any Registration Default shall occur to but excluding the date on which all such Registration Defaults have been cured, at a rate of 0.25% per annum for the first 90-day period immediately following the occurrence of a Registration Default, and such rate will increase by an additional 0.25% per annum with respect to each subsequent 90-day period until all Registration Defaults have been cured, up to a maximum additional interest rate of 1.00% per annum. The Company shall be required to pay Additional Interest with respect to only one Registration Default at a time, regardless of how many Registration Defaults have occurred and are continuing.</w:t>
      </w:r>
    </w:p>
    <w:p>
      <w:pPr>
        <w:spacing w:after="0" w:line="70" w:lineRule="exact"/>
        <w:rPr>
          <w:sz w:val="20"/>
          <w:szCs w:val="20"/>
          <w:color w:val="auto"/>
        </w:rPr>
      </w:pPr>
    </w:p>
    <w:p>
      <w:pPr>
        <w:ind w:right="80" w:firstLine="233"/>
        <w:spacing w:after="0" w:line="255" w:lineRule="auto"/>
        <w:tabs>
          <w:tab w:leader="none" w:pos="4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Registration Default referred to in Section 6(a)(vi)(B) hereof shall be deemed not to have occurred and be continuing in relation to a Shelf Registration Statement or the related prospectus if (A) (i) such Registration Default has occurred solely as a result of (x) the filing of a post-effective amendment to such Shelf Registration Statement to incorporate annual audited financial information with respect to the Company where such post-effective amendment is not yet effective and needs to be declared effective to permit Holders to use the related prospectus or (y) other material events with respect to the Company that would need to be described in such Shelf Registration Statement or the related prospectus and (ii) in the case of clause (y), the Company is proceeding promptly and in good faith to amend or supplement such Shelf Registration Statement and related prospectus to describe such events or (B) the Company has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spacing w:after="0" w:line="288" w:lineRule="auto"/>
        <w:rPr>
          <w:sz w:val="20"/>
          <w:szCs w:val="20"/>
          <w:color w:val="auto"/>
        </w:rPr>
      </w:pPr>
      <w:r>
        <w:rPr>
          <w:rFonts w:ascii="Arial" w:cs="Arial" w:eastAsia="Arial" w:hAnsi="Arial"/>
          <w:sz w:val="16"/>
          <w:szCs w:val="16"/>
          <w:color w:val="auto"/>
        </w:rPr>
        <w:t>provided a Suspension Notice pursuant to Section 3(j) hereof on the basis of a determination pursuant to the second sentence of such Section 3(j) with respect to such Shelf Registration Statement or related prospectus (any such Suspension Notice a “Determination Suspension Notice”), so long as (x) the Company does not suspend such Shelf Registration Statement pursuant to a Determination Suspension Notice more than twice in any period of 12 consecutive months,</w:t>
      </w:r>
    </w:p>
    <w:p>
      <w:pPr>
        <w:jc w:val="both"/>
        <w:ind w:right="100" w:firstLine="8"/>
        <w:spacing w:after="0" w:line="277"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no such suspension exceeds 60 days and (z) such suspensions do not exceed 90 days in the aggregate in any consecutive twelve month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clause (A), if such Registration Default occurs for a continuous period in excess of 45 days, Additional Interest shall be payable in accordance with the above paragraph from the day such Registration Default occurs until such Registration Default is cured.</w:t>
      </w:r>
    </w:p>
    <w:p>
      <w:pPr>
        <w:spacing w:after="0" w:line="65" w:lineRule="exact"/>
        <w:rPr>
          <w:rFonts w:ascii="Arial" w:cs="Arial" w:eastAsia="Arial" w:hAnsi="Arial"/>
          <w:sz w:val="17"/>
          <w:szCs w:val="17"/>
          <w:color w:val="auto"/>
        </w:rPr>
      </w:pPr>
    </w:p>
    <w:p>
      <w:pPr>
        <w:ind w:right="80" w:firstLine="233"/>
        <w:spacing w:after="0" w:line="257" w:lineRule="auto"/>
        <w:tabs>
          <w:tab w:leader="none" w:pos="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amounts of Additional Interest due pursuant to any of clauses (i) through (vi) of Section 6(a) above will be payable in cash on the regular interest payment dates with respect to the Initial Securities. The amount of Additional Interest will be determined by multiplying the applicable Additional Interest rate by the principal amount of the Initial Securities or the Exchange Securities, as applicable,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80" w:lineRule="exact"/>
        <w:rPr>
          <w:rFonts w:ascii="Arial" w:cs="Arial" w:eastAsia="Arial" w:hAnsi="Arial"/>
          <w:sz w:val="18"/>
          <w:szCs w:val="18"/>
          <w:color w:val="auto"/>
        </w:rPr>
      </w:pPr>
    </w:p>
    <w:p>
      <w:pPr>
        <w:ind w:right="80" w:firstLine="233"/>
        <w:spacing w:after="0" w:line="289" w:lineRule="auto"/>
        <w:tabs>
          <w:tab w:leader="none" w:pos="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“Transfer Restricted Securities” means each Security until (i) the date on which such Transfer Restricted Security has been exchanged by a person other than a broker-dealer for a freely transferable Exchange Security in the Registered Exchange Offer, (ii) following the exchange by a broker-dealer in the Registered Exchange Offer of an Initial Security for an Exchange Security, the date on which such Exchange Security is sold to a purchaser who receives from such broker-dealer on or prior to the date of such sale a copy of the prospectus contained in the Exchange Offer Registration Statement, (iii) the date on which such Initial Security has been effectively registered under the Securities Act and disposed of in accordance with the Shelf Registration Statement or (iv) the date on which such Security (A) may be sold to the public in accordance with Rule 144 under the Securities Act by a person that is not an “affiliate” (as defined in Rule 144 under the Securities Act) of the Company where no conditions of Rule 144 are then applicable (other than the holding period requirement in paragraph (d) of Rule 144 so long as such holding period requirement is satisfied at such time of determination) and (B) either (x) does not bear any restrictive legends relating to the Securities Act or (y) does not bear a restricted CUSIP number.</w:t>
      </w:r>
    </w:p>
    <w:p>
      <w:pPr>
        <w:spacing w:after="0" w:line="59" w:lineRule="exact"/>
        <w:rPr>
          <w:sz w:val="20"/>
          <w:szCs w:val="20"/>
          <w:color w:val="auto"/>
        </w:rPr>
      </w:pPr>
    </w:p>
    <w:p>
      <w:pPr>
        <w:ind w:right="40" w:firstLine="233"/>
        <w:spacing w:after="0" w:line="277"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Copies of this Agreement</w:t>
      </w:r>
      <w:r>
        <w:rPr>
          <w:rFonts w:ascii="Arial" w:cs="Arial" w:eastAsia="Arial" w:hAnsi="Arial"/>
          <w:sz w:val="18"/>
          <w:szCs w:val="18"/>
          <w:color w:val="auto"/>
        </w:rPr>
        <w:t>. The Company will provide a copy of this Agreement to prospective purchasers of Initial Securities identified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Initial Purchasers upon written request.</w:t>
      </w:r>
    </w:p>
    <w:p>
      <w:pPr>
        <w:spacing w:after="0" w:line="62" w:lineRule="exact"/>
        <w:rPr>
          <w:rFonts w:ascii="Arial" w:cs="Arial" w:eastAsia="Arial" w:hAnsi="Arial"/>
          <w:sz w:val="18"/>
          <w:szCs w:val="18"/>
          <w:color w:val="auto"/>
        </w:rPr>
      </w:pPr>
    </w:p>
    <w:p>
      <w:pPr>
        <w:ind w:right="40" w:firstLine="233"/>
        <w:spacing w:after="0" w:line="286" w:lineRule="auto"/>
        <w:tabs>
          <w:tab w:leader="none" w:pos="40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Underwritten Registrations</w:t>
      </w:r>
      <w:r>
        <w:rPr>
          <w:rFonts w:ascii="Arial" w:cs="Arial" w:eastAsia="Arial" w:hAnsi="Arial"/>
          <w:sz w:val="17"/>
          <w:szCs w:val="17"/>
          <w:color w:val="auto"/>
        </w:rPr>
        <w:t>. If any of the Transfer Restricted Securities covered by any Shelf Registration are to be sold in an underwritten offering,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banker or investment bankers and manager or managers that will administer the offering (“Managing Underwriters”) will be selected by the Holders of a majority in aggregate principal amount of such Transfer Restricted Securities to be included in such offering.</w:t>
      </w:r>
    </w:p>
    <w:p>
      <w:pPr>
        <w:spacing w:after="0" w:line="57"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No person may participate in any underwritten registration hereunder unless such person (i) agrees to sell such person’s Transfer Restricted Securities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79" w:lineRule="exact"/>
        <w:rPr>
          <w:sz w:val="20"/>
          <w:szCs w:val="20"/>
          <w:color w:val="auto"/>
        </w:rPr>
      </w:pPr>
    </w:p>
    <w:p>
      <w:pPr>
        <w:ind w:left="420" w:hanging="187"/>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20" w:firstLine="233"/>
        <w:spacing w:after="0" w:line="264" w:lineRule="auto"/>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Amendments and Waivers</w:t>
      </w:r>
      <w:r>
        <w:rPr>
          <w:rFonts w:ascii="Arial" w:cs="Arial" w:eastAsia="Arial" w:hAnsi="Arial"/>
          <w:sz w:val="18"/>
          <w:szCs w:val="18"/>
          <w:color w:val="auto"/>
        </w:rPr>
        <w:t>. The provisions of this Agreement may not be amended, modified or supplemented, and waivers or consents to departures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provisions hereof may not be given, except by the Company and the written consent of the Holders of a majority in principal amount of the Securities affected by such amendment, modification, supplement, waiver or consents.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6" w:name="page27"/>
    <w:bookmarkEnd w:id="26"/>
    <w:p>
      <w:pPr>
        <w:ind w:right="680" w:firstLine="233"/>
        <w:spacing w:after="0" w:line="277"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provided for or permitted hereunder shall be made in writing by hand delivery, first-class mail,</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transmission or air courier which guarantees overnight delivery:</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to a Holder, at the most current address given by such Holder to the Company.</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to the Initial Purchasers;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10010-3629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(212) 325-4296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Transactions Advisory Group</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(212) 474-3700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Kris F. Heinzelman, Esq.</w:t>
      </w:r>
    </w:p>
    <w:p>
      <w:pPr>
        <w:spacing w:after="0" w:line="103"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(3) if to the Company, at its address as follows: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Credit Acceptance Corporation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25505 West Twelve Mile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Southfield, MI 48034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(248) 827-8513</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Douglas W. Busk</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155 North Wacker Drive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(312) 407-8626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Richard C. Witzel, Jr., Esq.</w:t>
      </w:r>
    </w:p>
    <w:p>
      <w:pPr>
        <w:spacing w:after="0" w:line="103"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three business days after being deposited in the mail, postage prepaid, if mailed; when receipt is acknowledged by recipient’s facsimile machine operator, if sent by facsimile transmission; and on the day delivered, if sent by overnight air courier guaranteeing next day delivery.</w:t>
      </w:r>
    </w:p>
    <w:p>
      <w:pPr>
        <w:spacing w:after="0" w:line="73" w:lineRule="exact"/>
        <w:rPr>
          <w:sz w:val="20"/>
          <w:szCs w:val="20"/>
          <w:color w:val="auto"/>
        </w:rPr>
      </w:pPr>
    </w:p>
    <w:p>
      <w:pPr>
        <w:ind w:firstLine="233"/>
        <w:spacing w:after="0" w:line="308" w:lineRule="auto"/>
        <w:tabs>
          <w:tab w:leader="none" w:pos="47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No Inconsistent Agreements</w:t>
      </w:r>
      <w:r>
        <w:rPr>
          <w:rFonts w:ascii="Arial" w:cs="Arial" w:eastAsia="Arial" w:hAnsi="Arial"/>
          <w:sz w:val="17"/>
          <w:szCs w:val="17"/>
          <w:color w:val="auto"/>
        </w:rPr>
        <w:t>. The Company has not, as of the date hereof, entered into, nor shall it, on or after the date hereof, enter into, any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its securities that is inconsistent with the rights granted to the Holders herein or otherwise conflicts with the provisions 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left="440" w:hanging="247"/>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be binding upon the Company and its successors and assigns.</w:t>
      </w:r>
    </w:p>
    <w:p>
      <w:pPr>
        <w:spacing w:after="0" w:line="117" w:lineRule="exact"/>
        <w:rPr>
          <w:rFonts w:ascii="Arial" w:cs="Arial" w:eastAsia="Arial" w:hAnsi="Arial"/>
          <w:sz w:val="18"/>
          <w:szCs w:val="18"/>
          <w:color w:val="auto"/>
        </w:rPr>
      </w:pPr>
    </w:p>
    <w:p>
      <w:pPr>
        <w:ind w:left="-40" w:right="120" w:firstLine="233"/>
        <w:spacing w:after="0" w:line="264" w:lineRule="auto"/>
        <w:tabs>
          <w:tab w:leader="none" w:pos="43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and by the parties hereto in separate counterparts, each of which when</w:t>
      </w:r>
      <w:r>
        <w:rPr>
          <w:rFonts w:ascii="Arial" w:cs="Arial" w:eastAsia="Arial" w:hAnsi="Arial"/>
          <w:sz w:val="18"/>
          <w:szCs w:val="18"/>
          <w:i w:val="1"/>
          <w:iCs w:val="1"/>
          <w:color w:val="auto"/>
        </w:rPr>
        <w:t xml:space="preserve"> </w:t>
      </w:r>
      <w:r>
        <w:rPr>
          <w:rFonts w:ascii="Arial" w:cs="Arial" w:eastAsia="Arial" w:hAnsi="Arial"/>
          <w:sz w:val="18"/>
          <w:szCs w:val="18"/>
          <w:color w:val="auto"/>
        </w:rPr>
        <w:t>so executed (including by facsimile or electronic image scan) shall be deemed to be an original and all of which taken together shall constitute one and the same agreement.</w:t>
      </w:r>
    </w:p>
    <w:p>
      <w:pPr>
        <w:spacing w:after="0" w:line="73" w:lineRule="exact"/>
        <w:rPr>
          <w:rFonts w:ascii="Arial" w:cs="Arial" w:eastAsia="Arial" w:hAnsi="Arial"/>
          <w:sz w:val="18"/>
          <w:szCs w:val="18"/>
          <w:color w:val="auto"/>
        </w:rPr>
      </w:pPr>
    </w:p>
    <w:p>
      <w:pPr>
        <w:ind w:left="420" w:hanging="227"/>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in this Agreement are for convenience of reference only and shall not limit or otherwise affect the meaning hereof.</w:t>
      </w:r>
    </w:p>
    <w:p>
      <w:pPr>
        <w:spacing w:after="0" w:line="128" w:lineRule="exact"/>
        <w:rPr>
          <w:rFonts w:ascii="Arial" w:cs="Arial" w:eastAsia="Arial" w:hAnsi="Arial"/>
          <w:sz w:val="17"/>
          <w:szCs w:val="17"/>
          <w:color w:val="auto"/>
        </w:rPr>
      </w:pPr>
    </w:p>
    <w:p>
      <w:pPr>
        <w:jc w:val="both"/>
        <w:ind w:left="-40" w:firstLine="233"/>
        <w:spacing w:after="0" w:line="264"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Governing </w:t>
      </w:r>
      <w:r>
        <w:rPr>
          <w:rFonts w:ascii="Arial" w:cs="Arial" w:eastAsia="Arial" w:hAnsi="Arial"/>
          <w:sz w:val="18"/>
          <w:szCs w:val="18"/>
          <w:color w:val="auto"/>
        </w:rPr>
        <w:t>Law. THIS AGREEMENT SHALL BE GOVERNED BY, AND CONSTRUED IN ACCORDANCE WITH, THE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 WITHOUT REGARD TO PRINCIPLES OF CONFLICTS OF LAWS TO THE EXTENT THAT THE APPLICATION OF THE LAWS OF ANOTHER JURISDICTION WOULD BE REQUIRED THEREBY.</w:t>
      </w:r>
    </w:p>
    <w:p>
      <w:pPr>
        <w:spacing w:after="0" w:line="73" w:lineRule="exact"/>
        <w:rPr>
          <w:rFonts w:ascii="Arial" w:cs="Arial" w:eastAsia="Arial" w:hAnsi="Arial"/>
          <w:sz w:val="18"/>
          <w:szCs w:val="18"/>
          <w:color w:val="auto"/>
        </w:rPr>
      </w:pPr>
    </w:p>
    <w:p>
      <w:pPr>
        <w:ind w:left="-40" w:right="40" w:firstLine="233"/>
        <w:spacing w:after="0" w:line="264"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one or more of the provisions contained herein, or the application thereof in any circumstance, is held invalid,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the validity, legality and enforceability of any such provision in every other respect and of the remaining provisions contained herein shall not be affected or impaired thereby.</w:t>
      </w:r>
    </w:p>
    <w:p>
      <w:pPr>
        <w:spacing w:after="0" w:line="73" w:lineRule="exact"/>
        <w:rPr>
          <w:rFonts w:ascii="Arial" w:cs="Arial" w:eastAsia="Arial" w:hAnsi="Arial"/>
          <w:sz w:val="18"/>
          <w:szCs w:val="18"/>
          <w:color w:val="auto"/>
        </w:rPr>
      </w:pPr>
    </w:p>
    <w:p>
      <w:pPr>
        <w:ind w:left="-40" w:right="20" w:firstLine="233"/>
        <w:spacing w:after="0" w:line="259"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Securities Held by the Company</w:t>
      </w:r>
      <w:r>
        <w:rPr>
          <w:rFonts w:ascii="Arial" w:cs="Arial" w:eastAsia="Arial" w:hAnsi="Arial"/>
          <w:sz w:val="18"/>
          <w:szCs w:val="18"/>
          <w:color w:val="auto"/>
        </w:rPr>
        <w:t>. Whenever the consent or approval of Holders of a specified percentage of principal amount of Securities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Securities held by the Company or its affiliates (other than subsequent Holders of Securities if such subsequent Holders are deemed to be affiliates solely by reason of their holdings of such Securities) shall not be counted in determining whether such consent or approval was given by the Holders of such required percentage.</w:t>
      </w:r>
    </w:p>
    <w:p>
      <w:pPr>
        <w:spacing w:after="0" w:line="78" w:lineRule="exact"/>
        <w:rPr>
          <w:rFonts w:ascii="Arial" w:cs="Arial" w:eastAsia="Arial" w:hAnsi="Arial"/>
          <w:sz w:val="18"/>
          <w:szCs w:val="18"/>
          <w:color w:val="auto"/>
        </w:rPr>
      </w:pPr>
    </w:p>
    <w:p>
      <w:pPr>
        <w:ind w:left="-40" w:firstLine="233"/>
        <w:spacing w:after="0" w:line="269" w:lineRule="auto"/>
        <w:tabs>
          <w:tab w:leader="none" w:pos="4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Agent for Service; Submission to Jurisdiction; Waiver of Immunities</w:t>
      </w:r>
      <w:r>
        <w:rPr>
          <w:rFonts w:ascii="Arial" w:cs="Arial" w:eastAsia="Arial" w:hAnsi="Arial"/>
          <w:sz w:val="17"/>
          <w:szCs w:val="17"/>
          <w:color w:val="auto"/>
        </w:rPr>
        <w:t>. By the execution and delivery of this Agreement, the Company (i) acknowledges</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has, by separate written instrument, irrevocably designated and appointed the Issuer (and any successor entity), as its authorized agent upon which process may be served in any suit or proceeding arising out of or relating to this Agreement that may be instituted in any federal or state court in the State of New York or brought under federal or state securities laws, and acknowledges that the Issuer has accepted such designation, (ii) submits to the nonexclusive jurisdiction of any such court in any such suit or proceeding and (iii) agrees that service of process upon the Issuer and written notice of said service to the Company shall be deemed in every respect effective service of process upon it in any such suit or proceeding. The Company further agrees to take any and all action, including the execution and filing of any and all such documents and instruments, as may be necessary to continue such designation and appointment of the Issuer in full force and effect so long as any of the Securities shall be outstanding. To the extent that the Company may acquire any immunity from jurisdiction of any court or from any legal process (whether through service of notice, attachment prior to judgment, attachment in aid of execution, execution or otherwise) with respect to itself or its property, it hereby irrevocably waives such immunity in respect of this Agreement, to the fullest extent permitted by law.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28" w:name="page29"/>
    <w:bookmarkEnd w:id="28"/>
    <w:p>
      <w:pPr>
        <w:jc w:val="both"/>
        <w:ind w:firstLine="225"/>
        <w:spacing w:after="0" w:line="264"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several Initial Purchasers, the Issuer and the Guarantors in accordance with its terms.</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CCEPTANCE</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UYERS</w:t>
      </w:r>
      <w:r>
        <w:rPr>
          <w:rFonts w:ascii="Arial" w:cs="Arial" w:eastAsia="Arial" w:hAnsi="Arial"/>
          <w:sz w:val="18"/>
          <w:szCs w:val="18"/>
          <w:color w:val="auto"/>
        </w:rPr>
        <w:t xml:space="preserve"> V</w:t>
      </w:r>
      <w:r>
        <w:rPr>
          <w:rFonts w:ascii="Arial" w:cs="Arial" w:eastAsia="Arial" w:hAnsi="Arial"/>
          <w:sz w:val="12"/>
          <w:szCs w:val="12"/>
          <w:color w:val="auto"/>
        </w:rPr>
        <w:t>EHICLE</w:t>
      </w:r>
      <w:r>
        <w:rPr>
          <w:rFonts w:ascii="Arial" w:cs="Arial" w:eastAsia="Arial" w:hAnsi="Arial"/>
          <w:sz w:val="18"/>
          <w:szCs w:val="18"/>
          <w:color w:val="auto"/>
        </w:rPr>
        <w:t xml:space="preserve"> P</w:t>
      </w:r>
      <w:r>
        <w:rPr>
          <w:rFonts w:ascii="Arial" w:cs="Arial" w:eastAsia="Arial" w:hAnsi="Arial"/>
          <w:sz w:val="12"/>
          <w:szCs w:val="12"/>
          <w:color w:val="auto"/>
        </w:rPr>
        <w:t>ROTECTION</w:t>
      </w:r>
      <w:r>
        <w:rPr>
          <w:rFonts w:ascii="Arial" w:cs="Arial" w:eastAsia="Arial" w:hAnsi="Arial"/>
          <w:sz w:val="18"/>
          <w:szCs w:val="18"/>
          <w:color w:val="auto"/>
        </w:rPr>
        <w:t xml:space="preserve"> P</w:t>
      </w:r>
      <w:r>
        <w:rPr>
          <w:rFonts w:ascii="Arial" w:cs="Arial" w:eastAsia="Arial" w:hAnsi="Arial"/>
          <w:sz w:val="12"/>
          <w:szCs w:val="12"/>
          <w:color w:val="auto"/>
        </w:rPr>
        <w:t>LAN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EHICLE</w:t>
      </w:r>
      <w:r>
        <w:rPr>
          <w:rFonts w:ascii="Arial" w:cs="Arial" w:eastAsia="Arial" w:hAnsi="Arial"/>
          <w:sz w:val="18"/>
          <w:szCs w:val="18"/>
          <w:color w:val="auto"/>
        </w:rPr>
        <w:t xml:space="preserve"> R</w:t>
      </w:r>
      <w:r>
        <w:rPr>
          <w:rFonts w:ascii="Arial" w:cs="Arial" w:eastAsia="Arial" w:hAnsi="Arial"/>
          <w:sz w:val="12"/>
          <w:szCs w:val="12"/>
          <w:color w:val="auto"/>
        </w:rPr>
        <w:t>EMARKETING</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Treasurer</w:t>
      </w: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foregoing Registration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UISSE</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(USA) LLC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/s/Ali R. Mehdi</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Ali R. Mehdi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4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Managing Director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the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Purchasers</w:t>
      </w: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Registration Rights Agreement</w:t>
      </w:r>
      <w:r>
        <w:rPr>
          <w:rFonts w:ascii="Arial" w:cs="Arial" w:eastAsia="Arial" w:hAnsi="Arial"/>
          <w:sz w:val="16"/>
          <w:szCs w:val="16"/>
          <w:color w:val="auto"/>
        </w:rPr>
        <w:t>]</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0" w:name="page31"/>
    <w:bookmarkEnd w:id="30"/>
    <w:p>
      <w:pPr>
        <w:ind w:left="10620"/>
        <w:spacing w:after="0"/>
        <w:rPr>
          <w:sz w:val="20"/>
          <w:szCs w:val="20"/>
          <w:color w:val="auto"/>
        </w:rPr>
      </w:pPr>
      <w:r>
        <w:rPr>
          <w:rFonts w:ascii="Arial" w:cs="Arial" w:eastAsia="Arial" w:hAnsi="Arial"/>
          <w:sz w:val="18"/>
          <w:szCs w:val="18"/>
          <w:color w:val="auto"/>
        </w:rPr>
        <w:t>ANNEX A</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Each broker-dealer that receives Exchange Securities for its own account pursuant to the Exchange Offer must acknowledge that it will deliver a prospectus in connection with any resale of such Exchange Securities.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Securities received in exchange for Initial Securities where such Initial Securities were acquired by such broker-dealer as a result of market-making activities or other trading activities. The Company has agreed that, for a period of 180 days after the Expiration Date (as defined herein), it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left="10620"/>
        <w:spacing w:after="0"/>
        <w:rPr>
          <w:sz w:val="20"/>
          <w:szCs w:val="20"/>
          <w:color w:val="auto"/>
        </w:rPr>
      </w:pPr>
      <w:r>
        <w:rPr>
          <w:rFonts w:ascii="Arial" w:cs="Arial" w:eastAsia="Arial" w:hAnsi="Arial"/>
          <w:sz w:val="18"/>
          <w:szCs w:val="18"/>
          <w:color w:val="auto"/>
        </w:rPr>
        <w:t>ANNEX B</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Each broker-dealer that receives Exchange Securities for its own account in exchange for Securities, where such Initial Securities were acquired by such broker-dealer as a result of market-making activities or other trading activities, must acknowledge that it will deliver a prospectus in connection with any resale of such Exchange Securities.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ANNEX 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PLAN OF DISTRIBUTION</w:t>
      </w:r>
    </w:p>
    <w:p>
      <w:pPr>
        <w:spacing w:after="0" w:line="117"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Each broker-dealer that receives Exchange Securities for its own account pursuant to the Exchange Offer must acknowledge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as a result of market-making activities or other trading activities. The Company has agreed that, for a period of 180 days after the Expiration Date, it</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will make this prospectus, as amended or supplemented, available to any broker-dealer for use in connection with any such resale. In addition, until , 201 , all dealers effecting transactions in the Exchange Securities may be required to deliver a prospectus.</w:t>
      </w:r>
      <w:r>
        <w:rPr>
          <w:rFonts w:ascii="Arial" w:cs="Arial" w:eastAsia="Arial" w:hAnsi="Arial"/>
          <w:sz w:val="15"/>
          <w:szCs w:val="15"/>
          <w:color w:val="auto"/>
        </w:rPr>
        <w:t>(1)</w:t>
      </w:r>
    </w:p>
    <w:p>
      <w:pPr>
        <w:spacing w:after="0" w:line="76"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The Company will not receive any proceeds from any sale of Exchange Securities by broker-dealers. Exchange Securities received by broker-dealers for their own account pursuant to the Exchange Offer may be sold from time to time in one or more transactions in the over-the-counter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“underwriter” within the meaning of the Securities Act, and any profit on any such resale of Exchange Securities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61"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For a period of 180 days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(including the expenses of one counsel for the Holders) other than commissions or concessions of any brokers or dealers and will indemnify the Holders (including any broker-dealers) against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 addition, the legend required by Item 502(e) of Regulation S-K will appear on the back cover page of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left="10620"/>
        <w:spacing w:after="0"/>
        <w:rPr>
          <w:sz w:val="20"/>
          <w:szCs w:val="20"/>
          <w:color w:val="auto"/>
        </w:rPr>
      </w:pPr>
      <w:r>
        <w:rPr>
          <w:rFonts w:ascii="Arial" w:cs="Arial" w:eastAsia="Arial" w:hAnsi="Arial"/>
          <w:sz w:val="17"/>
          <w:szCs w:val="17"/>
          <w:color w:val="auto"/>
        </w:rPr>
        <w:t>ANNEX D</w:t>
      </w:r>
    </w:p>
    <w:p>
      <w:pPr>
        <w:spacing w:after="0" w:line="1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 CHECK HERE IF YOU ARE A BROKER-DEALER AND WISH TO RECEIVE 10 ADDITIONAL COPIES OF THE PROSPECTUS AND 10 COPIES OF ANY AMENDMENTS OR SUPPLEMENTS THERETO.</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169545</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the undersigned is not a broker-dealer, the undersigned represents that it is not engaged in, and does not intend to engage in, a distribution of Exchange Securities. If the undersigned is a broker-dealer that will receive Exchange Securities for its own account in exchange for Initial Securities that were acquired as a result of market-making activities or other trading activities, it acknowledges that it will deliver a prospectus in connection with any resale of such Exchange Securities; however, by so acknowledging and by delivering a prospectus, the undersigned will not be deemed to admit that it is an “underwriter” within the meaning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Schedule I</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Initial Purchasers</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Credit Suisse Securities (USA) LLC</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Securities, LLC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Fifth Third Securities,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Huntington Investment Company</w:t>
      </w:r>
    </w:p>
    <w:p>
      <w:pPr>
        <w:sectPr>
          <w:pgSz w:w="11900" w:h="16838" w:orient="portrait"/>
          <w:cols w:equalWidth="0" w:num="1">
            <w:col w:w="10220"/>
          </w:cols>
          <w:pgMar w:left="14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 Suite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March 3, 2011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CACC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 CONSUMMATION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MILLION SENIOR SECURED NOTES OFFERING</w:t>
      </w:r>
    </w:p>
    <w:p>
      <w:pPr>
        <w:spacing w:after="0" w:line="99"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Southfield, Michigan — March 3, 2011 </w:t>
      </w:r>
      <w:r>
        <w:rPr>
          <w:rFonts w:ascii="Arial" w:cs="Arial" w:eastAsia="Arial" w:hAnsi="Arial"/>
          <w:sz w:val="18"/>
          <w:szCs w:val="18"/>
          <w:color w:val="auto"/>
        </w:rPr>
        <w:t>— Credit Acceptance Corporation (referred to as the “Company,” “we,” “our,” or “us”) announced today that it has</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consummated the offering of $100 million of its 9.125% first priority senior secured notes due 2017 (the “notes”) at an issue price of 106.0% of the principal amount of the notes.</w:t>
      </w:r>
    </w:p>
    <w:p>
      <w:pPr>
        <w:spacing w:after="0" w:line="7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notes constitute additional securities under an existing indenture (the “indenture”) pursuant to which the Company issued $250 million of its 9.125% first priority senior secured notes due 2017 (the “prior notes”) on February 1, 2010. The notes have the same terms as the prior notes, other than issue price and issue date, and, together with the prior notes and any further 9.125% senior secured notes due 2017 that may be issued under the indenture, will be treated as a single class under the indenture. The notes are guaranteed by certain of the Company’s subsidiaries on a first priority senior secured basis.</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use the net proceeds from the offering to fund, in part, the purchase of shares of our common stock in the tender offer announced February 9, 2011 and the payment of fees and expenses relating to the tender offer. In the event that the net proceeds from the offering of the notes exceed the amount required to purchase shares of our common stock in the tender offer and to pay related fees and expenses, which could occur if the tender offer is not consummated for any reason or if the number of shares properly tendered and not properly withdrawn in the tender offer is sufficiently small, we intend to use that excess for general corporate purposes, which may include repayment of debt, expansion of our operations, share repurchases or other uses. In accordance with the terms of our revolving credit facility, we will initially apply the net proceeds from the offering, pending their application as described above, to repay borrowings (without reducing the lenders’ commitments thereunder) under our revolving credit facility with a commercial bank syndicate, to the extent of such borrowings.</w:t>
      </w:r>
    </w:p>
    <w:p>
      <w:pPr>
        <w:spacing w:after="0" w:line="8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notes have been offered only in the United States to qualified institutional buyers pursuant to Rule 144A under the Securities Act of 1933, as amended (the “Securities Act”), and outside the United States pursuant to Regulation S under the Securities Act. The notes have not been registered under the Securities Act and may not be offered or sold in the United States absent registration or an applicable exemption from registration requirements. This press release shall not constitute an offer to sell or the solicitation of an offer to buy, nor shall there be any sale of, the notes in any jurisdiction in which such offer, solicitation or sale would be unlawful prior to registration or qualification under the securities laws of any such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Statements in this release that are not historical facts, such as those using terms like “may,” “will,” “should,” “believe,” “expect,” “anticipate,” “assume,” “forecast,” “estimate,” “intend,” “plan,” “target” and those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line="276" w:lineRule="auto"/>
        <w:rPr>
          <w:sz w:val="20"/>
          <w:szCs w:val="20"/>
          <w:color w:val="auto"/>
        </w:rPr>
      </w:pPr>
      <w:r>
        <w:rPr>
          <w:rFonts w:ascii="Arial" w:cs="Arial" w:eastAsia="Arial" w:hAnsi="Arial"/>
          <w:sz w:val="17"/>
          <w:szCs w:val="17"/>
          <w:color w:val="auto"/>
        </w:rPr>
        <w:t>our future results, plans and objectives, are “forward-looking statements” within the meaning of the federal securities laws. These forward-looking statements, which include statements concerning completion of the offering of the notes and application of net proceeds therefrom, represent our outlook only as of the date of this release. Actual results could differ materially from these forward-looking statements since the statements are based on our current expectations, which are subject to risks and uncertainties. We do not undertake, and expressly disclaim any obligation, to update or alter our statements whether as a result of new information, future events or otherwise, except as required by applicable law.</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1)"/>
      <w:numFmt w:val="lowerRoman"/>
      <w:start w:val="4"/>
    </w:lvl>
  </w:abstractNum>
  <w:abstractNum w:abstractNumId="2">
    <w:nsid w:val="25E45D32"/>
    <w:multiLevelType w:val="hybridMultilevel"/>
    <w:lvl w:ilvl="0">
      <w:lvlJc w:val="left"/>
      <w:lvlText w:val="%1."/>
      <w:numFmt w:val="decimal"/>
      <w:start w:val="1"/>
    </w:lvl>
    <w:lvl w:ilvl="1">
      <w:lvlJc w:val="left"/>
      <w:lvlText w:val="(%2)"/>
      <w:numFmt w:val="lowerLetter"/>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24"/>
    </w:lvl>
  </w:abstractNum>
  <w:abstractNum w:abstractNumId="6">
    <w:nsid w:val="7C83E458"/>
    <w:multiLevelType w:val="hybridMultilevel"/>
    <w:lvl w:ilvl="0">
      <w:lvlJc w:val="left"/>
      <w:lvlText w:val="%1."/>
      <w:numFmt w:val="decimal"/>
      <w:start w:val="2"/>
    </w:lvl>
    <w:lvl w:ilvl="1">
      <w:lvlJc w:val="left"/>
      <w:lvlText w:val="(%2)"/>
      <w:numFmt w:val="lowerLetter"/>
      <w:start w:val="34"/>
    </w:lvl>
    <w:lvl w:ilvl="2">
      <w:lvlJc w:val="left"/>
      <w:lvlText w:val="(%3)"/>
      <w:numFmt w:val="lowerLetter"/>
      <w:start w:val="1"/>
    </w:lvl>
  </w:abstractNum>
  <w:abstractNum w:abstractNumId="7">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
    <w:nsid w:val="62BBD95A"/>
    <w:multiLevelType w:val="hybridMultilevel"/>
    <w:lvl w:ilvl="0">
      <w:lvlJc w:val="left"/>
      <w:lvlText w:val="%1"/>
      <w:numFmt w:val="lowerLetter"/>
      <w:start w:val="1"/>
    </w:lvl>
    <w:lvl w:ilvl="1">
      <w:lvlJc w:val="left"/>
      <w:lvlText w:val="(%2)"/>
      <w:numFmt w:val="lowerRoman"/>
      <w:start w:val="3"/>
    </w:lvl>
  </w:abstractNum>
  <w:abstractNum w:abstractNumId="9">
    <w:nsid w:val="436C6125"/>
    <w:multiLevelType w:val="hybridMultilevel"/>
    <w:lvl w:ilvl="0">
      <w:lvlJc w:val="left"/>
      <w:lvlText w:val="(%1)"/>
      <w:numFmt w:val="lowerLetter"/>
      <w:start w:val="3"/>
    </w:lvl>
    <w:lvl w:ilvl="1">
      <w:lvlJc w:val="left"/>
      <w:lvlText w:val="%2"/>
      <w:numFmt w:val="lowerRoman"/>
      <w:start w:val="1"/>
    </w:lvl>
  </w:abstractNum>
  <w:abstractNum w:abstractNumId="10">
    <w:nsid w:val="628C895D"/>
    <w:multiLevelType w:val="hybridMultilevel"/>
    <w:lvl w:ilvl="0">
      <w:lvlJc w:val="left"/>
      <w:lvlText w:val="(%1)"/>
      <w:numFmt w:val="lowerLetter"/>
      <w:start w:val="8"/>
    </w:lvl>
  </w:abstractNum>
  <w:abstractNum w:abstractNumId="11">
    <w:nsid w:val="333AB105"/>
    <w:multiLevelType w:val="hybridMultilevel"/>
    <w:lvl w:ilvl="0">
      <w:lvlJc w:val="left"/>
      <w:lvlText w:val="(%1)"/>
      <w:numFmt w:val="lowerLetter"/>
      <w:start w:val="11"/>
    </w:lvl>
  </w:abstractNum>
  <w:abstractNum w:abstractNumId="12">
    <w:nsid w:val="721DA317"/>
    <w:multiLevelType w:val="hybridMultilevel"/>
    <w:lvl w:ilvl="0">
      <w:lvlJc w:val="left"/>
      <w:lvlText w:val="%1"/>
      <w:numFmt w:val="lowerLetter"/>
      <w:start w:val="1"/>
    </w:lvl>
    <w:lvl w:ilvl="1">
      <w:lvlJc w:val="left"/>
      <w:lvlText w:val="(%2)"/>
      <w:numFmt w:val="lowerLetter"/>
      <w:start w:val="17"/>
    </w:lvl>
  </w:abstractNum>
  <w:abstractNum w:abstractNumId="13">
    <w:nsid w:val="2443A858"/>
    <w:multiLevelType w:val="hybridMultilevel"/>
    <w:lvl w:ilvl="0">
      <w:lvlJc w:val="left"/>
      <w:lvlText w:val="(%1)"/>
      <w:numFmt w:val="lowerLetter"/>
      <w:start w:val="35"/>
    </w:lvl>
    <w:lvl w:ilvl="1">
      <w:lvlJc w:val="left"/>
      <w:lvlText w:val="(%2)"/>
      <w:numFmt w:val="lowerLetter"/>
      <w:start w:val="19"/>
    </w:lvl>
  </w:abstractNum>
  <w:abstractNum w:abstractNumId="14">
    <w:nsid w:val="2D1D5AE9"/>
    <w:multiLevelType w:val="hybridMultilevel"/>
    <w:lvl w:ilvl="0">
      <w:lvlJc w:val="left"/>
      <w:lvlText w:val="%1"/>
      <w:numFmt w:val="decimal"/>
      <w:start w:val="1"/>
    </w:lvl>
    <w:lvl w:ilvl="1">
      <w:lvlJc w:val="left"/>
      <w:lvlText w:val="(%2)"/>
      <w:numFmt w:val="lowerLetter"/>
      <w:start w:val="20"/>
    </w:lvl>
  </w:abstractNum>
  <w:abstractNum w:abstractNumId="15">
    <w:nsid w:val="6763845E"/>
    <w:multiLevelType w:val="hybridMultilevel"/>
    <w:lvl w:ilvl="0">
      <w:lvlJc w:val="left"/>
      <w:lvlText w:val="%1."/>
      <w:numFmt w:val="decimal"/>
      <w:start w:val="4"/>
    </w:lvl>
    <w:lvl w:ilvl="1">
      <w:lvlJc w:val="left"/>
      <w:lvlText w:val="%2"/>
      <w:numFmt w:val="lowerLetter"/>
      <w:start w:val="1"/>
    </w:lvl>
  </w:abstractNum>
  <w:abstractNum w:abstractNumId="16">
    <w:nsid w:val="75A2A8D4"/>
    <w:multiLevelType w:val="hybridMultilevel"/>
    <w:lvl w:ilvl="0">
      <w:lvlJc w:val="left"/>
      <w:lvlText w:val="(%1)"/>
      <w:numFmt w:val="lowerLetter"/>
      <w:start w:val="2"/>
    </w:lvl>
  </w:abstractNum>
  <w:abstractNum w:abstractNumId="17">
    <w:nsid w:val="8EDBDAB"/>
    <w:multiLevelType w:val="hybridMultilevel"/>
    <w:lvl w:ilvl="0">
      <w:lvlJc w:val="left"/>
      <w:lvlText w:val="%1"/>
      <w:numFmt w:val="lowerLetter"/>
      <w:start w:val="1"/>
    </w:lvl>
    <w:lvl w:ilvl="1">
      <w:lvlJc w:val="left"/>
      <w:lvlText w:val="(%2)"/>
      <w:numFmt w:val="lowerLetter"/>
      <w:start w:val="4"/>
    </w:lvl>
  </w:abstractNum>
  <w:abstractNum w:abstractNumId="18">
    <w:nsid w:val="79838CB2"/>
    <w:multiLevelType w:val="hybridMultilevel"/>
    <w:lvl w:ilvl="0">
      <w:lvlJc w:val="left"/>
      <w:lvlText w:val="(%1)"/>
      <w:numFmt w:val="lowerLetter"/>
      <w:start w:val="2"/>
    </w:lvl>
    <w:lvl w:ilvl="1">
      <w:lvlJc w:val="left"/>
      <w:lvlText w:val="(%2)"/>
      <w:numFmt w:val="lowerLetter"/>
      <w:start w:val="5"/>
    </w:lvl>
  </w:abstractNum>
  <w:abstractNum w:abstractNumId="19">
    <w:nsid w:val="4353D0CD"/>
    <w:multiLevelType w:val="hybridMultilevel"/>
    <w:lvl w:ilvl="0">
      <w:lvlJc w:val="left"/>
      <w:lvlText w:val="%1."/>
      <w:numFmt w:val="decimal"/>
      <w:start w:val="6"/>
    </w:lvl>
  </w:abstractNum>
  <w:abstractNum w:abstractNumId="20">
    <w:nsid w:val="B03E0C6"/>
    <w:multiLevelType w:val="hybridMultilevel"/>
    <w:lvl w:ilvl="0">
      <w:lvlJc w:val="left"/>
      <w:lvlText w:val="%1"/>
      <w:numFmt w:val="lowerLetter"/>
      <w:start w:val="1"/>
    </w:lvl>
    <w:lvl w:ilvl="1">
      <w:lvlJc w:val="left"/>
      <w:lvlText w:val="(%2)"/>
      <w:numFmt w:val="lowerRoman"/>
      <w:start w:val="1"/>
    </w:lvl>
  </w:abstractNum>
  <w:abstractNum w:abstractNumId="21">
    <w:nsid w:val="189A769B"/>
    <w:multiLevelType w:val="hybridMultilevel"/>
    <w:lvl w:ilvl="0">
      <w:lvlJc w:val="left"/>
      <w:lvlText w:val="(%1)"/>
      <w:numFmt w:val="lowerLetter"/>
      <w:start w:val="2"/>
    </w:lvl>
    <w:lvl w:ilvl="1">
      <w:lvlJc w:val="left"/>
      <w:lvlText w:val="%2"/>
      <w:numFmt w:val="lowerRoman"/>
      <w:start w:val="1"/>
    </w:lvl>
  </w:abstractNum>
  <w:abstractNum w:abstractNumId="22">
    <w:nsid w:val="54E49EB4"/>
    <w:multiLevelType w:val="hybridMultilevel"/>
    <w:lvl w:ilvl="0">
      <w:lvlJc w:val="left"/>
      <w:lvlText w:val="(%1)"/>
      <w:numFmt w:val="lowerLetter"/>
      <w:start w:val="2"/>
    </w:lvl>
  </w:abstractNum>
  <w:abstractNum w:abstractNumId="23">
    <w:nsid w:val="71F32454"/>
    <w:multiLevelType w:val="hybridMultilevel"/>
    <w:lvl w:ilvl="0">
      <w:lvlJc w:val="left"/>
      <w:lvlText w:val="(%1)"/>
      <w:numFmt w:val="lowerLetter"/>
      <w:start w:val="25"/>
    </w:lvl>
    <w:lvl w:ilvl="1">
      <w:lvlJc w:val="left"/>
      <w:lvlText w:val="(%2)"/>
      <w:numFmt w:val="lowerLetter"/>
      <w:start w:val="3"/>
    </w:lvl>
  </w:abstractNum>
  <w:abstractNum w:abstractNumId="24">
    <w:nsid w:val="2CA88611"/>
    <w:multiLevelType w:val="hybridMultilevel"/>
    <w:lvl w:ilvl="0">
      <w:lvlJc w:val="left"/>
      <w:lvlText w:val="%1."/>
      <w:numFmt w:val="decimal"/>
      <w:start w:val="7"/>
    </w:lvl>
  </w:abstractNum>
  <w:abstractNum w:abstractNumId="25">
    <w:nsid w:val="836C40E"/>
    <w:multiLevelType w:val="hybridMultilevel"/>
    <w:lvl w:ilvl="0">
      <w:lvlJc w:val="left"/>
      <w:lvlText w:val="%1."/>
      <w:numFmt w:val="decimal"/>
      <w:start w:val="9"/>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lvl w:ilvl="1">
      <w:lvlJc w:val="left"/>
      <w:lvlText w:val="(%2)"/>
      <w:numFmt w:val="decimal"/>
      <w:start w:val="1"/>
    </w:lvl>
  </w:abstractNum>
  <w:abstractNum w:abstractNumId="28">
    <w:nsid w:val="8138641"/>
    <w:multiLevelType w:val="hybridMultilevel"/>
    <w:lvl w:ilvl="0">
      <w:lvlJc w:val="left"/>
      <w:lvlText w:val="(%1)"/>
      <w:numFmt w:val="lowerLetter"/>
      <w:start w:val="3"/>
    </w:lvl>
  </w:abstractNum>
  <w:abstractNum w:abstractNumId="29">
    <w:nsid w:val="1E7FF521"/>
    <w:multiLevelType w:val="hybridMultilevel"/>
    <w:lvl w:ilvl="0">
      <w:lvlJc w:val="left"/>
      <w:lvlText w:val="(%1)"/>
      <w:numFmt w:val="lowerLetter"/>
      <w:start w:val="4"/>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2019-12-10T10:37:36Z</dcterms:created>
  <dcterms:modified xsi:type="dcterms:W3CDTF">2019-12-10T10:37:36Z</dcterms:modified>
</cp:coreProperties>
</file>