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FORM 8-K</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8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November 1, 2021</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tbl>
      <w:tblPr>
        <w:tblLayout w:type="fixed"/>
        <w:tblInd w:w="20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4260" w:type="dxa"/>
            <w:vAlign w:val="bottom"/>
            <w:gridSpan w:val="5"/>
          </w:tcPr>
          <w:p>
            <w:pPr>
              <w:jc w:val="center"/>
              <w:ind w:right="140"/>
              <w:spacing w:after="0"/>
              <w:rPr>
                <w:sz w:val="20"/>
                <w:szCs w:val="20"/>
                <w:color w:val="auto"/>
              </w:rPr>
            </w:pPr>
            <w:r>
              <w:rPr>
                <w:rFonts w:ascii="Arial" w:cs="Arial" w:eastAsia="Arial" w:hAnsi="Arial"/>
                <w:sz w:val="18"/>
                <w:szCs w:val="18"/>
                <w:color w:val="auto"/>
                <w:w w:val="90"/>
              </w:rPr>
              <w:t>(Exact name of registrant as specified in its charter)</w:t>
            </w:r>
          </w:p>
        </w:tc>
        <w:tc>
          <w:tcPr>
            <w:tcW w:w="3240" w:type="dxa"/>
            <w:vAlign w:val="bottom"/>
          </w:tcPr>
          <w:p>
            <w:pPr>
              <w:spacing w:after="0"/>
              <w:rPr>
                <w:sz w:val="20"/>
                <w:szCs w:val="20"/>
                <w:color w:val="auto"/>
              </w:rPr>
            </w:pPr>
          </w:p>
        </w:tc>
      </w:tr>
      <w:tr>
        <w:trPr>
          <w:trHeight w:val="241"/>
        </w:trPr>
        <w:tc>
          <w:tcPr>
            <w:tcW w:w="3360" w:type="dxa"/>
            <w:vAlign w:val="bottom"/>
          </w:tcPr>
          <w:p>
            <w:pPr>
              <w:jc w:val="center"/>
              <w:ind w:left="337"/>
              <w:spacing w:after="0"/>
              <w:rPr>
                <w:sz w:val="20"/>
                <w:szCs w:val="20"/>
                <w:color w:val="auto"/>
              </w:rPr>
            </w:pPr>
            <w:r>
              <w:rPr>
                <w:rFonts w:ascii="Arial" w:cs="Arial" w:eastAsia="Arial" w:hAnsi="Arial"/>
                <w:sz w:val="18"/>
                <w:szCs w:val="18"/>
                <w:color w:val="auto"/>
                <w:w w:val="97"/>
              </w:rPr>
              <w:t>Michigan</w:t>
            </w:r>
          </w:p>
        </w:tc>
        <w:tc>
          <w:tcPr>
            <w:tcW w:w="3440" w:type="dxa"/>
            <w:vAlign w:val="bottom"/>
            <w:gridSpan w:val="3"/>
          </w:tcPr>
          <w:p>
            <w:pPr>
              <w:jc w:val="center"/>
              <w:ind w:left="610"/>
              <w:spacing w:after="0"/>
              <w:rPr>
                <w:sz w:val="20"/>
                <w:szCs w:val="20"/>
                <w:color w:val="auto"/>
              </w:rPr>
            </w:pPr>
            <w:r>
              <w:rPr>
                <w:rFonts w:ascii="Arial" w:cs="Arial" w:eastAsia="Arial" w:hAnsi="Arial"/>
                <w:sz w:val="18"/>
                <w:szCs w:val="18"/>
                <w:color w:val="auto"/>
                <w:w w:val="90"/>
              </w:rPr>
              <w:t>000-20202</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tcPr>
          <w:p>
            <w:pPr>
              <w:jc w:val="center"/>
              <w:ind w:right="459"/>
              <w:spacing w:after="0"/>
              <w:rPr>
                <w:sz w:val="20"/>
                <w:szCs w:val="20"/>
                <w:color w:val="auto"/>
              </w:rPr>
            </w:pPr>
            <w:r>
              <w:rPr>
                <w:rFonts w:ascii="Arial" w:cs="Arial" w:eastAsia="Arial" w:hAnsi="Arial"/>
                <w:sz w:val="18"/>
                <w:szCs w:val="18"/>
                <w:color w:val="auto"/>
                <w:w w:val="89"/>
              </w:rPr>
              <w:t>38-1999511</w:t>
            </w:r>
          </w:p>
        </w:tc>
      </w:tr>
      <w:tr>
        <w:trPr>
          <w:trHeight w:val="41"/>
        </w:trPr>
        <w:tc>
          <w:tcPr>
            <w:tcW w:w="33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820" w:type="dxa"/>
            <w:vAlign w:val="bottom"/>
            <w:gridSpan w:val="2"/>
          </w:tcPr>
          <w:p>
            <w:pPr>
              <w:spacing w:after="0"/>
              <w:rPr>
                <w:sz w:val="3"/>
                <w:szCs w:val="3"/>
                <w:color w:val="auto"/>
              </w:rPr>
            </w:pPr>
          </w:p>
        </w:tc>
        <w:tc>
          <w:tcPr>
            <w:tcW w:w="3240" w:type="dxa"/>
            <w:vAlign w:val="bottom"/>
          </w:tcPr>
          <w:p>
            <w:pPr>
              <w:spacing w:after="0"/>
              <w:rPr>
                <w:sz w:val="3"/>
                <w:szCs w:val="3"/>
                <w:color w:val="auto"/>
              </w:rPr>
            </w:pPr>
          </w:p>
        </w:tc>
      </w:tr>
      <w:tr>
        <w:trPr>
          <w:trHeight w:val="176"/>
        </w:trPr>
        <w:tc>
          <w:tcPr>
            <w:tcW w:w="3360" w:type="dxa"/>
            <w:vAlign w:val="bottom"/>
            <w:tcBorders>
              <w:top w:val="single" w:sz="8" w:color="auto"/>
            </w:tcBorders>
          </w:tcPr>
          <w:p>
            <w:pPr>
              <w:jc w:val="center"/>
              <w:ind w:left="337"/>
              <w:spacing w:after="0"/>
              <w:rPr>
                <w:sz w:val="20"/>
                <w:szCs w:val="20"/>
                <w:color w:val="auto"/>
              </w:rPr>
            </w:pPr>
            <w:r>
              <w:rPr>
                <w:rFonts w:ascii="Arial" w:cs="Arial" w:eastAsia="Arial" w:hAnsi="Arial"/>
                <w:sz w:val="14"/>
                <w:szCs w:val="14"/>
                <w:color w:val="auto"/>
                <w:w w:val="95"/>
              </w:rPr>
              <w:t>(State or other jurisdiction of incorporation)</w:t>
            </w:r>
          </w:p>
        </w:tc>
        <w:tc>
          <w:tcPr>
            <w:tcW w:w="4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(Commission File Number)</w:t>
            </w:r>
          </w:p>
        </w:tc>
        <w:tc>
          <w:tcPr>
            <w:tcW w:w="280" w:type="dxa"/>
            <w:vAlign w:val="bottom"/>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3240" w:type="dxa"/>
            <w:vAlign w:val="bottom"/>
            <w:tcBorders>
              <w:top w:val="single" w:sz="8" w:color="auto"/>
            </w:tcBorders>
          </w:tcPr>
          <w:p>
            <w:pPr>
              <w:jc w:val="center"/>
              <w:ind w:right="459"/>
              <w:spacing w:after="0"/>
              <w:rPr>
                <w:sz w:val="20"/>
                <w:szCs w:val="20"/>
                <w:color w:val="auto"/>
              </w:rPr>
            </w:pPr>
            <w:r>
              <w:rPr>
                <w:rFonts w:ascii="Arial" w:cs="Arial" w:eastAsia="Arial" w:hAnsi="Arial"/>
                <w:sz w:val="14"/>
                <w:szCs w:val="14"/>
                <w:color w:val="auto"/>
                <w:w w:val="97"/>
              </w:rPr>
              <w:t>(IRS Employer Identification No.)</w:t>
            </w:r>
          </w:p>
        </w:tc>
      </w:tr>
      <w:tr>
        <w:trPr>
          <w:trHeight w:val="533"/>
        </w:trPr>
        <w:tc>
          <w:tcPr>
            <w:tcW w:w="3360" w:type="dxa"/>
            <w:vAlign w:val="bottom"/>
          </w:tcPr>
          <w:p>
            <w:pPr>
              <w:jc w:val="center"/>
              <w:ind w:left="437"/>
              <w:spacing w:after="0"/>
              <w:rPr>
                <w:sz w:val="20"/>
                <w:szCs w:val="20"/>
                <w:color w:val="auto"/>
              </w:rPr>
            </w:pPr>
            <w:r>
              <w:rPr>
                <w:rFonts w:ascii="Arial" w:cs="Arial" w:eastAsia="Arial" w:hAnsi="Arial"/>
                <w:sz w:val="18"/>
                <w:szCs w:val="18"/>
                <w:color w:val="auto"/>
                <w:w w:val="91"/>
              </w:rPr>
              <w:t>25505 West Twelve Mile Road</w:t>
            </w: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70"/>
        </w:trPr>
        <w:tc>
          <w:tcPr>
            <w:tcW w:w="3360" w:type="dxa"/>
            <w:vAlign w:val="bottom"/>
          </w:tcPr>
          <w:p>
            <w:pPr>
              <w:jc w:val="center"/>
              <w:ind w:left="437"/>
              <w:spacing w:after="0"/>
              <w:rPr>
                <w:sz w:val="20"/>
                <w:szCs w:val="20"/>
                <w:color w:val="auto"/>
              </w:rPr>
            </w:pPr>
            <w:r>
              <w:rPr>
                <w:rFonts w:ascii="Arial" w:cs="Arial" w:eastAsia="Arial" w:hAnsi="Arial"/>
                <w:sz w:val="18"/>
                <w:szCs w:val="18"/>
                <w:color w:val="auto"/>
                <w:w w:val="95"/>
              </w:rPr>
              <w:t>Southfield,  Michigan</w:t>
            </w:r>
          </w:p>
        </w:tc>
        <w:tc>
          <w:tcPr>
            <w:tcW w:w="4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7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240" w:type="dxa"/>
            <w:vAlign w:val="bottom"/>
          </w:tcPr>
          <w:p>
            <w:pPr>
              <w:jc w:val="center"/>
              <w:ind w:right="459"/>
              <w:spacing w:after="0"/>
              <w:rPr>
                <w:sz w:val="20"/>
                <w:szCs w:val="20"/>
                <w:color w:val="auto"/>
              </w:rPr>
            </w:pPr>
            <w:r>
              <w:rPr>
                <w:rFonts w:ascii="Arial" w:cs="Arial" w:eastAsia="Arial" w:hAnsi="Arial"/>
                <w:sz w:val="18"/>
                <w:szCs w:val="18"/>
                <w:color w:val="auto"/>
                <w:w w:val="89"/>
              </w:rPr>
              <w:t>48034-8339</w:t>
            </w:r>
          </w:p>
        </w:tc>
      </w:tr>
      <w:tr>
        <w:trPr>
          <w:trHeight w:val="40"/>
        </w:trPr>
        <w:tc>
          <w:tcPr>
            <w:tcW w:w="33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720" w:type="dxa"/>
            <w:vAlign w:val="bottom"/>
          </w:tcPr>
          <w:p>
            <w:pPr>
              <w:spacing w:after="0"/>
              <w:rPr>
                <w:sz w:val="3"/>
                <w:szCs w:val="3"/>
                <w:color w:val="auto"/>
              </w:rPr>
            </w:pPr>
          </w:p>
        </w:tc>
        <w:tc>
          <w:tcPr>
            <w:tcW w:w="28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240" w:type="dxa"/>
            <w:vAlign w:val="bottom"/>
            <w:tcBorders>
              <w:bottom w:val="single" w:sz="8" w:color="auto"/>
            </w:tcBorders>
          </w:tcPr>
          <w:p>
            <w:pPr>
              <w:spacing w:after="0"/>
              <w:rPr>
                <w:sz w:val="3"/>
                <w:szCs w:val="3"/>
                <w:color w:val="auto"/>
              </w:rPr>
            </w:pPr>
          </w:p>
        </w:tc>
      </w:tr>
      <w:tr>
        <w:trPr>
          <w:trHeight w:val="176"/>
        </w:trPr>
        <w:tc>
          <w:tcPr>
            <w:tcW w:w="3360" w:type="dxa"/>
            <w:vAlign w:val="bottom"/>
          </w:tcPr>
          <w:p>
            <w:pPr>
              <w:jc w:val="center"/>
              <w:ind w:left="417"/>
              <w:spacing w:after="0"/>
              <w:rPr>
                <w:sz w:val="20"/>
                <w:szCs w:val="20"/>
                <w:color w:val="auto"/>
              </w:rPr>
            </w:pPr>
            <w:r>
              <w:rPr>
                <w:rFonts w:ascii="Arial" w:cs="Arial" w:eastAsia="Arial" w:hAnsi="Arial"/>
                <w:sz w:val="14"/>
                <w:szCs w:val="14"/>
                <w:color w:val="auto"/>
                <w:w w:val="95"/>
              </w:rPr>
              <w:t>(Address of principal executive offices)</w:t>
            </w:r>
          </w:p>
        </w:tc>
        <w:tc>
          <w:tcPr>
            <w:tcW w:w="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40" w:type="dxa"/>
            <w:vAlign w:val="bottom"/>
          </w:tcPr>
          <w:p>
            <w:pPr>
              <w:jc w:val="center"/>
              <w:ind w:right="459"/>
              <w:spacing w:after="0"/>
              <w:rPr>
                <w:sz w:val="20"/>
                <w:szCs w:val="20"/>
                <w:color w:val="auto"/>
              </w:rPr>
            </w:pPr>
            <w:r>
              <w:rPr>
                <w:rFonts w:ascii="Arial" w:cs="Arial" w:eastAsia="Arial" w:hAnsi="Arial"/>
                <w:sz w:val="14"/>
                <w:szCs w:val="14"/>
                <w:color w:val="auto"/>
                <w:w w:val="93"/>
              </w:rPr>
              <w:t>(Zip Code)</w:t>
            </w:r>
          </w:p>
        </w:tc>
      </w:tr>
    </w:tbl>
    <w:p>
      <w:pPr>
        <w:spacing w:after="0" w:line="3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  (248) 353-2700</w:t>
      </w:r>
    </w:p>
    <w:p>
      <w:pPr>
        <w:spacing w:after="0" w:line="2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1651000</wp:posOffset>
            </wp:positionH>
            <wp:positionV relativeFrom="paragraph">
              <wp:posOffset>-130175</wp:posOffset>
            </wp:positionV>
            <wp:extent cx="38404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8404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30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6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4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450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Title of each class</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Trading symbol(s)</w:t>
            </w:r>
          </w:p>
        </w:tc>
        <w:tc>
          <w:tcPr>
            <w:tcW w:w="4400" w:type="dxa"/>
            <w:vAlign w:val="bottom"/>
          </w:tcPr>
          <w:p>
            <w:pPr>
              <w:ind w:left="760"/>
              <w:spacing w:after="0"/>
              <w:rPr>
                <w:sz w:val="20"/>
                <w:szCs w:val="20"/>
                <w:color w:val="auto"/>
              </w:rPr>
            </w:pPr>
            <w:r>
              <w:rPr>
                <w:rFonts w:ascii="Arial" w:cs="Arial" w:eastAsia="Arial" w:hAnsi="Arial"/>
                <w:sz w:val="16"/>
                <w:szCs w:val="16"/>
                <w:b w:val="1"/>
                <w:bCs w:val="1"/>
                <w:color w:val="auto"/>
              </w:rPr>
              <w:t>Name of each exchange on which registered</w:t>
            </w:r>
          </w:p>
        </w:tc>
      </w:tr>
      <w:tr>
        <w:trPr>
          <w:trHeight w:val="227"/>
        </w:trPr>
        <w:tc>
          <w:tcPr>
            <w:tcW w:w="4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$.01 par value</w:t>
            </w:r>
          </w:p>
        </w:tc>
        <w:tc>
          <w:tcPr>
            <w:tcW w:w="100" w:type="dxa"/>
            <w:vAlign w:val="bottom"/>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CACC</w:t>
            </w:r>
          </w:p>
        </w:tc>
        <w:tc>
          <w:tcPr>
            <w:tcW w:w="120" w:type="dxa"/>
            <w:vAlign w:val="bottom"/>
          </w:tcPr>
          <w:p>
            <w:pPr>
              <w:spacing w:after="0"/>
              <w:rPr>
                <w:sz w:val="19"/>
                <w:szCs w:val="19"/>
                <w:color w:val="auto"/>
              </w:rPr>
            </w:pPr>
          </w:p>
        </w:tc>
        <w:tc>
          <w:tcPr>
            <w:tcW w:w="4400" w:type="dxa"/>
            <w:vAlign w:val="bottom"/>
            <w:tcBorders>
              <w:top w:val="single" w:sz="8" w:color="auto"/>
            </w:tcBorders>
          </w:tcPr>
          <w:p>
            <w:pPr>
              <w:ind w:left="1060"/>
              <w:spacing w:after="0"/>
              <w:rPr>
                <w:sz w:val="20"/>
                <w:szCs w:val="20"/>
                <w:color w:val="auto"/>
              </w:rPr>
            </w:pPr>
            <w:r>
              <w:rPr>
                <w:rFonts w:ascii="Arial" w:cs="Arial" w:eastAsia="Arial" w:hAnsi="Arial"/>
                <w:sz w:val="18"/>
                <w:szCs w:val="18"/>
                <w:color w:val="auto"/>
              </w:rPr>
              <w:t>The Nasdaq Stock Market LLC</w:t>
            </w:r>
          </w:p>
        </w:tc>
      </w:tr>
    </w:tbl>
    <w:p>
      <w:pPr>
        <w:spacing w:after="0" w:line="30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65"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678815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November 1, 2021, Credit Acceptance Corporation (the “Company”) issued a press release announcing its financial results for the three and nine months ended September 30, 2021 and details for the related November 1, 2021 webcast. The press release is attached as Exhibit 99.1 to this Form 8-K and incorporated herein by reference.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Exhibits.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40" w:type="dxa"/>
            <w:vAlign w:val="bottom"/>
            <w:gridSpan w:val="4"/>
          </w:tcPr>
          <w:p>
            <w:pPr>
              <w:ind w:left="20"/>
              <w:spacing w:after="0"/>
              <w:rPr>
                <w:sz w:val="20"/>
                <w:szCs w:val="20"/>
                <w:color w:val="auto"/>
              </w:rPr>
            </w:pPr>
            <w:r>
              <w:rPr>
                <w:rFonts w:ascii="Arial" w:cs="Arial" w:eastAsia="Arial" w:hAnsi="Arial"/>
                <w:sz w:val="14"/>
                <w:szCs w:val="14"/>
                <w:b w:val="1"/>
                <w:bCs w:val="1"/>
                <w:color w:val="auto"/>
              </w:rPr>
              <w:t>Exhibit No.</w:t>
            </w:r>
          </w:p>
        </w:tc>
        <w:tc>
          <w:tcPr>
            <w:tcW w:w="920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188"/>
        </w:trPr>
        <w:tc>
          <w:tcPr>
            <w:tcW w:w="1540" w:type="dxa"/>
            <w:vAlign w:val="bottom"/>
            <w:tcBorders>
              <w:top w:val="single" w:sz="8" w:color="auto"/>
            </w:tcBorders>
            <w:gridSpan w:val="3"/>
          </w:tcPr>
          <w:p>
            <w:pPr>
              <w:jc w:val="right"/>
              <w:ind w:right="640"/>
              <w:spacing w:after="0" w:line="189" w:lineRule="exact"/>
              <w:rPr>
                <w:rFonts w:ascii="Arial" w:cs="Arial" w:eastAsia="Arial" w:hAnsi="Arial"/>
                <w:sz w:val="18"/>
                <w:szCs w:val="18"/>
                <w:color w:val="0000FF"/>
              </w:rPr>
            </w:pPr>
            <w:hyperlink w:anchor="page4">
              <w:r>
                <w:rPr>
                  <w:rFonts w:ascii="Arial" w:cs="Arial" w:eastAsia="Arial" w:hAnsi="Arial"/>
                  <w:sz w:val="18"/>
                  <w:szCs w:val="18"/>
                  <w:color w:val="0000FF"/>
                </w:rPr>
                <w:t>99.</w:t>
              </w:r>
              <w:r>
                <w:rPr>
                  <w:rFonts w:ascii="Arial" w:cs="Arial" w:eastAsia="Arial" w:hAnsi="Arial"/>
                  <w:sz w:val="18"/>
                  <w:szCs w:val="18"/>
                  <w:u w:val="single" w:color="auto"/>
                  <w:color w:val="0000FF"/>
                </w:rPr>
                <w:t>1</w:t>
              </w:r>
            </w:hyperlink>
          </w:p>
        </w:tc>
        <w:tc>
          <w:tcPr>
            <w:tcW w:w="500" w:type="dxa"/>
            <w:vAlign w:val="bottom"/>
          </w:tcPr>
          <w:p>
            <w:pPr>
              <w:spacing w:after="0"/>
              <w:rPr>
                <w:sz w:val="16"/>
                <w:szCs w:val="16"/>
                <w:color w:val="auto"/>
              </w:rPr>
            </w:pPr>
          </w:p>
        </w:tc>
        <w:tc>
          <w:tcPr>
            <w:tcW w:w="9200" w:type="dxa"/>
            <w:vAlign w:val="bottom"/>
            <w:tcBorders>
              <w:top w:val="single" w:sz="8" w:color="auto"/>
            </w:tcBorders>
          </w:tcPr>
          <w:p>
            <w:pPr>
              <w:ind w:left="20"/>
              <w:spacing w:after="0" w:line="189" w:lineRule="exact"/>
              <w:rPr>
                <w:sz w:val="20"/>
                <w:szCs w:val="20"/>
                <w:color w:val="auto"/>
              </w:rPr>
            </w:pPr>
            <w:r>
              <w:rPr>
                <w:rFonts w:ascii="Arial" w:cs="Arial" w:eastAsia="Arial" w:hAnsi="Arial"/>
                <w:sz w:val="18"/>
                <w:szCs w:val="18"/>
                <w:color w:val="auto"/>
              </w:rPr>
              <w:t>Press Release dated November 1, 2021.</w:t>
            </w:r>
          </w:p>
        </w:tc>
      </w:tr>
      <w:tr>
        <w:trPr>
          <w:trHeight w:val="250"/>
        </w:trPr>
        <w:tc>
          <w:tcPr>
            <w:tcW w:w="580" w:type="dxa"/>
            <w:vAlign w:val="bottom"/>
          </w:tcPr>
          <w:p>
            <w:pPr>
              <w:spacing w:after="0"/>
              <w:rPr>
                <w:sz w:val="21"/>
                <w:szCs w:val="21"/>
                <w:color w:val="auto"/>
              </w:rPr>
            </w:pPr>
          </w:p>
        </w:tc>
        <w:tc>
          <w:tcPr>
            <w:tcW w:w="320" w:type="dxa"/>
            <w:vAlign w:val="bottom"/>
            <w:tcBorders>
              <w:top w:val="single" w:sz="8" w:color="0000FF"/>
            </w:tcBorders>
          </w:tcPr>
          <w:p>
            <w:pPr>
              <w:jc w:val="right"/>
              <w:spacing w:after="0"/>
              <w:rPr>
                <w:sz w:val="20"/>
                <w:szCs w:val="20"/>
                <w:color w:val="auto"/>
              </w:rPr>
            </w:pPr>
            <w:r>
              <w:rPr>
                <w:rFonts w:ascii="Arial" w:cs="Arial" w:eastAsia="Arial" w:hAnsi="Arial"/>
                <w:sz w:val="18"/>
                <w:szCs w:val="18"/>
                <w:color w:val="auto"/>
                <w:w w:val="99"/>
              </w:rPr>
              <w:t>104</w:t>
            </w:r>
          </w:p>
        </w:tc>
        <w:tc>
          <w:tcPr>
            <w:tcW w:w="6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0" w:type="dxa"/>
            <w:vAlign w:val="bottom"/>
          </w:tcPr>
          <w:p>
            <w:pPr>
              <w:ind w:left="2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1735"/>
        </w:trPr>
        <w:tc>
          <w:tcPr>
            <w:tcW w:w="5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0"/>
          <w:szCs w:val="20"/>
          <w:b w:val="1"/>
          <w:bCs w:val="1"/>
          <w:color w:val="auto"/>
        </w:rPr>
        <w:t>SIGNATURES</w:t>
      </w:r>
    </w:p>
    <w:p>
      <w:pPr>
        <w:spacing w:after="0" w:line="249"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4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p>
        </w:tc>
        <w:tc>
          <w:tcPr>
            <w:tcW w:w="6460" w:type="dxa"/>
            <w:vAlign w:val="bottom"/>
            <w:gridSpan w:val="2"/>
          </w:tcPr>
          <w:p>
            <w:pPr>
              <w:ind w:left="1580"/>
              <w:spacing w:after="0"/>
              <w:rPr>
                <w:sz w:val="20"/>
                <w:szCs w:val="20"/>
                <w:color w:val="auto"/>
              </w:rPr>
            </w:pPr>
            <w:r>
              <w:rPr>
                <w:rFonts w:ascii="Arial" w:cs="Arial" w:eastAsia="Arial" w:hAnsi="Arial"/>
                <w:sz w:val="18"/>
                <w:szCs w:val="18"/>
                <w:color w:val="auto"/>
              </w:rPr>
              <w:t>CREDIT ACCEPTANCE CORPORATION</w:t>
            </w:r>
          </w:p>
        </w:tc>
      </w:tr>
      <w:tr>
        <w:trPr>
          <w:trHeight w:val="486"/>
        </w:trPr>
        <w:tc>
          <w:tcPr>
            <w:tcW w:w="3360" w:type="dxa"/>
            <w:vAlign w:val="bottom"/>
          </w:tcPr>
          <w:p>
            <w:pPr>
              <w:spacing w:after="0"/>
              <w:rPr>
                <w:sz w:val="20"/>
                <w:szCs w:val="20"/>
                <w:color w:val="auto"/>
              </w:rPr>
            </w:pPr>
            <w:r>
              <w:rPr>
                <w:rFonts w:ascii="Arial" w:cs="Arial" w:eastAsia="Arial" w:hAnsi="Arial"/>
                <w:sz w:val="18"/>
                <w:szCs w:val="18"/>
                <w:color w:val="auto"/>
              </w:rPr>
              <w:t>Date: November 1, 2021</w:t>
            </w:r>
          </w:p>
        </w:tc>
        <w:tc>
          <w:tcPr>
            <w:tcW w:w="6460" w:type="dxa"/>
            <w:vAlign w:val="bottom"/>
            <w:gridSpan w:val="2"/>
          </w:tcPr>
          <w:p>
            <w:pPr>
              <w:ind w:left="1580"/>
              <w:spacing w:after="0"/>
              <w:rPr>
                <w:sz w:val="20"/>
                <w:szCs w:val="20"/>
                <w:color w:val="auto"/>
              </w:rPr>
            </w:pPr>
            <w:r>
              <w:rPr>
                <w:rFonts w:ascii="Arial" w:cs="Arial" w:eastAsia="Arial" w:hAnsi="Arial"/>
                <w:sz w:val="18"/>
                <w:szCs w:val="18"/>
                <w:color w:val="auto"/>
              </w:rPr>
              <w:t>By:   /s/ Jay D. Martin</w:t>
            </w:r>
          </w:p>
        </w:tc>
      </w:tr>
      <w:tr>
        <w:trPr>
          <w:trHeight w:val="222"/>
        </w:trPr>
        <w:tc>
          <w:tcPr>
            <w:tcW w:w="336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4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Jay D. Martin</w:t>
            </w:r>
          </w:p>
        </w:tc>
      </w:tr>
      <w:tr>
        <w:trPr>
          <w:trHeight w:val="230"/>
        </w:trPr>
        <w:tc>
          <w:tcPr>
            <w:tcW w:w="3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4440" w:type="dxa"/>
            <w:vAlign w:val="bottom"/>
          </w:tcPr>
          <w:p>
            <w:pPr>
              <w:ind w:left="20"/>
              <w:spacing w:after="0"/>
              <w:rPr>
                <w:sz w:val="20"/>
                <w:szCs w:val="20"/>
                <w:color w:val="auto"/>
              </w:rPr>
            </w:pPr>
            <w:r>
              <w:rPr>
                <w:rFonts w:ascii="Arial" w:cs="Arial" w:eastAsia="Arial" w:hAnsi="Arial"/>
                <w:sz w:val="18"/>
                <w:szCs w:val="18"/>
                <w:color w:val="auto"/>
              </w:rPr>
              <w:t>Senior Vice President – Finance &amp; Accounting</w:t>
            </w:r>
          </w:p>
        </w:tc>
      </w:tr>
    </w:tbl>
    <w:p>
      <w:pPr>
        <w:sectPr>
          <w:pgSz w:w="11900" w:h="16838" w:orient="portrait"/>
          <w:cols w:equalWidth="0" w:num="1">
            <w:col w:w="11240"/>
          </w:cols>
          <w:pgMar w:left="320" w:top="1170"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Credit Acceptance</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25505 West Twelve Mile Road</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Southfield, MI 48034-8339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creditacceptance.com</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NEWS RELEASE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 November 1, 2021</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Investor Relations: Douglas W. Busk</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Treasury Officer</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(248) 353-2700 Ext. 4432</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u w:val="single" w:color="auto"/>
          <w:color w:val="auto"/>
        </w:rPr>
        <w:t>IR@creditacceptance.com</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Nasdaq Symbol: CACC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CREDIT ACCEPTANCE ANNOUNCES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QUARTER 2021 RESULTS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Southfield, Michigan – November 1, 2021 – Credit Acceptance Corporation (Nasdaq: CACC) </w:t>
      </w:r>
      <w:r>
        <w:rPr>
          <w:rFonts w:ascii="Arial" w:cs="Arial" w:eastAsia="Arial" w:hAnsi="Arial"/>
          <w:sz w:val="18"/>
          <w:szCs w:val="18"/>
          <w:color w:val="auto"/>
        </w:rPr>
        <w:t>(referred to as the “Company”, “Credit Acceptance”,</w:t>
      </w:r>
      <w:r>
        <w:rPr>
          <w:rFonts w:ascii="Arial" w:cs="Arial" w:eastAsia="Arial" w:hAnsi="Arial"/>
          <w:sz w:val="18"/>
          <w:szCs w:val="18"/>
          <w:b w:val="1"/>
          <w:bCs w:val="1"/>
          <w:color w:val="auto"/>
        </w:rPr>
        <w:t xml:space="preserve"> </w:t>
      </w:r>
      <w:r>
        <w:rPr>
          <w:rFonts w:ascii="Arial" w:cs="Arial" w:eastAsia="Arial" w:hAnsi="Arial"/>
          <w:sz w:val="18"/>
          <w:szCs w:val="18"/>
          <w:color w:val="auto"/>
        </w:rPr>
        <w:t>“we”, “our”, or “us”) today announced consolidated net income of $250.0 million, or $15.79 per diluted share, for the three months ended September 30, 2021 compared to consolidated net income of $242.1 million, or $13.56 per diluted share, for the same period in 2020. For the nine months ended September 30, 2021, consolidated net income was $740.7 million, or $44.73 per diluted share, compared to consolidated net income of $254.7 million, or $14.17 per diluted share, for the same period in 2020.</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Adjusted net income, a non-GAAP financial measure, for the three months ended September 30, 2021 was $219.1 million, or $13.84 per diluted share, compared to $167.0 million, or $9.36 per diluted share, for the same period in 2020. For the nine months ended September 30, 2021, adjusted net income was $614.2 million, or $37.09 per diluted share, compared to adjusted net income of $496.8 million, or $27.64 per diluted share, for the same period in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third quarter of 2021 included:</w:t>
      </w:r>
    </w:p>
    <w:p>
      <w:pPr>
        <w:spacing w:after="0" w:line="23" w:lineRule="exact"/>
        <w:rPr>
          <w:sz w:val="20"/>
          <w:szCs w:val="20"/>
          <w:color w:val="auto"/>
        </w:rPr>
      </w:pPr>
    </w:p>
    <w:p>
      <w:pPr>
        <w:ind w:left="500" w:hanging="330"/>
        <w:spacing w:after="0" w:line="250" w:lineRule="auto"/>
        <w:tabs>
          <w:tab w:leader="none" w:pos="495" w:val="left"/>
        </w:tabs>
        <w:numPr>
          <w:ilvl w:val="0"/>
          <w:numId w:val="2"/>
        </w:numPr>
        <w:rPr>
          <w:rFonts w:ascii="Arial" w:cs="Arial" w:eastAsia="Arial" w:hAnsi="Arial"/>
          <w:sz w:val="18"/>
          <w:szCs w:val="18"/>
          <w:color w:val="auto"/>
        </w:rPr>
      </w:pPr>
      <w:r>
        <w:rPr>
          <w:rFonts w:ascii="Arial" w:cs="Arial" w:eastAsia="Arial" w:hAnsi="Arial"/>
          <w:sz w:val="18"/>
          <w:szCs w:val="18"/>
          <w:color w:val="auto"/>
        </w:rPr>
        <w:t>An increase in forecasted collection rates for Consumer Loans assigned in 2018 through 2021, which increased forecasted net cash flows from our loan portfolio by $82.3 million.</w:t>
      </w:r>
    </w:p>
    <w:p>
      <w:pPr>
        <w:ind w:left="500" w:hanging="330"/>
        <w:spacing w:after="0" w:line="250" w:lineRule="auto"/>
        <w:tabs>
          <w:tab w:leader="none" w:pos="495" w:val="left"/>
        </w:tabs>
        <w:numPr>
          <w:ilvl w:val="0"/>
          <w:numId w:val="2"/>
        </w:numPr>
        <w:rPr>
          <w:rFonts w:ascii="Arial" w:cs="Arial" w:eastAsia="Arial" w:hAnsi="Arial"/>
          <w:sz w:val="18"/>
          <w:szCs w:val="18"/>
          <w:color w:val="auto"/>
        </w:rPr>
      </w:pPr>
      <w:r>
        <w:rPr>
          <w:rFonts w:ascii="Arial" w:cs="Arial" w:eastAsia="Arial" w:hAnsi="Arial"/>
          <w:sz w:val="18"/>
          <w:szCs w:val="18"/>
          <w:color w:val="auto"/>
        </w:rPr>
        <w:t>Forecasted profitability per Consumer Loan assignment that is in excess of our initial estimate for Consumer Loans assigned in 2021 and significantly in excess of our initial estimates for Consumer Loans assigned in 2018 through 2020.</w:t>
      </w:r>
    </w:p>
    <w:p>
      <w:pPr>
        <w:ind w:left="500" w:hanging="330"/>
        <w:spacing w:after="0" w:line="250" w:lineRule="auto"/>
        <w:tabs>
          <w:tab w:leader="none" w:pos="495" w:val="left"/>
        </w:tabs>
        <w:numPr>
          <w:ilvl w:val="0"/>
          <w:numId w:val="2"/>
        </w:numPr>
        <w:rPr>
          <w:rFonts w:ascii="Arial" w:cs="Arial" w:eastAsia="Arial" w:hAnsi="Arial"/>
          <w:sz w:val="18"/>
          <w:szCs w:val="18"/>
          <w:color w:val="auto"/>
        </w:rPr>
      </w:pPr>
      <w:r>
        <w:rPr>
          <w:rFonts w:ascii="Arial" w:cs="Arial" w:eastAsia="Arial" w:hAnsi="Arial"/>
          <w:sz w:val="18"/>
          <w:szCs w:val="18"/>
          <w:color w:val="auto"/>
        </w:rPr>
        <w:t>A decline in Consumer Loan assignment volume, as unit and dollar volumes declined 29.4% and 17.9%, respectively, as compared to the third quarter of 2020.</w:t>
      </w:r>
    </w:p>
    <w:p>
      <w:pPr>
        <w:ind w:left="480" w:hanging="310"/>
        <w:spacing w:after="0"/>
        <w:tabs>
          <w:tab w:leader="none" w:pos="480" w:val="left"/>
        </w:tabs>
        <w:numPr>
          <w:ilvl w:val="0"/>
          <w:numId w:val="2"/>
        </w:numPr>
        <w:rPr>
          <w:rFonts w:ascii="Arial" w:cs="Arial" w:eastAsia="Arial" w:hAnsi="Arial"/>
          <w:sz w:val="17"/>
          <w:szCs w:val="17"/>
          <w:color w:val="auto"/>
        </w:rPr>
      </w:pPr>
      <w:r>
        <w:rPr>
          <w:rFonts w:ascii="Arial" w:cs="Arial" w:eastAsia="Arial" w:hAnsi="Arial"/>
          <w:sz w:val="17"/>
          <w:szCs w:val="17"/>
          <w:color w:val="auto"/>
        </w:rPr>
        <w:t>Stock repurchases of approximately 1.3 million shares, which represented 8.0% of the shares outstanding at the beginning of the quarter.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769" w:right="339" w:bottom="1440" w:gutter="0" w:footer="0" w:header="0"/>
        </w:sectPr>
      </w:pPr>
    </w:p>
    <w:bookmarkStart w:id="4" w:name="page5"/>
    <w:bookmarkEnd w:id="4"/>
    <w:p>
      <w:pPr>
        <w:ind w:left="100"/>
        <w:spacing w:after="0"/>
        <w:rPr>
          <w:sz w:val="20"/>
          <w:szCs w:val="20"/>
          <w:color w:val="auto"/>
        </w:rPr>
      </w:pPr>
      <w:r>
        <w:rPr>
          <w:rFonts w:ascii="Arial" w:cs="Arial" w:eastAsia="Arial" w:hAnsi="Arial"/>
          <w:sz w:val="18"/>
          <w:szCs w:val="18"/>
          <w:b w:val="1"/>
          <w:bCs w:val="1"/>
          <w:u w:val="single" w:color="auto"/>
          <w:color w:val="auto"/>
        </w:rPr>
        <w:t>Consumer Loan Metrics</w:t>
      </w:r>
    </w:p>
    <w:p>
      <w:pPr>
        <w:spacing w:after="0" w:line="256" w:lineRule="exact"/>
        <w:rPr>
          <w:sz w:val="20"/>
          <w:szCs w:val="20"/>
          <w:color w:val="auto"/>
        </w:rPr>
      </w:pPr>
    </w:p>
    <w:p>
      <w:pPr>
        <w:jc w:val="both"/>
        <w:ind w:left="100"/>
        <w:spacing w:after="0" w:line="279" w:lineRule="auto"/>
        <w:rPr>
          <w:sz w:val="20"/>
          <w:szCs w:val="20"/>
          <w:color w:val="auto"/>
        </w:rPr>
      </w:pPr>
      <w:r>
        <w:rPr>
          <w:rFonts w:ascii="Arial" w:cs="Arial" w:eastAsia="Arial" w:hAnsi="Arial"/>
          <w:sz w:val="17"/>
          <w:szCs w:val="17"/>
          <w:color w:val="auto"/>
        </w:rPr>
        <w:t>Dealers assign retail installment contracts (referred to as “Consumer Loans”) to Credit Acceptance. At the time a Consumer Loan is submitted to us for assignment, we forecast future expected cash flows from the Consumer Loan. Based on the amount and timing of these forecasts and expected expense levels, an advance or one-time purchase payment is made to the related dealer at a price designed to maximize economic profit, a non-GAAP financial measure that considers our return on capital, our cost of capital and the amount of capital invested.</w:t>
      </w:r>
    </w:p>
    <w:p>
      <w:pPr>
        <w:spacing w:after="0" w:line="198" w:lineRule="exact"/>
        <w:rPr>
          <w:sz w:val="20"/>
          <w:szCs w:val="20"/>
          <w:color w:val="auto"/>
        </w:rPr>
      </w:pPr>
    </w:p>
    <w:p>
      <w:pPr>
        <w:jc w:val="both"/>
        <w:ind w:left="100"/>
        <w:spacing w:after="0" w:line="296" w:lineRule="auto"/>
        <w:rPr>
          <w:sz w:val="20"/>
          <w:szCs w:val="20"/>
          <w:color w:val="auto"/>
        </w:rPr>
      </w:pPr>
      <w:r>
        <w:rPr>
          <w:rFonts w:ascii="Arial" w:cs="Arial" w:eastAsia="Arial" w:hAnsi="Arial"/>
          <w:sz w:val="16"/>
          <w:szCs w:val="16"/>
          <w:color w:val="auto"/>
        </w:rPr>
        <w:t>We use a statistical model to estimate the expected collection rate for each Consumer Loan at the time of assignment. We continue to evaluate the expected collection rate of each Consumer Loan subsequent to assignment. Our evaluation becomes more accurate as the Consumer Loans age, as we use actual performance data in our forecast. By comparing our current expected collection rate for each Consumer Loan with the rate we projected at the time of assignment, we are able to assess the accuracy of our initial forecast. The following table compares our forecast of Consumer Loan collection rates as of September 30, 2021 with the forecasts as of June 30, 2021, as of December 31, 2020 and at the time of assignment, segmented by year of assignment:</w:t>
      </w:r>
    </w:p>
    <w:p>
      <w:pPr>
        <w:spacing w:after="0" w:line="221" w:lineRule="exact"/>
        <w:rPr>
          <w:sz w:val="20"/>
          <w:szCs w:val="20"/>
          <w:color w:val="auto"/>
        </w:rPr>
      </w:pPr>
    </w:p>
    <w:tbl>
      <w:tblPr>
        <w:tblLayout w:type="fixed"/>
        <w:tblInd w:w="100" w:type="dxa"/>
        <w:tblCellMar>
          <w:top w:w="0" w:type="dxa"/>
          <w:left w:w="0" w:type="dxa"/>
          <w:bottom w:w="0" w:type="dxa"/>
          <w:right w:w="0" w:type="dxa"/>
        </w:tblCellMar>
      </w:tblPr>
      <w:tr>
        <w:trPr>
          <w:trHeight w:val="192"/>
        </w:trPr>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Forecasted Collection Percentage as of (1)</w:t>
            </w:r>
          </w:p>
        </w:tc>
        <w:tc>
          <w:tcPr>
            <w:tcW w:w="1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120" w:type="dxa"/>
            <w:vAlign w:val="bottom"/>
            <w:tcBorders>
              <w:bottom w:val="single" w:sz="8" w:color="auto"/>
            </w:tcBorders>
            <w:gridSpan w:val="5"/>
          </w:tcPr>
          <w:p>
            <w:pPr>
              <w:jc w:val="center"/>
              <w:ind w:left="893"/>
              <w:spacing w:after="0"/>
              <w:rPr>
                <w:sz w:val="20"/>
                <w:szCs w:val="20"/>
                <w:color w:val="auto"/>
              </w:rPr>
            </w:pPr>
            <w:r>
              <w:rPr>
                <w:rFonts w:ascii="Arial" w:cs="Arial" w:eastAsia="Arial" w:hAnsi="Arial"/>
                <w:sz w:val="14"/>
                <w:szCs w:val="14"/>
                <w:b w:val="1"/>
                <w:bCs w:val="1"/>
                <w:color w:val="auto"/>
                <w:w w:val="94"/>
              </w:rPr>
              <w:t>Current Forecast Variance from</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Consumer Loan</w:t>
            </w:r>
          </w:p>
        </w:tc>
        <w:tc>
          <w:tcPr>
            <w:tcW w:w="14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September 30, 2021</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June 30, 2021</w:t>
            </w:r>
          </w:p>
        </w:tc>
        <w:tc>
          <w:tcPr>
            <w:tcW w:w="142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December 31, 2020</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Initial</w:t>
            </w:r>
          </w:p>
        </w:tc>
        <w:tc>
          <w:tcPr>
            <w:tcW w:w="136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June 30, 2021</w:t>
            </w:r>
          </w:p>
        </w:tc>
        <w:tc>
          <w:tcPr>
            <w:tcW w:w="1760" w:type="dxa"/>
            <w:vAlign w:val="bottom"/>
            <w:gridSpan w:val="3"/>
            <w:vMerge w:val="restart"/>
          </w:tcPr>
          <w:p>
            <w:pPr>
              <w:jc w:val="center"/>
              <w:ind w:right="440"/>
              <w:spacing w:after="0"/>
              <w:rPr>
                <w:sz w:val="20"/>
                <w:szCs w:val="20"/>
                <w:color w:val="auto"/>
              </w:rPr>
            </w:pPr>
            <w:r>
              <w:rPr>
                <w:rFonts w:ascii="Arial" w:cs="Arial" w:eastAsia="Arial" w:hAnsi="Arial"/>
                <w:sz w:val="14"/>
                <w:szCs w:val="14"/>
                <w:b w:val="1"/>
                <w:bCs w:val="1"/>
                <w:color w:val="auto"/>
                <w:w w:val="91"/>
              </w:rPr>
              <w:t>December 31, 2020</w:t>
            </w:r>
          </w:p>
        </w:tc>
        <w:tc>
          <w:tcPr>
            <w:tcW w:w="980" w:type="dxa"/>
            <w:vAlign w:val="bottom"/>
          </w:tcPr>
          <w:p>
            <w:pPr>
              <w:jc w:val="right"/>
              <w:ind w:right="373"/>
              <w:spacing w:after="0"/>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88"/>
        </w:trPr>
        <w:tc>
          <w:tcPr>
            <w:tcW w:w="14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Assignment Year</w:t>
            </w:r>
          </w:p>
        </w:tc>
        <w:tc>
          <w:tcPr>
            <w:tcW w:w="1420" w:type="dxa"/>
            <w:vAlign w:val="bottom"/>
            <w:gridSpan w:val="2"/>
            <w:vMerge w:val="continue"/>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360" w:type="dxa"/>
            <w:vAlign w:val="bottom"/>
            <w:gridSpan w:val="2"/>
            <w:vMerge w:val="continue"/>
          </w:tcPr>
          <w:p>
            <w:pPr>
              <w:spacing w:after="0"/>
              <w:rPr>
                <w:sz w:val="16"/>
                <w:szCs w:val="16"/>
                <w:color w:val="auto"/>
              </w:rPr>
            </w:pPr>
          </w:p>
        </w:tc>
        <w:tc>
          <w:tcPr>
            <w:tcW w:w="1760" w:type="dxa"/>
            <w:vAlign w:val="bottom"/>
            <w:gridSpan w:val="3"/>
            <w:vMerge w:val="continue"/>
          </w:tcPr>
          <w:p>
            <w:pPr>
              <w:spacing w:after="0"/>
              <w:rPr>
                <w:sz w:val="16"/>
                <w:szCs w:val="16"/>
                <w:color w:val="auto"/>
              </w:rPr>
            </w:pPr>
          </w:p>
        </w:tc>
        <w:tc>
          <w:tcPr>
            <w:tcW w:w="980" w:type="dxa"/>
            <w:vAlign w:val="bottom"/>
          </w:tcPr>
          <w:p>
            <w:pPr>
              <w:jc w:val="right"/>
              <w:ind w:right="293"/>
              <w:spacing w:after="0"/>
              <w:rPr>
                <w:sz w:val="20"/>
                <w:szCs w:val="20"/>
                <w:color w:val="auto"/>
              </w:rPr>
            </w:pPr>
            <w:r>
              <w:rPr>
                <w:rFonts w:ascii="Arial" w:cs="Arial" w:eastAsia="Arial" w:hAnsi="Arial"/>
                <w:sz w:val="14"/>
                <w:szCs w:val="14"/>
                <w:b w:val="1"/>
                <w:bCs w:val="1"/>
                <w:color w:val="auto"/>
                <w:w w:val="99"/>
              </w:rPr>
              <w:t>Forecast</w:t>
            </w:r>
          </w:p>
        </w:tc>
        <w:tc>
          <w:tcPr>
            <w:tcW w:w="0" w:type="dxa"/>
            <w:vAlign w:val="bottom"/>
          </w:tcPr>
          <w:p>
            <w:pPr>
              <w:spacing w:after="0"/>
              <w:rPr>
                <w:sz w:val="1"/>
                <w:szCs w:val="1"/>
                <w:color w:val="auto"/>
              </w:rPr>
            </w:pPr>
          </w:p>
        </w:tc>
      </w:tr>
      <w:tr>
        <w:trPr>
          <w:trHeight w:val="224"/>
        </w:trPr>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2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29"/>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73.4 %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72.0 %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0" w:type="dxa"/>
            <w:vAlign w:val="bottom"/>
          </w:tcPr>
          <w:p>
            <w:pPr>
              <w:spacing w:after="0"/>
              <w:rPr>
                <w:sz w:val="1"/>
                <w:szCs w:val="1"/>
                <w:color w:val="auto"/>
              </w:rPr>
            </w:pPr>
          </w:p>
        </w:tc>
      </w:tr>
      <w:tr>
        <w:trPr>
          <w:trHeight w:val="229"/>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65.2 %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65.2 %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67.7 %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30"/>
        </w:trPr>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29"/>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64.4 %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64.1 %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64.0 %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0.0 %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13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65.8 %</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64.0 %</w:t>
            </w: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0.4 %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29"/>
        </w:trPr>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67.7 %</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67.0 %</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64.8 %</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30"/>
        </w:trPr>
        <w:tc>
          <w:tcPr>
            <w:tcW w:w="1360" w:type="dxa"/>
            <w:vAlign w:val="bottom"/>
          </w:tcPr>
          <w:p>
            <w:pPr>
              <w:jc w:val="right"/>
              <w:ind w:right="173"/>
              <w:spacing w:after="0"/>
              <w:rPr>
                <w:sz w:val="20"/>
                <w:szCs w:val="20"/>
                <w:color w:val="auto"/>
              </w:rPr>
            </w:pPr>
            <w:r>
              <w:rPr>
                <w:rFonts w:ascii="Arial" w:cs="Arial" w:eastAsia="Arial" w:hAnsi="Arial"/>
                <w:sz w:val="18"/>
                <w:szCs w:val="18"/>
                <w:color w:val="auto"/>
              </w:rPr>
              <w:t>2021 (2)</w:t>
            </w:r>
          </w:p>
        </w:tc>
        <w:tc>
          <w:tcPr>
            <w:tcW w:w="1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66.4 %</w:t>
            </w:r>
          </w:p>
        </w:tc>
        <w:tc>
          <w:tcPr>
            <w:tcW w:w="1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65.8 %</w:t>
            </w:r>
          </w:p>
        </w:tc>
        <w:tc>
          <w:tcPr>
            <w:tcW w:w="120" w:type="dxa"/>
            <w:vAlign w:val="bottom"/>
          </w:tcPr>
          <w:p>
            <w:pPr>
              <w:spacing w:after="0"/>
              <w:rPr>
                <w:sz w:val="20"/>
                <w:szCs w:val="20"/>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66.0 %</w:t>
            </w:r>
          </w:p>
        </w:tc>
        <w:tc>
          <w:tcPr>
            <w:tcW w:w="1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Pr>
          <w:p>
            <w:pPr>
              <w:spacing w:after="0"/>
              <w:rPr>
                <w:sz w:val="20"/>
                <w:szCs w:val="20"/>
                <w:color w:val="auto"/>
              </w:rPr>
            </w:pPr>
          </w:p>
        </w:tc>
        <w:tc>
          <w:tcPr>
            <w:tcW w:w="1760" w:type="dxa"/>
            <w:vAlign w:val="bottom"/>
            <w:gridSpan w:val="3"/>
          </w:tcPr>
          <w:p>
            <w:pPr>
              <w:jc w:val="right"/>
              <w:ind w:right="6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both"/>
        <w:ind w:left="600" w:hanging="330"/>
        <w:spacing w:after="0"/>
        <w:tabs>
          <w:tab w:leader="none" w:pos="599" w:val="left"/>
        </w:tabs>
        <w:numPr>
          <w:ilvl w:val="0"/>
          <w:numId w:val="3"/>
        </w:numPr>
        <w:rPr>
          <w:rFonts w:ascii="Arial" w:cs="Arial" w:eastAsia="Arial" w:hAnsi="Arial"/>
          <w:sz w:val="14"/>
          <w:szCs w:val="14"/>
          <w:color w:val="auto"/>
        </w:rPr>
      </w:pPr>
      <w:r>
        <w:rPr>
          <w:rFonts w:ascii="Arial" w:cs="Arial" w:eastAsia="Arial" w:hAnsi="Arial"/>
          <w:sz w:val="14"/>
          <w:szCs w:val="14"/>
          <w:color w:val="auto"/>
        </w:rPr>
        <w:t>Represents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1" w:lineRule="exact"/>
        <w:rPr>
          <w:rFonts w:ascii="Arial" w:cs="Arial" w:eastAsia="Arial" w:hAnsi="Arial"/>
          <w:sz w:val="14"/>
          <w:szCs w:val="14"/>
          <w:color w:val="auto"/>
        </w:rPr>
      </w:pPr>
    </w:p>
    <w:p>
      <w:pPr>
        <w:ind w:left="600" w:hanging="330"/>
        <w:spacing w:after="0" w:line="227" w:lineRule="auto"/>
        <w:tabs>
          <w:tab w:leader="none" w:pos="61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forecasted collection rate for 2021 Consumer Loans as of September 30, 2021 includes both Consumer Loans that were in our portfolio as of June 30, 2021 and Consumer Loans assigned during the most recent quarter. The following table provides forecasted collection rates for each of these segments:</w:t>
      </w:r>
    </w:p>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3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20" w:type="dxa"/>
            <w:vAlign w:val="bottom"/>
            <w:tcBorders>
              <w:bottom w:val="single" w:sz="8" w:color="auto"/>
            </w:tcBorders>
            <w:gridSpan w:val="5"/>
          </w:tcPr>
          <w:p>
            <w:pPr>
              <w:jc w:val="center"/>
              <w:ind w:right="239"/>
              <w:spacing w:after="0"/>
              <w:rPr>
                <w:sz w:val="20"/>
                <w:szCs w:val="20"/>
                <w:color w:val="auto"/>
              </w:rPr>
            </w:pPr>
            <w:r>
              <w:rPr>
                <w:rFonts w:ascii="Arial" w:cs="Arial" w:eastAsia="Arial" w:hAnsi="Arial"/>
                <w:sz w:val="14"/>
                <w:szCs w:val="14"/>
                <w:b w:val="1"/>
                <w:bCs w:val="1"/>
                <w:color w:val="auto"/>
                <w:w w:val="89"/>
              </w:rPr>
              <w:t>Forecasted Collection Percentage as of</w:t>
            </w:r>
          </w:p>
        </w:tc>
        <w:tc>
          <w:tcPr>
            <w:tcW w:w="120" w:type="dxa"/>
            <w:vAlign w:val="bottom"/>
          </w:tcPr>
          <w:p>
            <w:pPr>
              <w:spacing w:after="0"/>
              <w:rPr>
                <w:sz w:val="16"/>
                <w:szCs w:val="16"/>
                <w:color w:val="auto"/>
              </w:rPr>
            </w:pPr>
          </w:p>
        </w:tc>
        <w:tc>
          <w:tcPr>
            <w:tcW w:w="2580" w:type="dxa"/>
            <w:vAlign w:val="bottom"/>
            <w:tcBorders>
              <w:bottom w:val="single" w:sz="8" w:color="auto"/>
            </w:tcBorders>
            <w:gridSpan w:val="3"/>
          </w:tcPr>
          <w:p>
            <w:pPr>
              <w:jc w:val="right"/>
              <w:ind w:right="399"/>
              <w:spacing w:after="0"/>
              <w:rPr>
                <w:sz w:val="20"/>
                <w:szCs w:val="20"/>
                <w:color w:val="auto"/>
              </w:rPr>
            </w:pPr>
            <w:r>
              <w:rPr>
                <w:rFonts w:ascii="Arial" w:cs="Arial" w:eastAsia="Arial" w:hAnsi="Arial"/>
                <w:sz w:val="14"/>
                <w:szCs w:val="14"/>
                <w:b w:val="1"/>
                <w:bCs w:val="1"/>
                <w:color w:val="auto"/>
                <w:w w:val="98"/>
              </w:rPr>
              <w:t>Current Forecast Variance from</w:t>
            </w: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35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2021 Consumer Loan Assignment Period</w:t>
            </w:r>
          </w:p>
        </w:tc>
        <w:tc>
          <w:tcPr>
            <w:tcW w:w="1920" w:type="dxa"/>
            <w:vAlign w:val="bottom"/>
            <w:gridSpan w:val="4"/>
            <w:vMerge w:val="restart"/>
          </w:tcPr>
          <w:p>
            <w:pPr>
              <w:ind w:left="440"/>
              <w:spacing w:after="0"/>
              <w:rPr>
                <w:sz w:val="20"/>
                <w:szCs w:val="20"/>
                <w:color w:val="auto"/>
              </w:rPr>
            </w:pPr>
            <w:r>
              <w:rPr>
                <w:rFonts w:ascii="Arial" w:cs="Arial" w:eastAsia="Arial" w:hAnsi="Arial"/>
                <w:sz w:val="14"/>
                <w:szCs w:val="14"/>
                <w:b w:val="1"/>
                <w:bCs w:val="1"/>
                <w:color w:val="auto"/>
              </w:rPr>
              <w:t>September 30, 2021</w:t>
            </w:r>
          </w:p>
        </w:tc>
        <w:tc>
          <w:tcPr>
            <w:tcW w:w="134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2"/>
              </w:rPr>
              <w:t>June 30, 2021</w:t>
            </w:r>
          </w:p>
        </w:tc>
        <w:tc>
          <w:tcPr>
            <w:tcW w:w="1240" w:type="dxa"/>
            <w:vAlign w:val="bottom"/>
          </w:tcPr>
          <w:p>
            <w:pPr>
              <w:jc w:val="right"/>
              <w:ind w:right="539"/>
              <w:spacing w:after="0" w:line="135" w:lineRule="exact"/>
              <w:rPr>
                <w:sz w:val="20"/>
                <w:szCs w:val="20"/>
                <w:color w:val="auto"/>
              </w:rPr>
            </w:pPr>
            <w:r>
              <w:rPr>
                <w:rFonts w:ascii="Arial" w:cs="Arial" w:eastAsia="Arial" w:hAnsi="Arial"/>
                <w:sz w:val="14"/>
                <w:szCs w:val="14"/>
                <w:b w:val="1"/>
                <w:bCs w:val="1"/>
                <w:color w:val="auto"/>
              </w:rPr>
              <w:t>Initial</w:t>
            </w:r>
          </w:p>
        </w:tc>
        <w:tc>
          <w:tcPr>
            <w:tcW w:w="120" w:type="dxa"/>
            <w:vAlign w:val="bottom"/>
          </w:tcPr>
          <w:p>
            <w:pPr>
              <w:spacing w:after="0"/>
              <w:rPr>
                <w:sz w:val="11"/>
                <w:szCs w:val="11"/>
                <w:color w:val="auto"/>
              </w:rPr>
            </w:pPr>
          </w:p>
        </w:tc>
        <w:tc>
          <w:tcPr>
            <w:tcW w:w="13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1240" w:type="dxa"/>
            <w:vAlign w:val="bottom"/>
          </w:tcPr>
          <w:p>
            <w:pPr>
              <w:jc w:val="right"/>
              <w:ind w:right="519"/>
              <w:spacing w:after="0" w:line="135" w:lineRule="exact"/>
              <w:rPr>
                <w:sz w:val="20"/>
                <w:szCs w:val="20"/>
                <w:color w:val="auto"/>
              </w:rPr>
            </w:pPr>
            <w:r>
              <w:rPr>
                <w:rFonts w:ascii="Arial" w:cs="Arial" w:eastAsia="Arial" w:hAnsi="Arial"/>
                <w:sz w:val="14"/>
                <w:szCs w:val="14"/>
                <w:b w:val="1"/>
                <w:bCs w:val="1"/>
                <w:color w:val="auto"/>
              </w:rPr>
              <w:t>Initial</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3540" w:type="dxa"/>
            <w:vAlign w:val="bottom"/>
            <w:vMerge w:val="continue"/>
          </w:tcPr>
          <w:p>
            <w:pPr>
              <w:spacing w:after="0"/>
              <w:rPr>
                <w:sz w:val="16"/>
                <w:szCs w:val="16"/>
                <w:color w:val="auto"/>
              </w:rPr>
            </w:pPr>
          </w:p>
        </w:tc>
        <w:tc>
          <w:tcPr>
            <w:tcW w:w="1920" w:type="dxa"/>
            <w:vAlign w:val="bottom"/>
            <w:gridSpan w:val="4"/>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360" w:type="dxa"/>
            <w:vAlign w:val="bottom"/>
            <w:gridSpan w:val="2"/>
          </w:tcPr>
          <w:p>
            <w:pPr>
              <w:ind w:left="360"/>
              <w:spacing w:after="0"/>
              <w:rPr>
                <w:sz w:val="20"/>
                <w:szCs w:val="20"/>
                <w:color w:val="auto"/>
              </w:rPr>
            </w:pPr>
            <w:r>
              <w:rPr>
                <w:rFonts w:ascii="Arial" w:cs="Arial" w:eastAsia="Arial" w:hAnsi="Arial"/>
                <w:sz w:val="14"/>
                <w:szCs w:val="14"/>
                <w:b w:val="1"/>
                <w:bCs w:val="1"/>
                <w:color w:val="auto"/>
              </w:rPr>
              <w:t>Forecast</w:t>
            </w:r>
          </w:p>
        </w:tc>
        <w:tc>
          <w:tcPr>
            <w:tcW w:w="1340" w:type="dxa"/>
            <w:vAlign w:val="bottom"/>
            <w:gridSpan w:val="2"/>
            <w:vMerge w:val="continue"/>
          </w:tcPr>
          <w:p>
            <w:pPr>
              <w:spacing w:after="0"/>
              <w:rPr>
                <w:sz w:val="16"/>
                <w:szCs w:val="16"/>
                <w:color w:val="auto"/>
              </w:rPr>
            </w:pPr>
          </w:p>
        </w:tc>
        <w:tc>
          <w:tcPr>
            <w:tcW w:w="1240" w:type="dxa"/>
            <w:vAlign w:val="bottom"/>
          </w:tcPr>
          <w:p>
            <w:pPr>
              <w:jc w:val="right"/>
              <w:ind w:right="299"/>
              <w:spacing w:after="0"/>
              <w:rPr>
                <w:sz w:val="20"/>
                <w:szCs w:val="20"/>
                <w:color w:val="auto"/>
              </w:rPr>
            </w:pPr>
            <w:r>
              <w:rPr>
                <w:rFonts w:ascii="Arial" w:cs="Arial" w:eastAsia="Arial" w:hAnsi="Arial"/>
                <w:sz w:val="14"/>
                <w:szCs w:val="14"/>
                <w:b w:val="1"/>
                <w:bCs w:val="1"/>
                <w:color w:val="auto"/>
              </w:rPr>
              <w:t>Forecast</w:t>
            </w:r>
          </w:p>
        </w:tc>
        <w:tc>
          <w:tcPr>
            <w:tcW w:w="0" w:type="dxa"/>
            <w:vAlign w:val="bottom"/>
          </w:tcPr>
          <w:p>
            <w:pPr>
              <w:spacing w:after="0"/>
              <w:rPr>
                <w:sz w:val="1"/>
                <w:szCs w:val="1"/>
                <w:color w:val="auto"/>
              </w:rPr>
            </w:pPr>
          </w:p>
        </w:tc>
      </w:tr>
      <w:tr>
        <w:trPr>
          <w:trHeight w:val="20"/>
        </w:trPr>
        <w:tc>
          <w:tcPr>
            <w:tcW w:w="200" w:type="dxa"/>
            <w:vAlign w:val="bottom"/>
          </w:tcPr>
          <w:p>
            <w:pPr>
              <w:spacing w:after="0" w:line="20" w:lineRule="exact"/>
              <w:rPr>
                <w:sz w:val="1"/>
                <w:szCs w:val="1"/>
                <w:color w:val="auto"/>
              </w:rPr>
            </w:pPr>
          </w:p>
        </w:tc>
        <w:tc>
          <w:tcPr>
            <w:tcW w:w="35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3740" w:type="dxa"/>
            <w:vAlign w:val="bottom"/>
            <w:gridSpan w:val="2"/>
          </w:tcPr>
          <w:p>
            <w:pPr>
              <w:ind w:left="40"/>
              <w:spacing w:after="0"/>
              <w:rPr>
                <w:sz w:val="20"/>
                <w:szCs w:val="20"/>
                <w:color w:val="auto"/>
              </w:rPr>
            </w:pPr>
            <w:r>
              <w:rPr>
                <w:rFonts w:ascii="Arial" w:cs="Arial" w:eastAsia="Arial" w:hAnsi="Arial"/>
                <w:sz w:val="18"/>
                <w:szCs w:val="18"/>
                <w:color w:val="auto"/>
              </w:rPr>
              <w:t>nuary 1, 2021 through June 30, 2021</w:t>
            </w:r>
          </w:p>
        </w:tc>
        <w:tc>
          <w:tcPr>
            <w:tcW w:w="480" w:type="dxa"/>
            <w:vAlign w:val="bottom"/>
          </w:tcPr>
          <w:p>
            <w:pPr>
              <w:spacing w:after="0"/>
              <w:rPr>
                <w:sz w:val="19"/>
                <w:szCs w:val="19"/>
                <w:color w:val="auto"/>
              </w:rPr>
            </w:pPr>
          </w:p>
        </w:tc>
        <w:tc>
          <w:tcPr>
            <w:tcW w:w="10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66.%4</w:t>
            </w:r>
          </w:p>
        </w:tc>
        <w:tc>
          <w:tcPr>
            <w:tcW w:w="10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65.%8</w:t>
            </w:r>
          </w:p>
        </w:tc>
        <w:tc>
          <w:tcPr>
            <w:tcW w:w="10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65.%7</w:t>
            </w:r>
          </w:p>
        </w:tc>
        <w:tc>
          <w:tcPr>
            <w:tcW w:w="120" w:type="dxa"/>
            <w:vAlign w:val="bottom"/>
            <w:vMerge w:val="continue"/>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vMerge w:val="continue"/>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3740" w:type="dxa"/>
            <w:vAlign w:val="bottom"/>
            <w:gridSpan w:val="2"/>
          </w:tcPr>
          <w:p>
            <w:pPr>
              <w:spacing w:after="0"/>
              <w:rPr>
                <w:sz w:val="20"/>
                <w:szCs w:val="20"/>
                <w:color w:val="auto"/>
              </w:rPr>
            </w:pPr>
            <w:r>
              <w:rPr>
                <w:rFonts w:ascii="Arial" w:cs="Arial" w:eastAsia="Arial" w:hAnsi="Arial"/>
                <w:sz w:val="18"/>
                <w:szCs w:val="18"/>
                <w:color w:val="auto"/>
              </w:rPr>
              <w:t>uly 1, 2021 through September 30, 2021</w:t>
            </w:r>
          </w:p>
        </w:tc>
        <w:tc>
          <w:tcPr>
            <w:tcW w:w="1820" w:type="dxa"/>
            <w:vAlign w:val="bottom"/>
            <w:gridSpan w:val="3"/>
          </w:tcPr>
          <w:p>
            <w:pPr>
              <w:jc w:val="right"/>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0"/>
                <w:szCs w:val="20"/>
                <w:color w:val="auto"/>
              </w:rPr>
            </w:pPr>
          </w:p>
        </w:tc>
        <w:tc>
          <w:tcPr>
            <w:tcW w:w="1340" w:type="dxa"/>
            <w:vAlign w:val="bottom"/>
            <w:gridSpan w:val="2"/>
          </w:tcPr>
          <w:p>
            <w:pPr>
              <w:jc w:val="center"/>
              <w:ind w:left="679"/>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-299720</wp:posOffset>
            </wp:positionV>
            <wp:extent cx="6814820" cy="1543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14820" cy="154305"/>
                    </a:xfrm>
                    <a:prstGeom prst="rect">
                      <a:avLst/>
                    </a:prstGeom>
                    <a:noFill/>
                  </pic:spPr>
                </pic:pic>
              </a:graphicData>
            </a:graphic>
          </wp:anchor>
        </w:drawing>
      </w:r>
    </w:p>
    <w:p>
      <w:pPr>
        <w:spacing w:after="0" w:line="289" w:lineRule="exact"/>
        <w:rPr>
          <w:sz w:val="20"/>
          <w:szCs w:val="20"/>
          <w:color w:val="auto"/>
        </w:rPr>
      </w:pPr>
    </w:p>
    <w:p>
      <w:pPr>
        <w:jc w:val="both"/>
        <w:ind w:left="100"/>
        <w:spacing w:after="0" w:line="293" w:lineRule="auto"/>
        <w:rPr>
          <w:sz w:val="20"/>
          <w:szCs w:val="20"/>
          <w:color w:val="auto"/>
        </w:rPr>
      </w:pPr>
      <w:r>
        <w:rPr>
          <w:rFonts w:ascii="Arial" w:cs="Arial" w:eastAsia="Arial" w:hAnsi="Arial"/>
          <w:sz w:val="16"/>
          <w:szCs w:val="16"/>
          <w:color w:val="auto"/>
        </w:rPr>
        <w:t>Consumer Loans assigned in 2012, 2013, and 2018 through 2020 have yielded forecasted collection results significantly better than our initial estimates, while Consumer Loans assigned in 2015 and 2016 have yielded forecasted collection results significantly worse than our initial estimates. For all other assignment years presented, actual results have been close to our initial estimates. For the three months ended September 30, 2021, forecasted collection rates improved for Consumer Loans assigned in 2018 through 2021 and were generally consistent with expectations at the start of the period for all other assignment years presented. For the nine months ended September 30, 2021, forecasted collection rates improved for Consumer Loans assigned in 2017 through 2021 and were generally consistent with expectations at the start of the period for all other assignment years presented.</w:t>
      </w:r>
    </w:p>
    <w:p>
      <w:pPr>
        <w:spacing w:after="0" w:line="191" w:lineRule="exact"/>
        <w:rPr>
          <w:sz w:val="20"/>
          <w:szCs w:val="20"/>
          <w:color w:val="auto"/>
        </w:rPr>
      </w:pPr>
    </w:p>
    <w:p>
      <w:pPr>
        <w:jc w:val="both"/>
        <w:ind w:left="100"/>
        <w:spacing w:after="0" w:line="277" w:lineRule="auto"/>
        <w:rPr>
          <w:sz w:val="20"/>
          <w:szCs w:val="20"/>
          <w:color w:val="auto"/>
        </w:rPr>
      </w:pPr>
      <w:r>
        <w:rPr>
          <w:rFonts w:ascii="Arial" w:cs="Arial" w:eastAsia="Arial" w:hAnsi="Arial"/>
          <w:sz w:val="18"/>
          <w:szCs w:val="18"/>
          <w:color w:val="auto"/>
        </w:rPr>
        <w:t>The changes in forecasted collection rates for the three and nine months ended September 30, 2021 and 2020 impacted forecasted net cash flows (forecasted collections less forecasted dealer holdback payments) as follows:</w:t>
      </w:r>
    </w:p>
    <w:p>
      <w:pPr>
        <w:spacing w:after="0" w:line="64"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5960" w:type="dxa"/>
            <w:vAlign w:val="bottom"/>
            <w:gridSpan w:val="2"/>
            <w:vMerge w:val="restart"/>
          </w:tcPr>
          <w:p>
            <w:pPr>
              <w:spacing w:after="0"/>
              <w:rPr>
                <w:sz w:val="20"/>
                <w:szCs w:val="20"/>
                <w:color w:val="auto"/>
              </w:rPr>
            </w:pPr>
            <w:r>
              <w:rPr>
                <w:rFonts w:ascii="Arial" w:cs="Arial" w:eastAsia="Arial" w:hAnsi="Arial"/>
                <w:sz w:val="14"/>
                <w:szCs w:val="14"/>
                <w:color w:val="auto"/>
              </w:rPr>
              <w:t>(In millions)</w:t>
            </w:r>
          </w:p>
        </w:tc>
        <w:tc>
          <w:tcPr>
            <w:tcW w:w="2660" w:type="dxa"/>
            <w:vAlign w:val="bottom"/>
            <w:gridSpan w:val="7"/>
          </w:tcPr>
          <w:p>
            <w:pPr>
              <w:ind w:left="20"/>
              <w:spacing w:after="0"/>
              <w:rPr>
                <w:sz w:val="20"/>
                <w:szCs w:val="20"/>
                <w:color w:val="auto"/>
              </w:rPr>
            </w:pPr>
            <w:r>
              <w:rPr>
                <w:rFonts w:ascii="Arial" w:cs="Arial" w:eastAsia="Arial" w:hAnsi="Arial"/>
                <w:sz w:val="14"/>
                <w:szCs w:val="14"/>
                <w:b w:val="1"/>
                <w:bCs w:val="1"/>
                <w:color w:val="auto"/>
                <w:w w:val="98"/>
              </w:rPr>
              <w:t>For the Three Months Ended September</w:t>
            </w:r>
          </w:p>
        </w:tc>
        <w:tc>
          <w:tcPr>
            <w:tcW w:w="2560" w:type="dxa"/>
            <w:vAlign w:val="bottom"/>
            <w:gridSpan w:val="6"/>
          </w:tcPr>
          <w:p>
            <w:pPr>
              <w:jc w:val="right"/>
              <w:spacing w:after="0"/>
              <w:rPr>
                <w:sz w:val="20"/>
                <w:szCs w:val="20"/>
                <w:color w:val="auto"/>
              </w:rPr>
            </w:pPr>
            <w:r>
              <w:rPr>
                <w:rFonts w:ascii="Arial" w:cs="Arial" w:eastAsia="Arial" w:hAnsi="Arial"/>
                <w:sz w:val="14"/>
                <w:szCs w:val="14"/>
                <w:b w:val="1"/>
                <w:bCs w:val="1"/>
                <w:color w:val="auto"/>
                <w:w w:val="95"/>
              </w:rPr>
              <w:t>For the Nine Months Ended September</w:t>
            </w:r>
          </w:p>
        </w:tc>
        <w:tc>
          <w:tcPr>
            <w:tcW w:w="0" w:type="dxa"/>
            <w:vAlign w:val="bottom"/>
          </w:tcPr>
          <w:p>
            <w:pPr>
              <w:spacing w:after="0"/>
              <w:rPr>
                <w:sz w:val="1"/>
                <w:szCs w:val="1"/>
                <w:color w:val="auto"/>
              </w:rPr>
            </w:pPr>
          </w:p>
        </w:tc>
      </w:tr>
      <w:tr>
        <w:trPr>
          <w:trHeight w:val="186"/>
        </w:trPr>
        <w:tc>
          <w:tcPr>
            <w:tcW w:w="5960" w:type="dxa"/>
            <w:vAlign w:val="bottom"/>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50"/>
              <w:spacing w:after="0"/>
              <w:rPr>
                <w:sz w:val="20"/>
                <w:szCs w:val="20"/>
                <w:color w:val="auto"/>
              </w:rPr>
            </w:pPr>
            <w:r>
              <w:rPr>
                <w:rFonts w:ascii="Arial" w:cs="Arial" w:eastAsia="Arial" w:hAnsi="Arial"/>
                <w:sz w:val="14"/>
                <w:szCs w:val="14"/>
                <w:b w:val="1"/>
                <w:bCs w:val="1"/>
                <w:color w:val="auto"/>
                <w:w w:val="92"/>
              </w:rPr>
              <w:t>30,</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4"/>
                <w:szCs w:val="14"/>
                <w:b w:val="1"/>
                <w:bCs w:val="1"/>
                <w:color w:val="auto"/>
                <w:w w:val="92"/>
              </w:rPr>
              <w:t>30,</w:t>
            </w: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960" w:type="dxa"/>
            <w:vAlign w:val="bottom"/>
            <w:gridSpan w:val="2"/>
          </w:tcPr>
          <w:p>
            <w:pPr>
              <w:ind w:left="1400"/>
              <w:spacing w:after="0"/>
              <w:rPr>
                <w:sz w:val="20"/>
                <w:szCs w:val="20"/>
                <w:color w:val="auto"/>
              </w:rPr>
            </w:pPr>
            <w:r>
              <w:rPr>
                <w:rFonts w:ascii="Arial" w:cs="Arial" w:eastAsia="Arial" w:hAnsi="Arial"/>
                <w:sz w:val="14"/>
                <w:szCs w:val="14"/>
                <w:b w:val="1"/>
                <w:bCs w:val="1"/>
                <w:color w:val="auto"/>
              </w:rPr>
              <w:t>Increase (Decrease) in Forecasted Net Cash Flows</w:t>
            </w:r>
          </w:p>
        </w:tc>
        <w:tc>
          <w:tcPr>
            <w:tcW w:w="280" w:type="dxa"/>
            <w:vAlign w:val="bottom"/>
          </w:tcPr>
          <w:p>
            <w:pPr>
              <w:spacing w:after="0"/>
              <w:rPr>
                <w:sz w:val="15"/>
                <w:szCs w:val="15"/>
                <w:color w:val="auto"/>
              </w:rPr>
            </w:pPr>
          </w:p>
        </w:tc>
        <w:tc>
          <w:tcPr>
            <w:tcW w:w="880" w:type="dxa"/>
            <w:vAlign w:val="bottom"/>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jc w:val="right"/>
              <w:ind w:right="315"/>
              <w:spacing w:after="0"/>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right"/>
              <w:ind w:right="395"/>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Dealer loans</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29"/>
        </w:trPr>
        <w:tc>
          <w:tcPr>
            <w:tcW w:w="59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Purchased loans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214.3</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48"/>
        </w:trPr>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82.3</w:t>
            </w:r>
          </w:p>
        </w:tc>
        <w:tc>
          <w:tcPr>
            <w:tcW w:w="6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w:t>
            </w:r>
          </w:p>
        </w:tc>
        <w:tc>
          <w:tcPr>
            <w:tcW w:w="6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20" w:top="769" w:right="339" w:bottom="1440" w:gutter="0" w:footer="0" w:header="0"/>
        </w:sectPr>
      </w:pPr>
    </w:p>
    <w:p>
      <w:pPr>
        <w:spacing w:after="0" w:line="200" w:lineRule="exact"/>
        <w:rPr>
          <w:sz w:val="20"/>
          <w:szCs w:val="20"/>
          <w:color w:val="auto"/>
        </w:rPr>
      </w:pPr>
    </w:p>
    <w:p>
      <w:pPr>
        <w:spacing w:after="0" w:line="355" w:lineRule="exact"/>
        <w:rPr>
          <w:sz w:val="20"/>
          <w:szCs w:val="20"/>
          <w:color w:val="auto"/>
        </w:rPr>
      </w:pPr>
    </w:p>
    <w:p>
      <w:pPr>
        <w:jc w:val="center"/>
        <w:ind w:right="-99"/>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11340"/>
          </w:cols>
          <w:pgMar w:left="220" w:top="769" w:right="339" w:bottom="1440" w:gutter="0" w:footer="0" w:header="0"/>
          <w:type w:val="continuous"/>
        </w:sectPr>
      </w:pPr>
    </w:p>
    <w:bookmarkStart w:id="5" w:name="page6"/>
    <w:bookmarkEnd w:id="5"/>
    <w:p>
      <w:pPr>
        <w:jc w:val="both"/>
        <w:spacing w:after="0" w:line="271" w:lineRule="auto"/>
        <w:rPr>
          <w:sz w:val="20"/>
          <w:szCs w:val="20"/>
          <w:color w:val="auto"/>
        </w:rPr>
      </w:pPr>
      <w:r>
        <w:rPr>
          <w:rFonts w:ascii="Arial" w:cs="Arial" w:eastAsia="Arial" w:hAnsi="Arial"/>
          <w:sz w:val="17"/>
          <w:szCs w:val="17"/>
          <w:color w:val="auto"/>
        </w:rPr>
        <w:t>During the first quarter of 2020, we reduced our estimate of future net cash flows from our loan portfolio by $206.5 million, or 2.3% of the forecasted net cash flows at the start of the period, primarily due to the impact of the COVID-19 pandemic. The reduction was comprised of: (1) $44.3 million calculated by our forecasting model, which reflected lower realized collections during the first quarter of 2020 and (2) an additional $162.2 million, which represented our best estimate of the future impact of the COVID-19 pandemic on future net cash flows. Under the GAAP methodology that we employ (known as the current expected credit loss model or CECL), changes in the amount and timing of forecasted net cash flows are recorded as a provision for credit losses in the current period. We have continued to apply this adjustment to our forecast through the third quarter of 2021 as it continues to represent our best estimate of the impact of the COVID-19 pandemic on future net cash flows. The COVID-19 pandemic has created conditions that increase the level of uncertainty associated with our estimate of the amount and timing of future net cash flows from our loan portfolio.</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information on the average Consumer Loan assignment for each of the last 10 years:</w:t>
      </w:r>
    </w:p>
    <w:p>
      <w:pPr>
        <w:spacing w:after="0" w:line="13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0"/>
              </w:rPr>
              <w:t>Average</w:t>
            </w:r>
          </w:p>
        </w:tc>
        <w:tc>
          <w:tcPr>
            <w:tcW w:w="1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6220" w:type="dxa"/>
            <w:vAlign w:val="bottom"/>
            <w:gridSpan w:val="2"/>
            <w:vMerge w:val="restart"/>
          </w:tcPr>
          <w:p>
            <w:pPr>
              <w:ind w:left="2040"/>
              <w:spacing w:after="0"/>
              <w:rPr>
                <w:sz w:val="20"/>
                <w:szCs w:val="20"/>
                <w:color w:val="auto"/>
              </w:rPr>
            </w:pPr>
            <w:r>
              <w:rPr>
                <w:rFonts w:ascii="Arial" w:cs="Arial" w:eastAsia="Arial" w:hAnsi="Arial"/>
                <w:sz w:val="14"/>
                <w:szCs w:val="14"/>
                <w:b w:val="1"/>
                <w:bCs w:val="1"/>
                <w:color w:val="auto"/>
              </w:rPr>
              <w:t>Consumer Loan Assignment Year</w:t>
            </w:r>
          </w:p>
        </w:tc>
        <w:tc>
          <w:tcPr>
            <w:tcW w:w="160" w:type="dxa"/>
            <w:vAlign w:val="bottom"/>
          </w:tcPr>
          <w:p>
            <w:pPr>
              <w:spacing w:after="0"/>
              <w:rPr>
                <w:sz w:val="11"/>
                <w:szCs w:val="11"/>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Consumer Loan (1)</w:t>
            </w:r>
          </w:p>
        </w:tc>
        <w:tc>
          <w:tcPr>
            <w:tcW w:w="260" w:type="dxa"/>
            <w:vAlign w:val="bottom"/>
          </w:tcPr>
          <w:p>
            <w:pPr>
              <w:spacing w:after="0"/>
              <w:rPr>
                <w:sz w:val="11"/>
                <w:szCs w:val="11"/>
                <w:color w:val="auto"/>
              </w:rPr>
            </w:pPr>
          </w:p>
        </w:tc>
        <w:tc>
          <w:tcPr>
            <w:tcW w:w="144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Advance (2)</w:t>
            </w:r>
          </w:p>
        </w:tc>
        <w:tc>
          <w:tcPr>
            <w:tcW w:w="1600" w:type="dxa"/>
            <w:vAlign w:val="bottom"/>
          </w:tcPr>
          <w:p>
            <w:pPr>
              <w:jc w:val="right"/>
              <w:ind w:right="73"/>
              <w:spacing w:after="0" w:line="135" w:lineRule="exact"/>
              <w:rPr>
                <w:sz w:val="20"/>
                <w:szCs w:val="20"/>
                <w:color w:val="auto"/>
              </w:rPr>
            </w:pPr>
            <w:r>
              <w:rPr>
                <w:rFonts w:ascii="Arial" w:cs="Arial" w:eastAsia="Arial" w:hAnsi="Arial"/>
                <w:sz w:val="14"/>
                <w:szCs w:val="14"/>
                <w:b w:val="1"/>
                <w:bCs w:val="1"/>
                <w:color w:val="auto"/>
              </w:rPr>
              <w:t>Initial Loan Term (in</w:t>
            </w:r>
          </w:p>
        </w:tc>
        <w:tc>
          <w:tcPr>
            <w:tcW w:w="0" w:type="dxa"/>
            <w:vAlign w:val="bottom"/>
          </w:tcPr>
          <w:p>
            <w:pPr>
              <w:spacing w:after="0"/>
              <w:rPr>
                <w:sz w:val="1"/>
                <w:szCs w:val="1"/>
                <w:color w:val="auto"/>
              </w:rPr>
            </w:pPr>
          </w:p>
        </w:tc>
      </w:tr>
      <w:tr>
        <w:trPr>
          <w:trHeight w:val="188"/>
        </w:trPr>
        <w:tc>
          <w:tcPr>
            <w:tcW w:w="6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600" w:type="dxa"/>
            <w:vAlign w:val="bottom"/>
          </w:tcPr>
          <w:p>
            <w:pPr>
              <w:jc w:val="right"/>
              <w:ind w:right="473"/>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24"/>
        </w:trPr>
        <w:tc>
          <w:tcPr>
            <w:tcW w:w="6120" w:type="dxa"/>
            <w:vAlign w:val="bottom"/>
            <w:tcBorders>
              <w:top w:val="single" w:sz="8" w:color="auto"/>
            </w:tcBorders>
            <w:shd w:val="clear" w:color="auto" w:fill="CCEEFF"/>
          </w:tcPr>
          <w:p>
            <w:pPr>
              <w:ind w:left="2880"/>
              <w:spacing w:after="0"/>
              <w:rPr>
                <w:sz w:val="20"/>
                <w:szCs w:val="20"/>
                <w:color w:val="auto"/>
              </w:rPr>
            </w:pPr>
            <w:r>
              <w:rPr>
                <w:rFonts w:ascii="Arial" w:cs="Arial" w:eastAsia="Arial" w:hAnsi="Arial"/>
                <w:sz w:val="18"/>
                <w:szCs w:val="18"/>
                <w:color w:val="auto"/>
              </w:rPr>
              <w:t>2012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15,468</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7,165</w:t>
            </w:r>
          </w:p>
        </w:tc>
        <w:tc>
          <w:tcPr>
            <w:tcW w:w="100" w:type="dxa"/>
            <w:vAlign w:val="bottom"/>
            <w:tcBorders>
              <w:top w:val="single" w:sz="8" w:color="CCEEFF"/>
            </w:tcBorders>
            <w:shd w:val="clear" w:color="auto" w:fill="CCEEFF"/>
          </w:tcPr>
          <w:p>
            <w:pPr>
              <w:spacing w:after="0"/>
              <w:rPr>
                <w:sz w:val="19"/>
                <w:szCs w:val="19"/>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6120" w:type="dxa"/>
            <w:vAlign w:val="bottom"/>
          </w:tcPr>
          <w:p>
            <w:pPr>
              <w:ind w:left="288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15,445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7,344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7,492</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9"/>
        </w:trPr>
        <w:tc>
          <w:tcPr>
            <w:tcW w:w="6120" w:type="dxa"/>
            <w:vAlign w:val="bottom"/>
          </w:tcPr>
          <w:p>
            <w:pPr>
              <w:ind w:left="288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16,354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7,272</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6120" w:type="dxa"/>
            <w:vAlign w:val="bottom"/>
          </w:tcPr>
          <w:p>
            <w:pPr>
              <w:ind w:left="288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20,230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8,746</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0"/>
        </w:trPr>
        <w:tc>
          <w:tcPr>
            <w:tcW w:w="612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9,635</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6120" w:type="dxa"/>
            <w:vAlign w:val="bottom"/>
          </w:tcPr>
          <w:p>
            <w:pPr>
              <w:ind w:left="288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23,139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10,174</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9"/>
        </w:trPr>
        <w:tc>
          <w:tcPr>
            <w:tcW w:w="6120" w:type="dxa"/>
            <w:vAlign w:val="bottom"/>
            <w:shd w:val="clear" w:color="auto" w:fill="CCEEFF"/>
          </w:tcPr>
          <w:p>
            <w:pPr>
              <w:ind w:left="288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10,656</w:t>
            </w:r>
          </w:p>
        </w:tc>
        <w:tc>
          <w:tcPr>
            <w:tcW w:w="10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6120" w:type="dxa"/>
            <w:vAlign w:val="bottom"/>
          </w:tcPr>
          <w:p>
            <w:pPr>
              <w:ind w:left="2860"/>
              <w:spacing w:after="0"/>
              <w:rPr>
                <w:sz w:val="20"/>
                <w:szCs w:val="20"/>
                <w:color w:val="auto"/>
              </w:rPr>
            </w:pPr>
            <w:r>
              <w:rPr>
                <w:rFonts w:ascii="Arial" w:cs="Arial" w:eastAsia="Arial" w:hAnsi="Arial"/>
                <w:sz w:val="18"/>
                <w:szCs w:val="18"/>
                <w:color w:val="auto"/>
              </w:rPr>
              <w:t>2021 (3)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25,333</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11,548</w:t>
            </w:r>
          </w:p>
        </w:tc>
        <w:tc>
          <w:tcPr>
            <w:tcW w:w="10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9" w:lineRule="exact"/>
        <w:rPr>
          <w:sz w:val="20"/>
          <w:szCs w:val="20"/>
          <w:color w:val="auto"/>
        </w:rPr>
      </w:pPr>
    </w:p>
    <w:p>
      <w:pPr>
        <w:ind w:left="480" w:hanging="310"/>
        <w:spacing w:after="0"/>
        <w:tabs>
          <w:tab w:leader="none" w:pos="480"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the repayments that we were contractually owed on Consumer Loans at the time of assignment, which include both principal and interest.</w:t>
      </w:r>
    </w:p>
    <w:p>
      <w:pPr>
        <w:spacing w:after="0" w:line="13" w:lineRule="exact"/>
        <w:rPr>
          <w:rFonts w:ascii="Arial" w:cs="Arial" w:eastAsia="Arial" w:hAnsi="Arial"/>
          <w:sz w:val="14"/>
          <w:szCs w:val="14"/>
          <w:color w:val="auto"/>
        </w:rPr>
      </w:pPr>
    </w:p>
    <w:p>
      <w:pPr>
        <w:ind w:left="500" w:hanging="330"/>
        <w:spacing w:after="0" w:line="231" w:lineRule="auto"/>
        <w:tabs>
          <w:tab w:leader="none" w:pos="492" w:val="left"/>
        </w:tabs>
        <w:numPr>
          <w:ilvl w:val="0"/>
          <w:numId w:val="4"/>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ind w:left="500" w:hanging="330"/>
        <w:spacing w:after="0" w:line="227" w:lineRule="auto"/>
        <w:tabs>
          <w:tab w:leader="none" w:pos="492"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averages for 2021 Consumer Loans include both Consumer Loans that were in our portfolio as of June 30, 2021 and Consumer Loans assigned during the most recent quarter. The following table provides averages for each of these segments:</w:t>
      </w:r>
    </w:p>
    <w:p>
      <w:pPr>
        <w:spacing w:after="0" w:line="3"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Average</w:t>
            </w:r>
          </w:p>
        </w:tc>
        <w:tc>
          <w:tcPr>
            <w:tcW w:w="1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5620" w:type="dxa"/>
            <w:vAlign w:val="bottom"/>
            <w:gridSpan w:val="2"/>
            <w:vMerge w:val="restart"/>
          </w:tcPr>
          <w:p>
            <w:pPr>
              <w:ind w:left="1480"/>
              <w:spacing w:after="0"/>
              <w:rPr>
                <w:sz w:val="20"/>
                <w:szCs w:val="20"/>
                <w:color w:val="auto"/>
              </w:rPr>
            </w:pPr>
            <w:r>
              <w:rPr>
                <w:rFonts w:ascii="Arial" w:cs="Arial" w:eastAsia="Arial" w:hAnsi="Arial"/>
                <w:sz w:val="14"/>
                <w:szCs w:val="14"/>
                <w:b w:val="1"/>
                <w:bCs w:val="1"/>
                <w:color w:val="auto"/>
              </w:rPr>
              <w:t>2021 Consumer Loan Assignment Period</w:t>
            </w:r>
          </w:p>
        </w:tc>
        <w:tc>
          <w:tcPr>
            <w:tcW w:w="240" w:type="dxa"/>
            <w:vAlign w:val="bottom"/>
          </w:tcPr>
          <w:p>
            <w:pPr>
              <w:spacing w:after="0"/>
              <w:rPr>
                <w:sz w:val="11"/>
                <w:szCs w:val="11"/>
                <w:color w:val="auto"/>
              </w:rPr>
            </w:pPr>
          </w:p>
        </w:tc>
        <w:tc>
          <w:tcPr>
            <w:tcW w:w="16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Consumer Loan</w:t>
            </w:r>
          </w:p>
        </w:tc>
        <w:tc>
          <w:tcPr>
            <w:tcW w:w="360" w:type="dxa"/>
            <w:vAlign w:val="bottom"/>
          </w:tcPr>
          <w:p>
            <w:pPr>
              <w:spacing w:after="0"/>
              <w:rPr>
                <w:sz w:val="11"/>
                <w:szCs w:val="11"/>
                <w:color w:val="auto"/>
              </w:rPr>
            </w:pPr>
          </w:p>
        </w:tc>
        <w:tc>
          <w:tcPr>
            <w:tcW w:w="15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Advance</w:t>
            </w:r>
          </w:p>
        </w:tc>
        <w:tc>
          <w:tcPr>
            <w:tcW w:w="1800" w:type="dxa"/>
            <w:vAlign w:val="bottom"/>
          </w:tcPr>
          <w:p>
            <w:pPr>
              <w:jc w:val="right"/>
              <w:ind w:right="179"/>
              <w:spacing w:after="0" w:line="135" w:lineRule="exact"/>
              <w:rPr>
                <w:sz w:val="20"/>
                <w:szCs w:val="20"/>
                <w:color w:val="auto"/>
              </w:rPr>
            </w:pPr>
            <w:r>
              <w:rPr>
                <w:rFonts w:ascii="Arial" w:cs="Arial" w:eastAsia="Arial" w:hAnsi="Arial"/>
                <w:sz w:val="14"/>
                <w:szCs w:val="14"/>
                <w:b w:val="1"/>
                <w:bCs w:val="1"/>
                <w:color w:val="auto"/>
              </w:rPr>
              <w:t>Initial Loan Term (in</w:t>
            </w:r>
          </w:p>
        </w:tc>
        <w:tc>
          <w:tcPr>
            <w:tcW w:w="0" w:type="dxa"/>
            <w:vAlign w:val="bottom"/>
          </w:tcPr>
          <w:p>
            <w:pPr>
              <w:spacing w:after="0"/>
              <w:rPr>
                <w:sz w:val="1"/>
                <w:szCs w:val="1"/>
                <w:color w:val="auto"/>
              </w:rPr>
            </w:pPr>
          </w:p>
        </w:tc>
      </w:tr>
      <w:tr>
        <w:trPr>
          <w:trHeight w:val="188"/>
        </w:trPr>
        <w:tc>
          <w:tcPr>
            <w:tcW w:w="56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3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800" w:type="dxa"/>
            <w:vAlign w:val="bottom"/>
          </w:tcPr>
          <w:p>
            <w:pPr>
              <w:jc w:val="right"/>
              <w:ind w:right="579"/>
              <w:spacing w:after="0"/>
              <w:rPr>
                <w:sz w:val="20"/>
                <w:szCs w:val="20"/>
                <w:color w:val="auto"/>
              </w:rPr>
            </w:pPr>
            <w:r>
              <w:rPr>
                <w:rFonts w:ascii="Arial" w:cs="Arial" w:eastAsia="Arial" w:hAnsi="Arial"/>
                <w:sz w:val="14"/>
                <w:szCs w:val="14"/>
                <w:b w:val="1"/>
                <w:bCs w:val="1"/>
                <w:color w:val="auto"/>
              </w:rPr>
              <w:t>months)</w:t>
            </w:r>
          </w:p>
        </w:tc>
        <w:tc>
          <w:tcPr>
            <w:tcW w:w="0" w:type="dxa"/>
            <w:vAlign w:val="bottom"/>
          </w:tcPr>
          <w:p>
            <w:pPr>
              <w:spacing w:after="0"/>
              <w:rPr>
                <w:sz w:val="1"/>
                <w:szCs w:val="1"/>
                <w:color w:val="auto"/>
              </w:rPr>
            </w:pPr>
          </w:p>
        </w:tc>
      </w:tr>
      <w:tr>
        <w:trPr>
          <w:trHeight w:val="224"/>
        </w:trPr>
        <w:tc>
          <w:tcPr>
            <w:tcW w:w="5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2021 through June 30, 2021</w:t>
            </w: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24,788</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11,216</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620" w:type="dxa"/>
            <w:vAlign w:val="bottom"/>
            <w:gridSpan w:val="2"/>
          </w:tcPr>
          <w:p>
            <w:pPr>
              <w:ind w:left="20"/>
              <w:spacing w:after="0"/>
              <w:rPr>
                <w:sz w:val="20"/>
                <w:szCs w:val="20"/>
                <w:color w:val="auto"/>
              </w:rPr>
            </w:pPr>
            <w:r>
              <w:rPr>
                <w:rFonts w:ascii="Arial" w:cs="Arial" w:eastAsia="Arial" w:hAnsi="Arial"/>
                <w:sz w:val="18"/>
                <w:szCs w:val="18"/>
                <w:color w:val="auto"/>
              </w:rPr>
              <w:t>July 1, 2021 through September 30, 2021</w:t>
            </w:r>
          </w:p>
        </w:tc>
        <w:tc>
          <w:tcPr>
            <w:tcW w:w="2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26,938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12,527</w:t>
            </w:r>
          </w:p>
        </w:tc>
        <w:tc>
          <w:tcPr>
            <w:tcW w:w="1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the average Consumer Loan from the first six months of 2021 to the third quarter of 2021 was primarily the result of an increase in the average vehicle selling price.</w:t>
      </w:r>
    </w:p>
    <w:p>
      <w:pPr>
        <w:spacing w:after="0" w:line="19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Forecasting collection rates accurately at loan inception is difficult. With this in mind, we establish advance rates that are intended to allow us to achieve acceptable levels of profitability, even if collection rates are less than we initially forecast.</w:t>
      </w:r>
    </w:p>
    <w:p>
      <w:pPr>
        <w:spacing w:after="0" w:line="197"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The following table presents forecasted Consumer Loan collection rates, advance rates, the spread (the forecasted collection rate less the advance rate), and the percentage of the forecasted collections that had been realized as of September 30, 2021. All amounts, unless otherwise noted, are presented as a percentage of the initial balance of the Consumer Loan (principal + interest). The table includes both dealer loans and purchased loans.</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773" w:right="339" w:bottom="1440" w:gutter="0" w:footer="0" w:header="0"/>
        </w:sectPr>
      </w:pPr>
    </w:p>
    <w:bookmarkStart w:id="6" w:name="page7"/>
    <w:bookmarkEnd w:id="6"/>
    <w:tbl>
      <w:tblPr>
        <w:tblLayout w:type="fixed"/>
        <w:tblInd w:w="100" w:type="dxa"/>
        <w:tblCellMar>
          <w:top w:w="0" w:type="dxa"/>
          <w:left w:w="0" w:type="dxa"/>
          <w:bottom w:w="0" w:type="dxa"/>
          <w:right w:w="0" w:type="dxa"/>
        </w:tblCellMar>
      </w:tblPr>
      <w:tr>
        <w:trPr>
          <w:trHeight w:val="192"/>
        </w:trPr>
        <w:tc>
          <w:tcPr>
            <w:tcW w:w="4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52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As of September 30, 2021</w:t>
            </w:r>
          </w:p>
        </w:tc>
        <w:tc>
          <w:tcPr>
            <w:tcW w:w="16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4260" w:type="dxa"/>
            <w:vAlign w:val="bottom"/>
            <w:gridSpan w:val="2"/>
            <w:vMerge w:val="restart"/>
          </w:tcPr>
          <w:p>
            <w:pPr>
              <w:ind w:left="1060"/>
              <w:spacing w:after="0"/>
              <w:rPr>
                <w:sz w:val="20"/>
                <w:szCs w:val="20"/>
                <w:color w:val="auto"/>
              </w:rPr>
            </w:pPr>
            <w:r>
              <w:rPr>
                <w:rFonts w:ascii="Arial" w:cs="Arial" w:eastAsia="Arial" w:hAnsi="Arial"/>
                <w:sz w:val="14"/>
                <w:szCs w:val="14"/>
                <w:b w:val="1"/>
                <w:bCs w:val="1"/>
                <w:color w:val="auto"/>
              </w:rPr>
              <w:t>Consumer Loan Assignment Year</w:t>
            </w:r>
          </w:p>
        </w:tc>
        <w:tc>
          <w:tcPr>
            <w:tcW w:w="1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Forecasted</w:t>
            </w:r>
          </w:p>
        </w:tc>
        <w:tc>
          <w:tcPr>
            <w:tcW w:w="178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Advance % (1)</w:t>
            </w:r>
          </w:p>
        </w:tc>
        <w:tc>
          <w:tcPr>
            <w:tcW w:w="17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Spread %</w:t>
            </w:r>
          </w:p>
        </w:tc>
        <w:tc>
          <w:tcPr>
            <w:tcW w:w="1660" w:type="dxa"/>
            <w:vAlign w:val="bottom"/>
          </w:tcPr>
          <w:p>
            <w:pPr>
              <w:jc w:val="right"/>
              <w:ind w:right="313"/>
              <w:spacing w:after="0" w:line="135" w:lineRule="exact"/>
              <w:rPr>
                <w:sz w:val="20"/>
                <w:szCs w:val="20"/>
                <w:color w:val="auto"/>
              </w:rPr>
            </w:pPr>
            <w:r>
              <w:rPr>
                <w:rFonts w:ascii="Arial" w:cs="Arial" w:eastAsia="Arial" w:hAnsi="Arial"/>
                <w:sz w:val="14"/>
                <w:szCs w:val="14"/>
                <w:b w:val="1"/>
                <w:bCs w:val="1"/>
                <w:color w:val="auto"/>
              </w:rPr>
              <w:t>% of Forecast</w:t>
            </w:r>
          </w:p>
        </w:tc>
        <w:tc>
          <w:tcPr>
            <w:tcW w:w="0" w:type="dxa"/>
            <w:vAlign w:val="bottom"/>
          </w:tcPr>
          <w:p>
            <w:pPr>
              <w:spacing w:after="0"/>
              <w:rPr>
                <w:sz w:val="1"/>
                <w:szCs w:val="1"/>
                <w:color w:val="auto"/>
              </w:rPr>
            </w:pPr>
          </w:p>
        </w:tc>
      </w:tr>
      <w:tr>
        <w:trPr>
          <w:trHeight w:val="188"/>
        </w:trPr>
        <w:tc>
          <w:tcPr>
            <w:tcW w:w="4260" w:type="dxa"/>
            <w:vAlign w:val="bottom"/>
            <w:gridSpan w:val="2"/>
            <w:vMerge w:val="continue"/>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Collection %</w:t>
            </w:r>
          </w:p>
        </w:tc>
        <w:tc>
          <w:tcPr>
            <w:tcW w:w="1780" w:type="dxa"/>
            <w:vAlign w:val="bottom"/>
            <w:gridSpan w:val="2"/>
            <w:vMerge w:val="continue"/>
          </w:tcPr>
          <w:p>
            <w:pPr>
              <w:spacing w:after="0"/>
              <w:rPr>
                <w:sz w:val="16"/>
                <w:szCs w:val="16"/>
                <w:color w:val="auto"/>
              </w:rPr>
            </w:pPr>
          </w:p>
        </w:tc>
        <w:tc>
          <w:tcPr>
            <w:tcW w:w="1740" w:type="dxa"/>
            <w:vAlign w:val="bottom"/>
            <w:gridSpan w:val="2"/>
            <w:vMerge w:val="continue"/>
          </w:tcPr>
          <w:p>
            <w:pPr>
              <w:spacing w:after="0"/>
              <w:rPr>
                <w:sz w:val="16"/>
                <w:szCs w:val="16"/>
                <w:color w:val="auto"/>
              </w:rPr>
            </w:pPr>
          </w:p>
        </w:tc>
        <w:tc>
          <w:tcPr>
            <w:tcW w:w="1660" w:type="dxa"/>
            <w:vAlign w:val="bottom"/>
          </w:tcPr>
          <w:p>
            <w:pPr>
              <w:jc w:val="right"/>
              <w:ind w:right="373"/>
              <w:spacing w:after="0"/>
              <w:rPr>
                <w:sz w:val="20"/>
                <w:szCs w:val="20"/>
                <w:color w:val="auto"/>
              </w:rPr>
            </w:pPr>
            <w:r>
              <w:rPr>
                <w:rFonts w:ascii="Arial" w:cs="Arial" w:eastAsia="Arial" w:hAnsi="Arial"/>
                <w:sz w:val="14"/>
                <w:szCs w:val="14"/>
                <w:b w:val="1"/>
                <w:bCs w:val="1"/>
                <w:color w:val="auto"/>
              </w:rPr>
              <w:t>Realized (2)</w:t>
            </w:r>
          </w:p>
        </w:tc>
        <w:tc>
          <w:tcPr>
            <w:tcW w:w="0" w:type="dxa"/>
            <w:vAlign w:val="bottom"/>
          </w:tcPr>
          <w:p>
            <w:pPr>
              <w:spacing w:after="0"/>
              <w:rPr>
                <w:sz w:val="1"/>
                <w:szCs w:val="1"/>
                <w:color w:val="auto"/>
              </w:rPr>
            </w:pPr>
          </w:p>
        </w:tc>
      </w:tr>
      <w:tr>
        <w:trPr>
          <w:trHeight w:val="224"/>
        </w:trPr>
        <w:tc>
          <w:tcPr>
            <w:tcW w:w="4160" w:type="dxa"/>
            <w:vAlign w:val="bottom"/>
            <w:tcBorders>
              <w:top w:val="single" w:sz="8" w:color="auto"/>
            </w:tcBorders>
            <w:shd w:val="clear" w:color="auto" w:fill="CCEEFF"/>
          </w:tcPr>
          <w:p>
            <w:pPr>
              <w:ind w:left="1900"/>
              <w:spacing w:after="0"/>
              <w:rPr>
                <w:sz w:val="20"/>
                <w:szCs w:val="20"/>
                <w:color w:val="auto"/>
              </w:rPr>
            </w:pPr>
            <w:r>
              <w:rPr>
                <w:rFonts w:ascii="Arial" w:cs="Arial" w:eastAsia="Arial" w:hAnsi="Arial"/>
                <w:sz w:val="18"/>
                <w:szCs w:val="18"/>
                <w:color w:val="auto"/>
              </w:rPr>
              <w:t>2012</w:t>
            </w:r>
          </w:p>
        </w:tc>
        <w:tc>
          <w:tcPr>
            <w:tcW w:w="10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46.3 %</w:t>
            </w:r>
          </w:p>
        </w:tc>
        <w:tc>
          <w:tcPr>
            <w:tcW w:w="12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27.5 %</w:t>
            </w:r>
          </w:p>
        </w:tc>
        <w:tc>
          <w:tcPr>
            <w:tcW w:w="10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99.8 %</w:t>
            </w:r>
          </w:p>
        </w:tc>
        <w:tc>
          <w:tcPr>
            <w:tcW w:w="0" w:type="dxa"/>
            <w:vAlign w:val="bottom"/>
          </w:tcPr>
          <w:p>
            <w:pPr>
              <w:spacing w:after="0"/>
              <w:rPr>
                <w:sz w:val="1"/>
                <w:szCs w:val="1"/>
                <w:color w:val="auto"/>
              </w:rPr>
            </w:pPr>
          </w:p>
        </w:tc>
      </w:tr>
      <w:tr>
        <w:trPr>
          <w:trHeight w:val="229"/>
        </w:trPr>
        <w:tc>
          <w:tcPr>
            <w:tcW w:w="4160" w:type="dxa"/>
            <w:vAlign w:val="bottom"/>
          </w:tcPr>
          <w:p>
            <w:pPr>
              <w:ind w:left="1900"/>
              <w:spacing w:after="0"/>
              <w:rPr>
                <w:sz w:val="20"/>
                <w:szCs w:val="20"/>
                <w:color w:val="auto"/>
              </w:rPr>
            </w:pPr>
            <w:r>
              <w:rPr>
                <w:rFonts w:ascii="Arial" w:cs="Arial" w:eastAsia="Arial" w:hAnsi="Arial"/>
                <w:sz w:val="18"/>
                <w:szCs w:val="18"/>
                <w:color w:val="auto"/>
              </w:rPr>
              <w:t>2013</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73.4 %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47.6 %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25.8 %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99.6 %</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2014</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99.3 %</w:t>
            </w:r>
          </w:p>
        </w:tc>
        <w:tc>
          <w:tcPr>
            <w:tcW w:w="0" w:type="dxa"/>
            <w:vAlign w:val="bottom"/>
          </w:tcPr>
          <w:p>
            <w:pPr>
              <w:spacing w:after="0"/>
              <w:rPr>
                <w:sz w:val="1"/>
                <w:szCs w:val="1"/>
                <w:color w:val="auto"/>
              </w:rPr>
            </w:pPr>
          </w:p>
        </w:tc>
      </w:tr>
      <w:tr>
        <w:trPr>
          <w:trHeight w:val="229"/>
        </w:trPr>
        <w:tc>
          <w:tcPr>
            <w:tcW w:w="4160" w:type="dxa"/>
            <w:vAlign w:val="bottom"/>
          </w:tcPr>
          <w:p>
            <w:pPr>
              <w:ind w:left="190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65.1 %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44.5 %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20.6 %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98.6 %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2016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97.0 %</w:t>
            </w:r>
          </w:p>
        </w:tc>
        <w:tc>
          <w:tcPr>
            <w:tcW w:w="0" w:type="dxa"/>
            <w:vAlign w:val="bottom"/>
          </w:tcPr>
          <w:p>
            <w:pPr>
              <w:spacing w:after="0"/>
              <w:rPr>
                <w:sz w:val="1"/>
                <w:szCs w:val="1"/>
                <w:color w:val="auto"/>
              </w:rPr>
            </w:pPr>
          </w:p>
        </w:tc>
      </w:tr>
      <w:tr>
        <w:trPr>
          <w:trHeight w:val="230"/>
        </w:trPr>
        <w:tc>
          <w:tcPr>
            <w:tcW w:w="4160" w:type="dxa"/>
            <w:vAlign w:val="bottom"/>
          </w:tcPr>
          <w:p>
            <w:pPr>
              <w:ind w:left="190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43.2 %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21.2 %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91.7 %</w:t>
            </w: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2018</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80.1 %</w:t>
            </w:r>
          </w:p>
        </w:tc>
        <w:tc>
          <w:tcPr>
            <w:tcW w:w="0" w:type="dxa"/>
            <w:vAlign w:val="bottom"/>
          </w:tcPr>
          <w:p>
            <w:pPr>
              <w:spacing w:after="0"/>
              <w:rPr>
                <w:sz w:val="1"/>
                <w:szCs w:val="1"/>
                <w:color w:val="auto"/>
              </w:rPr>
            </w:pPr>
          </w:p>
        </w:tc>
      </w:tr>
      <w:tr>
        <w:trPr>
          <w:trHeight w:val="229"/>
        </w:trPr>
        <w:tc>
          <w:tcPr>
            <w:tcW w:w="4160" w:type="dxa"/>
            <w:vAlign w:val="bottom"/>
          </w:tcPr>
          <w:p>
            <w:pPr>
              <w:ind w:left="190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44.0 %</w:t>
            </w: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22.2 %</w:t>
            </w:r>
          </w:p>
        </w:tc>
        <w:tc>
          <w:tcPr>
            <w:tcW w:w="10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63.1 %</w:t>
            </w: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12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23.8 %</w:t>
            </w:r>
          </w:p>
        </w:tc>
        <w:tc>
          <w:tcPr>
            <w:tcW w:w="10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39.8 %</w:t>
            </w:r>
          </w:p>
        </w:tc>
        <w:tc>
          <w:tcPr>
            <w:tcW w:w="0" w:type="dxa"/>
            <w:vAlign w:val="bottom"/>
          </w:tcPr>
          <w:p>
            <w:pPr>
              <w:spacing w:after="0"/>
              <w:rPr>
                <w:sz w:val="1"/>
                <w:szCs w:val="1"/>
                <w:color w:val="auto"/>
              </w:rPr>
            </w:pPr>
          </w:p>
        </w:tc>
      </w:tr>
      <w:tr>
        <w:trPr>
          <w:trHeight w:val="230"/>
        </w:trPr>
        <w:tc>
          <w:tcPr>
            <w:tcW w:w="4160" w:type="dxa"/>
            <w:vAlign w:val="bottom"/>
          </w:tcPr>
          <w:p>
            <w:pPr>
              <w:ind w:left="1880"/>
              <w:spacing w:after="0"/>
              <w:rPr>
                <w:sz w:val="20"/>
                <w:szCs w:val="20"/>
                <w:color w:val="auto"/>
              </w:rPr>
            </w:pPr>
            <w:r>
              <w:rPr>
                <w:rFonts w:ascii="Arial" w:cs="Arial" w:eastAsia="Arial" w:hAnsi="Arial"/>
                <w:sz w:val="18"/>
                <w:szCs w:val="18"/>
                <w:color w:val="auto"/>
              </w:rPr>
              <w:t>2021 (3)</w:t>
            </w:r>
          </w:p>
        </w:tc>
        <w:tc>
          <w:tcPr>
            <w:tcW w:w="1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66.4 %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45.6 %</w:t>
            </w:r>
          </w:p>
        </w:tc>
        <w:tc>
          <w:tcPr>
            <w:tcW w:w="12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20.8 %</w:t>
            </w:r>
          </w:p>
        </w:tc>
        <w:tc>
          <w:tcPr>
            <w:tcW w:w="10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600" w:right="20" w:hanging="330"/>
        <w:spacing w:after="0" w:line="269" w:lineRule="auto"/>
        <w:tabs>
          <w:tab w:leader="none" w:pos="608" w:val="left"/>
        </w:tabs>
        <w:numPr>
          <w:ilvl w:val="0"/>
          <w:numId w:val="5"/>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ind w:left="580" w:hanging="310"/>
        <w:spacing w:after="0" w:line="221" w:lineRule="auto"/>
        <w:tabs>
          <w:tab w:leader="none" w:pos="580" w:val="left"/>
        </w:tabs>
        <w:numPr>
          <w:ilvl w:val="0"/>
          <w:numId w:val="5"/>
        </w:numPr>
        <w:rPr>
          <w:rFonts w:ascii="Arial" w:cs="Arial" w:eastAsia="Arial" w:hAnsi="Arial"/>
          <w:sz w:val="14"/>
          <w:szCs w:val="14"/>
          <w:color w:val="auto"/>
        </w:rPr>
      </w:pPr>
      <w:r>
        <w:rPr>
          <w:rFonts w:ascii="Arial" w:cs="Arial" w:eastAsia="Arial" w:hAnsi="Arial"/>
          <w:sz w:val="14"/>
          <w:szCs w:val="14"/>
          <w:color w:val="auto"/>
        </w:rPr>
        <w:t>Presented as a percentage of total forecasted collections.</w:t>
      </w:r>
    </w:p>
    <w:p>
      <w:pPr>
        <w:ind w:left="600" w:hanging="330"/>
        <w:spacing w:after="0" w:line="247" w:lineRule="auto"/>
        <w:tabs>
          <w:tab w:leader="none" w:pos="604" w:val="left"/>
        </w:tabs>
        <w:numPr>
          <w:ilvl w:val="0"/>
          <w:numId w:val="5"/>
        </w:numPr>
        <w:rPr>
          <w:rFonts w:ascii="Arial" w:cs="Arial" w:eastAsia="Arial" w:hAnsi="Arial"/>
          <w:sz w:val="13"/>
          <w:szCs w:val="13"/>
          <w:color w:val="auto"/>
        </w:rPr>
      </w:pPr>
      <w:r>
        <w:rPr>
          <w:rFonts w:ascii="Arial" w:cs="Arial" w:eastAsia="Arial" w:hAnsi="Arial"/>
          <w:sz w:val="13"/>
          <w:szCs w:val="13"/>
          <w:color w:val="auto"/>
        </w:rPr>
        <w:t>The forecasted collection rate, advance rate and spread for 2021 Consumer Loans as of September 30, 2021 include both Consumer Loans that were in our portfolio as of June 30, 2021 and Consumer Loans assigned during the most recent quarter. The following table provides forecasted collection rates, advance rates and spreads for each of these segments:</w:t>
      </w:r>
    </w:p>
    <w:tbl>
      <w:tblPr>
        <w:tblLayout w:type="fixed"/>
        <w:tblInd w:w="0" w:type="dxa"/>
        <w:tblCellMar>
          <w:top w:w="0" w:type="dxa"/>
          <w:left w:w="0" w:type="dxa"/>
          <w:bottom w:w="0" w:type="dxa"/>
          <w:right w:w="0" w:type="dxa"/>
        </w:tblCellMar>
      </w:tblPr>
      <w:tr>
        <w:trPr>
          <w:trHeight w:val="192"/>
        </w:trPr>
        <w:tc>
          <w:tcPr>
            <w:tcW w:w="200" w:type="dxa"/>
            <w:vAlign w:val="bottom"/>
          </w:tcPr>
          <w:p>
            <w:pPr>
              <w:spacing w:after="0"/>
              <w:rPr>
                <w:sz w:val="16"/>
                <w:szCs w:val="16"/>
                <w:color w:val="auto"/>
              </w:rPr>
            </w:pPr>
          </w:p>
        </w:tc>
        <w:tc>
          <w:tcPr>
            <w:tcW w:w="6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58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w w:val="95"/>
              </w:rPr>
              <w:t>As of September 30, 2021</w:t>
            </w: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00" w:type="dxa"/>
            <w:vAlign w:val="bottom"/>
          </w:tcPr>
          <w:p>
            <w:pPr>
              <w:spacing w:after="0"/>
              <w:rPr>
                <w:sz w:val="11"/>
                <w:szCs w:val="11"/>
                <w:color w:val="auto"/>
              </w:rPr>
            </w:pPr>
          </w:p>
        </w:tc>
        <w:tc>
          <w:tcPr>
            <w:tcW w:w="6840" w:type="dxa"/>
            <w:vAlign w:val="bottom"/>
            <w:vMerge w:val="restart"/>
          </w:tcPr>
          <w:p>
            <w:pPr>
              <w:ind w:left="2000"/>
              <w:spacing w:after="0"/>
              <w:rPr>
                <w:sz w:val="20"/>
                <w:szCs w:val="20"/>
                <w:color w:val="auto"/>
              </w:rPr>
            </w:pPr>
            <w:r>
              <w:rPr>
                <w:rFonts w:ascii="Arial" w:cs="Arial" w:eastAsia="Arial" w:hAnsi="Arial"/>
                <w:sz w:val="14"/>
                <w:szCs w:val="14"/>
                <w:b w:val="1"/>
                <w:bCs w:val="1"/>
                <w:color w:val="auto"/>
              </w:rPr>
              <w:t>2021 Consumer Loan Assignment Period</w:t>
            </w:r>
          </w:p>
        </w:tc>
        <w:tc>
          <w:tcPr>
            <w:tcW w:w="120" w:type="dxa"/>
            <w:vAlign w:val="bottom"/>
            <w:vMerge w:val="restart"/>
          </w:tcPr>
          <w:p>
            <w:pPr>
              <w:spacing w:after="0"/>
              <w:rPr>
                <w:sz w:val="11"/>
                <w:szCs w:val="11"/>
                <w:color w:val="auto"/>
              </w:rPr>
            </w:pPr>
          </w:p>
        </w:tc>
        <w:tc>
          <w:tcPr>
            <w:tcW w:w="1300" w:type="dxa"/>
            <w:vAlign w:val="bottom"/>
            <w:gridSpan w:val="2"/>
          </w:tcPr>
          <w:p>
            <w:pPr>
              <w:ind w:left="80"/>
              <w:spacing w:after="0" w:line="135" w:lineRule="exact"/>
              <w:rPr>
                <w:sz w:val="20"/>
                <w:szCs w:val="20"/>
                <w:color w:val="auto"/>
              </w:rPr>
            </w:pPr>
            <w:r>
              <w:rPr>
                <w:rFonts w:ascii="Arial" w:cs="Arial" w:eastAsia="Arial" w:hAnsi="Arial"/>
                <w:sz w:val="14"/>
                <w:szCs w:val="14"/>
                <w:b w:val="1"/>
                <w:bCs w:val="1"/>
                <w:color w:val="auto"/>
              </w:rPr>
              <w:t>Forecasted</w:t>
            </w:r>
          </w:p>
        </w:tc>
        <w:tc>
          <w:tcPr>
            <w:tcW w:w="1180" w:type="dxa"/>
            <w:vAlign w:val="bottom"/>
            <w:vMerge w:val="restart"/>
          </w:tcPr>
          <w:p>
            <w:pPr>
              <w:jc w:val="right"/>
              <w:ind w:right="316"/>
              <w:spacing w:after="0"/>
              <w:rPr>
                <w:sz w:val="20"/>
                <w:szCs w:val="20"/>
                <w:color w:val="auto"/>
              </w:rPr>
            </w:pPr>
            <w:r>
              <w:rPr>
                <w:rFonts w:ascii="Arial" w:cs="Arial" w:eastAsia="Arial" w:hAnsi="Arial"/>
                <w:sz w:val="14"/>
                <w:szCs w:val="14"/>
                <w:b w:val="1"/>
                <w:bCs w:val="1"/>
                <w:color w:val="auto"/>
              </w:rPr>
              <w:t>Advance %</w:t>
            </w:r>
          </w:p>
        </w:tc>
        <w:tc>
          <w:tcPr>
            <w:tcW w:w="100" w:type="dxa"/>
            <w:vAlign w:val="bottom"/>
            <w:vMerge w:val="restart"/>
          </w:tcPr>
          <w:p>
            <w:pPr>
              <w:spacing w:after="0"/>
              <w:rPr>
                <w:sz w:val="11"/>
                <w:szCs w:val="11"/>
                <w:color w:val="auto"/>
              </w:rPr>
            </w:pPr>
          </w:p>
        </w:tc>
        <w:tc>
          <w:tcPr>
            <w:tcW w:w="1200" w:type="dxa"/>
            <w:vAlign w:val="bottom"/>
            <w:vMerge w:val="restart"/>
          </w:tcPr>
          <w:p>
            <w:pPr>
              <w:jc w:val="right"/>
              <w:ind w:right="376"/>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188"/>
        </w:trPr>
        <w:tc>
          <w:tcPr>
            <w:tcW w:w="200" w:type="dxa"/>
            <w:vAlign w:val="bottom"/>
          </w:tcPr>
          <w:p>
            <w:pPr>
              <w:spacing w:after="0"/>
              <w:rPr>
                <w:sz w:val="16"/>
                <w:szCs w:val="16"/>
                <w:color w:val="auto"/>
              </w:rPr>
            </w:pPr>
          </w:p>
        </w:tc>
        <w:tc>
          <w:tcPr>
            <w:tcW w:w="684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1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Collection %</w:t>
            </w:r>
          </w:p>
        </w:tc>
        <w:tc>
          <w:tcPr>
            <w:tcW w:w="12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040" w:type="dxa"/>
            <w:vAlign w:val="bottom"/>
            <w:gridSpan w:val="2"/>
          </w:tcPr>
          <w:p>
            <w:pPr>
              <w:ind w:left="40"/>
              <w:spacing w:after="0"/>
              <w:rPr>
                <w:sz w:val="20"/>
                <w:szCs w:val="20"/>
                <w:color w:val="auto"/>
              </w:rPr>
            </w:pPr>
            <w:r>
              <w:rPr>
                <w:rFonts w:ascii="Arial" w:cs="Arial" w:eastAsia="Arial" w:hAnsi="Arial"/>
                <w:sz w:val="18"/>
                <w:szCs w:val="18"/>
                <w:color w:val="auto"/>
              </w:rPr>
              <w:t>nuary 1, 2021 through June 30, 2021</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0"/>
        </w:trPr>
        <w:tc>
          <w:tcPr>
            <w:tcW w:w="7160" w:type="dxa"/>
            <w:vAlign w:val="bottom"/>
            <w:gridSpan w:val="3"/>
          </w:tcPr>
          <w:p>
            <w:pPr>
              <w:spacing w:after="0"/>
              <w:rPr>
                <w:sz w:val="20"/>
                <w:szCs w:val="20"/>
                <w:color w:val="auto"/>
              </w:rPr>
            </w:pPr>
            <w:r>
              <w:rPr>
                <w:rFonts w:ascii="Arial" w:cs="Arial" w:eastAsia="Arial" w:hAnsi="Arial"/>
                <w:sz w:val="18"/>
                <w:szCs w:val="18"/>
                <w:color w:val="auto"/>
              </w:rPr>
              <w:t>uly 1, 2021 through September 30, 2021</w:t>
            </w:r>
          </w:p>
        </w:tc>
        <w:tc>
          <w:tcPr>
            <w:tcW w:w="1180" w:type="dxa"/>
            <w:vAlign w:val="bottom"/>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128270</wp:posOffset>
            </wp:positionH>
            <wp:positionV relativeFrom="paragraph">
              <wp:posOffset>-299720</wp:posOffset>
            </wp:positionV>
            <wp:extent cx="68148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14820" cy="154305"/>
                    </a:xfrm>
                    <a:prstGeom prst="rect">
                      <a:avLst/>
                    </a:prstGeom>
                    <a:noFill/>
                  </pic:spPr>
                </pic:pic>
              </a:graphicData>
            </a:graphic>
          </wp:anchor>
        </w:drawing>
      </w:r>
    </w:p>
    <w:p>
      <w:pPr>
        <w:spacing w:after="0" w:line="329" w:lineRule="exact"/>
        <w:rPr>
          <w:sz w:val="20"/>
          <w:szCs w:val="20"/>
          <w:color w:val="auto"/>
        </w:rPr>
      </w:pPr>
    </w:p>
    <w:p>
      <w:pPr>
        <w:jc w:val="both"/>
        <w:ind w:left="100" w:right="20"/>
        <w:spacing w:after="0" w:line="311" w:lineRule="auto"/>
        <w:rPr>
          <w:sz w:val="20"/>
          <w:szCs w:val="20"/>
          <w:color w:val="auto"/>
        </w:rPr>
      </w:pPr>
      <w:r>
        <w:rPr>
          <w:rFonts w:ascii="Arial" w:cs="Arial" w:eastAsia="Arial" w:hAnsi="Arial"/>
          <w:sz w:val="16"/>
          <w:szCs w:val="16"/>
          <w:color w:val="auto"/>
        </w:rPr>
        <w:t>The risk of a material change in our forecasted collection rate declines as the Consumer Loans age. For 2017 and prior Consumer Loan assignments, the risk of a material forecast variance is modest, as we have currently realized in excess of 90% of the expected collections. Conversely, the forecasted collection rates for more recent Consumer Loan assignments are less certain as a significant portion of our forecast has not been realized.</w:t>
      </w:r>
    </w:p>
    <w:p>
      <w:pPr>
        <w:spacing w:after="0" w:line="176" w:lineRule="exact"/>
        <w:rPr>
          <w:sz w:val="20"/>
          <w:szCs w:val="20"/>
          <w:color w:val="auto"/>
        </w:rPr>
      </w:pPr>
    </w:p>
    <w:p>
      <w:pPr>
        <w:jc w:val="both"/>
        <w:ind w:left="100"/>
        <w:spacing w:after="0" w:line="272" w:lineRule="auto"/>
        <w:rPr>
          <w:sz w:val="20"/>
          <w:szCs w:val="20"/>
          <w:color w:val="auto"/>
        </w:rPr>
      </w:pPr>
      <w:r>
        <w:rPr>
          <w:rFonts w:ascii="Arial" w:cs="Arial" w:eastAsia="Arial" w:hAnsi="Arial"/>
          <w:sz w:val="17"/>
          <w:szCs w:val="17"/>
          <w:color w:val="auto"/>
        </w:rPr>
        <w:t>The spread between the forecasted collection rate and the advance rate has ranged from 19.8% to 27.5%, on an annual basis, over the last 10 years. The spread was at the high end of this range in 2012, when the competitive environment was unusually favorable, and much lower during other years (2015 through 2019 and 2021) when competition was more intense. Despite intense competition, the spread in 2020 was higher than other recent years due to Consumer Loan performance, which has exceeded our initial estimates by a significantly greater margin than the other years presented. The decrease in the spread from 2020 to 2021 was primarily the result of the performance of 2020 Consumer Loans, partially offset by a higher initial spread on 2021 Consumer Loans, primarily due to a higher initial forecast on 2021 Consumer Loans. The decrease in the spread from the first six months of 2021 to the third quarter of 2021 was primarily due to Consumer Loan performance.</w:t>
      </w:r>
    </w:p>
    <w:p>
      <w:pPr>
        <w:spacing w:after="0" w:line="3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20" w:top="805" w:right="339" w:bottom="1440" w:gutter="0" w:footer="0" w:header="0"/>
        </w:sectPr>
      </w:pPr>
    </w:p>
    <w:bookmarkStart w:id="7" w:name="page8"/>
    <w:bookmarkEnd w:id="7"/>
    <w:p>
      <w:pPr>
        <w:ind w:right="300"/>
        <w:spacing w:after="0" w:line="277" w:lineRule="auto"/>
        <w:rPr>
          <w:sz w:val="20"/>
          <w:szCs w:val="20"/>
          <w:color w:val="auto"/>
        </w:rPr>
      </w:pPr>
      <w:r>
        <w:rPr>
          <w:rFonts w:ascii="Arial" w:cs="Arial" w:eastAsia="Arial" w:hAnsi="Arial"/>
          <w:sz w:val="18"/>
          <w:szCs w:val="18"/>
          <w:color w:val="auto"/>
        </w:rPr>
        <w:t>The following table compares our forecast of Consumer Loan collection rates as of September 30, 2021 with the forecasts at the time of assignment, for dealer loans and purchased loans separately:</w:t>
      </w:r>
    </w:p>
    <w:p>
      <w:pPr>
        <w:sectPr>
          <w:pgSz w:w="11900" w:h="16838" w:orient="portrait"/>
          <w:cols w:equalWidth="0" w:num="1">
            <w:col w:w="11240"/>
          </w:cols>
          <w:pgMar w:left="320" w:top="773" w:right="339" w:bottom="1440" w:gutter="0" w:footer="0" w:header="0"/>
        </w:sectPr>
      </w:pPr>
    </w:p>
    <w:p>
      <w:pPr>
        <w:spacing w:after="0" w:line="81" w:lineRule="exact"/>
        <w:rPr>
          <w:sz w:val="20"/>
          <w:szCs w:val="20"/>
          <w:color w:val="auto"/>
        </w:rPr>
      </w:pPr>
    </w:p>
    <w:p>
      <w:pPr>
        <w:ind w:left="4180"/>
        <w:spacing w:after="0"/>
        <w:rPr>
          <w:sz w:val="20"/>
          <w:szCs w:val="20"/>
          <w:color w:val="auto"/>
        </w:rPr>
      </w:pPr>
      <w:r>
        <w:rPr>
          <w:rFonts w:ascii="Arial" w:cs="Arial" w:eastAsia="Arial" w:hAnsi="Arial"/>
          <w:sz w:val="14"/>
          <w:szCs w:val="14"/>
          <w:b w:val="1"/>
          <w:bCs w:val="1"/>
          <w:color w:val="auto"/>
        </w:rPr>
        <w:t>Dealer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1548130</wp:posOffset>
            </wp:positionH>
            <wp:positionV relativeFrom="paragraph">
              <wp:posOffset>23495</wp:posOffset>
            </wp:positionV>
            <wp:extent cx="27432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743200" cy="8255"/>
                    </a:xfrm>
                    <a:prstGeom prst="rect">
                      <a:avLst/>
                    </a:prstGeom>
                    <a:noFill/>
                  </pic:spPr>
                </pic:pic>
              </a:graphicData>
            </a:graphic>
          </wp:anchor>
        </w:drawing>
      </w:r>
    </w:p>
    <w:p>
      <w:pPr>
        <w:spacing w:after="0" w:line="22" w:lineRule="exact"/>
        <w:rPr>
          <w:sz w:val="20"/>
          <w:szCs w:val="20"/>
          <w:color w:val="auto"/>
        </w:rPr>
      </w:pPr>
    </w:p>
    <w:p>
      <w:pPr>
        <w:ind w:left="258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right"/>
        <w:ind w:right="1680"/>
        <w:spacing w:after="0"/>
        <w:rPr>
          <w:sz w:val="20"/>
          <w:szCs w:val="20"/>
          <w:color w:val="auto"/>
        </w:rPr>
      </w:pPr>
      <w:r>
        <w:rPr>
          <w:rFonts w:ascii="Arial" w:cs="Arial" w:eastAsia="Arial" w:hAnsi="Arial"/>
          <w:sz w:val="14"/>
          <w:szCs w:val="14"/>
          <w:b w:val="1"/>
          <w:bCs w:val="1"/>
          <w:color w:val="auto"/>
        </w:rPr>
        <w:t>Purchased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-97155</wp:posOffset>
            </wp:positionH>
            <wp:positionV relativeFrom="paragraph">
              <wp:posOffset>23495</wp:posOffset>
            </wp:positionV>
            <wp:extent cx="2768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768600" cy="8255"/>
                    </a:xfrm>
                    <a:prstGeom prst="rect">
                      <a:avLst/>
                    </a:prstGeom>
                    <a:noFill/>
                  </pic:spPr>
                </pic:pic>
              </a:graphicData>
            </a:graphic>
          </wp:anchor>
        </w:drawing>
      </w:r>
    </w:p>
    <w:p>
      <w:pPr>
        <w:spacing w:after="0" w:line="22" w:lineRule="exact"/>
        <w:rPr>
          <w:sz w:val="20"/>
          <w:szCs w:val="20"/>
          <w:color w:val="auto"/>
        </w:rPr>
      </w:pPr>
    </w:p>
    <w:p>
      <w:pPr>
        <w:jc w:val="right"/>
        <w:ind w:right="1660"/>
        <w:spacing w:after="0"/>
        <w:rPr>
          <w:sz w:val="20"/>
          <w:szCs w:val="20"/>
          <w:color w:val="auto"/>
        </w:rPr>
      </w:pPr>
      <w:r>
        <w:rPr>
          <w:rFonts w:ascii="Arial" w:cs="Arial" w:eastAsia="Arial" w:hAnsi="Arial"/>
          <w:sz w:val="12"/>
          <w:szCs w:val="12"/>
          <w:b w:val="1"/>
          <w:bCs w:val="1"/>
          <w:color w:val="auto"/>
        </w:rPr>
        <w:t>Forecasted Collection Percentage as of (1)</w:t>
      </w:r>
    </w:p>
    <w:p>
      <w:pPr>
        <w:spacing w:after="0" w:line="48" w:lineRule="exact"/>
        <w:rPr>
          <w:sz w:val="20"/>
          <w:szCs w:val="20"/>
          <w:color w:val="auto"/>
        </w:rPr>
      </w:pPr>
    </w:p>
    <w:p>
      <w:pPr>
        <w:sectPr>
          <w:pgSz w:w="11900" w:h="16838" w:orient="portrait"/>
          <w:cols w:equalWidth="0" w:num="2">
            <w:col w:w="6300" w:space="720"/>
            <w:col w:w="4220"/>
          </w:cols>
          <w:pgMar w:left="320" w:top="773" w:right="339" w:bottom="1440" w:gutter="0" w:footer="0" w:header="0"/>
          <w:type w:val="continuous"/>
        </w:sectPr>
      </w:pPr>
    </w:p>
    <w:tbl>
      <w:tblPr>
        <w:tblLayout w:type="fixed"/>
        <w:tblInd w:w="40" w:type="dxa"/>
        <w:tblCellMar>
          <w:top w:w="0" w:type="dxa"/>
          <w:left w:w="0" w:type="dxa"/>
          <w:bottom w:w="0" w:type="dxa"/>
          <w:right w:w="0" w:type="dxa"/>
        </w:tblCellMar>
      </w:tblPr>
      <w:tr>
        <w:trPr>
          <w:trHeight w:val="141"/>
        </w:trPr>
        <w:tc>
          <w:tcPr>
            <w:tcW w:w="24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2"/>
              </w:rPr>
              <w:t>Consumer Loan Assignment Year</w:t>
            </w:r>
          </w:p>
        </w:tc>
        <w:tc>
          <w:tcPr>
            <w:tcW w:w="1480" w:type="dxa"/>
            <w:vAlign w:val="bottom"/>
            <w:tcBorders>
              <w:top w:val="single" w:sz="8" w:color="auto"/>
            </w:tcBorders>
            <w:gridSpan w:val="2"/>
          </w:tcPr>
          <w:p>
            <w:pPr>
              <w:ind w:left="240"/>
              <w:spacing w:after="0" w:line="141" w:lineRule="exact"/>
              <w:rPr>
                <w:sz w:val="20"/>
                <w:szCs w:val="20"/>
                <w:color w:val="auto"/>
              </w:rPr>
            </w:pPr>
            <w:r>
              <w:rPr>
                <w:rFonts w:ascii="Arial" w:cs="Arial" w:eastAsia="Arial" w:hAnsi="Arial"/>
                <w:sz w:val="14"/>
                <w:szCs w:val="14"/>
                <w:b w:val="1"/>
                <w:bCs w:val="1"/>
                <w:color w:val="auto"/>
              </w:rPr>
              <w:t>September 30,</w:t>
            </w:r>
          </w:p>
        </w:tc>
        <w:tc>
          <w:tcPr>
            <w:tcW w:w="136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w w:val="98"/>
              </w:rPr>
              <w:t>Initial</w:t>
            </w:r>
          </w:p>
        </w:tc>
        <w:tc>
          <w:tcPr>
            <w:tcW w:w="120" w:type="dxa"/>
            <w:vAlign w:val="bottom"/>
          </w:tcPr>
          <w:p>
            <w:pPr>
              <w:spacing w:after="0"/>
              <w:rPr>
                <w:sz w:val="12"/>
                <w:szCs w:val="12"/>
                <w:color w:val="auto"/>
              </w:rPr>
            </w:pPr>
          </w:p>
        </w:tc>
        <w:tc>
          <w:tcPr>
            <w:tcW w:w="146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Variance</w:t>
            </w:r>
          </w:p>
        </w:tc>
        <w:tc>
          <w:tcPr>
            <w:tcW w:w="1500" w:type="dxa"/>
            <w:vAlign w:val="bottom"/>
            <w:tcBorders>
              <w:top w:val="single" w:sz="8" w:color="auto"/>
            </w:tcBorders>
            <w:gridSpan w:val="2"/>
          </w:tcPr>
          <w:p>
            <w:pPr>
              <w:ind w:left="260"/>
              <w:spacing w:after="0" w:line="141" w:lineRule="exact"/>
              <w:rPr>
                <w:sz w:val="20"/>
                <w:szCs w:val="20"/>
                <w:color w:val="auto"/>
              </w:rPr>
            </w:pPr>
            <w:r>
              <w:rPr>
                <w:rFonts w:ascii="Arial" w:cs="Arial" w:eastAsia="Arial" w:hAnsi="Arial"/>
                <w:sz w:val="14"/>
                <w:szCs w:val="14"/>
                <w:b w:val="1"/>
                <w:bCs w:val="1"/>
                <w:color w:val="auto"/>
              </w:rPr>
              <w:t>September 30,</w:t>
            </w:r>
          </w:p>
        </w:tc>
        <w:tc>
          <w:tcPr>
            <w:tcW w:w="1380" w:type="dxa"/>
            <w:vAlign w:val="bottom"/>
            <w:tcBorders>
              <w:top w:val="single" w:sz="8" w:color="auto"/>
            </w:tcBorders>
          </w:tcPr>
          <w:p>
            <w:pPr>
              <w:jc w:val="center"/>
              <w:spacing w:after="0" w:line="141" w:lineRule="exact"/>
              <w:rPr>
                <w:sz w:val="20"/>
                <w:szCs w:val="20"/>
                <w:color w:val="auto"/>
              </w:rPr>
            </w:pPr>
            <w:r>
              <w:rPr>
                <w:rFonts w:ascii="Arial" w:cs="Arial" w:eastAsia="Arial" w:hAnsi="Arial"/>
                <w:sz w:val="14"/>
                <w:szCs w:val="14"/>
                <w:b w:val="1"/>
                <w:bCs w:val="1"/>
                <w:color w:val="auto"/>
              </w:rPr>
              <w:t>Initial</w:t>
            </w:r>
          </w:p>
        </w:tc>
        <w:tc>
          <w:tcPr>
            <w:tcW w:w="100" w:type="dxa"/>
            <w:vAlign w:val="bottom"/>
          </w:tcPr>
          <w:p>
            <w:pPr>
              <w:spacing w:after="0"/>
              <w:rPr>
                <w:sz w:val="12"/>
                <w:szCs w:val="12"/>
                <w:color w:val="auto"/>
              </w:rPr>
            </w:pPr>
          </w:p>
        </w:tc>
        <w:tc>
          <w:tcPr>
            <w:tcW w:w="1380" w:type="dxa"/>
            <w:vAlign w:val="bottom"/>
            <w:vMerge w:val="restart"/>
          </w:tcPr>
          <w:p>
            <w:pPr>
              <w:jc w:val="right"/>
              <w:ind w:right="332"/>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88"/>
        </w:trPr>
        <w:tc>
          <w:tcPr>
            <w:tcW w:w="2400" w:type="dxa"/>
            <w:vAlign w:val="bottom"/>
            <w:gridSpan w:val="2"/>
            <w:vMerge w:val="continue"/>
          </w:tcPr>
          <w:p>
            <w:pPr>
              <w:spacing w:after="0"/>
              <w:rPr>
                <w:sz w:val="16"/>
                <w:szCs w:val="16"/>
                <w:color w:val="auto"/>
              </w:rPr>
            </w:pPr>
          </w:p>
        </w:tc>
        <w:tc>
          <w:tcPr>
            <w:tcW w:w="138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460" w:type="dxa"/>
            <w:vAlign w:val="bottom"/>
            <w:gridSpan w:val="2"/>
            <w:vMerge w:val="continue"/>
          </w:tcPr>
          <w:p>
            <w:pPr>
              <w:spacing w:after="0"/>
              <w:rPr>
                <w:sz w:val="16"/>
                <w:szCs w:val="16"/>
                <w:color w:val="auto"/>
              </w:rPr>
            </w:pPr>
          </w:p>
        </w:tc>
        <w:tc>
          <w:tcPr>
            <w:tcW w:w="1400" w:type="dxa"/>
            <w:vAlign w:val="bottom"/>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Forecast</w:t>
            </w: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2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73.6 %</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71.3 %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22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73.3 %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72.1 %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71.6 %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2.6 %</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30"/>
        </w:trPr>
        <w:tc>
          <w:tcPr>
            <w:tcW w:w="228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67.5 %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68.9 %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68.5 %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29"/>
        </w:trPr>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-0.7 %</w:t>
            </w:r>
          </w:p>
        </w:tc>
        <w:tc>
          <w:tcPr>
            <w:tcW w:w="0" w:type="dxa"/>
            <w:vAlign w:val="bottom"/>
          </w:tcPr>
          <w:p>
            <w:pPr>
              <w:spacing w:after="0"/>
              <w:rPr>
                <w:sz w:val="1"/>
                <w:szCs w:val="1"/>
                <w:color w:val="auto"/>
              </w:rPr>
            </w:pPr>
          </w:p>
        </w:tc>
      </w:tr>
      <w:tr>
        <w:trPr>
          <w:trHeight w:val="229"/>
        </w:trPr>
        <w:tc>
          <w:tcPr>
            <w:tcW w:w="228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63.7 %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63.8 %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66.0 %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64.6 %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9"/>
        </w:trPr>
        <w:tc>
          <w:tcPr>
            <w:tcW w:w="22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65.9 %</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63.9 %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66.9 %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64.2 %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30"/>
        </w:trPr>
        <w:tc>
          <w:tcPr>
            <w:tcW w:w="22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66.0 %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66.8 %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65.9 %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0.9 %</w:t>
            </w: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left="500" w:hanging="330"/>
        <w:spacing w:after="0" w:line="252" w:lineRule="auto"/>
        <w:tabs>
          <w:tab w:leader="none" w:pos="489"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forecasted collection rates presented for dealer loans and purchased loans reflect the Consumer Loan classification at the time of assignment. The forecasted collection rates represent the total forecasted collections we expect to collect on the Consumer Loans as a percentage of the repayments that we were contractually owed on the Consumer Loans at the time of assignment. Contractual repayments include both principal and interest. Forecasted collection rates are negatively impacted by canceled Consumer Loans as the contractual amount owed is not removed from the denominator for purposes of computing forecasted collection rates in the table.</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presents forecasted Consumer Loan collection rates, advance rates, and the spread (the forecasted collection rate less the advance rate) as of September 30, 2021 for dealer loans and purchased loans separately. All amounts are presented as a percentage of the initial balance of the Consumer Loan (principal + interest).</w:t>
      </w:r>
    </w:p>
    <w:p>
      <w:pPr>
        <w:spacing w:after="0" w:line="9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93"/>
              </w:rPr>
              <w:t>Dealer Loans</w:t>
            </w:r>
          </w:p>
        </w:tc>
        <w:tc>
          <w:tcPr>
            <w:tcW w:w="13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Purchased Loans</w:t>
            </w:r>
          </w:p>
        </w:tc>
        <w:tc>
          <w:tcPr>
            <w:tcW w:w="13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242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Consumer Loan Assignment Year</w:t>
            </w:r>
          </w:p>
        </w:tc>
        <w:tc>
          <w:tcPr>
            <w:tcW w:w="15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w w:val="99"/>
              </w:rPr>
              <w:t>Forecasted Collection</w:t>
            </w:r>
          </w:p>
        </w:tc>
        <w:tc>
          <w:tcPr>
            <w:tcW w:w="14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Advance % (1)(2)</w:t>
            </w:r>
          </w:p>
        </w:tc>
        <w:tc>
          <w:tcPr>
            <w:tcW w:w="14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Spread %</w:t>
            </w:r>
          </w:p>
        </w:tc>
        <w:tc>
          <w:tcPr>
            <w:tcW w:w="152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w w:val="99"/>
              </w:rPr>
              <w:t>Forecasted Collection</w:t>
            </w:r>
          </w:p>
        </w:tc>
        <w:tc>
          <w:tcPr>
            <w:tcW w:w="14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Advance % (1)(2)</w:t>
            </w:r>
          </w:p>
        </w:tc>
        <w:tc>
          <w:tcPr>
            <w:tcW w:w="1340" w:type="dxa"/>
            <w:vAlign w:val="bottom"/>
            <w:vMerge w:val="restart"/>
          </w:tcPr>
          <w:p>
            <w:pPr>
              <w:jc w:val="right"/>
              <w:ind w:right="272"/>
              <w:spacing w:after="0"/>
              <w:rPr>
                <w:sz w:val="20"/>
                <w:szCs w:val="20"/>
                <w:color w:val="auto"/>
              </w:rPr>
            </w:pPr>
            <w:r>
              <w:rPr>
                <w:rFonts w:ascii="Arial" w:cs="Arial" w:eastAsia="Arial" w:hAnsi="Arial"/>
                <w:sz w:val="14"/>
                <w:szCs w:val="14"/>
                <w:b w:val="1"/>
                <w:bCs w:val="1"/>
                <w:color w:val="auto"/>
              </w:rPr>
              <w:t>Spread %</w:t>
            </w:r>
          </w:p>
        </w:tc>
        <w:tc>
          <w:tcPr>
            <w:tcW w:w="0" w:type="dxa"/>
            <w:vAlign w:val="bottom"/>
          </w:tcPr>
          <w:p>
            <w:pPr>
              <w:spacing w:after="0"/>
              <w:rPr>
                <w:sz w:val="1"/>
                <w:szCs w:val="1"/>
                <w:color w:val="auto"/>
              </w:rPr>
            </w:pPr>
          </w:p>
        </w:tc>
      </w:tr>
      <w:tr>
        <w:trPr>
          <w:trHeight w:val="188"/>
        </w:trPr>
        <w:tc>
          <w:tcPr>
            <w:tcW w:w="2420" w:type="dxa"/>
            <w:vAlign w:val="bottom"/>
            <w:gridSpan w:val="2"/>
            <w:vMerge w:val="continue"/>
          </w:tcPr>
          <w:p>
            <w:pPr>
              <w:spacing w:after="0"/>
              <w:rPr>
                <w:sz w:val="16"/>
                <w:szCs w:val="16"/>
                <w:color w:val="auto"/>
              </w:rPr>
            </w:pPr>
          </w:p>
        </w:tc>
        <w:tc>
          <w:tcPr>
            <w:tcW w:w="1400" w:type="dxa"/>
            <w:vAlign w:val="bottom"/>
          </w:tcPr>
          <w:p>
            <w:pPr>
              <w:jc w:val="right"/>
              <w:ind w:right="453"/>
              <w:spacing w:after="0"/>
              <w:rPr>
                <w:sz w:val="20"/>
                <w:szCs w:val="20"/>
                <w:color w:val="auto"/>
              </w:rPr>
            </w:pPr>
            <w:r>
              <w:rPr>
                <w:rFonts w:ascii="Arial" w:cs="Arial" w:eastAsia="Arial" w:hAnsi="Arial"/>
                <w:sz w:val="14"/>
                <w:szCs w:val="14"/>
                <w:b w:val="1"/>
                <w:bCs w:val="1"/>
                <w:color w:val="auto"/>
              </w:rPr>
              <w:t>% (1)</w:t>
            </w:r>
          </w:p>
        </w:tc>
        <w:tc>
          <w:tcPr>
            <w:tcW w:w="10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400" w:type="dxa"/>
            <w:vAlign w:val="bottom"/>
          </w:tcPr>
          <w:p>
            <w:pPr>
              <w:jc w:val="right"/>
              <w:ind w:right="453"/>
              <w:spacing w:after="0"/>
              <w:rPr>
                <w:sz w:val="20"/>
                <w:szCs w:val="20"/>
                <w:color w:val="auto"/>
              </w:rPr>
            </w:pPr>
            <w:r>
              <w:rPr>
                <w:rFonts w:ascii="Arial" w:cs="Arial" w:eastAsia="Arial" w:hAnsi="Arial"/>
                <w:sz w:val="14"/>
                <w:szCs w:val="14"/>
                <w:b w:val="1"/>
                <w:bCs w:val="1"/>
                <w:color w:val="auto"/>
              </w:rPr>
              <w:t>% (1)</w:t>
            </w:r>
          </w:p>
        </w:tc>
        <w:tc>
          <w:tcPr>
            <w:tcW w:w="12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2012</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73.6 %</w:t>
            </w:r>
          </w:p>
        </w:tc>
        <w:tc>
          <w:tcPr>
            <w:tcW w:w="10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46.0 %</w:t>
            </w:r>
          </w:p>
        </w:tc>
        <w:tc>
          <w:tcPr>
            <w:tcW w:w="10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27.6 %</w:t>
            </w:r>
          </w:p>
        </w:tc>
        <w:tc>
          <w:tcPr>
            <w:tcW w:w="1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75.9 %</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20" w:type="dxa"/>
            <w:vAlign w:val="bottom"/>
            <w:tcBorders>
              <w:top w:val="single" w:sz="8" w:color="CCEEFF"/>
            </w:tcBorders>
            <w:shd w:val="clear" w:color="auto" w:fill="CCEEFF"/>
          </w:tcPr>
          <w:p>
            <w:pPr>
              <w:spacing w:after="0"/>
              <w:rPr>
                <w:sz w:val="19"/>
                <w:szCs w:val="19"/>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73.3 %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47.2 %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26.1 %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74.2 %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51.5 %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29"/>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2014</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2015</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64.4 %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43.4 %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21.0 %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68.9 %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50.2 %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65.8 %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17.2 %</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63.7 %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42.1 %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21.6 %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66.0 %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45.8 %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20.2 %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65.9 %</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43.1 %</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22.8 %</w:t>
            </w:r>
          </w:p>
        </w:tc>
        <w:tc>
          <w:tcPr>
            <w:tcW w:w="1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66.9 %</w:t>
            </w: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45.6 %</w:t>
            </w:r>
          </w:p>
        </w:tc>
        <w:tc>
          <w:tcPr>
            <w:tcW w:w="1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21.3 %</w:t>
            </w:r>
          </w:p>
        </w:tc>
        <w:tc>
          <w:tcPr>
            <w:tcW w:w="0" w:type="dxa"/>
            <w:vAlign w:val="bottom"/>
          </w:tcPr>
          <w:p>
            <w:pPr>
              <w:spacing w:after="0"/>
              <w:rPr>
                <w:sz w:val="1"/>
                <w:szCs w:val="1"/>
                <w:color w:val="auto"/>
              </w:rPr>
            </w:pPr>
          </w:p>
        </w:tc>
      </w:tr>
      <w:tr>
        <w:trPr>
          <w:trHeight w:val="230"/>
        </w:trPr>
        <w:tc>
          <w:tcPr>
            <w:tcW w:w="2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67.4 %</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43.0 %</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24.4 %</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68.2 %</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45.5 %</w:t>
            </w: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30"/>
        </w:trPr>
        <w:tc>
          <w:tcPr>
            <w:tcW w:w="23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44.7 %</w:t>
            </w:r>
          </w:p>
        </w:tc>
        <w:tc>
          <w:tcPr>
            <w:tcW w:w="1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21.5 %</w:t>
            </w:r>
          </w:p>
        </w:tc>
        <w:tc>
          <w:tcPr>
            <w:tcW w:w="10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66.8 %</w:t>
            </w:r>
          </w:p>
        </w:tc>
        <w:tc>
          <w:tcPr>
            <w:tcW w:w="1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47.2 %</w:t>
            </w:r>
          </w:p>
        </w:tc>
        <w:tc>
          <w:tcPr>
            <w:tcW w:w="1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19.6 %</w:t>
            </w: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480" w:hanging="310"/>
        <w:spacing w:after="0"/>
        <w:tabs>
          <w:tab w:leader="none" w:pos="48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forecasted collection rates and advance rates presented for dealer loans and purchased loans reflect the Consumer Loan classification at the time of assignment.</w:t>
      </w:r>
    </w:p>
    <w:p>
      <w:pPr>
        <w:spacing w:after="0" w:line="13" w:lineRule="exact"/>
        <w:rPr>
          <w:rFonts w:ascii="Arial" w:cs="Arial" w:eastAsia="Arial" w:hAnsi="Arial"/>
          <w:sz w:val="14"/>
          <w:szCs w:val="14"/>
          <w:color w:val="auto"/>
        </w:rPr>
      </w:pPr>
    </w:p>
    <w:p>
      <w:pPr>
        <w:ind w:left="500" w:right="20" w:hanging="330"/>
        <w:spacing w:after="0" w:line="293" w:lineRule="auto"/>
        <w:tabs>
          <w:tab w:leader="none" w:pos="508" w:val="left"/>
        </w:tabs>
        <w:numPr>
          <w:ilvl w:val="0"/>
          <w:numId w:val="7"/>
        </w:numPr>
        <w:rPr>
          <w:rFonts w:ascii="Arial" w:cs="Arial" w:eastAsia="Arial" w:hAnsi="Arial"/>
          <w:sz w:val="13"/>
          <w:szCs w:val="13"/>
          <w:color w:val="auto"/>
        </w:rPr>
      </w:pPr>
      <w:r>
        <w:rPr>
          <w:rFonts w:ascii="Arial" w:cs="Arial" w:eastAsia="Arial" w:hAnsi="Arial"/>
          <w:sz w:val="13"/>
          <w:szCs w:val="13"/>
          <w:color w:val="auto"/>
        </w:rPr>
        <w:t>Represents advances paid to dealers on Consumer Loans assigned under our portfolio program and one-time payments made to dealers to purchase Consumer Loans assigned under our purchase program as a percentage of the initial balance of the Consumer Loans. Payments of dealer holdback and accelerated dealer holdback are not included.</w:t>
      </w:r>
    </w:p>
    <w:p>
      <w:pPr>
        <w:spacing w:after="0" w:line="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Although the advance rate on purchased loans is higher as compared to the advance rate on dealer loans, purchased loans do not require us to pay dealer holdback.</w:t>
      </w:r>
    </w:p>
    <w:p>
      <w:pPr>
        <w:spacing w:after="0" w:line="19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spread on dealer loans decreased from 24.4% in 2020 to 21.5% in 2021 primarily as a result of the performance of the 2020 Consumer Loans in our dealer loan portfolio, which has exceeded our initial estimates by a greater margin than those assigned to us in 2021, partially offset by a higher initial spread on 2021 Consumer Loans in our dealer loan portfolio, primarily due to a higher initial forecast on 2021 Consumer Loans in our dealer loan portfolio. The spread on purchased loans decreased from 22.7% in 2020 to 19.6% in 2021 primarily as a result of the performance of the 2020 Consumer Loans in our purchased loan portfolio, which has exceeded our initial estimates by a greater margin than those assigned to us in 2021, partially offset by a higher initial spread on 2021 Consumer Loans in our purchased loan portfolio, primarily due to a higher initial forecast on 2021 Consumer Loans in our purchased loan portfolio.</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773"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Consumer Loan Volume</w:t>
      </w:r>
    </w:p>
    <w:p>
      <w:pPr>
        <w:spacing w:after="0" w:line="27"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The following table summarizes changes in Consumer Loan assignment volume in each of the last eleven quarters as compared to the same period in the previous year:</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0" w:type="dxa"/>
            <w:vAlign w:val="bottom"/>
            <w:tcBorders>
              <w:bottom w:val="single" w:sz="8" w:color="auto"/>
            </w:tcBorders>
            <w:gridSpan w:val="3"/>
          </w:tcPr>
          <w:p>
            <w:pPr>
              <w:jc w:val="right"/>
              <w:ind w:right="1052"/>
              <w:spacing w:after="0"/>
              <w:rPr>
                <w:sz w:val="20"/>
                <w:szCs w:val="20"/>
                <w:color w:val="auto"/>
              </w:rPr>
            </w:pPr>
            <w:r>
              <w:rPr>
                <w:rFonts w:ascii="Arial" w:cs="Arial" w:eastAsia="Arial" w:hAnsi="Arial"/>
                <w:sz w:val="14"/>
                <w:szCs w:val="14"/>
                <w:b w:val="1"/>
                <w:bCs w:val="1"/>
                <w:color w:val="auto"/>
              </w:rPr>
              <w:t>Year over Year Percent Change</w:t>
            </w:r>
          </w:p>
        </w:tc>
      </w:tr>
      <w:tr>
        <w:trPr>
          <w:trHeight w:val="188"/>
        </w:trPr>
        <w:tc>
          <w:tcPr>
            <w:tcW w:w="7040" w:type="dxa"/>
            <w:vAlign w:val="bottom"/>
            <w:gridSpan w:val="2"/>
          </w:tcPr>
          <w:p>
            <w:pPr>
              <w:ind w:left="2720"/>
              <w:spacing w:after="0"/>
              <w:rPr>
                <w:sz w:val="20"/>
                <w:szCs w:val="20"/>
                <w:color w:val="auto"/>
              </w:rPr>
            </w:pPr>
            <w:r>
              <w:rPr>
                <w:rFonts w:ascii="Arial" w:cs="Arial" w:eastAsia="Arial" w:hAnsi="Arial"/>
                <w:sz w:val="14"/>
                <w:szCs w:val="14"/>
                <w:b w:val="1"/>
                <w:bCs w:val="1"/>
                <w:color w:val="auto"/>
              </w:rPr>
              <w:t>Three Months Ended</w:t>
            </w:r>
          </w:p>
        </w:tc>
        <w:tc>
          <w:tcPr>
            <w:tcW w:w="2240" w:type="dxa"/>
            <w:vAlign w:val="bottom"/>
            <w:gridSpan w:val="2"/>
          </w:tcPr>
          <w:p>
            <w:pPr>
              <w:ind w:left="600"/>
              <w:spacing w:after="0"/>
              <w:rPr>
                <w:sz w:val="20"/>
                <w:szCs w:val="20"/>
                <w:color w:val="auto"/>
              </w:rPr>
            </w:pPr>
            <w:r>
              <w:rPr>
                <w:rFonts w:ascii="Arial" w:cs="Arial" w:eastAsia="Arial" w:hAnsi="Arial"/>
                <w:sz w:val="14"/>
                <w:szCs w:val="14"/>
                <w:b w:val="1"/>
                <w:bCs w:val="1"/>
                <w:color w:val="auto"/>
              </w:rPr>
              <w:t>Unit Volume</w:t>
            </w:r>
          </w:p>
        </w:tc>
        <w:tc>
          <w:tcPr>
            <w:tcW w:w="1960" w:type="dxa"/>
            <w:vAlign w:val="bottom"/>
          </w:tcPr>
          <w:p>
            <w:pPr>
              <w:jc w:val="right"/>
              <w:ind w:right="332"/>
              <w:spacing w:after="0"/>
              <w:rPr>
                <w:sz w:val="20"/>
                <w:szCs w:val="20"/>
                <w:color w:val="auto"/>
              </w:rPr>
            </w:pPr>
            <w:r>
              <w:rPr>
                <w:rFonts w:ascii="Arial" w:cs="Arial" w:eastAsia="Arial" w:hAnsi="Arial"/>
                <w:sz w:val="14"/>
                <w:szCs w:val="14"/>
                <w:b w:val="1"/>
                <w:bCs w:val="1"/>
                <w:color w:val="auto"/>
              </w:rPr>
              <w:t>Dollar Volume (1)</w:t>
            </w:r>
          </w:p>
        </w:tc>
      </w:tr>
      <w:tr>
        <w:trPr>
          <w:trHeight w:val="224"/>
        </w:trPr>
        <w:tc>
          <w:tcPr>
            <w:tcW w:w="6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2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80" w:type="dxa"/>
            <w:vAlign w:val="bottom"/>
            <w:tcBorders>
              <w:top w:val="single" w:sz="8" w:color="CCEEFF"/>
            </w:tcBorders>
            <w:shd w:val="clear" w:color="auto" w:fill="CCEEFF"/>
          </w:tcPr>
          <w:p>
            <w:pPr>
              <w:spacing w:after="0"/>
              <w:rPr>
                <w:sz w:val="19"/>
                <w:szCs w:val="19"/>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5.1 %</w:t>
            </w: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June 30, 2019</w:t>
            </w:r>
          </w:p>
        </w:tc>
        <w:tc>
          <w:tcPr>
            <w:tcW w:w="1960" w:type="dxa"/>
            <w:vAlign w:val="bottom"/>
          </w:tcPr>
          <w:p>
            <w:pPr>
              <w:jc w:val="right"/>
              <w:spacing w:after="0"/>
              <w:rPr>
                <w:sz w:val="20"/>
                <w:szCs w:val="20"/>
                <w:color w:val="auto"/>
              </w:rPr>
            </w:pPr>
            <w:r>
              <w:rPr>
                <w:rFonts w:ascii="Arial" w:cs="Arial" w:eastAsia="Arial" w:hAnsi="Arial"/>
                <w:sz w:val="18"/>
                <w:szCs w:val="18"/>
                <w:color w:val="auto"/>
              </w:rPr>
              <w:t>0.0 %</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5.6 %</w:t>
            </w: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2019</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0.4 %</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7.6 %</w:t>
            </w: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December 31, 2019</w:t>
            </w:r>
          </w:p>
        </w:tc>
        <w:tc>
          <w:tcPr>
            <w:tcW w:w="1960" w:type="dxa"/>
            <w:vAlign w:val="bottom"/>
          </w:tcPr>
          <w:p>
            <w:pPr>
              <w:jc w:val="right"/>
              <w:spacing w:after="0"/>
              <w:rPr>
                <w:sz w:val="20"/>
                <w:szCs w:val="20"/>
                <w:color w:val="auto"/>
              </w:rPr>
            </w:pPr>
            <w:r>
              <w:rPr>
                <w:rFonts w:ascii="Arial" w:cs="Arial" w:eastAsia="Arial" w:hAnsi="Arial"/>
                <w:sz w:val="18"/>
                <w:szCs w:val="18"/>
                <w:color w:val="auto"/>
              </w:rPr>
              <w:t>-5.3 %</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1.1 %</w:t>
            </w: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1960" w:type="dxa"/>
            <w:vAlign w:val="bottom"/>
          </w:tcPr>
          <w:p>
            <w:pPr>
              <w:jc w:val="right"/>
              <w:spacing w:after="0"/>
              <w:rPr>
                <w:sz w:val="20"/>
                <w:szCs w:val="20"/>
                <w:color w:val="auto"/>
              </w:rPr>
            </w:pPr>
            <w:r>
              <w:rPr>
                <w:rFonts w:ascii="Arial" w:cs="Arial" w:eastAsia="Arial" w:hAnsi="Arial"/>
                <w:sz w:val="18"/>
                <w:szCs w:val="18"/>
                <w:color w:val="auto"/>
              </w:rPr>
              <w:t>5.7 %</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5.2 %</w:t>
            </w:r>
          </w:p>
        </w:tc>
      </w:tr>
      <w:tr>
        <w:trPr>
          <w:trHeight w:val="230"/>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r>
      <w:tr>
        <w:trPr>
          <w:trHeight w:val="229"/>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1960" w:type="dxa"/>
            <w:vAlign w:val="bottom"/>
          </w:tcPr>
          <w:p>
            <w:pPr>
              <w:jc w:val="right"/>
              <w:spacing w:after="0"/>
              <w:rPr>
                <w:sz w:val="20"/>
                <w:szCs w:val="20"/>
                <w:color w:val="auto"/>
              </w:rPr>
            </w:pPr>
            <w:r>
              <w:rPr>
                <w:rFonts w:ascii="Arial" w:cs="Arial" w:eastAsia="Arial" w:hAnsi="Arial"/>
                <w:sz w:val="18"/>
                <w:szCs w:val="18"/>
                <w:color w:val="auto"/>
              </w:rPr>
              <w:t>-18.1 %</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-10.8 %</w:t>
            </w: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30"/>
        </w:trPr>
        <w:tc>
          <w:tcPr>
            <w:tcW w:w="7040" w:type="dxa"/>
            <w:vAlign w:val="bottom"/>
            <w:gridSpan w:val="2"/>
          </w:tcPr>
          <w:p>
            <w:pPr>
              <w:ind w:left="20"/>
              <w:spacing w:after="0"/>
              <w:rPr>
                <w:sz w:val="20"/>
                <w:szCs w:val="20"/>
                <w:color w:val="auto"/>
              </w:rPr>
            </w:pPr>
            <w:r>
              <w:rPr>
                <w:rFonts w:ascii="Arial" w:cs="Arial" w:eastAsia="Arial" w:hAnsi="Arial"/>
                <w:sz w:val="18"/>
                <w:szCs w:val="18"/>
                <w:color w:val="auto"/>
              </w:rPr>
              <w:t>June 30, 2021</w:t>
            </w:r>
          </w:p>
        </w:tc>
        <w:tc>
          <w:tcPr>
            <w:tcW w:w="1960" w:type="dxa"/>
            <w:vAlign w:val="bottom"/>
          </w:tcPr>
          <w:p>
            <w:pPr>
              <w:jc w:val="right"/>
              <w:spacing w:after="0"/>
              <w:rPr>
                <w:sz w:val="20"/>
                <w:szCs w:val="20"/>
                <w:color w:val="auto"/>
              </w:rPr>
            </w:pPr>
            <w:r>
              <w:rPr>
                <w:rFonts w:ascii="Arial" w:cs="Arial" w:eastAsia="Arial" w:hAnsi="Arial"/>
                <w:sz w:val="18"/>
                <w:szCs w:val="18"/>
                <w:color w:val="auto"/>
              </w:rPr>
              <w:t>-28.7 %</w:t>
            </w:r>
          </w:p>
        </w:tc>
        <w:tc>
          <w:tcPr>
            <w:tcW w:w="28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-20.5 %</w:t>
            </w:r>
          </w:p>
        </w:tc>
      </w:tr>
      <w:tr>
        <w:trPr>
          <w:trHeight w:val="229"/>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28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-17.9 %</w:t>
            </w:r>
          </w:p>
        </w:tc>
      </w:tr>
    </w:tbl>
    <w:p>
      <w:pPr>
        <w:spacing w:after="0" w:line="76" w:lineRule="exact"/>
        <w:rPr>
          <w:sz w:val="20"/>
          <w:szCs w:val="20"/>
          <w:color w:val="auto"/>
        </w:rPr>
      </w:pPr>
    </w:p>
    <w:p>
      <w:pPr>
        <w:ind w:left="500" w:right="20" w:hanging="330"/>
        <w:spacing w:after="0" w:line="256" w:lineRule="auto"/>
        <w:tabs>
          <w:tab w:leader="none" w:pos="508" w:val="left"/>
        </w:tabs>
        <w:numPr>
          <w:ilvl w:val="0"/>
          <w:numId w:val="8"/>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Consumer Loan assignment volumes depend on a number of factors including (1) the overall demand for our financing programs, (2) the amount of capital available to fund new loans, and (3) our assessment of the volume that our infrastructure can support. Our pricing strategy is intended to maximize the amount of economic profit we generate, within the confines of capital and infrastructure constraints.</w:t>
      </w:r>
    </w:p>
    <w:p>
      <w:pPr>
        <w:spacing w:after="0" w:line="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Unit and dollar volumes declined 29.4% and 17.9%, respectively, during the third quarter of 2021 as the number of active dealers declined 15.0% and the average unit volume per active dealer declined 17.0%. Dollar volume declined less than unit volume during the third quarter of 2021 due to an increase in the average advance paid per unit. This increase was the result of an increase in the average size of the Consumer Loans assigned, primarily due to an increase in the average vehicle selling price.</w:t>
      </w:r>
    </w:p>
    <w:p>
      <w:pPr>
        <w:jc w:val="both"/>
        <w:spacing w:after="0" w:line="233" w:lineRule="auto"/>
        <w:rPr>
          <w:sz w:val="20"/>
          <w:szCs w:val="20"/>
          <w:color w:val="auto"/>
        </w:rPr>
      </w:pPr>
      <w:r>
        <w:rPr>
          <w:rFonts w:ascii="Arial" w:cs="Arial" w:eastAsia="Arial" w:hAnsi="Arial"/>
          <w:sz w:val="18"/>
          <w:szCs w:val="18"/>
          <w:color w:val="auto"/>
        </w:rPr>
        <w:t>The following table summarizes changes in Consumer Loan assignment unit volume in each of the last three quarters as compared to the same periods in 2019:</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40" w:type="dxa"/>
            <w:vAlign w:val="bottom"/>
            <w:gridSpan w:val="2"/>
            <w:vMerge w:val="restart"/>
          </w:tcPr>
          <w:p>
            <w:pPr>
              <w:ind w:left="3160"/>
              <w:spacing w:after="0"/>
              <w:rPr>
                <w:sz w:val="20"/>
                <w:szCs w:val="20"/>
                <w:color w:val="auto"/>
              </w:rPr>
            </w:pPr>
            <w:r>
              <w:rPr>
                <w:rFonts w:ascii="Arial" w:cs="Arial" w:eastAsia="Arial" w:hAnsi="Arial"/>
                <w:sz w:val="14"/>
                <w:szCs w:val="14"/>
                <w:b w:val="1"/>
                <w:bCs w:val="1"/>
                <w:color w:val="auto"/>
              </w:rPr>
              <w:t>Three Months Ended</w:t>
            </w:r>
          </w:p>
        </w:tc>
        <w:tc>
          <w:tcPr>
            <w:tcW w:w="3480" w:type="dxa"/>
            <w:vAlign w:val="bottom"/>
          </w:tcPr>
          <w:p>
            <w:pPr>
              <w:jc w:val="right"/>
              <w:spacing w:after="0"/>
              <w:rPr>
                <w:sz w:val="20"/>
                <w:szCs w:val="20"/>
                <w:color w:val="auto"/>
              </w:rPr>
            </w:pPr>
            <w:r>
              <w:rPr>
                <w:rFonts w:ascii="Arial" w:cs="Arial" w:eastAsia="Arial" w:hAnsi="Arial"/>
                <w:sz w:val="14"/>
                <w:szCs w:val="14"/>
                <w:b w:val="1"/>
                <w:bCs w:val="1"/>
                <w:color w:val="auto"/>
                <w:w w:val="93"/>
              </w:rPr>
              <w:t>Percent Change in Unit Volume Compared to the Same</w:t>
            </w:r>
          </w:p>
        </w:tc>
        <w:tc>
          <w:tcPr>
            <w:tcW w:w="0" w:type="dxa"/>
            <w:vAlign w:val="bottom"/>
          </w:tcPr>
          <w:p>
            <w:pPr>
              <w:spacing w:after="0"/>
              <w:rPr>
                <w:sz w:val="1"/>
                <w:szCs w:val="1"/>
                <w:color w:val="auto"/>
              </w:rPr>
            </w:pPr>
          </w:p>
        </w:tc>
      </w:tr>
      <w:tr>
        <w:trPr>
          <w:trHeight w:val="192"/>
        </w:trPr>
        <w:tc>
          <w:tcPr>
            <w:tcW w:w="7740" w:type="dxa"/>
            <w:vAlign w:val="bottom"/>
            <w:gridSpan w:val="2"/>
            <w:vMerge w:val="continue"/>
          </w:tcPr>
          <w:p>
            <w:pPr>
              <w:spacing w:after="0"/>
              <w:rPr>
                <w:sz w:val="16"/>
                <w:szCs w:val="16"/>
                <w:color w:val="auto"/>
              </w:rPr>
            </w:pPr>
          </w:p>
        </w:tc>
        <w:tc>
          <w:tcPr>
            <w:tcW w:w="3480" w:type="dxa"/>
            <w:vAlign w:val="bottom"/>
          </w:tcPr>
          <w:p>
            <w:pPr>
              <w:jc w:val="right"/>
              <w:ind w:right="1177"/>
              <w:spacing w:after="0"/>
              <w:rPr>
                <w:sz w:val="20"/>
                <w:szCs w:val="20"/>
                <w:color w:val="auto"/>
              </w:rPr>
            </w:pPr>
            <w:r>
              <w:rPr>
                <w:rFonts w:ascii="Arial" w:cs="Arial" w:eastAsia="Arial" w:hAnsi="Arial"/>
                <w:sz w:val="14"/>
                <w:szCs w:val="14"/>
                <w:b w:val="1"/>
                <w:bCs w:val="1"/>
                <w:color w:val="auto"/>
              </w:rPr>
              <w:t>Periods in 2019</w:t>
            </w:r>
          </w:p>
        </w:tc>
        <w:tc>
          <w:tcPr>
            <w:tcW w:w="0" w:type="dxa"/>
            <w:vAlign w:val="bottom"/>
          </w:tcPr>
          <w:p>
            <w:pPr>
              <w:spacing w:after="0"/>
              <w:rPr>
                <w:sz w:val="1"/>
                <w:szCs w:val="1"/>
                <w:color w:val="auto"/>
              </w:rPr>
            </w:pPr>
          </w:p>
        </w:tc>
      </w:tr>
      <w:tr>
        <w:trPr>
          <w:trHeight w:val="243"/>
        </w:trPr>
        <w:tc>
          <w:tcPr>
            <w:tcW w:w="7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00" w:type="dxa"/>
            <w:vAlign w:val="bottom"/>
            <w:tcBorders>
              <w:top w:val="single" w:sz="8" w:color="CCEEFF"/>
            </w:tcBorders>
            <w:shd w:val="clear" w:color="auto" w:fill="CCEEFF"/>
          </w:tcPr>
          <w:p>
            <w:pPr>
              <w:spacing w:after="0"/>
              <w:rPr>
                <w:sz w:val="21"/>
                <w:szCs w:val="21"/>
                <w:color w:val="auto"/>
              </w:rPr>
            </w:pPr>
          </w:p>
        </w:tc>
        <w:tc>
          <w:tcPr>
            <w:tcW w:w="3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37"/>
        </w:trPr>
        <w:tc>
          <w:tcPr>
            <w:tcW w:w="7740" w:type="dxa"/>
            <w:vAlign w:val="bottom"/>
            <w:gridSpan w:val="2"/>
          </w:tcPr>
          <w:p>
            <w:pPr>
              <w:ind w:left="20"/>
              <w:spacing w:after="0"/>
              <w:rPr>
                <w:sz w:val="20"/>
                <w:szCs w:val="20"/>
                <w:color w:val="auto"/>
              </w:rPr>
            </w:pPr>
            <w:r>
              <w:rPr>
                <w:rFonts w:ascii="Arial" w:cs="Arial" w:eastAsia="Arial" w:hAnsi="Arial"/>
                <w:sz w:val="18"/>
                <w:szCs w:val="18"/>
                <w:color w:val="auto"/>
              </w:rPr>
              <w:t>June 30, 2021</w:t>
            </w:r>
          </w:p>
        </w:tc>
        <w:tc>
          <w:tcPr>
            <w:tcW w:w="3480" w:type="dxa"/>
            <w:vAlign w:val="bottom"/>
          </w:tcPr>
          <w:p>
            <w:pPr>
              <w:jc w:val="right"/>
              <w:spacing w:after="0"/>
              <w:rPr>
                <w:sz w:val="20"/>
                <w:szCs w:val="20"/>
                <w:color w:val="auto"/>
              </w:rPr>
            </w:pPr>
            <w:r>
              <w:rPr>
                <w:rFonts w:ascii="Arial" w:cs="Arial" w:eastAsia="Arial" w:hAnsi="Arial"/>
                <w:sz w:val="18"/>
                <w:szCs w:val="18"/>
                <w:color w:val="auto"/>
              </w:rPr>
              <w:t>-24.6 %</w:t>
            </w:r>
          </w:p>
        </w:tc>
        <w:tc>
          <w:tcPr>
            <w:tcW w:w="0" w:type="dxa"/>
            <w:vAlign w:val="bottom"/>
          </w:tcPr>
          <w:p>
            <w:pPr>
              <w:spacing w:after="0"/>
              <w:rPr>
                <w:sz w:val="1"/>
                <w:szCs w:val="1"/>
                <w:color w:val="auto"/>
              </w:rPr>
            </w:pPr>
          </w:p>
        </w:tc>
      </w:tr>
      <w:tr>
        <w:trPr>
          <w:trHeight w:val="249"/>
        </w:trPr>
        <w:tc>
          <w:tcPr>
            <w:tcW w:w="7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3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Starting in mid-March 2020, we experienced a significant decline in unit volume that we believe was primarily due to the impact of COVID-19, which resulted in many dealers temporarily closing or restricting their operations and a deterioration in consumer demand for dealers that remained open. During the latter part of April 2020 and continuing into July 2020, unit volumes improved. We believe the improvement resulted from a combination of dealers gradually reopening their operations and the distribution of federal stimulus and enhanced unemployment benefit payments. Starting in late July 2020 and continuing through February 2021, we experienced another significant decline in unit volume as federal stimulus and enhanced unemployment benefit payments lapsed, dealer inventories declined and used vehicle prices increased. Unit volumes improved again in March and April 2021 as additional federal stimulus payments were distributed. Starting in May 2021 and continuing through October 2021, we experienced another significant decline in unit volume. We believe that this decline is primarily due to low dealer inventories and elevated used vehicle prices, which we believe are primarily due to the downstream impact of supply chain disruptions in the automotive industry. Unit volume for October 2021 declined 25.6% and 38.9% compared to unit volume for October 2020 and October 2019,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76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color w:val="auto"/>
        </w:rPr>
        <w:t>The following table summarizes the changes in Consumer Loan unit volume and active dealers: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160" w:type="dxa"/>
            <w:vAlign w:val="bottom"/>
            <w:gridSpan w:val="6"/>
          </w:tcPr>
          <w:p>
            <w:pPr>
              <w:ind w:left="660"/>
              <w:spacing w:after="0"/>
              <w:rPr>
                <w:sz w:val="20"/>
                <w:szCs w:val="20"/>
                <w:color w:val="auto"/>
              </w:rPr>
            </w:pPr>
            <w:r>
              <w:rPr>
                <w:rFonts w:ascii="Arial" w:cs="Arial" w:eastAsia="Arial" w:hAnsi="Arial"/>
                <w:sz w:val="14"/>
                <w:szCs w:val="14"/>
                <w:b w:val="1"/>
                <w:bCs w:val="1"/>
                <w:color w:val="auto"/>
              </w:rPr>
              <w:t>For the Three Months Ended September 30,</w:t>
            </w:r>
          </w:p>
        </w:tc>
        <w:tc>
          <w:tcPr>
            <w:tcW w:w="4080" w:type="dxa"/>
            <w:vAlign w:val="bottom"/>
            <w:gridSpan w:val="5"/>
          </w:tcPr>
          <w:p>
            <w:pPr>
              <w:jc w:val="right"/>
              <w:ind w:right="636"/>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87"/>
        </w:trPr>
        <w:tc>
          <w:tcPr>
            <w:tcW w:w="6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380" w:type="dxa"/>
            <w:vAlign w:val="bottom"/>
            <w:tcBorders>
              <w:top w:val="single" w:sz="8" w:color="auto"/>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298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Consumer Loan unit volume</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55,620</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78,737</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219,303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278,068</w:t>
            </w:r>
          </w:p>
        </w:tc>
        <w:tc>
          <w:tcPr>
            <w:tcW w:w="12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-21.1 %</w:t>
            </w:r>
          </w:p>
        </w:tc>
        <w:tc>
          <w:tcPr>
            <w:tcW w:w="0" w:type="dxa"/>
            <w:vAlign w:val="bottom"/>
          </w:tcPr>
          <w:p>
            <w:pPr>
              <w:spacing w:after="0"/>
              <w:rPr>
                <w:sz w:val="1"/>
                <w:szCs w:val="1"/>
                <w:color w:val="auto"/>
              </w:rPr>
            </w:pPr>
          </w:p>
        </w:tc>
      </w:tr>
      <w:tr>
        <w:trPr>
          <w:trHeight w:val="229"/>
        </w:trPr>
        <w:tc>
          <w:tcPr>
            <w:tcW w:w="2980" w:type="dxa"/>
            <w:vAlign w:val="bottom"/>
            <w:tcBorders>
              <w:bottom w:val="single" w:sz="8" w:color="CCEEFF"/>
            </w:tcBorders>
            <w:gridSpan w:val="7"/>
          </w:tcPr>
          <w:p>
            <w:pPr>
              <w:ind w:left="20"/>
              <w:spacing w:after="0"/>
              <w:rPr>
                <w:sz w:val="20"/>
                <w:szCs w:val="20"/>
                <w:color w:val="auto"/>
              </w:rPr>
            </w:pPr>
            <w:r>
              <w:rPr>
                <w:rFonts w:ascii="Arial" w:cs="Arial" w:eastAsia="Arial" w:hAnsi="Arial"/>
                <w:sz w:val="18"/>
                <w:szCs w:val="18"/>
                <w:color w:val="auto"/>
              </w:rPr>
              <w:t>Active dealers (1)</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7,588</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8,930</w:t>
            </w:r>
          </w:p>
        </w:tc>
        <w:tc>
          <w:tcPr>
            <w:tcW w:w="14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-15.0 %</w:t>
            </w:r>
          </w:p>
        </w:tc>
        <w:tc>
          <w:tcPr>
            <w:tcW w:w="12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10,815</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11,988</w:t>
            </w:r>
          </w:p>
        </w:tc>
        <w:tc>
          <w:tcPr>
            <w:tcW w:w="15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-9.8 %</w:t>
            </w:r>
          </w:p>
        </w:tc>
        <w:tc>
          <w:tcPr>
            <w:tcW w:w="0" w:type="dxa"/>
            <w:vAlign w:val="bottom"/>
          </w:tcPr>
          <w:p>
            <w:pPr>
              <w:spacing w:after="0"/>
              <w:rPr>
                <w:sz w:val="1"/>
                <w:szCs w:val="1"/>
                <w:color w:val="auto"/>
              </w:rPr>
            </w:pPr>
          </w:p>
        </w:tc>
      </w:tr>
      <w:tr>
        <w:trPr>
          <w:trHeight w:val="223"/>
        </w:trPr>
        <w:tc>
          <w:tcPr>
            <w:tcW w:w="2980" w:type="dxa"/>
            <w:vAlign w:val="bottom"/>
            <w:gridSpan w:val="7"/>
            <w:shd w:val="clear" w:color="auto" w:fill="CCEEFF"/>
          </w:tcPr>
          <w:p>
            <w:pPr>
              <w:ind w:left="20"/>
              <w:spacing w:after="0"/>
              <w:rPr>
                <w:sz w:val="20"/>
                <w:szCs w:val="20"/>
                <w:color w:val="auto"/>
              </w:rPr>
            </w:pPr>
            <w:r>
              <w:rPr>
                <w:rFonts w:ascii="Arial" w:cs="Arial" w:eastAsia="Arial" w:hAnsi="Arial"/>
                <w:sz w:val="18"/>
                <w:szCs w:val="18"/>
                <w:color w:val="auto"/>
              </w:rPr>
              <w:t>Average volume per active dealer</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98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8"/>
                <w:szCs w:val="18"/>
                <w:color w:val="auto"/>
              </w:rPr>
              <w:t>Consumer Loan unit volume from</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47,470</w:t>
            </w: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65,662</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199,404</w:t>
            </w:r>
          </w:p>
        </w:tc>
        <w:tc>
          <w:tcPr>
            <w:tcW w:w="1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252,493</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29"/>
        </w:trPr>
        <w:tc>
          <w:tcPr>
            <w:tcW w:w="298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dealers active both periods</w:t>
            </w: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980" w:type="dxa"/>
            <w:vAlign w:val="bottom"/>
            <w:tcBorders>
              <w:bottom w:val="single" w:sz="8" w:color="CCEEFF"/>
            </w:tcBorders>
            <w:gridSpan w:val="7"/>
          </w:tcPr>
          <w:p>
            <w:pPr>
              <w:ind w:left="20"/>
              <w:spacing w:after="0"/>
              <w:rPr>
                <w:sz w:val="20"/>
                <w:szCs w:val="20"/>
                <w:color w:val="auto"/>
              </w:rPr>
            </w:pPr>
            <w:r>
              <w:rPr>
                <w:rFonts w:ascii="Arial" w:cs="Arial" w:eastAsia="Arial" w:hAnsi="Arial"/>
                <w:sz w:val="18"/>
                <w:szCs w:val="18"/>
                <w:color w:val="auto"/>
              </w:rPr>
              <w:t>Dealers active both periods</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2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5,659</w:t>
            </w:r>
          </w:p>
        </w:tc>
        <w:tc>
          <w:tcPr>
            <w:tcW w:w="120" w:type="dxa"/>
            <w:vAlign w:val="bottom"/>
            <w:tcBorders>
              <w:bottom w:val="single" w:sz="8" w:color="CCEEFF"/>
            </w:tcBorders>
          </w:tcPr>
          <w:p>
            <w:pPr>
              <w:spacing w:after="0"/>
              <w:rPr>
                <w:sz w:val="19"/>
                <w:szCs w:val="19"/>
                <w:color w:val="auto"/>
              </w:rPr>
            </w:pPr>
          </w:p>
        </w:tc>
        <w:tc>
          <w:tcPr>
            <w:tcW w:w="1480" w:type="dxa"/>
            <w:vAlign w:val="bottom"/>
            <w:tcBorders>
              <w:bottom w:val="single" w:sz="8" w:color="CCEEFF"/>
            </w:tcBorders>
            <w:gridSpan w:val="2"/>
          </w:tcPr>
          <w:p>
            <w:pPr>
              <w:jc w:val="right"/>
              <w:ind w:right="34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8,554</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8,554</w:t>
            </w:r>
          </w:p>
        </w:tc>
        <w:tc>
          <w:tcPr>
            <w:tcW w:w="120" w:type="dxa"/>
            <w:vAlign w:val="bottom"/>
            <w:tcBorders>
              <w:bottom w:val="single" w:sz="8" w:color="CCEEFF"/>
            </w:tcBorders>
          </w:tcPr>
          <w:p>
            <w:pPr>
              <w:spacing w:after="0"/>
              <w:rPr>
                <w:sz w:val="19"/>
                <w:szCs w:val="19"/>
                <w:color w:val="auto"/>
              </w:rPr>
            </w:pPr>
          </w:p>
        </w:tc>
        <w:tc>
          <w:tcPr>
            <w:tcW w:w="1380" w:type="dxa"/>
            <w:vAlign w:val="bottom"/>
            <w:tcBorders>
              <w:bottom w:val="single" w:sz="8" w:color="CCEEFF"/>
            </w:tcBorders>
          </w:tcPr>
          <w:p>
            <w:pPr>
              <w:jc w:val="right"/>
              <w:ind w:right="13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5"/>
        </w:trPr>
        <w:tc>
          <w:tcPr>
            <w:tcW w:w="2980" w:type="dxa"/>
            <w:vAlign w:val="bottom"/>
            <w:gridSpan w:val="7"/>
            <w:shd w:val="clear" w:color="auto" w:fill="CCEEFF"/>
          </w:tcPr>
          <w:p>
            <w:pPr>
              <w:ind w:left="20"/>
              <w:spacing w:after="0" w:line="156" w:lineRule="exact"/>
              <w:rPr>
                <w:sz w:val="20"/>
                <w:szCs w:val="20"/>
                <w:color w:val="auto"/>
              </w:rPr>
            </w:pPr>
            <w:r>
              <w:rPr>
                <w:rFonts w:ascii="Arial" w:cs="Arial" w:eastAsia="Arial" w:hAnsi="Arial"/>
                <w:sz w:val="18"/>
                <w:szCs w:val="18"/>
                <w:color w:val="auto"/>
              </w:rPr>
              <w:t>Average volume per dealer active</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CEEFF"/>
          </w:tcPr>
          <w:p>
            <w:pPr>
              <w:spacing w:after="0"/>
              <w:rPr>
                <w:sz w:val="13"/>
                <w:szCs w:val="13"/>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-27.7 %</w:t>
            </w:r>
          </w:p>
        </w:tc>
        <w:tc>
          <w:tcPr>
            <w:tcW w:w="12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shd w:val="clear" w:color="auto" w:fill="CCEEFF"/>
          </w:tcPr>
          <w:p>
            <w:pPr>
              <w:spacing w:after="0"/>
              <w:rPr>
                <w:sz w:val="13"/>
                <w:szCs w:val="13"/>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0" w:type="dxa"/>
            <w:vAlign w:val="bottom"/>
          </w:tcPr>
          <w:p>
            <w:pPr>
              <w:spacing w:after="0"/>
              <w:rPr>
                <w:sz w:val="1"/>
                <w:szCs w:val="1"/>
                <w:color w:val="auto"/>
              </w:rPr>
            </w:pPr>
          </w:p>
        </w:tc>
      </w:tr>
      <w:tr>
        <w:trPr>
          <w:trHeight w:val="230"/>
        </w:trPr>
        <w:tc>
          <w:tcPr>
            <w:tcW w:w="2980" w:type="dxa"/>
            <w:vAlign w:val="bottom"/>
            <w:gridSpan w:val="7"/>
            <w:shd w:val="clear" w:color="auto" w:fill="CCEEFF"/>
          </w:tcPr>
          <w:p>
            <w:pPr>
              <w:ind w:left="360"/>
              <w:spacing w:after="0"/>
              <w:rPr>
                <w:sz w:val="20"/>
                <w:szCs w:val="20"/>
                <w:color w:val="auto"/>
              </w:rPr>
            </w:pPr>
            <w:r>
              <w:rPr>
                <w:rFonts w:ascii="Arial" w:cs="Arial" w:eastAsia="Arial" w:hAnsi="Arial"/>
                <w:sz w:val="18"/>
                <w:szCs w:val="18"/>
                <w:color w:val="auto"/>
              </w:rPr>
              <w:t>both periods</w:t>
            </w:r>
          </w:p>
        </w:tc>
        <w:tc>
          <w:tcPr>
            <w:tcW w:w="12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4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150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2980" w:type="dxa"/>
            <w:vAlign w:val="bottom"/>
            <w:gridSpan w:val="7"/>
            <w:shd w:val="clear" w:color="auto" w:fill="CCEEFF"/>
          </w:tcPr>
          <w:p>
            <w:pPr>
              <w:ind w:left="20"/>
              <w:spacing w:after="0" w:line="176" w:lineRule="exact"/>
              <w:rPr>
                <w:sz w:val="20"/>
                <w:szCs w:val="20"/>
                <w:color w:val="auto"/>
              </w:rPr>
            </w:pPr>
            <w:r>
              <w:rPr>
                <w:rFonts w:ascii="Arial" w:cs="Arial" w:eastAsia="Arial" w:hAnsi="Arial"/>
                <w:sz w:val="18"/>
                <w:szCs w:val="18"/>
                <w:color w:val="auto"/>
              </w:rPr>
              <w:t>Consumer loan unit volume from</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8,150</w:t>
            </w:r>
          </w:p>
        </w:tc>
        <w:tc>
          <w:tcPr>
            <w:tcW w:w="12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13,075</w:t>
            </w:r>
          </w:p>
        </w:tc>
        <w:tc>
          <w:tcPr>
            <w:tcW w:w="14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-37.7 %</w:t>
            </w:r>
          </w:p>
        </w:tc>
        <w:tc>
          <w:tcPr>
            <w:tcW w:w="12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19,899</w:t>
            </w:r>
          </w:p>
        </w:tc>
        <w:tc>
          <w:tcPr>
            <w:tcW w:w="100" w:type="dxa"/>
            <w:vAlign w:val="bottom"/>
            <w:shd w:val="clear" w:color="auto" w:fill="CCEEFF"/>
          </w:tcPr>
          <w:p>
            <w:pPr>
              <w:spacing w:after="0"/>
              <w:rPr>
                <w:sz w:val="15"/>
                <w:szCs w:val="15"/>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25,575</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-22.2 %</w:t>
            </w:r>
          </w:p>
        </w:tc>
        <w:tc>
          <w:tcPr>
            <w:tcW w:w="0" w:type="dxa"/>
            <w:vAlign w:val="bottom"/>
          </w:tcPr>
          <w:p>
            <w:pPr>
              <w:spacing w:after="0"/>
              <w:rPr>
                <w:sz w:val="1"/>
                <w:szCs w:val="1"/>
                <w:color w:val="auto"/>
              </w:rPr>
            </w:pPr>
          </w:p>
        </w:tc>
      </w:tr>
      <w:tr>
        <w:trPr>
          <w:trHeight w:val="189"/>
        </w:trPr>
        <w:tc>
          <w:tcPr>
            <w:tcW w:w="2980" w:type="dxa"/>
            <w:vAlign w:val="bottom"/>
            <w:gridSpan w:val="7"/>
            <w:shd w:val="clear" w:color="auto" w:fill="CCEEFF"/>
          </w:tcPr>
          <w:p>
            <w:pPr>
              <w:ind w:left="360"/>
              <w:spacing w:after="0" w:line="189" w:lineRule="exact"/>
              <w:rPr>
                <w:sz w:val="20"/>
                <w:szCs w:val="20"/>
                <w:color w:val="auto"/>
              </w:rPr>
            </w:pPr>
            <w:r>
              <w:rPr>
                <w:rFonts w:ascii="Arial" w:cs="Arial" w:eastAsia="Arial" w:hAnsi="Arial"/>
                <w:sz w:val="18"/>
                <w:szCs w:val="18"/>
                <w:color w:val="auto"/>
              </w:rPr>
              <w:t>dealers not active both periods</w:t>
            </w:r>
          </w:p>
        </w:tc>
        <w:tc>
          <w:tcPr>
            <w:tcW w:w="12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vMerge w:val="continue"/>
            <w:shd w:val="clear" w:color="auto" w:fill="CCEEFF"/>
          </w:tcPr>
          <w:p>
            <w:pPr>
              <w:spacing w:after="0"/>
              <w:rPr>
                <w:sz w:val="16"/>
                <w:szCs w:val="16"/>
                <w:color w:val="auto"/>
              </w:rPr>
            </w:pPr>
          </w:p>
        </w:tc>
        <w:tc>
          <w:tcPr>
            <w:tcW w:w="14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4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980" w:type="dxa"/>
            <w:vAlign w:val="bottom"/>
            <w:gridSpan w:val="7"/>
          </w:tcPr>
          <w:p>
            <w:pPr>
              <w:ind w:left="20"/>
              <w:spacing w:after="0" w:line="189" w:lineRule="exact"/>
              <w:rPr>
                <w:sz w:val="20"/>
                <w:szCs w:val="20"/>
                <w:color w:val="auto"/>
              </w:rPr>
            </w:pPr>
            <w:r>
              <w:rPr>
                <w:rFonts w:ascii="Arial" w:cs="Arial" w:eastAsia="Arial" w:hAnsi="Arial"/>
                <w:sz w:val="18"/>
                <w:szCs w:val="18"/>
                <w:color w:val="auto"/>
              </w:rPr>
              <w:t>Dealers not active both periods</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1,929</w:t>
            </w: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3,271</w:t>
            </w:r>
          </w:p>
        </w:tc>
        <w:tc>
          <w:tcPr>
            <w:tcW w:w="14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-41.0 %</w:t>
            </w:r>
          </w:p>
        </w:tc>
        <w:tc>
          <w:tcPr>
            <w:tcW w:w="12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2,261</w:t>
            </w:r>
          </w:p>
        </w:tc>
        <w:tc>
          <w:tcPr>
            <w:tcW w:w="100" w:type="dxa"/>
            <w:vAlign w:val="bottom"/>
          </w:tcPr>
          <w:p>
            <w:pPr>
              <w:spacing w:after="0"/>
              <w:rPr>
                <w:sz w:val="16"/>
                <w:szCs w:val="16"/>
                <w:color w:val="auto"/>
              </w:rPr>
            </w:pPr>
          </w:p>
        </w:tc>
        <w:tc>
          <w:tcPr>
            <w:tcW w:w="1240" w:type="dxa"/>
            <w:vAlign w:val="bottom"/>
          </w:tcPr>
          <w:p>
            <w:pPr>
              <w:jc w:val="right"/>
              <w:spacing w:after="0" w:line="189" w:lineRule="exact"/>
              <w:rPr>
                <w:sz w:val="20"/>
                <w:szCs w:val="20"/>
                <w:color w:val="auto"/>
              </w:rPr>
            </w:pPr>
            <w:r>
              <w:rPr>
                <w:rFonts w:ascii="Arial" w:cs="Arial" w:eastAsia="Arial" w:hAnsi="Arial"/>
                <w:sz w:val="18"/>
                <w:szCs w:val="18"/>
                <w:color w:val="auto"/>
              </w:rPr>
              <w:t>3,434</w:t>
            </w:r>
          </w:p>
        </w:tc>
        <w:tc>
          <w:tcPr>
            <w:tcW w:w="150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r>
        <w:trPr>
          <w:trHeight w:val="21"/>
        </w:trPr>
        <w:tc>
          <w:tcPr>
            <w:tcW w:w="6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980" w:type="dxa"/>
            <w:vAlign w:val="bottom"/>
            <w:gridSpan w:val="7"/>
            <w:shd w:val="clear" w:color="auto" w:fill="CCEEFF"/>
          </w:tcPr>
          <w:p>
            <w:pPr>
              <w:ind w:left="20"/>
              <w:spacing w:after="0" w:line="169" w:lineRule="exact"/>
              <w:rPr>
                <w:sz w:val="20"/>
                <w:szCs w:val="20"/>
                <w:color w:val="auto"/>
              </w:rPr>
            </w:pPr>
            <w:r>
              <w:rPr>
                <w:rFonts w:ascii="Arial" w:cs="Arial" w:eastAsia="Arial" w:hAnsi="Arial"/>
                <w:sz w:val="18"/>
                <w:szCs w:val="18"/>
                <w:color w:val="auto"/>
                <w:w w:val="98"/>
              </w:rPr>
              <w:t>Average volume per dealer not active</w:t>
            </w: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20" w:type="dxa"/>
            <w:vAlign w:val="bottom"/>
            <w:tcBorders>
              <w:top w:val="single" w:sz="8" w:color="CCEEFF"/>
            </w:tcBorders>
            <w:gridSpan w:val="5"/>
            <w:shd w:val="clear" w:color="auto" w:fill="CCEEFF"/>
          </w:tcPr>
          <w:p>
            <w:pPr>
              <w:ind w:left="360"/>
              <w:spacing w:after="0" w:line="196" w:lineRule="exact"/>
              <w:rPr>
                <w:sz w:val="20"/>
                <w:szCs w:val="20"/>
                <w:color w:val="auto"/>
              </w:rPr>
            </w:pPr>
            <w:r>
              <w:rPr>
                <w:rFonts w:ascii="Arial" w:cs="Arial" w:eastAsia="Arial" w:hAnsi="Arial"/>
                <w:sz w:val="18"/>
                <w:szCs w:val="18"/>
                <w:color w:val="auto"/>
              </w:rPr>
              <w:t>both periods</w:t>
            </w:r>
          </w:p>
        </w:tc>
        <w:tc>
          <w:tcPr>
            <w:tcW w:w="2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4.2</w:t>
            </w:r>
          </w:p>
        </w:tc>
        <w:tc>
          <w:tcPr>
            <w:tcW w:w="12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w:t>
            </w:r>
          </w:p>
        </w:tc>
        <w:tc>
          <w:tcPr>
            <w:tcW w:w="148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5.0 %</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8.8</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7.4</w:t>
            </w:r>
          </w:p>
        </w:tc>
        <w:tc>
          <w:tcPr>
            <w:tcW w:w="1500" w:type="dxa"/>
            <w:vAlign w:val="bottom"/>
            <w:tcBorders>
              <w:top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18.9 %</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2"/>
          <w:szCs w:val="12"/>
          <w:color w:val="auto"/>
        </w:rPr>
        <w:t>Active dealers are dealers who have received funding for at least one Consumer Loan during the period.</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additional information on the changes in Consumer Loan unit volume and active dealers: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20" w:type="dxa"/>
            <w:vAlign w:val="bottom"/>
          </w:tcPr>
          <w:p>
            <w:pPr>
              <w:spacing w:after="0"/>
              <w:rPr>
                <w:sz w:val="16"/>
                <w:szCs w:val="16"/>
                <w:color w:val="auto"/>
              </w:rPr>
            </w:pPr>
          </w:p>
        </w:tc>
        <w:tc>
          <w:tcPr>
            <w:tcW w:w="4520" w:type="dxa"/>
            <w:vAlign w:val="bottom"/>
            <w:gridSpan w:val="6"/>
          </w:tcPr>
          <w:p>
            <w:pPr>
              <w:ind w:left="860"/>
              <w:spacing w:after="0"/>
              <w:rPr>
                <w:sz w:val="20"/>
                <w:szCs w:val="20"/>
                <w:color w:val="auto"/>
              </w:rPr>
            </w:pPr>
            <w:r>
              <w:rPr>
                <w:rFonts w:ascii="Arial" w:cs="Arial" w:eastAsia="Arial" w:hAnsi="Arial"/>
                <w:sz w:val="14"/>
                <w:szCs w:val="14"/>
                <w:b w:val="1"/>
                <w:bCs w:val="1"/>
                <w:color w:val="auto"/>
              </w:rPr>
              <w:t>For the Three Months Ended September 30,</w:t>
            </w:r>
          </w:p>
        </w:tc>
        <w:tc>
          <w:tcPr>
            <w:tcW w:w="4080" w:type="dxa"/>
            <w:vAlign w:val="bottom"/>
            <w:gridSpan w:val="5"/>
          </w:tcPr>
          <w:p>
            <w:pPr>
              <w:jc w:val="right"/>
              <w:ind w:right="648"/>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87"/>
        </w:trPr>
        <w:tc>
          <w:tcPr>
            <w:tcW w:w="2620" w:type="dxa"/>
            <w:vAlign w:val="bottom"/>
            <w:tcBorders>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46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top w:val="single" w:sz="8" w:color="auto"/>
              <w:bottom w:val="single" w:sz="8" w:color="CCEEFF"/>
            </w:tcBorders>
          </w:tcPr>
          <w:p>
            <w:pPr>
              <w:spacing w:after="0"/>
              <w:rPr>
                <w:sz w:val="16"/>
                <w:szCs w:val="16"/>
                <w:color w:val="auto"/>
              </w:rPr>
            </w:pPr>
          </w:p>
        </w:tc>
        <w:tc>
          <w:tcPr>
            <w:tcW w:w="128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7"/>
        </w:trPr>
        <w:tc>
          <w:tcPr>
            <w:tcW w:w="2620" w:type="dxa"/>
            <w:vAlign w:val="bottom"/>
            <w:shd w:val="clear" w:color="auto" w:fill="CCEEFF"/>
          </w:tcPr>
          <w:p>
            <w:pPr>
              <w:ind w:left="20"/>
              <w:spacing w:after="0" w:line="157" w:lineRule="exact"/>
              <w:rPr>
                <w:sz w:val="20"/>
                <w:szCs w:val="20"/>
                <w:color w:val="auto"/>
              </w:rPr>
            </w:pPr>
            <w:r>
              <w:rPr>
                <w:rFonts w:ascii="Arial" w:cs="Arial" w:eastAsia="Arial" w:hAnsi="Arial"/>
                <w:sz w:val="18"/>
                <w:szCs w:val="18"/>
                <w:color w:val="auto"/>
                <w:w w:val="96"/>
              </w:rPr>
              <w:t>Consumer Loan unit volume from</w:t>
            </w:r>
          </w:p>
        </w:tc>
        <w:tc>
          <w:tcPr>
            <w:tcW w:w="14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1,476</w:t>
            </w:r>
          </w:p>
        </w:tc>
        <w:tc>
          <w:tcPr>
            <w:tcW w:w="12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2,423</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-39.1 %</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12,361</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21,295</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-42.0 %</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new active dealers</w:t>
            </w:r>
          </w:p>
        </w:tc>
        <w:tc>
          <w:tcPr>
            <w:tcW w:w="1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New active dealers (1)</w:t>
            </w:r>
          </w:p>
        </w:tc>
        <w:tc>
          <w:tcPr>
            <w:tcW w:w="146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460</w:t>
            </w:r>
          </w:p>
        </w:tc>
        <w:tc>
          <w:tcPr>
            <w:tcW w:w="12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630</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-27.0 %</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136"/>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rPr>
              <w:t>2,122</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-23.9 %</w:t>
            </w:r>
          </w:p>
        </w:tc>
        <w:tc>
          <w:tcPr>
            <w:tcW w:w="0" w:type="dxa"/>
            <w:vAlign w:val="bottom"/>
          </w:tcPr>
          <w:p>
            <w:pPr>
              <w:spacing w:after="0"/>
              <w:rPr>
                <w:sz w:val="1"/>
                <w:szCs w:val="1"/>
                <w:color w:val="auto"/>
              </w:rPr>
            </w:pPr>
          </w:p>
        </w:tc>
      </w:tr>
      <w:tr>
        <w:trPr>
          <w:trHeight w:val="155"/>
        </w:trPr>
        <w:tc>
          <w:tcPr>
            <w:tcW w:w="262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Average volume per new active</w:t>
            </w:r>
          </w:p>
        </w:tc>
        <w:tc>
          <w:tcPr>
            <w:tcW w:w="146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3"/>
                <w:szCs w:val="13"/>
                <w:color w:val="auto"/>
              </w:rPr>
            </w:pPr>
          </w:p>
        </w:tc>
        <w:tc>
          <w:tcPr>
            <w:tcW w:w="146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3.8</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-15.8 %</w:t>
            </w:r>
          </w:p>
        </w:tc>
        <w:tc>
          <w:tcPr>
            <w:tcW w:w="100" w:type="dxa"/>
            <w:vAlign w:val="bottom"/>
            <w:shd w:val="clear" w:color="auto" w:fill="CCEEFF"/>
          </w:tcPr>
          <w:p>
            <w:pPr>
              <w:spacing w:after="0"/>
              <w:rPr>
                <w:sz w:val="13"/>
                <w:szCs w:val="13"/>
                <w:color w:val="auto"/>
              </w:rPr>
            </w:pPr>
          </w:p>
        </w:tc>
        <w:tc>
          <w:tcPr>
            <w:tcW w:w="1300" w:type="dxa"/>
            <w:vAlign w:val="bottom"/>
            <w:vMerge w:val="restart"/>
            <w:shd w:val="clear" w:color="auto" w:fill="CCEEFF"/>
          </w:tcPr>
          <w:p>
            <w:pPr>
              <w:jc w:val="right"/>
              <w:ind w:right="136"/>
              <w:spacing w:after="0"/>
              <w:rPr>
                <w:sz w:val="20"/>
                <w:szCs w:val="20"/>
                <w:color w:val="auto"/>
              </w:rPr>
            </w:pPr>
            <w:r>
              <w:rPr>
                <w:rFonts w:ascii="Arial" w:cs="Arial" w:eastAsia="Arial" w:hAnsi="Arial"/>
                <w:sz w:val="18"/>
                <w:szCs w:val="18"/>
                <w:color w:val="auto"/>
              </w:rPr>
              <w:t>7.7</w:t>
            </w:r>
          </w:p>
        </w:tc>
        <w:tc>
          <w:tcPr>
            <w:tcW w:w="120" w:type="dxa"/>
            <w:vAlign w:val="bottom"/>
            <w:shd w:val="clear" w:color="auto" w:fill="CCEEFF"/>
          </w:tcPr>
          <w:p>
            <w:pPr>
              <w:spacing w:after="0"/>
              <w:rPr>
                <w:sz w:val="13"/>
                <w:szCs w:val="13"/>
                <w:color w:val="auto"/>
              </w:rPr>
            </w:pPr>
          </w:p>
        </w:tc>
        <w:tc>
          <w:tcPr>
            <w:tcW w:w="1280" w:type="dxa"/>
            <w:vAlign w:val="bottom"/>
            <w:vMerge w:val="restart"/>
            <w:shd w:val="clear" w:color="auto" w:fill="CCEEFF"/>
          </w:tcPr>
          <w:p>
            <w:pPr>
              <w:jc w:val="right"/>
              <w:ind w:right="134"/>
              <w:spacing w:after="0"/>
              <w:rPr>
                <w:sz w:val="20"/>
                <w:szCs w:val="20"/>
                <w:color w:val="auto"/>
              </w:rPr>
            </w:pPr>
            <w:r>
              <w:rPr>
                <w:rFonts w:ascii="Arial" w:cs="Arial" w:eastAsia="Arial" w:hAnsi="Arial"/>
                <w:sz w:val="18"/>
                <w:szCs w:val="18"/>
                <w:color w:val="auto"/>
              </w:rPr>
              <w:t>10.0</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dealer</w:t>
            </w:r>
          </w:p>
        </w:tc>
        <w:tc>
          <w:tcPr>
            <w:tcW w:w="1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26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Attrition (2)</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-9.2 %</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-9.9 %</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80" w:hanging="310"/>
        <w:spacing w:after="0"/>
        <w:tabs>
          <w:tab w:leader="none" w:pos="480" w:val="left"/>
        </w:tabs>
        <w:numPr>
          <w:ilvl w:val="0"/>
          <w:numId w:val="9"/>
        </w:numPr>
        <w:rPr>
          <w:rFonts w:ascii="Arial" w:cs="Arial" w:eastAsia="Arial" w:hAnsi="Arial"/>
          <w:sz w:val="14"/>
          <w:szCs w:val="14"/>
          <w:color w:val="auto"/>
        </w:rPr>
      </w:pPr>
      <w:r>
        <w:rPr>
          <w:rFonts w:ascii="Arial" w:cs="Arial" w:eastAsia="Arial" w:hAnsi="Arial"/>
          <w:sz w:val="14"/>
          <w:szCs w:val="14"/>
          <w:color w:val="auto"/>
        </w:rPr>
        <w:t>New active dealers are dealers who enrolled in our program and have received funding for their first dealer loan or purchased loan from us during the period.</w:t>
      </w:r>
    </w:p>
    <w:p>
      <w:pPr>
        <w:spacing w:after="0" w:line="13" w:lineRule="exact"/>
        <w:rPr>
          <w:rFonts w:ascii="Arial" w:cs="Arial" w:eastAsia="Arial" w:hAnsi="Arial"/>
          <w:sz w:val="14"/>
          <w:szCs w:val="14"/>
          <w:color w:val="auto"/>
        </w:rPr>
      </w:pPr>
    </w:p>
    <w:p>
      <w:pPr>
        <w:jc w:val="both"/>
        <w:ind w:left="500" w:hanging="330"/>
        <w:spacing w:after="0" w:line="248" w:lineRule="auto"/>
        <w:tabs>
          <w:tab w:leader="none" w:pos="489" w:val="left"/>
        </w:tabs>
        <w:numPr>
          <w:ilvl w:val="0"/>
          <w:numId w:val="9"/>
        </w:numPr>
        <w:rPr>
          <w:rFonts w:ascii="Arial" w:cs="Arial" w:eastAsia="Arial" w:hAnsi="Arial"/>
          <w:sz w:val="14"/>
          <w:szCs w:val="14"/>
          <w:color w:val="auto"/>
        </w:rPr>
      </w:pPr>
      <w:r>
        <w:rPr>
          <w:rFonts w:ascii="Arial" w:cs="Arial" w:eastAsia="Arial" w:hAnsi="Arial"/>
          <w:sz w:val="14"/>
          <w:szCs w:val="14"/>
          <w:color w:val="auto"/>
        </w:rPr>
        <w:t>Attrition is measured according to the following formula: decrease in Consumer Loan unit volume from dealers who have received funding for at least one dealer loan or purchased loan during the comparable period of the prior year but did not receive funding for any dealer loans or purchased loans during the current period divided by prior year comparable period Consumer Loan unit volume.</w:t>
      </w:r>
    </w:p>
    <w:p>
      <w:pPr>
        <w:spacing w:after="0" w:line="10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the percentage of Consumer Loans assigned to us as dealer loans and purchased loans for each of the last seven quarters: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20" w:type="dxa"/>
            <w:vAlign w:val="bottom"/>
            <w:gridSpan w:val="4"/>
          </w:tcPr>
          <w:p>
            <w:pPr>
              <w:ind w:left="1260"/>
              <w:spacing w:after="0"/>
              <w:rPr>
                <w:sz w:val="20"/>
                <w:szCs w:val="20"/>
                <w:color w:val="auto"/>
              </w:rPr>
            </w:pPr>
            <w:r>
              <w:rPr>
                <w:rFonts w:ascii="Arial" w:cs="Arial" w:eastAsia="Arial" w:hAnsi="Arial"/>
                <w:sz w:val="14"/>
                <w:szCs w:val="14"/>
                <w:b w:val="1"/>
                <w:bCs w:val="1"/>
                <w:color w:val="auto"/>
              </w:rPr>
              <w:t>Unit Volume</w:t>
            </w:r>
          </w:p>
        </w:tc>
        <w:tc>
          <w:tcPr>
            <w:tcW w:w="3360" w:type="dxa"/>
            <w:vAlign w:val="bottom"/>
            <w:gridSpan w:val="3"/>
          </w:tcPr>
          <w:p>
            <w:pPr>
              <w:jc w:val="right"/>
              <w:ind w:right="1052"/>
              <w:spacing w:after="0"/>
              <w:rPr>
                <w:sz w:val="20"/>
                <w:szCs w:val="20"/>
                <w:color w:val="auto"/>
              </w:rPr>
            </w:pPr>
            <w:r>
              <w:rPr>
                <w:rFonts w:ascii="Arial" w:cs="Arial" w:eastAsia="Arial" w:hAnsi="Arial"/>
                <w:sz w:val="14"/>
                <w:szCs w:val="14"/>
                <w:b w:val="1"/>
                <w:bCs w:val="1"/>
                <w:color w:val="auto"/>
              </w:rPr>
              <w:t>Dollar Volume (1)</w:t>
            </w:r>
          </w:p>
        </w:tc>
      </w:tr>
      <w:tr>
        <w:trPr>
          <w:trHeight w:val="188"/>
        </w:trPr>
        <w:tc>
          <w:tcPr>
            <w:tcW w:w="4440" w:type="dxa"/>
            <w:vAlign w:val="bottom"/>
            <w:gridSpan w:val="2"/>
          </w:tcPr>
          <w:p>
            <w:pPr>
              <w:ind w:left="1520"/>
              <w:spacing w:after="0"/>
              <w:rPr>
                <w:sz w:val="20"/>
                <w:szCs w:val="20"/>
                <w:color w:val="auto"/>
              </w:rPr>
            </w:pPr>
            <w:r>
              <w:rPr>
                <w:rFonts w:ascii="Arial" w:cs="Arial" w:eastAsia="Arial" w:hAnsi="Arial"/>
                <w:sz w:val="14"/>
                <w:szCs w:val="14"/>
                <w:b w:val="1"/>
                <w:bCs w:val="1"/>
                <w:color w:val="auto"/>
              </w:rPr>
              <w:t>Three Months Ended</w:t>
            </w:r>
          </w:p>
        </w:tc>
        <w:tc>
          <w:tcPr>
            <w:tcW w:w="1680" w:type="dxa"/>
            <w:vAlign w:val="bottom"/>
            <w:tcBorders>
              <w:top w:val="single" w:sz="8" w:color="auto"/>
            </w:tcBorders>
            <w:gridSpan w:val="2"/>
          </w:tcPr>
          <w:p>
            <w:pPr>
              <w:ind w:left="380"/>
              <w:spacing w:after="0"/>
              <w:rPr>
                <w:sz w:val="20"/>
                <w:szCs w:val="20"/>
                <w:color w:val="auto"/>
              </w:rPr>
            </w:pPr>
            <w:r>
              <w:rPr>
                <w:rFonts w:ascii="Arial" w:cs="Arial" w:eastAsia="Arial" w:hAnsi="Arial"/>
                <w:sz w:val="14"/>
                <w:szCs w:val="14"/>
                <w:b w:val="1"/>
                <w:bCs w:val="1"/>
                <w:color w:val="auto"/>
              </w:rPr>
              <w:t>Dealer Loans</w:t>
            </w:r>
          </w:p>
        </w:tc>
        <w:tc>
          <w:tcPr>
            <w:tcW w:w="164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Purchased Loans</w:t>
            </w:r>
          </w:p>
        </w:tc>
        <w:tc>
          <w:tcPr>
            <w:tcW w:w="100" w:type="dxa"/>
            <w:vAlign w:val="bottom"/>
          </w:tcPr>
          <w:p>
            <w:pPr>
              <w:spacing w:after="0"/>
              <w:rPr>
                <w:sz w:val="16"/>
                <w:szCs w:val="16"/>
                <w:color w:val="auto"/>
              </w:rPr>
            </w:pPr>
          </w:p>
        </w:tc>
        <w:tc>
          <w:tcPr>
            <w:tcW w:w="1720" w:type="dxa"/>
            <w:vAlign w:val="bottom"/>
            <w:tcBorders>
              <w:top w:val="single" w:sz="8" w:color="auto"/>
            </w:tcBorders>
            <w:gridSpan w:val="2"/>
          </w:tcPr>
          <w:p>
            <w:pPr>
              <w:ind w:left="400"/>
              <w:spacing w:after="0"/>
              <w:rPr>
                <w:sz w:val="20"/>
                <w:szCs w:val="20"/>
                <w:color w:val="auto"/>
              </w:rPr>
            </w:pPr>
            <w:r>
              <w:rPr>
                <w:rFonts w:ascii="Arial" w:cs="Arial" w:eastAsia="Arial" w:hAnsi="Arial"/>
                <w:sz w:val="14"/>
                <w:szCs w:val="14"/>
                <w:b w:val="1"/>
                <w:bCs w:val="1"/>
                <w:color w:val="auto"/>
              </w:rPr>
              <w:t>Dealer Loans</w:t>
            </w:r>
          </w:p>
        </w:tc>
        <w:tc>
          <w:tcPr>
            <w:tcW w:w="1640" w:type="dxa"/>
            <w:vAlign w:val="bottom"/>
            <w:tcBorders>
              <w:top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Purchased Loans</w:t>
            </w:r>
          </w:p>
        </w:tc>
      </w:tr>
      <w:tr>
        <w:trPr>
          <w:trHeight w:val="224"/>
        </w:trPr>
        <w:tc>
          <w:tcPr>
            <w:tcW w:w="4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35.1 %</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60.5 %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39.5 %</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June 30, 2020</w:t>
            </w:r>
          </w:p>
        </w:tc>
        <w:tc>
          <w:tcPr>
            <w:tcW w:w="1580" w:type="dxa"/>
            <w:vAlign w:val="bottom"/>
          </w:tcPr>
          <w:p>
            <w:pPr>
              <w:jc w:val="right"/>
              <w:spacing w:after="0"/>
              <w:rPr>
                <w:sz w:val="20"/>
                <w:szCs w:val="20"/>
                <w:color w:val="auto"/>
              </w:rPr>
            </w:pPr>
            <w:r>
              <w:rPr>
                <w:rFonts w:ascii="Arial" w:cs="Arial" w:eastAsia="Arial" w:hAnsi="Arial"/>
                <w:sz w:val="18"/>
                <w:szCs w:val="18"/>
                <w:color w:val="auto"/>
              </w:rPr>
              <w:t>62.5 %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37.5 %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59.1 %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40.9 %</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2020</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39.1 %</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December 31, 2020</w:t>
            </w:r>
          </w:p>
        </w:tc>
        <w:tc>
          <w:tcPr>
            <w:tcW w:w="1580" w:type="dxa"/>
            <w:vAlign w:val="bottom"/>
          </w:tcPr>
          <w:p>
            <w:pPr>
              <w:jc w:val="right"/>
              <w:spacing w:after="0"/>
              <w:rPr>
                <w:sz w:val="20"/>
                <w:szCs w:val="20"/>
                <w:color w:val="auto"/>
              </w:rPr>
            </w:pPr>
            <w:r>
              <w:rPr>
                <w:rFonts w:ascii="Arial" w:cs="Arial" w:eastAsia="Arial" w:hAnsi="Arial"/>
                <w:sz w:val="18"/>
                <w:szCs w:val="18"/>
                <w:color w:val="auto"/>
              </w:rPr>
              <w:t>65.3 %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34.7 %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62.7 %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37.3 %</w:t>
            </w:r>
          </w:p>
        </w:tc>
      </w:tr>
      <w:tr>
        <w:trPr>
          <w:trHeight w:val="230"/>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31,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37.3 %</w:t>
            </w:r>
          </w:p>
        </w:tc>
      </w:tr>
      <w:tr>
        <w:trPr>
          <w:trHeight w:val="230"/>
        </w:trPr>
        <w:tc>
          <w:tcPr>
            <w:tcW w:w="4440" w:type="dxa"/>
            <w:vAlign w:val="bottom"/>
            <w:gridSpan w:val="2"/>
          </w:tcPr>
          <w:p>
            <w:pPr>
              <w:ind w:left="20"/>
              <w:spacing w:after="0"/>
              <w:rPr>
                <w:sz w:val="20"/>
                <w:szCs w:val="20"/>
                <w:color w:val="auto"/>
              </w:rPr>
            </w:pPr>
            <w:r>
              <w:rPr>
                <w:rFonts w:ascii="Arial" w:cs="Arial" w:eastAsia="Arial" w:hAnsi="Arial"/>
                <w:sz w:val="18"/>
                <w:szCs w:val="18"/>
                <w:color w:val="auto"/>
              </w:rPr>
              <w:t>June 30, 2021</w:t>
            </w:r>
          </w:p>
        </w:tc>
        <w:tc>
          <w:tcPr>
            <w:tcW w:w="1580" w:type="dxa"/>
            <w:vAlign w:val="bottom"/>
          </w:tcPr>
          <w:p>
            <w:pPr>
              <w:jc w:val="right"/>
              <w:spacing w:after="0"/>
              <w:rPr>
                <w:sz w:val="20"/>
                <w:szCs w:val="20"/>
                <w:color w:val="auto"/>
              </w:rPr>
            </w:pPr>
            <w:r>
              <w:rPr>
                <w:rFonts w:ascii="Arial" w:cs="Arial" w:eastAsia="Arial" w:hAnsi="Arial"/>
                <w:sz w:val="18"/>
                <w:szCs w:val="18"/>
                <w:color w:val="auto"/>
              </w:rPr>
              <w:t>66.9 %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33.1 %</w:t>
            </w: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64.0 %</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36.0 %</w:t>
            </w:r>
          </w:p>
        </w:tc>
      </w:tr>
      <w:tr>
        <w:trPr>
          <w:trHeight w:val="229"/>
        </w:trPr>
        <w:tc>
          <w:tcPr>
            <w:tcW w:w="4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September 30, 2021</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30.1 %</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66.8 %</w:t>
            </w:r>
          </w:p>
        </w:tc>
        <w:tc>
          <w:tcPr>
            <w:tcW w:w="1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33.2 %</w:t>
            </w:r>
          </w:p>
        </w:tc>
      </w:tr>
    </w:tbl>
    <w:p>
      <w:pPr>
        <w:spacing w:after="0" w:line="319" w:lineRule="exact"/>
        <w:rPr>
          <w:sz w:val="20"/>
          <w:szCs w:val="20"/>
          <w:color w:val="auto"/>
        </w:rPr>
      </w:pPr>
    </w:p>
    <w:p>
      <w:pPr>
        <w:ind w:left="500" w:right="20" w:hanging="330"/>
        <w:spacing w:after="0" w:line="273" w:lineRule="auto"/>
        <w:tabs>
          <w:tab w:leader="none" w:pos="508"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Represents advances paid to dealers on Consumer Loans assigned under our portfolio program and one-time payments made to dealers to purchase Consumer Loans assigned under our purchase program. Payments of dealer holdback and accelerated dealer holdback are not included.</w:t>
      </w:r>
    </w:p>
    <w:p>
      <w:pPr>
        <w:spacing w:after="0" w:line="20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September 30, 2021 and December 31, 2020, the net dealer loans receivable balance was 61.2% and 61.4%, respectively, of the total net loans receivable balance.</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773"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auto"/>
        </w:rPr>
        <w:t>Financial Results</w:t>
      </w:r>
    </w:p>
    <w:p>
      <w:pPr>
        <w:spacing w:after="0" w:line="288"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2840" w:type="dxa"/>
            <w:vAlign w:val="bottom"/>
          </w:tcPr>
          <w:p>
            <w:pPr>
              <w:ind w:left="20"/>
              <w:spacing w:after="0"/>
              <w:rPr>
                <w:sz w:val="20"/>
                <w:szCs w:val="20"/>
                <w:color w:val="auto"/>
              </w:rPr>
            </w:pPr>
            <w:r>
              <w:rPr>
                <w:rFonts w:ascii="Arial" w:cs="Arial" w:eastAsia="Arial" w:hAnsi="Arial"/>
                <w:sz w:val="14"/>
                <w:szCs w:val="14"/>
                <w:color w:val="auto"/>
              </w:rPr>
              <w:t>(Dollars in millions, except per share data)</w:t>
            </w:r>
          </w:p>
        </w:tc>
        <w:tc>
          <w:tcPr>
            <w:tcW w:w="200" w:type="dxa"/>
            <w:vAlign w:val="bottom"/>
          </w:tcPr>
          <w:p>
            <w:pPr>
              <w:spacing w:after="0"/>
              <w:rPr>
                <w:sz w:val="16"/>
                <w:szCs w:val="16"/>
                <w:color w:val="auto"/>
              </w:rPr>
            </w:pPr>
          </w:p>
        </w:tc>
        <w:tc>
          <w:tcPr>
            <w:tcW w:w="3700" w:type="dxa"/>
            <w:vAlign w:val="bottom"/>
            <w:gridSpan w:val="7"/>
          </w:tcPr>
          <w:p>
            <w:pPr>
              <w:ind w:left="320"/>
              <w:spacing w:after="0"/>
              <w:rPr>
                <w:sz w:val="20"/>
                <w:szCs w:val="20"/>
                <w:color w:val="auto"/>
              </w:rPr>
            </w:pPr>
            <w:r>
              <w:rPr>
                <w:rFonts w:ascii="Arial" w:cs="Arial" w:eastAsia="Arial" w:hAnsi="Arial"/>
                <w:sz w:val="14"/>
                <w:szCs w:val="14"/>
                <w:b w:val="1"/>
                <w:bCs w:val="1"/>
                <w:color w:val="auto"/>
              </w:rPr>
              <w:t>For the Three Months Ended September 30,</w:t>
            </w:r>
          </w:p>
        </w:tc>
        <w:tc>
          <w:tcPr>
            <w:tcW w:w="200" w:type="dxa"/>
            <w:vAlign w:val="bottom"/>
          </w:tcPr>
          <w:p>
            <w:pPr>
              <w:spacing w:after="0"/>
              <w:rPr>
                <w:sz w:val="16"/>
                <w:szCs w:val="16"/>
                <w:color w:val="auto"/>
              </w:rPr>
            </w:pPr>
          </w:p>
        </w:tc>
        <w:tc>
          <w:tcPr>
            <w:tcW w:w="3600" w:type="dxa"/>
            <w:vAlign w:val="bottom"/>
            <w:gridSpan w:val="6"/>
          </w:tcPr>
          <w:p>
            <w:pPr>
              <w:jc w:val="right"/>
              <w:ind w:right="519"/>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87"/>
        </w:trPr>
        <w:tc>
          <w:tcPr>
            <w:tcW w:w="284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220" w:type="dxa"/>
            <w:vAlign w:val="bottom"/>
            <w:tcBorders>
              <w:top w:val="single" w:sz="8" w:color="auto"/>
              <w:bottom w:val="single" w:sz="8" w:color="auto"/>
            </w:tcBorders>
          </w:tcPr>
          <w:p>
            <w:pPr>
              <w:spacing w:after="0"/>
              <w:rPr>
                <w:sz w:val="16"/>
                <w:szCs w:val="16"/>
                <w:color w:val="auto"/>
              </w:rPr>
            </w:pPr>
          </w:p>
        </w:tc>
        <w:tc>
          <w:tcPr>
            <w:tcW w:w="940" w:type="dxa"/>
            <w:vAlign w:val="bottom"/>
            <w:tcBorders>
              <w:top w:val="single" w:sz="8" w:color="auto"/>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2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 average debt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4,735.2</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4,706.4</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30"/>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8"/>
              </w:rPr>
              <w:t>GAAP average shareholders' equity</w:t>
            </w: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2,224.5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2,188.7</w:t>
            </w:r>
          </w:p>
        </w:tc>
        <w:tc>
          <w:tcPr>
            <w:tcW w:w="13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1.6 %</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2,144.7</w:t>
            </w:r>
          </w:p>
        </w:tc>
        <w:tc>
          <w:tcPr>
            <w:tcW w:w="138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23"/>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Average capital</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6,923.9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rPr>
              <w:t>GAAP net income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250.0</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242.1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3.3 %</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740.7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254.7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190.8 %</w:t>
            </w:r>
          </w:p>
        </w:tc>
        <w:tc>
          <w:tcPr>
            <w:tcW w:w="0" w:type="dxa"/>
            <w:vAlign w:val="bottom"/>
          </w:tcPr>
          <w:p>
            <w:pPr>
              <w:spacing w:after="0"/>
              <w:rPr>
                <w:sz w:val="1"/>
                <w:szCs w:val="1"/>
                <w:color w:val="auto"/>
              </w:rPr>
            </w:pPr>
          </w:p>
        </w:tc>
      </w:tr>
      <w:tr>
        <w:trPr>
          <w:trHeight w:val="175"/>
        </w:trPr>
        <w:tc>
          <w:tcPr>
            <w:tcW w:w="28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Diluted weighted average shares</w:t>
            </w: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15,829,166</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17,849,765</w:t>
            </w:r>
          </w:p>
        </w:tc>
        <w:tc>
          <w:tcPr>
            <w:tcW w:w="136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16,559,639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17,973,091</w:t>
            </w:r>
          </w:p>
        </w:tc>
        <w:tc>
          <w:tcPr>
            <w:tcW w:w="13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30"/>
        </w:trPr>
        <w:tc>
          <w:tcPr>
            <w:tcW w:w="28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36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38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tcPr>
          <w:p>
            <w:pPr>
              <w:ind w:left="20"/>
              <w:spacing w:after="0"/>
              <w:rPr>
                <w:sz w:val="20"/>
                <w:szCs w:val="20"/>
                <w:color w:val="auto"/>
              </w:rPr>
            </w:pPr>
            <w:r>
              <w:rPr>
                <w:rFonts w:ascii="Arial" w:cs="Arial" w:eastAsia="Arial" w:hAnsi="Arial"/>
                <w:sz w:val="18"/>
                <w:szCs w:val="18"/>
                <w:color w:val="auto"/>
                <w:w w:val="99"/>
              </w:rPr>
              <w:t>GAAP net income per diluted share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15.79</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13.56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16.4 %</w:t>
            </w:r>
          </w:p>
        </w:tc>
        <w:tc>
          <w:tcPr>
            <w:tcW w:w="12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44.73</w:t>
            </w:r>
          </w:p>
        </w:tc>
        <w:tc>
          <w:tcPr>
            <w:tcW w:w="10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14.17</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215.7 %</w:t>
            </w:r>
          </w:p>
        </w:tc>
        <w:tc>
          <w:tcPr>
            <w:tcW w:w="0" w:type="dxa"/>
            <w:vAlign w:val="bottom"/>
          </w:tcPr>
          <w:p>
            <w:pPr>
              <w:spacing w:after="0"/>
              <w:rPr>
                <w:sz w:val="1"/>
                <w:szCs w:val="1"/>
                <w:color w:val="auto"/>
              </w:rPr>
            </w:pPr>
          </w:p>
        </w:tc>
      </w:tr>
    </w:tbl>
    <w:p>
      <w:pPr>
        <w:spacing w:after="0" w:line="322"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The increase in GAAP net income for the three months ended September 30, 2021, as compared to the same period in 2020, was primarily the result of the following:</w:t>
      </w:r>
    </w:p>
    <w:p>
      <w:pPr>
        <w:spacing w:after="0" w:line="1" w:lineRule="exact"/>
        <w:rPr>
          <w:sz w:val="20"/>
          <w:szCs w:val="20"/>
          <w:color w:val="auto"/>
        </w:rPr>
      </w:pPr>
    </w:p>
    <w:p>
      <w:pPr>
        <w:jc w:val="both"/>
        <w:ind w:left="340" w:right="20" w:hanging="332"/>
        <w:spacing w:after="0" w:line="250" w:lineRule="auto"/>
        <w:tabs>
          <w:tab w:leader="none" w:pos="335"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An increase in finance charges of 9.3% ($37.7 million), primarily due to an increase in the average yield on our loan portfolio, primarily due to the adoption of CECL on January 1, 2020, which requires us to recognize finance charges on new Consumer Loan assignments using effective interest rates based on contractual future net cash flows, which are significantly in excess of our expected yields.</w:t>
      </w:r>
    </w:p>
    <w:p>
      <w:pPr>
        <w:spacing w:after="0" w:line="1" w:lineRule="exact"/>
        <w:rPr>
          <w:rFonts w:ascii="Arial" w:cs="Arial" w:eastAsia="Arial" w:hAnsi="Arial"/>
          <w:sz w:val="18"/>
          <w:szCs w:val="18"/>
          <w:i w:val="1"/>
          <w:iCs w:val="1"/>
          <w:color w:val="auto"/>
        </w:rPr>
      </w:pPr>
    </w:p>
    <w:p>
      <w:pPr>
        <w:ind w:left="340" w:hanging="332"/>
        <w:spacing w:after="0" w:line="250"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interest expense of 15.0% ($7.0 million), primarily due to a decrease in our average cost of debt. The decrease in our average cost of debt was primarily the result of lower interest rates on recently-completed secured financings.</w:t>
      </w:r>
    </w:p>
    <w:p>
      <w:pPr>
        <w:ind w:left="340" w:right="20" w:hanging="332"/>
        <w:spacing w:after="0" w:line="250" w:lineRule="auto"/>
        <w:tabs>
          <w:tab w:leader="none" w:pos="3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increase in other income of 80.0% ($5.6 million), primarily due to an increase in ancillary product profit sharing income due to a decrease in average vehicle service contract claim rates.</w:t>
      </w:r>
    </w:p>
    <w:p>
      <w:pPr>
        <w:ind w:left="320" w:hanging="312"/>
        <w:spacing w:after="0"/>
        <w:tabs>
          <w:tab w:leader="none" w:pos="3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An increase in provision for income taxes of 7.7% ($5.9 million), due to an increase in our taxable income and an increase in our effective tax rate.</w:t>
      </w:r>
    </w:p>
    <w:p>
      <w:pPr>
        <w:spacing w:after="0" w:line="32" w:lineRule="exact"/>
        <w:rPr>
          <w:rFonts w:ascii="Arial" w:cs="Arial" w:eastAsia="Arial" w:hAnsi="Arial"/>
          <w:sz w:val="16"/>
          <w:szCs w:val="16"/>
          <w:color w:val="auto"/>
        </w:rPr>
      </w:pPr>
    </w:p>
    <w:p>
      <w:pPr>
        <w:jc w:val="both"/>
        <w:ind w:left="340" w:hanging="332"/>
        <w:spacing w:after="0" w:line="265" w:lineRule="auto"/>
        <w:tabs>
          <w:tab w:leader="none" w:pos="33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 increase in operating expenses of 19.9% ($16.0 million), due to an increase in salaries and wages expense of 35.6% ($16.6 million), primarily due to a $14.7 million increase in stock-based compensation expense related to stock options. From December 2020 through June 2021, we granted stock options, subject to shareholder approval of an amendment to our incentive compensation plan, that vest and become exercisable in four equal annual installments beginning on the first anniversary of the date on which the options were granted. Stock compensation expense is normally recognized over the vesting period starting from the grant date. However, since our grants were dependent upon shareholder approval, no stock compensation expense could be recognized until we received shareholder approval at the annual meeting in July 2021. At that time, we began recognizing the fair value of the stock options as stock-based compensation expense over the remaining vesting period. This resulted in the expense for the first annual vesting installment being recognized over a shorter time period as it is being recognized over the period from July 2021 through the first anniversary of the date on which the options were granted. The expense for subsequent annual vesting installments will be recognized over their respective annual vesting periods.</w:t>
      </w:r>
    </w:p>
    <w:p>
      <w:pPr>
        <w:spacing w:after="0" w:line="1" w:lineRule="exact"/>
        <w:rPr>
          <w:rFonts w:ascii="Arial" w:cs="Arial" w:eastAsia="Arial" w:hAnsi="Arial"/>
          <w:sz w:val="17"/>
          <w:szCs w:val="17"/>
          <w:color w:val="auto"/>
        </w:rPr>
      </w:pPr>
    </w:p>
    <w:p>
      <w:pPr>
        <w:ind w:left="320" w:hanging="312"/>
        <w:spacing w:after="0"/>
        <w:tabs>
          <w:tab w:leader="none" w:pos="3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decrease in the reversal of provision for credit losses of 72.1% ($21.5 million), due to:</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decrease in the reversal of provision for credit losses on forecast changes of $60.1 million, primarily due to a smaller improvement in Consumer Loan performance.</w:t>
      </w:r>
    </w:p>
    <w:p>
      <w:pPr>
        <w:jc w:val="both"/>
        <w:ind w:left="660" w:hanging="328"/>
        <w:spacing w:after="0" w:line="255" w:lineRule="auto"/>
        <w:tabs>
          <w:tab w:leader="none" w:pos="655" w:val="left"/>
        </w:tabs>
        <w:numPr>
          <w:ilvl w:val="1"/>
          <w:numId w:val="11"/>
        </w:numPr>
        <w:rPr>
          <w:rFonts w:ascii="Arial" w:cs="Arial" w:eastAsia="Arial" w:hAnsi="Arial"/>
          <w:sz w:val="18"/>
          <w:szCs w:val="18"/>
          <w:color w:val="auto"/>
        </w:rPr>
      </w:pPr>
      <w:r>
        <w:rPr>
          <w:rFonts w:ascii="Arial" w:cs="Arial" w:eastAsia="Arial" w:hAnsi="Arial"/>
          <w:sz w:val="18"/>
          <w:szCs w:val="18"/>
          <w:color w:val="auto"/>
        </w:rPr>
        <w:t>A decrease in provision for credit losses on new Consumer Loan assignments of $38.6 million, due to a decrease in Consumer Loan assignment unit volume and a decrease in the average provision for credit losses per Consumer Loan assignment primarily due to a higher initial forecast on 2021 Consumer Loan assignments.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769" w:right="339" w:bottom="1440" w:gutter="0" w:footer="0" w:header="0"/>
        </w:sectPr>
      </w:pPr>
    </w:p>
    <w:bookmarkStart w:id="11" w:name="page12"/>
    <w:bookmarkEnd w:id="11"/>
    <w:p>
      <w:pPr>
        <w:spacing w:after="0" w:line="258" w:lineRule="auto"/>
        <w:rPr>
          <w:sz w:val="20"/>
          <w:szCs w:val="20"/>
          <w:color w:val="auto"/>
        </w:rPr>
      </w:pPr>
      <w:r>
        <w:rPr>
          <w:rFonts w:ascii="Arial" w:cs="Arial" w:eastAsia="Arial" w:hAnsi="Arial"/>
          <w:sz w:val="18"/>
          <w:szCs w:val="18"/>
          <w:color w:val="auto"/>
        </w:rPr>
        <w:t>The increase in GAAP net income for the nine months ended September 30, 2021, as compared to the same period in 2020, was primarily the result of the following:</w:t>
      </w:r>
    </w:p>
    <w:p>
      <w:pPr>
        <w:spacing w:after="0" w:line="1" w:lineRule="exact"/>
        <w:rPr>
          <w:sz w:val="20"/>
          <w:szCs w:val="20"/>
          <w:color w:val="auto"/>
        </w:rPr>
      </w:pPr>
    </w:p>
    <w:p>
      <w:pPr>
        <w:ind w:left="320" w:hanging="312"/>
        <w:spacing w:after="0"/>
        <w:tabs>
          <w:tab w:leader="none" w:pos="320" w:val="left"/>
        </w:tabs>
        <w:numPr>
          <w:ilvl w:val="0"/>
          <w:numId w:val="12"/>
        </w:numPr>
        <w:rPr>
          <w:rFonts w:ascii="Arial" w:cs="Arial" w:eastAsia="Arial" w:hAnsi="Arial"/>
          <w:sz w:val="18"/>
          <w:szCs w:val="18"/>
          <w:i w:val="1"/>
          <w:iCs w:val="1"/>
          <w:color w:val="auto"/>
        </w:rPr>
      </w:pPr>
      <w:r>
        <w:rPr>
          <w:rFonts w:ascii="Arial" w:cs="Arial" w:eastAsia="Arial" w:hAnsi="Arial"/>
          <w:sz w:val="18"/>
          <w:szCs w:val="18"/>
          <w:color w:val="auto"/>
        </w:rPr>
        <w:t>A decrease in provision for credit losses of 103.8% ($481.8 million), due to:</w:t>
      </w:r>
    </w:p>
    <w:p>
      <w:pPr>
        <w:spacing w:after="0" w:line="9" w:lineRule="exact"/>
        <w:rPr>
          <w:rFonts w:ascii="Arial" w:cs="Arial" w:eastAsia="Arial" w:hAnsi="Arial"/>
          <w:sz w:val="18"/>
          <w:szCs w:val="18"/>
          <w:i w:val="1"/>
          <w:iCs w:val="1"/>
          <w:color w:val="auto"/>
        </w:rPr>
      </w:pPr>
    </w:p>
    <w:p>
      <w:pPr>
        <w:ind w:left="660" w:hanging="328"/>
        <w:spacing w:after="0"/>
        <w:tabs>
          <w:tab w:leader="none" w:pos="66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 decrease in provision for credit losses on forecast changes of $354.5 million, primarily due to an improvement in Consumer Loan performance.</w:t>
      </w:r>
    </w:p>
    <w:p>
      <w:pPr>
        <w:spacing w:after="0" w:line="32" w:lineRule="exact"/>
        <w:rPr>
          <w:rFonts w:ascii="Arial" w:cs="Arial" w:eastAsia="Arial" w:hAnsi="Arial"/>
          <w:sz w:val="16"/>
          <w:szCs w:val="16"/>
          <w:color w:val="auto"/>
        </w:rPr>
      </w:pPr>
    </w:p>
    <w:p>
      <w:pPr>
        <w:jc w:val="both"/>
        <w:ind w:left="660" w:hanging="328"/>
        <w:spacing w:after="0" w:line="250" w:lineRule="auto"/>
        <w:tabs>
          <w:tab w:leader="none" w:pos="655" w:val="left"/>
        </w:tabs>
        <w:numPr>
          <w:ilvl w:val="1"/>
          <w:numId w:val="12"/>
        </w:numPr>
        <w:rPr>
          <w:rFonts w:ascii="Arial" w:cs="Arial" w:eastAsia="Arial" w:hAnsi="Arial"/>
          <w:sz w:val="18"/>
          <w:szCs w:val="18"/>
          <w:color w:val="auto"/>
        </w:rPr>
      </w:pPr>
      <w:r>
        <w:rPr>
          <w:rFonts w:ascii="Arial" w:cs="Arial" w:eastAsia="Arial" w:hAnsi="Arial"/>
          <w:sz w:val="18"/>
          <w:szCs w:val="18"/>
          <w:color w:val="auto"/>
        </w:rPr>
        <w:t>A decrease in provision for credit losses on new Consumer Loan assignments of $127.3 million, due to a decrease in Consumer Loan assignment unit volume and a decrease in the average provision for credit losses per Consumer Loan assignment primarily due to a higher initial forecast on 2021 Consumer Loan assignments.</w:t>
      </w:r>
    </w:p>
    <w:p>
      <w:pPr>
        <w:spacing w:after="0" w:line="1" w:lineRule="exact"/>
        <w:rPr>
          <w:rFonts w:ascii="Arial" w:cs="Arial" w:eastAsia="Arial" w:hAnsi="Arial"/>
          <w:sz w:val="18"/>
          <w:szCs w:val="18"/>
          <w:color w:val="auto"/>
        </w:rPr>
      </w:pPr>
    </w:p>
    <w:p>
      <w:pPr>
        <w:jc w:val="both"/>
        <w:ind w:left="340" w:hanging="332"/>
        <w:spacing w:after="0" w:line="265" w:lineRule="auto"/>
        <w:tabs>
          <w:tab w:leader="none" w:pos="335" w:val="left"/>
        </w:tabs>
        <w:numPr>
          <w:ilvl w:val="0"/>
          <w:numId w:val="12"/>
        </w:numPr>
        <w:rPr>
          <w:rFonts w:ascii="Arial" w:cs="Arial" w:eastAsia="Arial" w:hAnsi="Arial"/>
          <w:sz w:val="17"/>
          <w:szCs w:val="17"/>
          <w:color w:val="auto"/>
        </w:rPr>
      </w:pPr>
      <w:r>
        <w:rPr>
          <w:rFonts w:ascii="Arial" w:cs="Arial" w:eastAsia="Arial" w:hAnsi="Arial"/>
          <w:sz w:val="17"/>
          <w:szCs w:val="17"/>
          <w:color w:val="auto"/>
        </w:rPr>
        <w:t>An increase in finance charges of 14.7% ($167.9 million), primarily the result of an increase in the average yield on our loan portfolio, primarily due to the adoption of CECL on January 1, 2020, which requires us to recognize finance charges on new Consumer Loan assignments using effective interest rates based on contractual future net cash flows, which are significantly in excess of our expected yields.</w:t>
      </w:r>
    </w:p>
    <w:p>
      <w:pPr>
        <w:ind w:left="340" w:hanging="332"/>
        <w:spacing w:after="0" w:line="250" w:lineRule="auto"/>
        <w:tabs>
          <w:tab w:leader="none" w:pos="3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A decrease in interest expense of 14.5% ($21.3 million), primarily due to a decrease in our average cost of debt. The decrease in our average cost of debt was primarily the result of lower interest rates on recently-completed secured financings.</w:t>
      </w: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operating expenses of 15.8% ($38.1 million), primarily due to:</w:t>
      </w:r>
    </w:p>
    <w:p>
      <w:pPr>
        <w:spacing w:after="0" w:line="9" w:lineRule="exact"/>
        <w:rPr>
          <w:rFonts w:ascii="Arial" w:cs="Arial" w:eastAsia="Arial" w:hAnsi="Arial"/>
          <w:sz w:val="18"/>
          <w:szCs w:val="18"/>
          <w:color w:val="auto"/>
        </w:rPr>
      </w:pPr>
    </w:p>
    <w:p>
      <w:pPr>
        <w:ind w:left="660" w:hanging="328"/>
        <w:spacing w:after="0" w:line="265" w:lineRule="auto"/>
        <w:tabs>
          <w:tab w:leader="none" w:pos="655" w:val="left"/>
        </w:tabs>
        <w:numPr>
          <w:ilvl w:val="1"/>
          <w:numId w:val="12"/>
        </w:numPr>
        <w:rPr>
          <w:rFonts w:ascii="Arial" w:cs="Arial" w:eastAsia="Arial" w:hAnsi="Arial"/>
          <w:sz w:val="17"/>
          <w:szCs w:val="17"/>
          <w:i w:val="1"/>
          <w:iCs w:val="1"/>
          <w:color w:val="auto"/>
        </w:rPr>
      </w:pPr>
      <w:r>
        <w:rPr>
          <w:rFonts w:ascii="Arial" w:cs="Arial" w:eastAsia="Arial" w:hAnsi="Arial"/>
          <w:sz w:val="17"/>
          <w:szCs w:val="17"/>
          <w:color w:val="auto"/>
        </w:rPr>
        <w:t>An increase in general and administrative expense of 70.7% ($33.1 million), primarily due to an increase in legal expenses, which included a $27.2 million settlement with the Commonwealth of Massachusetts to settle and fully resolve the claims asserted against the Company.</w:t>
      </w:r>
    </w:p>
    <w:p>
      <w:pPr>
        <w:ind w:left="660" w:hanging="328"/>
        <w:spacing w:after="0" w:line="236" w:lineRule="auto"/>
        <w:tabs>
          <w:tab w:leader="none" w:pos="660" w:val="left"/>
        </w:tabs>
        <w:numPr>
          <w:ilvl w:val="1"/>
          <w:numId w:val="12"/>
        </w:numPr>
        <w:rPr>
          <w:rFonts w:ascii="Arial" w:cs="Arial" w:eastAsia="Arial" w:hAnsi="Arial"/>
          <w:sz w:val="18"/>
          <w:szCs w:val="18"/>
          <w:i w:val="1"/>
          <w:iCs w:val="1"/>
          <w:color w:val="auto"/>
        </w:rPr>
      </w:pPr>
      <w:r>
        <w:rPr>
          <w:rFonts w:ascii="Arial" w:cs="Arial" w:eastAsia="Arial" w:hAnsi="Arial"/>
          <w:sz w:val="18"/>
          <w:szCs w:val="18"/>
          <w:color w:val="auto"/>
        </w:rPr>
        <w:t>An increase in salaries and wages expense of 7.5% ($10.5 million), primarily due to:</w:t>
      </w:r>
    </w:p>
    <w:p>
      <w:pPr>
        <w:jc w:val="both"/>
        <w:ind w:left="980" w:hanging="324"/>
        <w:spacing w:after="0" w:line="224" w:lineRule="auto"/>
        <w:tabs>
          <w:tab w:leader="none" w:pos="975"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 increase of $13.8 million, excluding fringe benefits and cash-based incentive compensation expense, related to increases of $7.7 million for our support function, $4.4 million for our servicing function and $1.7 million for our originations function. The increase in our support function was primarily related to a $7.0 million increase related to our information technology department.</w:t>
      </w:r>
    </w:p>
    <w:p>
      <w:pPr>
        <w:ind w:left="980" w:hanging="324"/>
        <w:spacing w:after="0"/>
        <w:tabs>
          <w:tab w:leader="none" w:pos="980" w:val="left"/>
        </w:tabs>
        <w:numPr>
          <w:ilvl w:val="2"/>
          <w:numId w:val="12"/>
        </w:numPr>
        <w:rPr>
          <w:rFonts w:ascii="Arial" w:cs="Arial" w:eastAsia="Arial" w:hAnsi="Arial"/>
          <w:sz w:val="18"/>
          <w:szCs w:val="18"/>
          <w:color w:val="auto"/>
        </w:rPr>
      </w:pPr>
      <w:r>
        <w:rPr>
          <w:rFonts w:ascii="Arial" w:cs="Arial" w:eastAsia="Arial" w:hAnsi="Arial"/>
          <w:sz w:val="18"/>
          <w:szCs w:val="18"/>
          <w:color w:val="auto"/>
        </w:rPr>
        <w:t>An increase of $4.0 million in fringe benefits primarily due to higher medical claims.</w:t>
      </w:r>
    </w:p>
    <w:p>
      <w:pPr>
        <w:spacing w:after="0" w:line="7" w:lineRule="exact"/>
        <w:rPr>
          <w:rFonts w:ascii="Arial" w:cs="Arial" w:eastAsia="Arial" w:hAnsi="Arial"/>
          <w:sz w:val="18"/>
          <w:szCs w:val="18"/>
          <w:color w:val="auto"/>
        </w:rPr>
      </w:pPr>
    </w:p>
    <w:p>
      <w:pPr>
        <w:jc w:val="both"/>
        <w:ind w:left="980" w:hanging="324"/>
        <w:spacing w:after="0" w:line="250" w:lineRule="auto"/>
        <w:tabs>
          <w:tab w:leader="none" w:pos="975" w:val="left"/>
        </w:tabs>
        <w:numPr>
          <w:ilvl w:val="2"/>
          <w:numId w:val="12"/>
        </w:numPr>
        <w:rPr>
          <w:rFonts w:ascii="Arial" w:cs="Arial" w:eastAsia="Arial" w:hAnsi="Arial"/>
          <w:sz w:val="18"/>
          <w:szCs w:val="18"/>
          <w:color w:val="auto"/>
        </w:rPr>
      </w:pPr>
      <w:r>
        <w:rPr>
          <w:rFonts w:ascii="Arial" w:cs="Arial" w:eastAsia="Arial" w:hAnsi="Arial"/>
          <w:sz w:val="18"/>
          <w:szCs w:val="18"/>
          <w:color w:val="auto"/>
        </w:rPr>
        <w:t>A decrease of $7.3 million in cash-based incentive compensation expense, primarily due to a change in the incentive compensation program for senior management, which eliminated annual cash awards in favor of longer-term equity awards, partially offset by an increase in profit sharing primarily due to an improvement in Company performance measures.</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 increase in provision for income taxes of 199.2% ($156.8 million), primarily due to an increase in our taxable income.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773" w:right="33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7"/>
          <w:szCs w:val="17"/>
          <w:color w:val="auto"/>
        </w:rPr>
        <w:t>Adjusted financial results are provided to help shareholders understand our financial performance. The financial data below is non-GAAP, unless labeled otherwise. We use adjusted financial information internally to measure financial performance and to determine incentive compensation. In addition, effective January 1, 2020, certain debt facilities utilize adjusted financial information for the determination of loan collateral values. The table below shows our results following adjustments to reflect non-GAAP accounting methods. Material adjustments are explained in the table footnotes and the subsequent “Floating Yield Adjustment” and “Senior Notes Adjustment” sections. Measures such as adjusted average capital, adjusted net income, adjusted net income per diluted share, adjusted interest expense (after-tax), adjusted net income plus interest expense (after-tax), adjusted return on capital, adjusted revenue, operating expenses, adjusted loans receivable and economic profit are all non-GAAP financial measures. These non-GAAP financial measures should be viewed in addition to, and not as an alternative for, our reported results prepared in accordance with GAAP.</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Adjusted financial results for the three and nine months ended September 30, 2021, compared to the same periods in 2020, include the following: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20" w:type="dxa"/>
            <w:vAlign w:val="bottom"/>
          </w:tcPr>
          <w:p>
            <w:pPr>
              <w:ind w:left="20"/>
              <w:spacing w:after="0"/>
              <w:rPr>
                <w:sz w:val="20"/>
                <w:szCs w:val="20"/>
                <w:color w:val="auto"/>
              </w:rPr>
            </w:pPr>
            <w:r>
              <w:rPr>
                <w:rFonts w:ascii="Arial" w:cs="Arial" w:eastAsia="Arial" w:hAnsi="Arial"/>
                <w:sz w:val="14"/>
                <w:szCs w:val="14"/>
                <w:color w:val="auto"/>
              </w:rPr>
              <w:t>(Dollars in millions, except per share data)</w:t>
            </w:r>
          </w:p>
        </w:tc>
        <w:tc>
          <w:tcPr>
            <w:tcW w:w="280" w:type="dxa"/>
            <w:vAlign w:val="bottom"/>
          </w:tcPr>
          <w:p>
            <w:pPr>
              <w:spacing w:after="0"/>
              <w:rPr>
                <w:sz w:val="16"/>
                <w:szCs w:val="16"/>
                <w:color w:val="auto"/>
              </w:rPr>
            </w:pPr>
          </w:p>
        </w:tc>
        <w:tc>
          <w:tcPr>
            <w:tcW w:w="3860" w:type="dxa"/>
            <w:vAlign w:val="bottom"/>
            <w:gridSpan w:val="7"/>
          </w:tcPr>
          <w:p>
            <w:pPr>
              <w:ind w:left="380"/>
              <w:spacing w:after="0"/>
              <w:rPr>
                <w:sz w:val="20"/>
                <w:szCs w:val="20"/>
                <w:color w:val="auto"/>
              </w:rPr>
            </w:pPr>
            <w:r>
              <w:rPr>
                <w:rFonts w:ascii="Arial" w:cs="Arial" w:eastAsia="Arial" w:hAnsi="Arial"/>
                <w:sz w:val="14"/>
                <w:szCs w:val="14"/>
                <w:b w:val="1"/>
                <w:bCs w:val="1"/>
                <w:color w:val="auto"/>
              </w:rPr>
              <w:t>For the Three Months Ended September 30,</w:t>
            </w:r>
          </w:p>
        </w:tc>
        <w:tc>
          <w:tcPr>
            <w:tcW w:w="300" w:type="dxa"/>
            <w:vAlign w:val="bottom"/>
          </w:tcPr>
          <w:p>
            <w:pPr>
              <w:spacing w:after="0"/>
              <w:rPr>
                <w:sz w:val="16"/>
                <w:szCs w:val="16"/>
                <w:color w:val="auto"/>
              </w:rPr>
            </w:pPr>
          </w:p>
        </w:tc>
        <w:tc>
          <w:tcPr>
            <w:tcW w:w="3760" w:type="dxa"/>
            <w:vAlign w:val="bottom"/>
            <w:gridSpan w:val="6"/>
          </w:tcPr>
          <w:p>
            <w:pPr>
              <w:jc w:val="right"/>
              <w:ind w:right="612"/>
              <w:spacing w:after="0"/>
              <w:rPr>
                <w:sz w:val="20"/>
                <w:szCs w:val="20"/>
                <w:color w:val="auto"/>
              </w:rPr>
            </w:pPr>
            <w:r>
              <w:rPr>
                <w:rFonts w:ascii="Arial" w:cs="Arial" w:eastAsia="Arial" w:hAnsi="Arial"/>
                <w:sz w:val="14"/>
                <w:szCs w:val="14"/>
                <w:b w:val="1"/>
                <w:bCs w:val="1"/>
                <w:color w:val="auto"/>
              </w:rPr>
              <w:t>For the Nine Months Ended September 30,</w:t>
            </w:r>
          </w:p>
        </w:tc>
        <w:tc>
          <w:tcPr>
            <w:tcW w:w="0" w:type="dxa"/>
            <w:vAlign w:val="bottom"/>
          </w:tcPr>
          <w:p>
            <w:pPr>
              <w:spacing w:after="0"/>
              <w:rPr>
                <w:sz w:val="1"/>
                <w:szCs w:val="1"/>
                <w:color w:val="auto"/>
              </w:rPr>
            </w:pPr>
          </w:p>
        </w:tc>
      </w:tr>
      <w:tr>
        <w:trPr>
          <w:trHeight w:val="187"/>
        </w:trPr>
        <w:tc>
          <w:tcPr>
            <w:tcW w:w="3020" w:type="dxa"/>
            <w:vAlign w:val="bottom"/>
            <w:tcBorders>
              <w:bottom w:val="single" w:sz="8" w:color="CCEEFF"/>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CEEFF"/>
            </w:tcBorders>
          </w:tcPr>
          <w:p>
            <w:pPr>
              <w:spacing w:after="0"/>
              <w:rPr>
                <w:sz w:val="16"/>
                <w:szCs w:val="16"/>
                <w:color w:val="auto"/>
              </w:rPr>
            </w:pPr>
          </w:p>
        </w:tc>
        <w:tc>
          <w:tcPr>
            <w:tcW w:w="126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Change</w:t>
            </w:r>
          </w:p>
        </w:tc>
        <w:tc>
          <w:tcPr>
            <w:tcW w:w="100" w:type="dxa"/>
            <w:vAlign w:val="bottom"/>
            <w:tcBorders>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CEEFF"/>
            </w:tcBorders>
          </w:tcPr>
          <w:p>
            <w:pPr>
              <w:spacing w:after="0"/>
              <w:rPr>
                <w:sz w:val="16"/>
                <w:szCs w:val="16"/>
                <w:color w:val="auto"/>
              </w:rPr>
            </w:pPr>
          </w:p>
        </w:tc>
        <w:tc>
          <w:tcPr>
            <w:tcW w:w="124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24"/>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average capital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7,029.8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7,184.8</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7,221.8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7,043.3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Adjusted net income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219.1</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167.0</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31.2 %</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3"/>
              <w:spacing w:after="0"/>
              <w:rPr>
                <w:sz w:val="20"/>
                <w:szCs w:val="20"/>
                <w:color w:val="auto"/>
              </w:rPr>
            </w:pPr>
            <w:r>
              <w:rPr>
                <w:rFonts w:ascii="Arial" w:cs="Arial" w:eastAsia="Arial" w:hAnsi="Arial"/>
                <w:sz w:val="18"/>
                <w:szCs w:val="18"/>
                <w:color w:val="auto"/>
              </w:rPr>
              <w:t>614.2</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32"/>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23.6 %</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interest expense (after-tax)</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98.3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114.3</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rPr>
              <w:t>Adjusted net income plus interest</w:t>
            </w:r>
          </w:p>
        </w:tc>
        <w:tc>
          <w:tcPr>
            <w:tcW w:w="280" w:type="dxa"/>
            <w:vAlign w:val="bottom"/>
            <w:vMerge w:val="restart"/>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tcPr>
          <w:p>
            <w:pPr>
              <w:jc w:val="right"/>
              <w:ind w:right="133"/>
              <w:spacing w:after="0"/>
              <w:rPr>
                <w:sz w:val="20"/>
                <w:szCs w:val="20"/>
                <w:color w:val="auto"/>
              </w:rPr>
            </w:pPr>
            <w:r>
              <w:rPr>
                <w:rFonts w:ascii="Arial" w:cs="Arial" w:eastAsia="Arial" w:hAnsi="Arial"/>
                <w:sz w:val="18"/>
                <w:szCs w:val="18"/>
                <w:color w:val="auto"/>
              </w:rPr>
              <w:t>250.3</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32"/>
              <w:spacing w:after="0"/>
              <w:rPr>
                <w:sz w:val="20"/>
                <w:szCs w:val="20"/>
                <w:color w:val="auto"/>
              </w:rPr>
            </w:pPr>
            <w:r>
              <w:rPr>
                <w:rFonts w:ascii="Arial" w:cs="Arial" w:eastAsia="Arial" w:hAnsi="Arial"/>
                <w:sz w:val="18"/>
                <w:szCs w:val="18"/>
                <w:color w:val="auto"/>
              </w:rPr>
              <w:t>203.5</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33"/>
              <w:spacing w:after="0"/>
              <w:rPr>
                <w:sz w:val="20"/>
                <w:szCs w:val="20"/>
                <w:color w:val="auto"/>
              </w:rPr>
            </w:pPr>
            <w:r>
              <w:rPr>
                <w:rFonts w:ascii="Arial" w:cs="Arial" w:eastAsia="Arial" w:hAnsi="Arial"/>
                <w:sz w:val="18"/>
                <w:szCs w:val="18"/>
                <w:color w:val="auto"/>
              </w:rPr>
              <w:t>712.5</w:t>
            </w:r>
          </w:p>
        </w:tc>
        <w:tc>
          <w:tcPr>
            <w:tcW w:w="100" w:type="dxa"/>
            <w:vAlign w:val="bottom"/>
          </w:tcPr>
          <w:p>
            <w:pPr>
              <w:spacing w:after="0"/>
              <w:rPr>
                <w:sz w:val="15"/>
                <w:szCs w:val="15"/>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vMerge w:val="restart"/>
          </w:tcPr>
          <w:p>
            <w:pPr>
              <w:jc w:val="right"/>
              <w:ind w:right="132"/>
              <w:spacing w:after="0"/>
              <w:rPr>
                <w:sz w:val="20"/>
                <w:szCs w:val="20"/>
                <w:color w:val="auto"/>
              </w:rPr>
            </w:pPr>
            <w:r>
              <w:rPr>
                <w:rFonts w:ascii="Arial" w:cs="Arial" w:eastAsia="Arial" w:hAnsi="Arial"/>
                <w:sz w:val="18"/>
                <w:szCs w:val="18"/>
                <w:color w:val="auto"/>
              </w:rPr>
              <w:t>611.1</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16.6 %</w:t>
            </w:r>
          </w:p>
        </w:tc>
        <w:tc>
          <w:tcPr>
            <w:tcW w:w="0" w:type="dxa"/>
            <w:vAlign w:val="bottom"/>
          </w:tcPr>
          <w:p>
            <w:pPr>
              <w:spacing w:after="0"/>
              <w:rPr>
                <w:sz w:val="1"/>
                <w:szCs w:val="1"/>
                <w:color w:val="auto"/>
              </w:rPr>
            </w:pPr>
          </w:p>
        </w:tc>
      </w:tr>
      <w:tr>
        <w:trPr>
          <w:trHeight w:val="229"/>
        </w:trPr>
        <w:tc>
          <w:tcPr>
            <w:tcW w:w="3020" w:type="dxa"/>
            <w:vAlign w:val="bottom"/>
          </w:tcPr>
          <w:p>
            <w:pPr>
              <w:ind w:left="360"/>
              <w:spacing w:after="0"/>
              <w:rPr>
                <w:sz w:val="20"/>
                <w:szCs w:val="20"/>
                <w:color w:val="auto"/>
              </w:rPr>
            </w:pPr>
            <w:r>
              <w:rPr>
                <w:rFonts w:ascii="Arial" w:cs="Arial" w:eastAsia="Arial" w:hAnsi="Arial"/>
                <w:sz w:val="18"/>
                <w:szCs w:val="18"/>
                <w:color w:val="auto"/>
              </w:rPr>
              <w:t>expense (after-tax)</w:t>
            </w:r>
          </w:p>
        </w:tc>
        <w:tc>
          <w:tcPr>
            <w:tcW w:w="28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return on capital</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30"/>
        </w:trPr>
        <w:tc>
          <w:tcPr>
            <w:tcW w:w="3020" w:type="dxa"/>
            <w:vAlign w:val="bottom"/>
          </w:tcPr>
          <w:p>
            <w:pPr>
              <w:ind w:left="20"/>
              <w:spacing w:after="0"/>
              <w:rPr>
                <w:sz w:val="20"/>
                <w:szCs w:val="20"/>
                <w:color w:val="auto"/>
              </w:rPr>
            </w:pPr>
            <w:r>
              <w:rPr>
                <w:rFonts w:ascii="Arial" w:cs="Arial" w:eastAsia="Arial" w:hAnsi="Arial"/>
                <w:sz w:val="18"/>
                <w:szCs w:val="18"/>
                <w:color w:val="auto"/>
              </w:rPr>
              <w:t>Cost of capital</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7.8 %</w:t>
            </w: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Economic profit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156.9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113.1</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416.0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339.7</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22.5 %</w:t>
            </w:r>
          </w:p>
        </w:tc>
        <w:tc>
          <w:tcPr>
            <w:tcW w:w="0" w:type="dxa"/>
            <w:vAlign w:val="bottom"/>
          </w:tcPr>
          <w:p>
            <w:pPr>
              <w:spacing w:after="0"/>
              <w:rPr>
                <w:sz w:val="1"/>
                <w:szCs w:val="1"/>
                <w:color w:val="auto"/>
              </w:rPr>
            </w:pPr>
          </w:p>
        </w:tc>
      </w:tr>
      <w:tr>
        <w:trPr>
          <w:trHeight w:val="176"/>
        </w:trPr>
        <w:tc>
          <w:tcPr>
            <w:tcW w:w="3020" w:type="dxa"/>
            <w:vAlign w:val="bottom"/>
          </w:tcPr>
          <w:p>
            <w:pPr>
              <w:ind w:left="20"/>
              <w:spacing w:after="0" w:line="176" w:lineRule="exact"/>
              <w:rPr>
                <w:sz w:val="20"/>
                <w:szCs w:val="20"/>
                <w:color w:val="auto"/>
              </w:rPr>
            </w:pPr>
            <w:r>
              <w:rPr>
                <w:rFonts w:ascii="Arial" w:cs="Arial" w:eastAsia="Arial" w:hAnsi="Arial"/>
                <w:sz w:val="18"/>
                <w:szCs w:val="18"/>
                <w:color w:val="auto"/>
              </w:rPr>
              <w:t>Diluted weighted average shares</w:t>
            </w:r>
          </w:p>
        </w:tc>
        <w:tc>
          <w:tcPr>
            <w:tcW w:w="28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15,829,166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17,849,765</w:t>
            </w:r>
          </w:p>
        </w:tc>
        <w:tc>
          <w:tcPr>
            <w:tcW w:w="100" w:type="dxa"/>
            <w:vAlign w:val="bottom"/>
          </w:tcPr>
          <w:p>
            <w:pPr>
              <w:spacing w:after="0"/>
              <w:rPr>
                <w:sz w:val="15"/>
                <w:szCs w:val="15"/>
                <w:color w:val="auto"/>
              </w:rPr>
            </w:pP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16,559,639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17,973,091</w:t>
            </w:r>
          </w:p>
        </w:tc>
        <w:tc>
          <w:tcPr>
            <w:tcW w:w="1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-7.9 %</w:t>
            </w:r>
          </w:p>
        </w:tc>
        <w:tc>
          <w:tcPr>
            <w:tcW w:w="0" w:type="dxa"/>
            <w:vAlign w:val="bottom"/>
          </w:tcPr>
          <w:p>
            <w:pPr>
              <w:spacing w:after="0"/>
              <w:rPr>
                <w:sz w:val="1"/>
                <w:szCs w:val="1"/>
                <w:color w:val="auto"/>
              </w:rPr>
            </w:pPr>
          </w:p>
        </w:tc>
      </w:tr>
      <w:tr>
        <w:trPr>
          <w:trHeight w:val="229"/>
        </w:trPr>
        <w:tc>
          <w:tcPr>
            <w:tcW w:w="3020" w:type="dxa"/>
            <w:vAlign w:val="bottom"/>
          </w:tcPr>
          <w:p>
            <w:pPr>
              <w:ind w:left="360"/>
              <w:spacing w:after="0"/>
              <w:rPr>
                <w:sz w:val="20"/>
                <w:szCs w:val="20"/>
                <w:color w:val="auto"/>
              </w:rPr>
            </w:pPr>
            <w:r>
              <w:rPr>
                <w:rFonts w:ascii="Arial" w:cs="Arial" w:eastAsia="Arial" w:hAnsi="Arial"/>
                <w:sz w:val="18"/>
                <w:szCs w:val="18"/>
                <w:color w:val="auto"/>
              </w:rPr>
              <w:t>outstanding</w:t>
            </w:r>
          </w:p>
        </w:tc>
        <w:tc>
          <w:tcPr>
            <w:tcW w:w="28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Adjusted net income per diluted share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13.84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9.36</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3"/>
              <w:spacing w:after="0"/>
              <w:rPr>
                <w:sz w:val="20"/>
                <w:szCs w:val="20"/>
                <w:color w:val="auto"/>
              </w:rPr>
            </w:pPr>
            <w:r>
              <w:rPr>
                <w:rFonts w:ascii="Arial" w:cs="Arial" w:eastAsia="Arial" w:hAnsi="Arial"/>
                <w:sz w:val="18"/>
                <w:szCs w:val="18"/>
                <w:color w:val="auto"/>
              </w:rPr>
              <w:t>37.09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27.64</w:t>
            </w:r>
          </w:p>
        </w:tc>
        <w:tc>
          <w:tcPr>
            <w:tcW w:w="1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34.2 %</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Economic profit increased 38.7% and 22.5%, respectively, for the three and nine months ended September 30, 2021, as compared to the same periods in 2020. Economic profit is a function of the return on capital in excess of the cost of capital and the amount of capital invested in the business. The following table summarizes the impact each of these components had on the changes in economic profit for the three and nine months ended September 30, 2021, as compared to the same periods in 2020:</w:t>
      </w: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6340" w:type="dxa"/>
            <w:vAlign w:val="bottom"/>
          </w:tcPr>
          <w:p>
            <w:pPr>
              <w:ind w:left="20"/>
              <w:spacing w:after="0"/>
              <w:rPr>
                <w:sz w:val="20"/>
                <w:szCs w:val="20"/>
                <w:color w:val="auto"/>
              </w:rPr>
            </w:pPr>
            <w:r>
              <w:rPr>
                <w:rFonts w:ascii="Arial" w:cs="Arial" w:eastAsia="Arial" w:hAnsi="Arial"/>
                <w:sz w:val="14"/>
                <w:szCs w:val="14"/>
                <w:color w:val="auto"/>
              </w:rPr>
              <w:t>(In millions)</w:t>
            </w:r>
          </w:p>
        </w:tc>
        <w:tc>
          <w:tcPr>
            <w:tcW w:w="180" w:type="dxa"/>
            <w:vAlign w:val="bottom"/>
            <w:tcBorders>
              <w:bottom w:val="single" w:sz="8" w:color="auto"/>
            </w:tcBorders>
          </w:tcPr>
          <w:p>
            <w:pPr>
              <w:spacing w:after="0"/>
              <w:rPr>
                <w:sz w:val="16"/>
                <w:szCs w:val="16"/>
                <w:color w:val="auto"/>
              </w:rPr>
            </w:pPr>
          </w:p>
        </w:tc>
        <w:tc>
          <w:tcPr>
            <w:tcW w:w="4700" w:type="dxa"/>
            <w:vAlign w:val="bottom"/>
            <w:tcBorders>
              <w:bottom w:val="single" w:sz="8" w:color="auto"/>
            </w:tcBorders>
            <w:gridSpan w:val="4"/>
          </w:tcPr>
          <w:p>
            <w:pPr>
              <w:ind w:left="940"/>
              <w:spacing w:after="0"/>
              <w:rPr>
                <w:sz w:val="20"/>
                <w:szCs w:val="20"/>
                <w:color w:val="auto"/>
              </w:rPr>
            </w:pPr>
            <w:r>
              <w:rPr>
                <w:rFonts w:ascii="Arial" w:cs="Arial" w:eastAsia="Arial" w:hAnsi="Arial"/>
                <w:sz w:val="14"/>
                <w:szCs w:val="14"/>
                <w:b w:val="1"/>
                <w:bCs w:val="1"/>
                <w:color w:val="auto"/>
              </w:rPr>
              <w:t>Year over Year Change in Economic Profit</w:t>
            </w:r>
          </w:p>
        </w:tc>
      </w:tr>
      <w:tr>
        <w:trPr>
          <w:trHeight w:val="135"/>
        </w:trPr>
        <w:tc>
          <w:tcPr>
            <w:tcW w:w="6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320" w:type="dxa"/>
            <w:vAlign w:val="bottom"/>
            <w:gridSpan w:val="2"/>
          </w:tcPr>
          <w:p>
            <w:pPr>
              <w:ind w:left="100"/>
              <w:spacing w:after="0" w:line="135" w:lineRule="exact"/>
              <w:rPr>
                <w:sz w:val="20"/>
                <w:szCs w:val="20"/>
                <w:color w:val="auto"/>
              </w:rPr>
            </w:pPr>
            <w:r>
              <w:rPr>
                <w:rFonts w:ascii="Arial" w:cs="Arial" w:eastAsia="Arial" w:hAnsi="Arial"/>
                <w:sz w:val="14"/>
                <w:szCs w:val="14"/>
                <w:b w:val="1"/>
                <w:bCs w:val="1"/>
                <w:color w:val="auto"/>
              </w:rPr>
              <w:t>For the Three Months Ended</w:t>
            </w:r>
          </w:p>
        </w:tc>
        <w:tc>
          <w:tcPr>
            <w:tcW w:w="200" w:type="dxa"/>
            <w:vAlign w:val="bottom"/>
          </w:tcPr>
          <w:p>
            <w:pPr>
              <w:spacing w:after="0"/>
              <w:rPr>
                <w:sz w:val="11"/>
                <w:szCs w:val="11"/>
                <w:color w:val="auto"/>
              </w:rPr>
            </w:pPr>
          </w:p>
        </w:tc>
        <w:tc>
          <w:tcPr>
            <w:tcW w:w="2180" w:type="dxa"/>
            <w:vAlign w:val="bottom"/>
          </w:tcPr>
          <w:p>
            <w:pPr>
              <w:jc w:val="right"/>
              <w:ind w:right="256"/>
              <w:spacing w:after="0" w:line="135" w:lineRule="exact"/>
              <w:rPr>
                <w:sz w:val="20"/>
                <w:szCs w:val="20"/>
                <w:color w:val="auto"/>
              </w:rPr>
            </w:pPr>
            <w:r>
              <w:rPr>
                <w:rFonts w:ascii="Arial" w:cs="Arial" w:eastAsia="Arial" w:hAnsi="Arial"/>
                <w:sz w:val="14"/>
                <w:szCs w:val="14"/>
                <w:b w:val="1"/>
                <w:bCs w:val="1"/>
                <w:color w:val="auto"/>
                <w:w w:val="99"/>
              </w:rPr>
              <w:t>For the Nine Months Ended</w:t>
            </w:r>
          </w:p>
        </w:tc>
      </w:tr>
      <w:tr>
        <w:trPr>
          <w:trHeight w:val="188"/>
        </w:trPr>
        <w:tc>
          <w:tcPr>
            <w:tcW w:w="6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20" w:type="dxa"/>
            <w:vAlign w:val="bottom"/>
            <w:gridSpan w:val="2"/>
          </w:tcPr>
          <w:p>
            <w:pPr>
              <w:ind w:left="400"/>
              <w:spacing w:after="0"/>
              <w:rPr>
                <w:sz w:val="20"/>
                <w:szCs w:val="20"/>
                <w:color w:val="auto"/>
              </w:rPr>
            </w:pPr>
            <w:r>
              <w:rPr>
                <w:rFonts w:ascii="Arial" w:cs="Arial" w:eastAsia="Arial" w:hAnsi="Arial"/>
                <w:sz w:val="14"/>
                <w:szCs w:val="14"/>
                <w:b w:val="1"/>
                <w:bCs w:val="1"/>
                <w:color w:val="auto"/>
              </w:rPr>
              <w:t>September 30, 2021</w:t>
            </w:r>
          </w:p>
        </w:tc>
        <w:tc>
          <w:tcPr>
            <w:tcW w:w="200" w:type="dxa"/>
            <w:vAlign w:val="bottom"/>
          </w:tcPr>
          <w:p>
            <w:pPr>
              <w:spacing w:after="0"/>
              <w:rPr>
                <w:sz w:val="16"/>
                <w:szCs w:val="16"/>
                <w:color w:val="auto"/>
              </w:rPr>
            </w:pPr>
          </w:p>
        </w:tc>
        <w:tc>
          <w:tcPr>
            <w:tcW w:w="2180" w:type="dxa"/>
            <w:vAlign w:val="bottom"/>
          </w:tcPr>
          <w:p>
            <w:pPr>
              <w:jc w:val="right"/>
              <w:ind w:right="516"/>
              <w:spacing w:after="0"/>
              <w:rPr>
                <w:sz w:val="20"/>
                <w:szCs w:val="20"/>
                <w:color w:val="auto"/>
              </w:rPr>
            </w:pPr>
            <w:r>
              <w:rPr>
                <w:rFonts w:ascii="Arial" w:cs="Arial" w:eastAsia="Arial" w:hAnsi="Arial"/>
                <w:sz w:val="14"/>
                <w:szCs w:val="14"/>
                <w:b w:val="1"/>
                <w:bCs w:val="1"/>
                <w:color w:val="auto"/>
              </w:rPr>
              <w:t>September 30, 2021</w:t>
            </w:r>
          </w:p>
        </w:tc>
      </w:tr>
      <w:tr>
        <w:trPr>
          <w:trHeight w:val="224"/>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Increase in adjusted return on capital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top w:val="single" w:sz="8" w:color="auto"/>
            </w:tcBorders>
            <w:shd w:val="clear" w:color="auto" w:fill="CCEEFF"/>
          </w:tcPr>
          <w:p>
            <w:pPr>
              <w:ind w:left="1800"/>
              <w:spacing w:after="0"/>
              <w:rPr>
                <w:sz w:val="20"/>
                <w:szCs w:val="20"/>
                <w:color w:val="auto"/>
              </w:rPr>
            </w:pPr>
            <w:r>
              <w:rPr>
                <w:rFonts w:ascii="Arial" w:cs="Arial" w:eastAsia="Arial" w:hAnsi="Arial"/>
                <w:sz w:val="18"/>
                <w:szCs w:val="18"/>
                <w:color w:val="auto"/>
              </w:rPr>
              <w:t>51.1</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w:t>
            </w:r>
          </w:p>
        </w:tc>
      </w:tr>
      <w:tr>
        <w:trPr>
          <w:trHeight w:val="229"/>
        </w:trPr>
        <w:tc>
          <w:tcPr>
            <w:tcW w:w="6340" w:type="dxa"/>
            <w:vAlign w:val="bottom"/>
          </w:tcPr>
          <w:p>
            <w:pPr>
              <w:ind w:left="20"/>
              <w:spacing w:after="0"/>
              <w:rPr>
                <w:sz w:val="20"/>
                <w:szCs w:val="20"/>
                <w:color w:val="auto"/>
              </w:rPr>
            </w:pPr>
            <w:r>
              <w:rPr>
                <w:rFonts w:ascii="Arial" w:cs="Arial" w:eastAsia="Arial" w:hAnsi="Arial"/>
                <w:sz w:val="18"/>
                <w:szCs w:val="18"/>
                <w:color w:val="auto"/>
              </w:rPr>
              <w:t>Increase (decrease) in adjusted average capital</w:t>
            </w:r>
          </w:p>
        </w:tc>
        <w:tc>
          <w:tcPr>
            <w:tcW w:w="180" w:type="dxa"/>
            <w:vAlign w:val="bottom"/>
          </w:tcPr>
          <w:p>
            <w:pPr>
              <w:spacing w:after="0"/>
              <w:rPr>
                <w:sz w:val="19"/>
                <w:szCs w:val="19"/>
                <w:color w:val="auto"/>
              </w:rPr>
            </w:pPr>
          </w:p>
        </w:tc>
        <w:tc>
          <w:tcPr>
            <w:tcW w:w="2200" w:type="dxa"/>
            <w:vAlign w:val="bottom"/>
          </w:tcPr>
          <w:p>
            <w:pPr>
              <w:ind w:left="1820"/>
              <w:spacing w:after="0"/>
              <w:rPr>
                <w:sz w:val="20"/>
                <w:szCs w:val="20"/>
                <w:color w:val="auto"/>
              </w:rPr>
            </w:pPr>
            <w:r>
              <w:rPr>
                <w:rFonts w:ascii="Arial" w:cs="Arial" w:eastAsia="Arial" w:hAnsi="Arial"/>
                <w:sz w:val="18"/>
                <w:szCs w:val="18"/>
                <w:color w:val="auto"/>
                <w:w w:val="97"/>
              </w:rPr>
              <w:t>(2.5)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8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30"/>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in cost of capital</w:t>
            </w:r>
          </w:p>
        </w:tc>
        <w:tc>
          <w:tcPr>
            <w:tcW w:w="180" w:type="dxa"/>
            <w:vAlign w:val="bottom"/>
            <w:tcBorders>
              <w:bottom w:val="single" w:sz="8" w:color="auto"/>
            </w:tcBorders>
            <w:shd w:val="clear" w:color="auto" w:fill="CCEEFF"/>
          </w:tcPr>
          <w:p>
            <w:pPr>
              <w:spacing w:after="0"/>
              <w:rPr>
                <w:sz w:val="19"/>
                <w:szCs w:val="19"/>
                <w:color w:val="auto"/>
              </w:rPr>
            </w:pPr>
          </w:p>
        </w:tc>
        <w:tc>
          <w:tcPr>
            <w:tcW w:w="2200" w:type="dxa"/>
            <w:vAlign w:val="bottom"/>
            <w:tcBorders>
              <w:bottom w:val="single" w:sz="8" w:color="auto"/>
            </w:tcBorders>
            <w:shd w:val="clear" w:color="auto" w:fill="CCEEFF"/>
          </w:tcPr>
          <w:p>
            <w:pPr>
              <w:ind w:left="1820"/>
              <w:spacing w:after="0"/>
              <w:rPr>
                <w:sz w:val="20"/>
                <w:szCs w:val="20"/>
                <w:color w:val="auto"/>
              </w:rPr>
            </w:pPr>
            <w:r>
              <w:rPr>
                <w:rFonts w:ascii="Arial" w:cs="Arial" w:eastAsia="Arial" w:hAnsi="Arial"/>
                <w:sz w:val="18"/>
                <w:szCs w:val="18"/>
                <w:color w:val="auto"/>
                <w:w w:val="97"/>
              </w:rPr>
              <w:t>(4.8)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23"/>
        </w:trPr>
        <w:tc>
          <w:tcPr>
            <w:tcW w:w="6340" w:type="dxa"/>
            <w:vAlign w:val="bottom"/>
          </w:tcPr>
          <w:p>
            <w:pPr>
              <w:ind w:left="340"/>
              <w:spacing w:after="0"/>
              <w:rPr>
                <w:sz w:val="20"/>
                <w:szCs w:val="20"/>
                <w:color w:val="auto"/>
              </w:rPr>
            </w:pPr>
            <w:r>
              <w:rPr>
                <w:rFonts w:ascii="Arial" w:cs="Arial" w:eastAsia="Arial" w:hAnsi="Arial"/>
                <w:sz w:val="18"/>
                <w:szCs w:val="18"/>
                <w:color w:val="auto"/>
              </w:rPr>
              <w:t>Increase in economic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200" w:type="dxa"/>
            <w:vAlign w:val="bottom"/>
            <w:tcBorders>
              <w:bottom w:val="single" w:sz="8" w:color="auto"/>
            </w:tcBorders>
          </w:tcPr>
          <w:p>
            <w:pPr>
              <w:ind w:left="1800"/>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76.3</w:t>
            </w:r>
          </w:p>
        </w:tc>
      </w:tr>
      <w:tr>
        <w:trPr>
          <w:trHeight w:val="20"/>
        </w:trPr>
        <w:tc>
          <w:tcPr>
            <w:tcW w:w="6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increase in economic profit for the three months ended September 30, 2021, as compared to the same period in 2020, was primarily the result of the following:</w:t>
      </w:r>
    </w:p>
    <w:p>
      <w:pPr>
        <w:spacing w:after="0" w:line="1" w:lineRule="exact"/>
        <w:rPr>
          <w:sz w:val="20"/>
          <w:szCs w:val="20"/>
          <w:color w:val="auto"/>
        </w:rPr>
      </w:pPr>
    </w:p>
    <w:p>
      <w:pPr>
        <w:ind w:left="320" w:hanging="312"/>
        <w:spacing w:after="0"/>
        <w:tabs>
          <w:tab w:leader="none" w:pos="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our adjusted return on capital of 290 basis points, primarily due to:</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 increase in the yield used to recognize adjusted finance charges on our loan portfolio increased our adjusted return on capital by 340 basis points, primarily due to an improvement in Consumer Loan performance.</w:t>
      </w:r>
    </w:p>
    <w:p>
      <w:pPr>
        <w:ind w:left="660" w:hanging="328"/>
        <w:spacing w:after="0" w:line="250" w:lineRule="auto"/>
        <w:tabs>
          <w:tab w:leader="none" w:pos="655" w:val="left"/>
        </w:tabs>
        <w:numPr>
          <w:ilvl w:val="1"/>
          <w:numId w:val="13"/>
        </w:numPr>
        <w:rPr>
          <w:rFonts w:ascii="Arial" w:cs="Arial" w:eastAsia="Arial" w:hAnsi="Arial"/>
          <w:sz w:val="18"/>
          <w:szCs w:val="18"/>
          <w:color w:val="auto"/>
        </w:rPr>
      </w:pPr>
      <w:r>
        <w:rPr>
          <w:rFonts w:ascii="Arial" w:cs="Arial" w:eastAsia="Arial" w:hAnsi="Arial"/>
          <w:sz w:val="18"/>
          <w:szCs w:val="18"/>
          <w:color w:val="auto"/>
        </w:rPr>
        <w:t>Growth in operating expenses decreased our adjusted return on capital by 80 basis points as operating expenses grew by 19.9% while adjusted average capital decreased by 2.2%.</w:t>
      </w:r>
    </w:p>
    <w:p>
      <w:pPr>
        <w:ind w:left="340" w:hanging="332"/>
        <w:spacing w:after="0" w:line="260" w:lineRule="auto"/>
        <w:tabs>
          <w:tab w:leader="none" w:pos="33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 increase in our cost of capital of 30 basis points, primarily due to an increase in the 30-year Treasury rate, which is used in the average cost of equity calculation, partially offset by a decline in the average cost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773" w:right="339" w:bottom="1440" w:gutter="0" w:footer="0" w:header="0"/>
        </w:sectPr>
      </w:pPr>
    </w:p>
    <w:bookmarkStart w:id="13" w:name="page14"/>
    <w:bookmarkEnd w:id="13"/>
    <w:p>
      <w:pPr>
        <w:spacing w:after="0" w:line="258" w:lineRule="auto"/>
        <w:rPr>
          <w:sz w:val="20"/>
          <w:szCs w:val="20"/>
          <w:color w:val="auto"/>
        </w:rPr>
      </w:pPr>
      <w:r>
        <w:rPr>
          <w:rFonts w:ascii="Arial" w:cs="Arial" w:eastAsia="Arial" w:hAnsi="Arial"/>
          <w:sz w:val="18"/>
          <w:szCs w:val="18"/>
          <w:color w:val="auto"/>
        </w:rPr>
        <w:t>The increase in economic profit for the nine months ended September 30, 2021, as compared to the same period in 2020, was primarily the result of the following:</w:t>
      </w:r>
    </w:p>
    <w:p>
      <w:pPr>
        <w:spacing w:after="0" w:line="1" w:lineRule="exact"/>
        <w:rPr>
          <w:sz w:val="20"/>
          <w:szCs w:val="20"/>
          <w:color w:val="auto"/>
        </w:rPr>
      </w:pPr>
    </w:p>
    <w:p>
      <w:pPr>
        <w:ind w:left="320" w:hanging="312"/>
        <w:spacing w:after="0"/>
        <w:tabs>
          <w:tab w:leader="none" w:pos="3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our adjusted return on capital of 160 basis points, primarily due to:</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 increase in the yield used to recognize adjusted finance charges on our loan portfolio increased our adjusted return on capital by 200 basis points, primarily due to an improvement in Consumer Loan performance.</w:t>
      </w:r>
    </w:p>
    <w:p>
      <w:pPr>
        <w:ind w:left="660" w:hanging="328"/>
        <w:spacing w:after="0" w:line="250" w:lineRule="auto"/>
        <w:tabs>
          <w:tab w:leader="none" w:pos="655" w:val="left"/>
        </w:tabs>
        <w:numPr>
          <w:ilvl w:val="1"/>
          <w:numId w:val="14"/>
        </w:numPr>
        <w:rPr>
          <w:rFonts w:ascii="Arial" w:cs="Arial" w:eastAsia="Arial" w:hAnsi="Arial"/>
          <w:sz w:val="18"/>
          <w:szCs w:val="18"/>
          <w:color w:val="auto"/>
        </w:rPr>
      </w:pPr>
      <w:r>
        <w:rPr>
          <w:rFonts w:ascii="Arial" w:cs="Arial" w:eastAsia="Arial" w:hAnsi="Arial"/>
          <w:sz w:val="18"/>
          <w:szCs w:val="18"/>
          <w:color w:val="auto"/>
        </w:rPr>
        <w:t>Faster growth in operating expenses decreased our adjusted return on capital by 50 basis points as operating expenses grew by 15.8% while adjusted average capital grew by 2.5%.</w:t>
      </w:r>
    </w:p>
    <w:p>
      <w:pPr>
        <w:ind w:left="340" w:hanging="332"/>
        <w:spacing w:after="0" w:line="260" w:lineRule="auto"/>
        <w:tabs>
          <w:tab w:leader="none" w:pos="33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our cost of capital of 40 basis points, primarily due to an increase in the 30-year Treasury rate, which is used in the average cost of equity calculation, partially offset by a decline in the average cost of debt.</w:t>
      </w:r>
    </w:p>
    <w:p>
      <w:pPr>
        <w:spacing w:after="0" w:line="212"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following table shows adjusted revenue and operating expenses as a percentage of adjusted average capital, the adjusted return on capital, and the percentage change in adjusted average capital for each of the last eight quarters, compared to the same period in the prior year: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4"/>
                <w:szCs w:val="14"/>
                <w:b w:val="1"/>
                <w:bCs w:val="1"/>
                <w:color w:val="auto"/>
              </w:rPr>
              <w:t>For the 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500" w:type="dxa"/>
            <w:vAlign w:val="bottom"/>
          </w:tcPr>
          <w:p>
            <w:pPr>
              <w:spacing w:after="0"/>
              <w:rPr>
                <w:sz w:val="16"/>
                <w:szCs w:val="16"/>
                <w:color w:val="auto"/>
              </w:rPr>
            </w:pP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 30, 2021</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 30, 2021</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 31, 2021</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 2020</w:t>
            </w:r>
          </w:p>
        </w:tc>
        <w:tc>
          <w:tcPr>
            <w:tcW w:w="11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Sept. 30, 2020</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 30, 2020</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 31, 2020</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 2019</w:t>
            </w:r>
          </w:p>
        </w:tc>
        <w:tc>
          <w:tcPr>
            <w:tcW w:w="0" w:type="dxa"/>
            <w:vAlign w:val="bottom"/>
          </w:tcPr>
          <w:p>
            <w:pPr>
              <w:spacing w:after="0"/>
              <w:rPr>
                <w:sz w:val="1"/>
                <w:szCs w:val="1"/>
                <w:color w:val="auto"/>
              </w:rPr>
            </w:pPr>
          </w:p>
        </w:tc>
      </w:tr>
      <w:tr>
        <w:trPr>
          <w:trHeight w:val="157"/>
        </w:trPr>
        <w:tc>
          <w:tcPr>
            <w:tcW w:w="2500" w:type="dxa"/>
            <w:vAlign w:val="bottom"/>
            <w:tcBorders>
              <w:top w:val="single" w:sz="8" w:color="CCEEFF"/>
            </w:tcBorders>
            <w:shd w:val="clear" w:color="auto" w:fill="CCEEFF"/>
          </w:tcPr>
          <w:p>
            <w:pPr>
              <w:ind w:left="20"/>
              <w:spacing w:after="0" w:line="157" w:lineRule="exact"/>
              <w:rPr>
                <w:sz w:val="20"/>
                <w:szCs w:val="20"/>
                <w:color w:val="auto"/>
              </w:rPr>
            </w:pPr>
            <w:r>
              <w:rPr>
                <w:rFonts w:ascii="Arial" w:cs="Arial" w:eastAsia="Arial" w:hAnsi="Arial"/>
                <w:sz w:val="18"/>
                <w:szCs w:val="18"/>
                <w:color w:val="auto"/>
              </w:rPr>
              <w:t>Adjusted revenue as a</w:t>
            </w: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00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9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5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rPr>
              <w:t>percentage of adjusted</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24.0 %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20.4 %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19.2 %</w:t>
            </w:r>
          </w:p>
        </w:tc>
        <w:tc>
          <w:tcPr>
            <w:tcW w:w="12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20.9 %</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average capital (1)</w:t>
            </w: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Arial" w:cs="Arial" w:eastAsia="Arial" w:hAnsi="Arial"/>
                <w:sz w:val="18"/>
                <w:szCs w:val="18"/>
                <w:color w:val="auto"/>
              </w:rPr>
              <w:t>Operating expenses as a</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360"/>
              <w:spacing w:after="0" w:line="176" w:lineRule="exact"/>
              <w:rPr>
                <w:sz w:val="20"/>
                <w:szCs w:val="20"/>
                <w:color w:val="auto"/>
              </w:rPr>
            </w:pPr>
            <w:r>
              <w:rPr>
                <w:rFonts w:ascii="Arial" w:cs="Arial" w:eastAsia="Arial" w:hAnsi="Arial"/>
                <w:sz w:val="18"/>
                <w:szCs w:val="18"/>
                <w:color w:val="auto"/>
              </w:rPr>
              <w:t>percentage of adjusted</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3.8 %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6.2 %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4.5 %</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4.6 %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5.0 %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500" w:type="dxa"/>
            <w:vAlign w:val="bottom"/>
          </w:tcPr>
          <w:p>
            <w:pPr>
              <w:ind w:left="360"/>
              <w:spacing w:after="0"/>
              <w:rPr>
                <w:sz w:val="20"/>
                <w:szCs w:val="20"/>
                <w:color w:val="auto"/>
              </w:rPr>
            </w:pPr>
            <w:r>
              <w:rPr>
                <w:rFonts w:ascii="Arial" w:cs="Arial" w:eastAsia="Arial" w:hAnsi="Arial"/>
                <w:sz w:val="18"/>
                <w:szCs w:val="18"/>
                <w:color w:val="auto"/>
              </w:rPr>
              <w:t>average capital (1)</w:t>
            </w: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return on capital (1)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12.6 %</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500" w:type="dxa"/>
            <w:vAlign w:val="bottom"/>
          </w:tcPr>
          <w:p>
            <w:pPr>
              <w:ind w:left="20"/>
              <w:spacing w:after="0" w:line="176" w:lineRule="exact"/>
              <w:rPr>
                <w:sz w:val="20"/>
                <w:szCs w:val="20"/>
                <w:color w:val="auto"/>
              </w:rPr>
            </w:pPr>
            <w:r>
              <w:rPr>
                <w:rFonts w:ascii="Arial" w:cs="Arial" w:eastAsia="Arial" w:hAnsi="Arial"/>
                <w:sz w:val="18"/>
                <w:szCs w:val="18"/>
                <w:color w:val="auto"/>
                <w:w w:val="99"/>
              </w:rPr>
              <w:t>Percentage change in adjusted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360"/>
              <w:spacing w:after="0" w:line="176" w:lineRule="exact"/>
              <w:rPr>
                <w:sz w:val="20"/>
                <w:szCs w:val="20"/>
                <w:color w:val="auto"/>
              </w:rPr>
            </w:pPr>
            <w:r>
              <w:rPr>
                <w:rFonts w:ascii="Arial" w:cs="Arial" w:eastAsia="Arial" w:hAnsi="Arial"/>
                <w:sz w:val="18"/>
                <w:szCs w:val="18"/>
                <w:color w:val="auto"/>
                <w:w w:val="93"/>
              </w:rPr>
              <w:t>average capital compared to</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500" w:type="dxa"/>
            <w:vAlign w:val="bottom"/>
          </w:tcPr>
          <w:p>
            <w:pPr>
              <w:ind w:left="360"/>
              <w:spacing w:after="0" w:line="176" w:lineRule="exact"/>
              <w:rPr>
                <w:sz w:val="20"/>
                <w:szCs w:val="20"/>
                <w:color w:val="auto"/>
              </w:rPr>
            </w:pPr>
            <w:r>
              <w:rPr>
                <w:rFonts w:ascii="Arial" w:cs="Arial" w:eastAsia="Arial" w:hAnsi="Arial"/>
                <w:sz w:val="18"/>
                <w:szCs w:val="18"/>
                <w:color w:val="auto"/>
                <w:w w:val="96"/>
              </w:rPr>
              <w:t>the same period in the prior</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-2.2 %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5.8 %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7.7 %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10.4 %</w:t>
            </w:r>
          </w:p>
        </w:tc>
        <w:tc>
          <w:tcPr>
            <w:tcW w:w="12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15.1 %</w:t>
            </w:r>
          </w:p>
        </w:tc>
        <w:tc>
          <w:tcPr>
            <w:tcW w:w="100" w:type="dxa"/>
            <w:vAlign w:val="bottom"/>
          </w:tcPr>
          <w:p>
            <w:pPr>
              <w:spacing w:after="0"/>
              <w:rPr>
                <w:sz w:val="15"/>
                <w:szCs w:val="1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14.9 %</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00" w:type="dxa"/>
            <w:vAlign w:val="bottom"/>
          </w:tcPr>
          <w:p>
            <w:pPr>
              <w:ind w:left="360"/>
              <w:spacing w:after="0"/>
              <w:rPr>
                <w:sz w:val="20"/>
                <w:szCs w:val="20"/>
                <w:color w:val="auto"/>
              </w:rPr>
            </w:pPr>
            <w:r>
              <w:rPr>
                <w:rFonts w:ascii="Arial" w:cs="Arial" w:eastAsia="Arial" w:hAnsi="Arial"/>
                <w:sz w:val="18"/>
                <w:szCs w:val="18"/>
                <w:color w:val="auto"/>
              </w:rPr>
              <w:t>year</w:t>
            </w: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8"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(1)</w:t>
      </w:r>
      <w:r>
        <w:rPr>
          <w:sz w:val="20"/>
          <w:szCs w:val="20"/>
          <w:color w:val="auto"/>
        </w:rPr>
        <w:tab/>
      </w:r>
      <w:r>
        <w:rPr>
          <w:rFonts w:ascii="Arial" w:cs="Arial" w:eastAsia="Arial" w:hAnsi="Arial"/>
          <w:sz w:val="13"/>
          <w:szCs w:val="13"/>
          <w:color w:val="auto"/>
        </w:rPr>
        <w:t>Annualized.</w:t>
      </w:r>
    </w:p>
    <w:p>
      <w:pPr>
        <w:spacing w:after="0" w:line="24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increase in adjusted revenue as a percentage of adjusted average capital for the three months ended September 30, 2021, as compared to the three months ended June 30, 2021, was primarily due to an increase in the yield used to recognize adjusted finance charges on our loan portfolio, primarily due to an improvement in Consumer Loan performance. The increase in adjusted revenue increased our adjusted return on capital by 120 basis points.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increase in operating expenses as a percentage of adjusted average capital for the three months ended September 30, 2021, as compared to the three months ended June 30, 2021, was due to an increase in operating expenses of 37.3% ($26.2 million) and a decrease in adjusted average capital of 4.6%. The increase in operating expenses was primarily due to an increase in salaries and wages expense of 64.6% ($24.8 million), primarily due to an increase in stock-based compensation expense as a result of:</w:t>
      </w:r>
    </w:p>
    <w:p>
      <w:pPr>
        <w:spacing w:after="0" w:line="2" w:lineRule="exact"/>
        <w:rPr>
          <w:sz w:val="20"/>
          <w:szCs w:val="20"/>
          <w:color w:val="auto"/>
        </w:rPr>
      </w:pPr>
    </w:p>
    <w:p>
      <w:pPr>
        <w:jc w:val="both"/>
        <w:ind w:left="340" w:hanging="332"/>
        <w:spacing w:after="0" w:line="281" w:lineRule="auto"/>
        <w:tabs>
          <w:tab w:leader="none" w:pos="335" w:val="left"/>
        </w:tabs>
        <w:numPr>
          <w:ilvl w:val="0"/>
          <w:numId w:val="15"/>
        </w:numPr>
        <w:rPr>
          <w:rFonts w:ascii="Arial" w:cs="Arial" w:eastAsia="Arial" w:hAnsi="Arial"/>
          <w:sz w:val="16"/>
          <w:szCs w:val="16"/>
          <w:color w:val="auto"/>
        </w:rPr>
      </w:pPr>
      <w:r>
        <w:rPr>
          <w:rFonts w:ascii="Arial" w:cs="Arial" w:eastAsia="Arial" w:hAnsi="Arial"/>
          <w:sz w:val="16"/>
          <w:szCs w:val="16"/>
          <w:color w:val="auto"/>
        </w:rPr>
        <w:t>$14.7 million of expense related to stock options. From December 2020 through June 2021, we granted stock options, subject to shareholder approval of an amendment to our incentive compensation plan, that vest and become exercisable in four equal annual installments beginning on the first anniversary of the date on which the options were granted. Stock compensation expense is normally recognized over the vesting period starting from the grant date. However, since our grants were dependent upon shareholder approval, no stock compensation expense could be recognized until we received shareholder approval at the annual meeting in July 2021. At that time, we began recognizing the fair value of the stock options as stock-based compensation expense over the remaining vesting period. This resulted in the expense for the first annual vesting installment being recognized over a shorter time period as it is being recognized over the period from July 2021 through the first anniversary of the date on which the options were granted. The expense for subsequent annual vesting installments will be recognized over their respective annual vesting periods.</w:t>
      </w:r>
    </w:p>
    <w:p>
      <w:pPr>
        <w:spacing w:after="0" w:line="4" w:lineRule="exact"/>
        <w:rPr>
          <w:rFonts w:ascii="Arial" w:cs="Arial" w:eastAsia="Arial" w:hAnsi="Arial"/>
          <w:sz w:val="16"/>
          <w:szCs w:val="16"/>
          <w:color w:val="auto"/>
        </w:rPr>
      </w:pPr>
    </w:p>
    <w:p>
      <w:pPr>
        <w:ind w:left="340" w:right="20" w:hanging="332"/>
        <w:spacing w:after="0" w:line="250" w:lineRule="auto"/>
        <w:tabs>
          <w:tab w:leader="none" w:pos="33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$11.5 million reversal of expense during the second quarter of 2021 related to the forfeiture of unvested restricted stock and restricted stock units upon the retirement of our former Chief Executive Officer.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operating expenses decreased our adjusted return on capital by 130 basis 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773" w:right="339" w:bottom="1440" w:gutter="0" w:footer="0" w:header="0"/>
        </w:sectPr>
      </w:pPr>
    </w:p>
    <w:bookmarkStart w:id="14" w:name="page15"/>
    <w:bookmarkEnd w:id="14"/>
    <w:p>
      <w:pPr>
        <w:spacing w:after="0"/>
        <w:rPr>
          <w:sz w:val="20"/>
          <w:szCs w:val="20"/>
          <w:color w:val="auto"/>
        </w:rPr>
      </w:pPr>
      <w:r>
        <w:rPr>
          <w:rFonts w:ascii="Arial" w:cs="Arial" w:eastAsia="Arial" w:hAnsi="Arial"/>
          <w:sz w:val="17"/>
          <w:szCs w:val="17"/>
          <w:color w:val="auto"/>
        </w:rPr>
        <w:t>The following tables provide a reconciliation of non-GAAP measures to GAAP measures. Certain amounts do not recalculate due to rounding.</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gridSpan w:val="2"/>
          </w:tcPr>
          <w:p>
            <w:pPr>
              <w:ind w:left="20"/>
              <w:spacing w:after="0"/>
              <w:rPr>
                <w:sz w:val="20"/>
                <w:szCs w:val="20"/>
                <w:color w:val="auto"/>
              </w:rPr>
            </w:pPr>
            <w:r>
              <w:rPr>
                <w:rFonts w:ascii="Arial" w:cs="Arial" w:eastAsia="Arial" w:hAnsi="Arial"/>
                <w:sz w:val="13"/>
                <w:szCs w:val="13"/>
                <w:color w:val="auto"/>
              </w:rPr>
              <w:t>(Dollars in millions, except per share data)</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3"/>
          </w:tcPr>
          <w:p>
            <w:pPr>
              <w:ind w:left="60"/>
              <w:spacing w:after="0"/>
              <w:rPr>
                <w:sz w:val="20"/>
                <w:szCs w:val="20"/>
                <w:color w:val="auto"/>
              </w:rPr>
            </w:pPr>
            <w:r>
              <w:rPr>
                <w:rFonts w:ascii="Arial" w:cs="Arial" w:eastAsia="Arial" w:hAnsi="Arial"/>
                <w:sz w:val="14"/>
                <w:szCs w:val="14"/>
                <w:b w:val="1"/>
                <w:bCs w:val="1"/>
                <w:color w:val="auto"/>
              </w:rPr>
              <w:t>Sept. 30, 2021</w:t>
            </w:r>
          </w:p>
        </w:tc>
        <w:tc>
          <w:tcPr>
            <w:tcW w:w="8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Jun. 30, 2021</w:t>
            </w: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Mar. 31, 2021</w:t>
            </w:r>
          </w:p>
        </w:tc>
        <w:tc>
          <w:tcPr>
            <w:tcW w:w="100" w:type="dxa"/>
            <w:vAlign w:val="bottom"/>
          </w:tcPr>
          <w:p>
            <w:pPr>
              <w:spacing w:after="0"/>
              <w:rPr>
                <w:sz w:val="16"/>
                <w:szCs w:val="16"/>
                <w:color w:val="auto"/>
              </w:rPr>
            </w:pP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Dec. 31, 2020</w:t>
            </w: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Sept. 30, 2020</w:t>
            </w:r>
          </w:p>
        </w:tc>
        <w:tc>
          <w:tcPr>
            <w:tcW w:w="8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Arial" w:cs="Arial" w:eastAsia="Arial" w:hAnsi="Arial"/>
                <w:sz w:val="14"/>
                <w:szCs w:val="14"/>
                <w:b w:val="1"/>
                <w:bCs w:val="1"/>
                <w:color w:val="auto"/>
              </w:rPr>
              <w:t>Jun. 30, 2020</w:t>
            </w: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Mar. 31, 2020</w:t>
            </w:r>
          </w:p>
        </w:tc>
        <w:tc>
          <w:tcPr>
            <w:tcW w:w="100" w:type="dxa"/>
            <w:vAlign w:val="bottom"/>
          </w:tcPr>
          <w:p>
            <w:pPr>
              <w:spacing w:after="0"/>
              <w:rPr>
                <w:sz w:val="16"/>
                <w:szCs w:val="16"/>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b w:val="1"/>
                <w:bCs w:val="1"/>
                <w:color w:val="auto"/>
                <w:w w:val="90"/>
              </w:rPr>
              <w:t>Dec. 31, 2019</w:t>
            </w:r>
          </w:p>
        </w:tc>
        <w:tc>
          <w:tcPr>
            <w:tcW w:w="0" w:type="dxa"/>
            <w:vAlign w:val="bottom"/>
          </w:tcPr>
          <w:p>
            <w:pPr>
              <w:spacing w:after="0"/>
              <w:rPr>
                <w:sz w:val="1"/>
                <w:szCs w:val="1"/>
                <w:color w:val="auto"/>
              </w:rPr>
            </w:pPr>
          </w:p>
        </w:tc>
      </w:tr>
      <w:tr>
        <w:trPr>
          <w:trHeight w:val="169"/>
        </w:trPr>
        <w:tc>
          <w:tcPr>
            <w:tcW w:w="25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20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GAAP net income (loss)</w:t>
            </w: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250.0</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288.6</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202.1</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166.3</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242.1</w:t>
            </w:r>
          </w:p>
        </w:tc>
        <w:tc>
          <w:tcPr>
            <w:tcW w:w="1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96.4</w:t>
            </w:r>
          </w:p>
        </w:tc>
        <w:tc>
          <w:tcPr>
            <w:tcW w:w="10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shd w:val="clear" w:color="auto" w:fill="CCEEFF"/>
          </w:tcPr>
          <w:p>
            <w:pPr>
              <w:jc w:val="right"/>
              <w:ind w:right="68"/>
              <w:spacing w:after="0"/>
              <w:rPr>
                <w:sz w:val="20"/>
                <w:szCs w:val="20"/>
                <w:color w:val="auto"/>
              </w:rPr>
            </w:pPr>
            <w:r>
              <w:rPr>
                <w:rFonts w:ascii="Arial" w:cs="Arial" w:eastAsia="Arial" w:hAnsi="Arial"/>
                <w:sz w:val="14"/>
                <w:szCs w:val="14"/>
                <w:color w:val="auto"/>
              </w:rPr>
              <w:t>(83.8)</w:t>
            </w: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186"/>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Floating yield adjustment (after-tax)</w:t>
            </w:r>
          </w:p>
        </w:tc>
        <w:tc>
          <w:tcPr>
            <w:tcW w:w="2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(37.9)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(54.7)</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(47.6)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(54.7)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(51.3)</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(16.0)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138"/>
        </w:trPr>
        <w:tc>
          <w:tcPr>
            <w:tcW w:w="25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color w:val="auto"/>
              </w:rPr>
              <w:t>GAAP provision for credit losses (after-</w:t>
            </w:r>
          </w:p>
        </w:tc>
        <w:tc>
          <w:tcPr>
            <w:tcW w:w="20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(6.4)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color w:val="auto"/>
              </w:rPr>
              <w:t>(23.5)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16.4</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71.3</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128"/>
              <w:spacing w:after="0"/>
              <w:rPr>
                <w:sz w:val="20"/>
                <w:szCs w:val="20"/>
                <w:color w:val="auto"/>
              </w:rPr>
            </w:pPr>
            <w:r>
              <w:rPr>
                <w:rFonts w:ascii="Arial" w:cs="Arial" w:eastAsia="Arial" w:hAnsi="Arial"/>
                <w:sz w:val="14"/>
                <w:szCs w:val="14"/>
                <w:color w:val="auto"/>
              </w:rPr>
              <w:t>107.5</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8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273.0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ind w:right="108"/>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tax)</w:t>
            </w: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Senior notes adjustment (after-tax)</w:t>
            </w:r>
          </w:p>
        </w:tc>
        <w:tc>
          <w:tcPr>
            <w:tcW w:w="2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adjustment (1)</w:t>
            </w: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(3.1)</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6"/>
        </w:trPr>
        <w:tc>
          <w:tcPr>
            <w:tcW w:w="2520" w:type="dxa"/>
            <w:vAlign w:val="bottom"/>
            <w:gridSpan w:val="2"/>
          </w:tcPr>
          <w:p>
            <w:pPr>
              <w:ind w:left="180"/>
              <w:spacing w:after="0"/>
              <w:rPr>
                <w:sz w:val="20"/>
                <w:szCs w:val="20"/>
                <w:color w:val="auto"/>
              </w:rPr>
            </w:pPr>
            <w:r>
              <w:rPr>
                <w:rFonts w:ascii="Arial" w:cs="Arial" w:eastAsia="Arial" w:hAnsi="Arial"/>
                <w:sz w:val="14"/>
                <w:szCs w:val="14"/>
                <w:color w:val="auto"/>
              </w:rPr>
              <w:t>Adjusted net income</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219.1</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230.3</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164.8</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189.5</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173.5</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Adjusted net income per diluted share</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13.84</w:t>
            </w:r>
          </w:p>
        </w:tc>
        <w:tc>
          <w:tcPr>
            <w:tcW w:w="1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13.71</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28"/>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10.75</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9.36</w:t>
            </w:r>
          </w:p>
        </w:tc>
        <w:tc>
          <w:tcPr>
            <w:tcW w:w="120" w:type="dxa"/>
            <w:vAlign w:val="bottom"/>
          </w:tcPr>
          <w:p>
            <w:pPr>
              <w:spacing w:after="0"/>
              <w:rPr>
                <w:sz w:val="11"/>
                <w:szCs w:val="11"/>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vMerge w:val="restart"/>
          </w:tcPr>
          <w:p>
            <w:pPr>
              <w:jc w:val="right"/>
              <w:ind w:right="128"/>
              <w:spacing w:after="0"/>
              <w:rPr>
                <w:sz w:val="20"/>
                <w:szCs w:val="20"/>
                <w:color w:val="auto"/>
              </w:rPr>
            </w:pPr>
            <w:r>
              <w:rPr>
                <w:rFonts w:ascii="Arial" w:cs="Arial" w:eastAsia="Arial" w:hAnsi="Arial"/>
                <w:sz w:val="14"/>
                <w:szCs w:val="14"/>
                <w:color w:val="auto"/>
              </w:rPr>
              <w:t>8.63</w:t>
            </w:r>
          </w:p>
        </w:tc>
        <w:tc>
          <w:tcPr>
            <w:tcW w:w="100" w:type="dxa"/>
            <w:vAlign w:val="bottom"/>
          </w:tcPr>
          <w:p>
            <w:pPr>
              <w:spacing w:after="0"/>
              <w:rPr>
                <w:sz w:val="11"/>
                <w:szCs w:val="11"/>
                <w:color w:val="auto"/>
              </w:rPr>
            </w:pPr>
          </w:p>
        </w:tc>
        <w:tc>
          <w:tcPr>
            <w:tcW w:w="22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vMerge w:val="restart"/>
          </w:tcPr>
          <w:p>
            <w:pPr>
              <w:jc w:val="right"/>
              <w:ind w:right="108"/>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11"/>
                <w:szCs w:val="11"/>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00" w:type="dxa"/>
            <w:vAlign w:val="bottom"/>
            <w:vMerge w:val="restart"/>
          </w:tcPr>
          <w:p>
            <w:pPr>
              <w:jc w:val="right"/>
              <w:ind w:right="108"/>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167"/>
        </w:trPr>
        <w:tc>
          <w:tcPr>
            <w:tcW w:w="2420" w:type="dxa"/>
            <w:vAlign w:val="bottom"/>
          </w:tcPr>
          <w:p>
            <w:pPr>
              <w:ind w:left="180"/>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4"/>
                <w:szCs w:val="14"/>
                <w:color w:val="auto"/>
              </w:rPr>
            </w:pPr>
          </w:p>
        </w:tc>
        <w:tc>
          <w:tcPr>
            <w:tcW w:w="20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vMerge w:val="continue"/>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520" w:type="dxa"/>
            <w:vAlign w:val="bottom"/>
            <w:gridSpan w:val="2"/>
            <w:shd w:val="clear" w:color="auto" w:fill="CCEEFF"/>
          </w:tcPr>
          <w:p>
            <w:pPr>
              <w:ind w:left="20"/>
              <w:spacing w:after="0" w:line="102" w:lineRule="exact"/>
              <w:rPr>
                <w:sz w:val="20"/>
                <w:szCs w:val="20"/>
                <w:color w:val="auto"/>
              </w:rPr>
            </w:pPr>
            <w:r>
              <w:rPr>
                <w:rFonts w:ascii="Arial" w:cs="Arial" w:eastAsia="Arial" w:hAnsi="Arial"/>
                <w:sz w:val="11"/>
                <w:szCs w:val="11"/>
                <w:color w:val="auto"/>
              </w:rPr>
              <w:t>Diluted weighted average shares</w:t>
            </w:r>
          </w:p>
        </w:tc>
        <w:tc>
          <w:tcPr>
            <w:tcW w:w="20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15,829,166</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16,794,279</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17,099,058</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17,633,553</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17,849,765</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17,847,050</w:t>
            </w:r>
          </w:p>
        </w:tc>
        <w:tc>
          <w:tcPr>
            <w:tcW w:w="10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18,185,465</w:t>
            </w: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18,827,222</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outstanding</w:t>
            </w:r>
          </w:p>
        </w:tc>
        <w:tc>
          <w:tcPr>
            <w:tcW w:w="20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7"/>
        </w:trPr>
        <w:tc>
          <w:tcPr>
            <w:tcW w:w="2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revenue</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GAAP total revenue</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470.1</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471.7</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451.0</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447.4</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426.5</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406.3</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389.1</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385.9</w:t>
            </w:r>
          </w:p>
        </w:tc>
        <w:tc>
          <w:tcPr>
            <w:tcW w:w="0" w:type="dxa"/>
            <w:vAlign w:val="bottom"/>
          </w:tcPr>
          <w:p>
            <w:pPr>
              <w:spacing w:after="0"/>
              <w:rPr>
                <w:sz w:val="1"/>
                <w:szCs w:val="1"/>
                <w:color w:val="auto"/>
              </w:rPr>
            </w:pPr>
          </w:p>
        </w:tc>
      </w:tr>
      <w:tr>
        <w:trPr>
          <w:trHeight w:val="19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Floating yield adjustment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(38.5)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(71.0)</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(61.9)</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(71.1)</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(66.5)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86"/>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GAAP provision for claims</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(9.0)</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(10.7)</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(9.3)</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(8.8)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211"/>
        </w:trPr>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Adjusted revenue</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421.6</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412.0</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371.0</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376.4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344.7</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330.5</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359.5</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360.4</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average capital</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GAAP average debt</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4,676.6</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4,750.3</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4,701.6</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4,624.8</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4,735.2</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4,786.9</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4,597.2</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4,320.2</w:t>
            </w:r>
          </w:p>
        </w:tc>
        <w:tc>
          <w:tcPr>
            <w:tcW w:w="0" w:type="dxa"/>
            <w:vAlign w:val="bottom"/>
          </w:tcPr>
          <w:p>
            <w:pPr>
              <w:spacing w:after="0"/>
              <w:rPr>
                <w:sz w:val="1"/>
                <w:szCs w:val="1"/>
                <w:color w:val="auto"/>
              </w:rPr>
            </w:pPr>
          </w:p>
        </w:tc>
      </w:tr>
      <w:tr>
        <w:trPr>
          <w:trHeight w:val="19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GAAP average shareholders' equity</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2,224.5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2,443.6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2,323.1</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2,320.4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2,188.7</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2,015.6</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2,229.8</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2,392.7</w:t>
            </w:r>
          </w:p>
        </w:tc>
        <w:tc>
          <w:tcPr>
            <w:tcW w:w="0" w:type="dxa"/>
            <w:vAlign w:val="bottom"/>
          </w:tcPr>
          <w:p>
            <w:pPr>
              <w:spacing w:after="0"/>
              <w:rPr>
                <w:sz w:val="1"/>
                <w:szCs w:val="1"/>
                <w:color w:val="auto"/>
              </w:rPr>
            </w:pPr>
          </w:p>
        </w:tc>
      </w:tr>
      <w:tr>
        <w:trPr>
          <w:trHeight w:val="186"/>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Deferred debt issuance adjustment</w:t>
            </w:r>
          </w:p>
        </w:tc>
        <w:tc>
          <w:tcPr>
            <w:tcW w:w="20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28.6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26.8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25.7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25.9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28.5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9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adjustment</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10.5</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12.6</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13.1</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(15.9)</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(20.1)</w:t>
            </w:r>
          </w:p>
        </w:tc>
        <w:tc>
          <w:tcPr>
            <w:tcW w:w="0" w:type="dxa"/>
            <w:vAlign w:val="bottom"/>
          </w:tcPr>
          <w:p>
            <w:pPr>
              <w:spacing w:after="0"/>
              <w:rPr>
                <w:sz w:val="1"/>
                <w:szCs w:val="1"/>
                <w:color w:val="auto"/>
              </w:rPr>
            </w:pPr>
          </w:p>
        </w:tc>
      </w:tr>
      <w:tr>
        <w:trPr>
          <w:trHeight w:val="186"/>
        </w:trPr>
        <w:tc>
          <w:tcPr>
            <w:tcW w:w="2520" w:type="dxa"/>
            <w:vAlign w:val="bottom"/>
            <w:gridSpan w:val="2"/>
          </w:tcPr>
          <w:p>
            <w:pPr>
              <w:ind w:left="20"/>
              <w:spacing w:after="0"/>
              <w:rPr>
                <w:sz w:val="20"/>
                <w:szCs w:val="20"/>
                <w:color w:val="auto"/>
              </w:rPr>
            </w:pPr>
            <w:r>
              <w:rPr>
                <w:rFonts w:ascii="Arial" w:cs="Arial" w:eastAsia="Arial" w:hAnsi="Arial"/>
                <w:sz w:val="14"/>
                <w:szCs w:val="14"/>
                <w:color w:val="auto"/>
              </w:rPr>
              <w:t>Income tax adjustment (3)</w:t>
            </w:r>
          </w:p>
        </w:tc>
        <w:tc>
          <w:tcPr>
            <w:tcW w:w="20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8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(118.5)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8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68"/>
              <w:spacing w:after="0"/>
              <w:rPr>
                <w:sz w:val="20"/>
                <w:szCs w:val="20"/>
                <w:color w:val="auto"/>
              </w:rPr>
            </w:pPr>
            <w:r>
              <w:rPr>
                <w:rFonts w:ascii="Arial" w:cs="Arial" w:eastAsia="Arial" w:hAnsi="Arial"/>
                <w:sz w:val="14"/>
                <w:szCs w:val="14"/>
                <w:color w:val="auto"/>
              </w:rPr>
              <w:t>(118.5)</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68"/>
              <w:spacing w:after="0"/>
              <w:rPr>
                <w:sz w:val="20"/>
                <w:szCs w:val="20"/>
                <w:color w:val="auto"/>
              </w:rPr>
            </w:pPr>
            <w:r>
              <w:rPr>
                <w:rFonts w:ascii="Arial" w:cs="Arial" w:eastAsia="Arial" w:hAnsi="Arial"/>
                <w:sz w:val="14"/>
                <w:szCs w:val="14"/>
                <w:color w:val="auto"/>
              </w:rPr>
              <w:t>(118.5)</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Floating yield adjustment</w:t>
            </w: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208.1</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253.3</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318.7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308.5</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341.1</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356.4</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144.5</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64.3</w:t>
            </w:r>
          </w:p>
        </w:tc>
        <w:tc>
          <w:tcPr>
            <w:tcW w:w="0" w:type="dxa"/>
            <w:vAlign w:val="bottom"/>
          </w:tcPr>
          <w:p>
            <w:pPr>
              <w:spacing w:after="0"/>
              <w:rPr>
                <w:sz w:val="1"/>
                <w:szCs w:val="1"/>
                <w:color w:val="auto"/>
              </w:rPr>
            </w:pPr>
          </w:p>
        </w:tc>
      </w:tr>
      <w:tr>
        <w:trPr>
          <w:trHeight w:val="186"/>
        </w:trPr>
        <w:tc>
          <w:tcPr>
            <w:tcW w:w="2520" w:type="dxa"/>
            <w:vAlign w:val="bottom"/>
            <w:gridSpan w:val="2"/>
          </w:tcPr>
          <w:p>
            <w:pPr>
              <w:ind w:left="180"/>
              <w:spacing w:after="0"/>
              <w:rPr>
                <w:sz w:val="20"/>
                <w:szCs w:val="20"/>
                <w:color w:val="auto"/>
              </w:rPr>
            </w:pPr>
            <w:r>
              <w:rPr>
                <w:rFonts w:ascii="Arial" w:cs="Arial" w:eastAsia="Arial" w:hAnsi="Arial"/>
                <w:sz w:val="14"/>
                <w:szCs w:val="14"/>
                <w:color w:val="auto"/>
              </w:rPr>
              <w:t>Adjusted average capital</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7,029.8</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7,370.1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7,265.6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7,174.1</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7,184.8</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7,079.4</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6,865.6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6,663.9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520" w:type="dxa"/>
            <w:vAlign w:val="bottom"/>
            <w:gridSpan w:val="2"/>
          </w:tcPr>
          <w:p>
            <w:pPr>
              <w:ind w:left="20"/>
              <w:spacing w:after="0" w:line="135" w:lineRule="exact"/>
              <w:rPr>
                <w:sz w:val="20"/>
                <w:szCs w:val="20"/>
                <w:color w:val="auto"/>
              </w:rPr>
            </w:pPr>
            <w:r>
              <w:rPr>
                <w:rFonts w:ascii="Arial" w:cs="Arial" w:eastAsia="Arial" w:hAnsi="Arial"/>
                <w:sz w:val="14"/>
                <w:szCs w:val="14"/>
                <w:color w:val="auto"/>
              </w:rPr>
              <w:t>Adjusted revenue as a percentage of</w:t>
            </w:r>
          </w:p>
        </w:tc>
        <w:tc>
          <w:tcPr>
            <w:tcW w:w="20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24.0 %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22.4 %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20.4 %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21.0 %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19.2 %</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18.7 %</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20.9 %</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21.6 %</w:t>
            </w:r>
          </w:p>
        </w:tc>
        <w:tc>
          <w:tcPr>
            <w:tcW w:w="0" w:type="dxa"/>
            <w:vAlign w:val="bottom"/>
          </w:tcPr>
          <w:p>
            <w:pPr>
              <w:spacing w:after="0"/>
              <w:rPr>
                <w:sz w:val="1"/>
                <w:szCs w:val="1"/>
                <w:color w:val="auto"/>
              </w:rPr>
            </w:pPr>
          </w:p>
        </w:tc>
      </w:tr>
      <w:tr>
        <w:trPr>
          <w:trHeight w:val="162"/>
        </w:trPr>
        <w:tc>
          <w:tcPr>
            <w:tcW w:w="2520" w:type="dxa"/>
            <w:vAlign w:val="bottom"/>
            <w:gridSpan w:val="2"/>
          </w:tcPr>
          <w:p>
            <w:pPr>
              <w:ind w:left="180"/>
              <w:spacing w:after="0"/>
              <w:rPr>
                <w:sz w:val="20"/>
                <w:szCs w:val="20"/>
                <w:color w:val="auto"/>
              </w:rPr>
            </w:pPr>
            <w:r>
              <w:rPr>
                <w:rFonts w:ascii="Arial" w:cs="Arial" w:eastAsia="Arial" w:hAnsi="Arial"/>
                <w:sz w:val="14"/>
                <w:szCs w:val="14"/>
                <w:color w:val="auto"/>
              </w:rPr>
              <w:t>adjusted average capital (4)</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25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loans receivable</w:t>
            </w: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GAAP loans receivable, net</w:t>
            </w:r>
          </w:p>
        </w:tc>
        <w:tc>
          <w:tcPr>
            <w:tcW w:w="1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6,582.6</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6,768.1</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6,875.3</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6,787.9</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6,865.2</w:t>
            </w: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6,749.8</w:t>
            </w: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6,618.5</w:t>
            </w: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6,685.2</w:t>
            </w:r>
          </w:p>
        </w:tc>
        <w:tc>
          <w:tcPr>
            <w:tcW w:w="0" w:type="dxa"/>
            <w:vAlign w:val="bottom"/>
          </w:tcPr>
          <w:p>
            <w:pPr>
              <w:spacing w:after="0"/>
              <w:rPr>
                <w:sz w:val="1"/>
                <w:szCs w:val="1"/>
                <w:color w:val="auto"/>
              </w:rPr>
            </w:pPr>
          </w:p>
        </w:tc>
      </w:tr>
      <w:tr>
        <w:trPr>
          <w:trHeight w:val="186"/>
        </w:trPr>
        <w:tc>
          <w:tcPr>
            <w:tcW w:w="25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Floating yield adjustment</w:t>
            </w: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251.3</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299.1</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378.8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428.5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397.8</w:t>
            </w: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498.8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425.8</w:t>
            </w: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92.0</w:t>
            </w:r>
          </w:p>
        </w:tc>
        <w:tc>
          <w:tcPr>
            <w:tcW w:w="0" w:type="dxa"/>
            <w:vAlign w:val="bottom"/>
          </w:tcPr>
          <w:p>
            <w:pPr>
              <w:spacing w:after="0"/>
              <w:rPr>
                <w:sz w:val="1"/>
                <w:szCs w:val="1"/>
                <w:color w:val="auto"/>
              </w:rPr>
            </w:pPr>
          </w:p>
        </w:tc>
      </w:tr>
      <w:tr>
        <w:trPr>
          <w:trHeight w:val="211"/>
        </w:trPr>
        <w:tc>
          <w:tcPr>
            <w:tcW w:w="25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4"/>
                <w:szCs w:val="14"/>
                <w:color w:val="auto"/>
              </w:rPr>
              <w:t>Adjusted loans receivable</w:t>
            </w:r>
          </w:p>
        </w:tc>
        <w:tc>
          <w:tcPr>
            <w:tcW w:w="2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6,833.9</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7,067.2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7,254.1</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7,216.4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7,263.0</w:t>
            </w: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7,248.6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7,044.3</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6,777.2</w:t>
            </w:r>
          </w:p>
        </w:tc>
        <w:tc>
          <w:tcPr>
            <w:tcW w:w="0" w:type="dxa"/>
            <w:vAlign w:val="bottom"/>
          </w:tcPr>
          <w:p>
            <w:pPr>
              <w:spacing w:after="0"/>
              <w:rPr>
                <w:sz w:val="1"/>
                <w:szCs w:val="1"/>
                <w:color w:val="auto"/>
              </w:rPr>
            </w:pPr>
          </w:p>
        </w:tc>
      </w:tr>
      <w:tr>
        <w:trPr>
          <w:trHeight w:val="20"/>
        </w:trPr>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interest expense (after-tax)</w:t>
            </w: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24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GAAP interest expense</w:t>
            </w:r>
          </w:p>
        </w:tc>
        <w:tc>
          <w:tcPr>
            <w:tcW w:w="10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39.8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42.0</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43.8</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45.1</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46.8</w:t>
            </w:r>
          </w:p>
        </w:tc>
        <w:tc>
          <w:tcPr>
            <w:tcW w:w="12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48.2</w:t>
            </w:r>
          </w:p>
        </w:tc>
        <w:tc>
          <w:tcPr>
            <w:tcW w:w="100" w:type="dxa"/>
            <w:vAlign w:val="bottom"/>
          </w:tcPr>
          <w:p>
            <w:pPr>
              <w:spacing w:after="0"/>
              <w:rPr>
                <w:sz w:val="15"/>
                <w:szCs w:val="15"/>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51.9</w:t>
            </w:r>
          </w:p>
        </w:tc>
        <w:tc>
          <w:tcPr>
            <w:tcW w:w="1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51.0</w:t>
            </w:r>
          </w:p>
        </w:tc>
        <w:tc>
          <w:tcPr>
            <w:tcW w:w="0" w:type="dxa"/>
            <w:vAlign w:val="bottom"/>
          </w:tcPr>
          <w:p>
            <w:pPr>
              <w:spacing w:after="0"/>
              <w:rPr>
                <w:sz w:val="1"/>
                <w:szCs w:val="1"/>
                <w:color w:val="auto"/>
              </w:rPr>
            </w:pPr>
          </w:p>
        </w:tc>
      </w:tr>
      <w:tr>
        <w:trPr>
          <w:trHeight w:val="192"/>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adjustment</w:t>
            </w: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0.7</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0.6</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79"/>
        </w:trPr>
        <w:tc>
          <w:tcPr>
            <w:tcW w:w="2520" w:type="dxa"/>
            <w:vAlign w:val="bottom"/>
            <w:gridSpan w:val="2"/>
          </w:tcPr>
          <w:p>
            <w:pPr>
              <w:ind w:left="180"/>
              <w:spacing w:after="0"/>
              <w:rPr>
                <w:sz w:val="20"/>
                <w:szCs w:val="20"/>
                <w:color w:val="auto"/>
              </w:rPr>
            </w:pPr>
            <w:r>
              <w:rPr>
                <w:rFonts w:ascii="Arial" w:cs="Arial" w:eastAsia="Arial" w:hAnsi="Arial"/>
                <w:sz w:val="14"/>
                <w:szCs w:val="14"/>
                <w:color w:val="auto"/>
              </w:rPr>
              <w:t>Adjusted interest expense (pre-tax)</w:t>
            </w:r>
          </w:p>
        </w:tc>
        <w:tc>
          <w:tcPr>
            <w:tcW w:w="20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42.7</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28"/>
              <w:spacing w:after="0"/>
              <w:rPr>
                <w:sz w:val="20"/>
                <w:szCs w:val="20"/>
                <w:color w:val="auto"/>
              </w:rPr>
            </w:pPr>
            <w:r>
              <w:rPr>
                <w:rFonts w:ascii="Arial" w:cs="Arial" w:eastAsia="Arial" w:hAnsi="Arial"/>
                <w:sz w:val="14"/>
                <w:szCs w:val="14"/>
                <w:color w:val="auto"/>
              </w:rPr>
              <w:t>44.5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48.9</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jc w:val="right"/>
              <w:ind w:right="108"/>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51.4</w:t>
            </w:r>
          </w:p>
        </w:tc>
        <w:tc>
          <w:tcPr>
            <w:tcW w:w="0" w:type="dxa"/>
            <w:vAlign w:val="bottom"/>
          </w:tcPr>
          <w:p>
            <w:pPr>
              <w:spacing w:after="0"/>
              <w:rPr>
                <w:sz w:val="1"/>
                <w:szCs w:val="1"/>
                <w:color w:val="auto"/>
              </w:rPr>
            </w:pPr>
          </w:p>
        </w:tc>
      </w:tr>
      <w:tr>
        <w:trPr>
          <w:trHeight w:val="189"/>
        </w:trPr>
        <w:tc>
          <w:tcPr>
            <w:tcW w:w="25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Adjustment to record tax effect (1)</w:t>
            </w:r>
          </w:p>
        </w:tc>
        <w:tc>
          <w:tcPr>
            <w:tcW w:w="2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(9.8)</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(10.9)</w:t>
            </w:r>
          </w:p>
        </w:tc>
        <w:tc>
          <w:tcPr>
            <w:tcW w:w="12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86"/>
        </w:trPr>
        <w:tc>
          <w:tcPr>
            <w:tcW w:w="2520" w:type="dxa"/>
            <w:vAlign w:val="bottom"/>
            <w:gridSpan w:val="2"/>
          </w:tcPr>
          <w:p>
            <w:pPr>
              <w:ind w:left="180"/>
              <w:spacing w:after="0"/>
              <w:rPr>
                <w:sz w:val="20"/>
                <w:szCs w:val="20"/>
                <w:color w:val="auto"/>
              </w:rPr>
            </w:pPr>
            <w:r>
              <w:rPr>
                <w:rFonts w:ascii="Arial" w:cs="Arial" w:eastAsia="Arial" w:hAnsi="Arial"/>
                <w:sz w:val="14"/>
                <w:szCs w:val="14"/>
                <w:color w:val="auto"/>
              </w:rPr>
              <w:t>Adjusted interest expense (after-tax)</w:t>
            </w:r>
          </w:p>
        </w:tc>
        <w:tc>
          <w:tcPr>
            <w:tcW w:w="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6"/>
                <w:szCs w:val="16"/>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80" w:hanging="310"/>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Adjustment to record taxes at our estimated long-term effective income tax rate of 23%.</w:t>
      </w:r>
    </w:p>
    <w:p>
      <w:pPr>
        <w:spacing w:after="0" w:line="13" w:lineRule="exact"/>
        <w:rPr>
          <w:rFonts w:ascii="Arial" w:cs="Arial" w:eastAsia="Arial" w:hAnsi="Arial"/>
          <w:sz w:val="14"/>
          <w:szCs w:val="14"/>
          <w:color w:val="auto"/>
        </w:rPr>
      </w:pPr>
    </w:p>
    <w:p>
      <w:pPr>
        <w:ind w:left="500" w:hanging="330"/>
        <w:spacing w:after="0" w:line="241" w:lineRule="auto"/>
        <w:tabs>
          <w:tab w:leader="none" w:pos="536" w:val="left"/>
        </w:tabs>
        <w:numPr>
          <w:ilvl w:val="0"/>
          <w:numId w:val="16"/>
        </w:numPr>
        <w:rPr>
          <w:rFonts w:ascii="Arial" w:cs="Arial" w:eastAsia="Arial" w:hAnsi="Arial"/>
          <w:sz w:val="14"/>
          <w:szCs w:val="14"/>
          <w:color w:val="auto"/>
        </w:rPr>
      </w:pPr>
      <w:r>
        <w:rPr>
          <w:rFonts w:ascii="Arial" w:cs="Arial" w:eastAsia="Arial" w:hAnsi="Arial"/>
          <w:sz w:val="14"/>
          <w:szCs w:val="14"/>
          <w:color w:val="auto"/>
        </w:rPr>
        <w:t>Net income per share is computed independently for each of the quarters presented. Therefore, the sum of quarterly net income per share information may not equal year-to-date net income per share.</w:t>
      </w:r>
    </w:p>
    <w:p>
      <w:pPr>
        <w:jc w:val="both"/>
        <w:ind w:left="500" w:hanging="330"/>
        <w:spacing w:after="0" w:line="241" w:lineRule="auto"/>
        <w:tabs>
          <w:tab w:leader="none" w:pos="488"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enactment of the Tax Cuts and Jobs Act in December 2017 resulted in the reversal of $118.5 million of provision for income taxes to reflect the new federal statutory income tax rate. This adjustment removes the impact of this reversal from adjusted average capital. We believe the income tax adjustment provides a more accurate reflection of the performance of our business as we are recognizing provision for income taxes at the applicable long-term effective tax rate for the period.</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773" w:right="339" w:bottom="1440" w:gutter="0" w:footer="0" w:header="0"/>
        </w:sectPr>
      </w:pPr>
    </w:p>
    <w:bookmarkStart w:id="15" w:name="page16"/>
    <w:bookmarkEnd w:id="15"/>
    <w:p>
      <w:pPr>
        <w:spacing w:after="0" w:line="4"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return on capital</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net income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Adjusted interest expense (after-tax)</w:t>
      </w:r>
    </w:p>
    <w:p>
      <w:pPr>
        <w:spacing w:after="0" w:line="53" w:lineRule="exact"/>
        <w:rPr>
          <w:sz w:val="20"/>
          <w:szCs w:val="20"/>
          <w:color w:val="auto"/>
        </w:rPr>
      </w:pPr>
    </w:p>
    <w:p>
      <w:pPr>
        <w:ind w:left="180" w:right="300" w:hanging="161"/>
        <w:spacing w:after="0" w:line="273" w:lineRule="auto"/>
        <w:rPr>
          <w:sz w:val="20"/>
          <w:szCs w:val="20"/>
          <w:color w:val="auto"/>
        </w:rPr>
      </w:pPr>
      <w:r>
        <w:rPr>
          <w:rFonts w:ascii="Arial" w:cs="Arial" w:eastAsia="Arial" w:hAnsi="Arial"/>
          <w:sz w:val="14"/>
          <w:szCs w:val="14"/>
          <w:color w:val="auto"/>
        </w:rPr>
        <w:t>Adjusted net income plus interest expense (after-tax)</w:t>
      </w:r>
    </w:p>
    <w:p>
      <w:pPr>
        <w:spacing w:after="0" w:line="251" w:lineRule="exact"/>
        <w:rPr>
          <w:sz w:val="20"/>
          <w:szCs w:val="20"/>
          <w:color w:val="auto"/>
        </w:rPr>
      </w:pPr>
    </w:p>
    <w:p>
      <w:pPr>
        <w:ind w:left="20" w:right="60"/>
        <w:spacing w:after="0" w:line="226" w:lineRule="auto"/>
        <w:rPr>
          <w:sz w:val="20"/>
          <w:szCs w:val="20"/>
          <w:color w:val="auto"/>
        </w:rPr>
      </w:pPr>
      <w:r>
        <w:rPr>
          <w:rFonts w:ascii="Arial" w:cs="Arial" w:eastAsia="Arial" w:hAnsi="Arial"/>
          <w:sz w:val="14"/>
          <w:szCs w:val="14"/>
          <w:b w:val="1"/>
          <w:bCs w:val="1"/>
          <w:color w:val="auto"/>
        </w:rPr>
        <w:t xml:space="preserve">Reconciliation of GAAP return on equity to adjusted return on capital </w:t>
      </w:r>
      <w:r>
        <w:rPr>
          <w:rFonts w:ascii="Arial" w:cs="Arial" w:eastAsia="Arial" w:hAnsi="Arial"/>
          <w:sz w:val="14"/>
          <w:szCs w:val="14"/>
          <w:b w:val="1"/>
          <w:bCs w:val="1"/>
          <w:color w:val="auto"/>
          <w:shd w:val="clear" w:color="auto" w:fill="CCEEFF"/>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5259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return on equity (1)</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Non-GAAP adjustments</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Adjusted return on capital (2)</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Economic profit</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return on capital</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capital (3) (4)</w:t>
      </w:r>
    </w:p>
    <w:p>
      <w:pPr>
        <w:spacing w:after="0" w:line="28" w:lineRule="exact"/>
        <w:rPr>
          <w:sz w:val="20"/>
          <w:szCs w:val="20"/>
          <w:color w:val="auto"/>
        </w:rPr>
      </w:pPr>
    </w:p>
    <w:p>
      <w:pPr>
        <w:ind w:left="180" w:right="20" w:hanging="161"/>
        <w:spacing w:after="0" w:line="236" w:lineRule="auto"/>
        <w:rPr>
          <w:sz w:val="20"/>
          <w:szCs w:val="20"/>
          <w:color w:val="auto"/>
        </w:rPr>
      </w:pPr>
      <w:r>
        <w:rPr>
          <w:rFonts w:ascii="Arial" w:cs="Arial" w:eastAsia="Arial" w:hAnsi="Arial"/>
          <w:sz w:val="14"/>
          <w:szCs w:val="14"/>
          <w:color w:val="auto"/>
        </w:rPr>
        <w:t>Adjusted return on capital in excess of cost of capital</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average capital</w:t>
      </w:r>
    </w:p>
    <w:p>
      <w:pPr>
        <w:spacing w:after="0" w:line="6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Economic profit</w:t>
      </w:r>
    </w:p>
    <w:p>
      <w:pPr>
        <w:spacing w:after="0" w:line="281" w:lineRule="exact"/>
        <w:rPr>
          <w:sz w:val="20"/>
          <w:szCs w:val="20"/>
          <w:color w:val="auto"/>
        </w:rPr>
      </w:pPr>
    </w:p>
    <w:p>
      <w:pPr>
        <w:ind w:left="20" w:right="60"/>
        <w:spacing w:after="0" w:line="239" w:lineRule="auto"/>
        <w:rPr>
          <w:sz w:val="20"/>
          <w:szCs w:val="20"/>
          <w:color w:val="auto"/>
        </w:rPr>
      </w:pPr>
      <w:r>
        <w:rPr>
          <w:rFonts w:ascii="Arial" w:cs="Arial" w:eastAsia="Arial" w:hAnsi="Arial"/>
          <w:sz w:val="14"/>
          <w:szCs w:val="14"/>
          <w:b w:val="1"/>
          <w:bCs w:val="1"/>
          <w:color w:val="auto"/>
        </w:rPr>
        <w:t>Reconciliation of GAAP net income (loss) to economic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152590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net income (loss)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Non-GAAP adjustments</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net income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3"/>
          <w:szCs w:val="13"/>
          <w:color w:val="auto"/>
        </w:rPr>
        <w:t>Adjusted interest expense (after-tax)</w:t>
      </w:r>
    </w:p>
    <w:p>
      <w:pPr>
        <w:spacing w:after="0" w:line="40" w:lineRule="exact"/>
        <w:rPr>
          <w:sz w:val="20"/>
          <w:szCs w:val="20"/>
          <w:color w:val="auto"/>
        </w:rPr>
      </w:pPr>
    </w:p>
    <w:p>
      <w:pPr>
        <w:ind w:left="180" w:right="300" w:hanging="161"/>
        <w:spacing w:after="0" w:line="236" w:lineRule="auto"/>
        <w:rPr>
          <w:sz w:val="20"/>
          <w:szCs w:val="20"/>
          <w:color w:val="auto"/>
        </w:rPr>
      </w:pPr>
      <w:r>
        <w:rPr>
          <w:rFonts w:ascii="Arial" w:cs="Arial" w:eastAsia="Arial" w:hAnsi="Arial"/>
          <w:sz w:val="14"/>
          <w:szCs w:val="14"/>
          <w:color w:val="auto"/>
        </w:rPr>
        <w:t>Adjusted net income plus interest expense (after-tax)</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Less: cost of capital</w:t>
      </w:r>
    </w:p>
    <w:p>
      <w:pPr>
        <w:spacing w:after="0" w:line="69"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Economic profit</w:t>
      </w:r>
    </w:p>
    <w:p>
      <w:pPr>
        <w:spacing w:after="0" w:line="24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expenses</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salaries and wages</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general and administrative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sales and marketing</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Operating expenses</w:t>
      </w:r>
    </w:p>
    <w:p>
      <w:pPr>
        <w:spacing w:after="0" w:line="285" w:lineRule="exact"/>
        <w:rPr>
          <w:sz w:val="20"/>
          <w:szCs w:val="20"/>
          <w:color w:val="auto"/>
        </w:rPr>
      </w:pPr>
    </w:p>
    <w:p>
      <w:pPr>
        <w:ind w:left="180" w:right="40" w:hanging="161"/>
        <w:spacing w:after="0" w:line="269" w:lineRule="auto"/>
        <w:rPr>
          <w:sz w:val="20"/>
          <w:szCs w:val="20"/>
          <w:color w:val="auto"/>
        </w:rPr>
      </w:pPr>
      <w:r>
        <w:rPr>
          <w:rFonts w:ascii="Arial" w:cs="Arial" w:eastAsia="Arial" w:hAnsi="Arial"/>
          <w:sz w:val="13"/>
          <w:szCs w:val="13"/>
          <w:color w:val="auto"/>
        </w:rPr>
        <w:t>Operating expenses as a percentage of adjusted average capital (4)</w:t>
      </w:r>
    </w:p>
    <w:p>
      <w:pPr>
        <w:spacing w:after="0" w:line="245" w:lineRule="exact"/>
        <w:rPr>
          <w:sz w:val="20"/>
          <w:szCs w:val="20"/>
          <w:color w:val="auto"/>
        </w:rPr>
      </w:pPr>
    </w:p>
    <w:p>
      <w:pPr>
        <w:jc w:val="both"/>
        <w:ind w:left="180" w:hanging="161"/>
        <w:spacing w:after="0" w:line="224" w:lineRule="auto"/>
        <w:rPr>
          <w:sz w:val="20"/>
          <w:szCs w:val="20"/>
          <w:color w:val="auto"/>
        </w:rPr>
      </w:pPr>
      <w:r>
        <w:rPr>
          <w:rFonts w:ascii="Arial" w:cs="Arial" w:eastAsia="Arial" w:hAnsi="Arial"/>
          <w:sz w:val="14"/>
          <w:szCs w:val="14"/>
          <w:color w:val="auto"/>
        </w:rPr>
        <w:t>Percentage change in adjusted average capital compared to the same period in the prior year</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Arial" w:cs="Arial" w:eastAsia="Arial" w:hAnsi="Arial"/>
          <w:sz w:val="14"/>
          <w:szCs w:val="14"/>
          <w:b w:val="1"/>
          <w:bCs w:val="1"/>
          <w:color w:val="auto"/>
        </w:rPr>
        <w:t>For the Three Months Ended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00" w:type="dxa"/>
            <w:vAlign w:val="bottom"/>
            <w:tcBorders>
              <w:top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Sept. 30, 2021</w:t>
            </w:r>
          </w:p>
        </w:tc>
        <w:tc>
          <w:tcPr>
            <w:tcW w:w="8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Jun. 30, 2021</w:t>
            </w:r>
          </w:p>
        </w:tc>
        <w:tc>
          <w:tcPr>
            <w:tcW w:w="11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Mar. 31, 2021</w:t>
            </w:r>
          </w:p>
        </w:tc>
        <w:tc>
          <w:tcPr>
            <w:tcW w:w="1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Dec. 31, 2020</w:t>
            </w:r>
          </w:p>
        </w:tc>
        <w:tc>
          <w:tcPr>
            <w:tcW w:w="112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Sept. 30, 2020</w:t>
            </w:r>
          </w:p>
        </w:tc>
        <w:tc>
          <w:tcPr>
            <w:tcW w:w="8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rPr>
              <w:t>Jun. 30, 2020</w:t>
            </w:r>
          </w:p>
        </w:tc>
        <w:tc>
          <w:tcPr>
            <w:tcW w:w="1100" w:type="dxa"/>
            <w:vAlign w:val="bottom"/>
            <w:tcBorders>
              <w:top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Mar. 31, 2020</w:t>
            </w: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0"/>
              </w:rPr>
              <w:t>Dec. 31, 2019</w:t>
            </w:r>
          </w:p>
        </w:tc>
      </w:tr>
      <w:tr>
        <w:trPr>
          <w:trHeight w:val="361"/>
        </w:trPr>
        <w:tc>
          <w:tcPr>
            <w:tcW w:w="22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219.1</w:t>
            </w:r>
          </w:p>
        </w:tc>
        <w:tc>
          <w:tcPr>
            <w:tcW w:w="12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230.3</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164.8</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189.5</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24"/>
                <w:szCs w:val="24"/>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128"/>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24"/>
                <w:szCs w:val="24"/>
                <w:color w:val="auto"/>
              </w:rPr>
            </w:pPr>
          </w:p>
        </w:tc>
        <w:tc>
          <w:tcPr>
            <w:tcW w:w="240" w:type="dxa"/>
            <w:vAlign w:val="bottom"/>
            <w:tcBorders>
              <w:top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24"/>
                <w:szCs w:val="24"/>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tcBorders>
          </w:tcPr>
          <w:p>
            <w:pPr>
              <w:jc w:val="right"/>
              <w:ind w:right="108"/>
              <w:spacing w:after="0"/>
              <w:rPr>
                <w:sz w:val="20"/>
                <w:szCs w:val="20"/>
                <w:color w:val="auto"/>
              </w:rPr>
            </w:pPr>
            <w:r>
              <w:rPr>
                <w:rFonts w:ascii="Arial" w:cs="Arial" w:eastAsia="Arial" w:hAnsi="Arial"/>
                <w:sz w:val="14"/>
                <w:szCs w:val="14"/>
                <w:color w:val="auto"/>
              </w:rPr>
              <w:t>173.5</w:t>
            </w:r>
          </w:p>
        </w:tc>
      </w:tr>
      <w:tr>
        <w:trPr>
          <w:trHeight w:val="195"/>
        </w:trPr>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39.5</w:t>
            </w:r>
          </w:p>
        </w:tc>
      </w:tr>
      <w:tr>
        <w:trPr>
          <w:trHeight w:val="331"/>
        </w:trPr>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250.3</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199.0</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203.5</w:t>
            </w:r>
          </w:p>
        </w:tc>
        <w:tc>
          <w:tcPr>
            <w:tcW w:w="12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215.8</w:t>
            </w:r>
          </w:p>
        </w:tc>
        <w:tc>
          <w:tcPr>
            <w:tcW w:w="100" w:type="dxa"/>
            <w:vAlign w:val="bottom"/>
          </w:tcPr>
          <w:p>
            <w:pPr>
              <w:spacing w:after="0"/>
              <w:rPr>
                <w:sz w:val="24"/>
                <w:szCs w:val="2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213.0</w:t>
            </w:r>
          </w:p>
        </w:tc>
      </w:tr>
      <w:tr>
        <w:trPr>
          <w:trHeight w:val="27"/>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872"/>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45.0 %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47.2 %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34.8 %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28.7 %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44.2 %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19.1 %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-15.0 %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27.1 %</w:t>
            </w:r>
          </w:p>
        </w:tc>
      </w:tr>
      <w:tr>
        <w:trPr>
          <w:trHeight w:val="195"/>
        </w:trPr>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-30.8 %</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-16.2 %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-32.9 %</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-14.3 %</w:t>
            </w:r>
          </w:p>
        </w:tc>
      </w:tr>
      <w:tr>
        <w:trPr>
          <w:trHeight w:val="185"/>
        </w:trPr>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14.2 %</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11.3 %</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12.8 %</w:t>
            </w:r>
          </w:p>
        </w:tc>
      </w:tr>
      <w:tr>
        <w:trPr>
          <w:trHeight w:val="24"/>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62"/>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14.2 %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14.3 %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11.0 %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12.5 %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11.3 %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10.8 %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12.6 %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12.8 %</w:t>
            </w:r>
          </w:p>
        </w:tc>
      </w:tr>
      <w:tr>
        <w:trPr>
          <w:trHeight w:val="195"/>
        </w:trPr>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5.3 %</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5.0 %</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5.0 %</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5.4 %</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r>
      <w:tr>
        <w:trPr>
          <w:trHeight w:val="298"/>
        </w:trPr>
        <w:tc>
          <w:tcPr>
            <w:tcW w:w="2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8.9 %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8.7 %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7.3 %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7.2 %</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7.0 %</w:t>
            </w:r>
          </w:p>
        </w:tc>
      </w:tr>
      <w:tr>
        <w:trPr>
          <w:trHeight w:val="195"/>
        </w:trPr>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7,029.8</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7,370.1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7,265.6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7,174.1</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7,184.8</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7,079.4</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6,865.6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6,663.9</w:t>
            </w:r>
          </w:p>
        </w:tc>
      </w:tr>
      <w:tr>
        <w:trPr>
          <w:trHeight w:val="185"/>
        </w:trPr>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156.9</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116.9</w:t>
            </w:r>
          </w:p>
        </w:tc>
      </w:tr>
      <w:tr>
        <w:trPr>
          <w:trHeight w:val="24"/>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737"/>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250.0</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288.6</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166.3</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242.1</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96.4</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8"/>
              <w:spacing w:after="0"/>
              <w:rPr>
                <w:sz w:val="20"/>
                <w:szCs w:val="20"/>
                <w:color w:val="auto"/>
              </w:rPr>
            </w:pPr>
            <w:r>
              <w:rPr>
                <w:rFonts w:ascii="Arial" w:cs="Arial" w:eastAsia="Arial" w:hAnsi="Arial"/>
                <w:sz w:val="14"/>
                <w:szCs w:val="14"/>
                <w:color w:val="auto"/>
              </w:rPr>
              <w:t>(83.8)</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161.9</w:t>
            </w:r>
          </w:p>
        </w:tc>
      </w:tr>
      <w:tr>
        <w:trPr>
          <w:trHeight w:val="195"/>
        </w:trPr>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(30.9)</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(37.3)</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(75.1)</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259.5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w:t>
            </w:r>
          </w:p>
        </w:tc>
      </w:tr>
      <w:tr>
        <w:trPr>
          <w:trHeight w:val="182"/>
        </w:trPr>
        <w:tc>
          <w:tcPr>
            <w:tcW w:w="22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219.1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230.3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164.8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189.5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167.0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154.1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175.7</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173.5</w:t>
            </w:r>
          </w:p>
        </w:tc>
      </w:tr>
      <w:tr>
        <w:trPr>
          <w:trHeight w:val="190"/>
        </w:trPr>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34.2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35.2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36.5</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37.7</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40.1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39.5</w:t>
            </w:r>
          </w:p>
        </w:tc>
      </w:tr>
      <w:tr>
        <w:trPr>
          <w:trHeight w:val="298"/>
        </w:trPr>
        <w:tc>
          <w:tcPr>
            <w:tcW w:w="220" w:type="dxa"/>
            <w:vAlign w:val="bottom"/>
          </w:tcPr>
          <w:p>
            <w:pPr>
              <w:spacing w:after="0"/>
              <w:rPr>
                <w:sz w:val="24"/>
                <w:szCs w:val="2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250.3</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263.2</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199.0</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224.7</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203.5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191.8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215.8</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213.0</w:t>
            </w:r>
          </w:p>
        </w:tc>
      </w:tr>
      <w:tr>
        <w:trPr>
          <w:trHeight w:val="195"/>
        </w:trPr>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93.4</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103.6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93.1</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92.7</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96.1</w:t>
            </w:r>
          </w:p>
        </w:tc>
      </w:tr>
      <w:tr>
        <w:trPr>
          <w:trHeight w:val="185"/>
        </w:trPr>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156.9</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159.6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99.5</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113.1</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123.1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116.9</w:t>
            </w:r>
          </w:p>
        </w:tc>
      </w:tr>
      <w:tr>
        <w:trPr>
          <w:trHeight w:val="24"/>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62"/>
        </w:trPr>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63.2</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49.3</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46.6</w:t>
            </w:r>
          </w:p>
        </w:tc>
        <w:tc>
          <w:tcPr>
            <w:tcW w:w="12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48.8</w:t>
            </w:r>
          </w:p>
        </w:tc>
        <w:tc>
          <w:tcPr>
            <w:tcW w:w="10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45.0</w:t>
            </w:r>
          </w:p>
        </w:tc>
        <w:tc>
          <w:tcPr>
            <w:tcW w:w="1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49.4</w:t>
            </w:r>
          </w:p>
        </w:tc>
      </w:tr>
      <w:tr>
        <w:trPr>
          <w:trHeight w:val="189"/>
        </w:trPr>
        <w:tc>
          <w:tcPr>
            <w:tcW w:w="22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16.9</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46.1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128"/>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108"/>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17.2</w:t>
            </w:r>
          </w:p>
        </w:tc>
      </w:tr>
      <w:tr>
        <w:trPr>
          <w:trHeight w:val="195"/>
        </w:trPr>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14.9</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17.1</w:t>
            </w:r>
          </w:p>
        </w:tc>
      </w:tr>
      <w:tr>
        <w:trPr>
          <w:trHeight w:val="185"/>
        </w:trPr>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96.4</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70.2</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112.6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84.5</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80.4</w:t>
            </w:r>
          </w:p>
        </w:tc>
        <w:tc>
          <w:tcPr>
            <w:tcW w:w="120" w:type="dxa"/>
            <w:vAlign w:val="bottom"/>
          </w:tcPr>
          <w:p>
            <w:pPr>
              <w:spacing w:after="0"/>
              <w:rPr>
                <w:sz w:val="16"/>
                <w:szCs w:val="16"/>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81.6</w:t>
            </w:r>
          </w:p>
        </w:tc>
        <w:tc>
          <w:tcPr>
            <w:tcW w:w="100" w:type="dxa"/>
            <w:vAlign w:val="bottom"/>
          </w:tcPr>
          <w:p>
            <w:pPr>
              <w:spacing w:after="0"/>
              <w:rPr>
                <w:sz w:val="16"/>
                <w:szCs w:val="16"/>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79.1</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83.7</w:t>
            </w:r>
          </w:p>
        </w:tc>
      </w:tr>
      <w:tr>
        <w:trPr>
          <w:trHeight w:val="24"/>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514"/>
        </w:trPr>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5.5 %</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6.2 %</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4.5 %</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4.6 %</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5.0 %</w:t>
            </w:r>
          </w:p>
        </w:tc>
      </w:tr>
      <w:tr>
        <w:trPr>
          <w:trHeight w:val="27"/>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649"/>
        </w:trPr>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5.8 %</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10.4 %</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11.4 %</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15.1 %</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14.9 %</w:t>
            </w:r>
          </w:p>
        </w:tc>
      </w:tr>
      <w:tr>
        <w:trPr>
          <w:trHeight w:val="27"/>
        </w:trPr>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-5013960</wp:posOffset>
            </wp:positionV>
            <wp:extent cx="712343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24003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-4611370</wp:posOffset>
            </wp:positionV>
            <wp:extent cx="7123430" cy="2914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23430" cy="29146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-4191000</wp:posOffset>
            </wp:positionV>
            <wp:extent cx="7123430" cy="1200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-3925570</wp:posOffset>
            </wp:positionV>
            <wp:extent cx="712343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-3419475</wp:posOffset>
            </wp:positionV>
            <wp:extent cx="7123430" cy="2057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-3093720</wp:posOffset>
            </wp:positionV>
            <wp:extent cx="712343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23430" cy="1460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-2785745</wp:posOffset>
            </wp:positionV>
            <wp:extent cx="7123430" cy="2057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2343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-2451100</wp:posOffset>
            </wp:positionV>
            <wp:extent cx="7123430" cy="1200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-2202180</wp:posOffset>
            </wp:positionV>
            <wp:extent cx="7123430" cy="120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-1876425</wp:posOffset>
            </wp:positionV>
            <wp:extent cx="7123430" cy="120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-1610995</wp:posOffset>
            </wp:positionV>
            <wp:extent cx="712343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23430" cy="13716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-1104900</wp:posOffset>
            </wp:positionV>
            <wp:extent cx="7123430" cy="1200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23430" cy="12001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-839470</wp:posOffset>
            </wp:positionV>
            <wp:extent cx="712343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23430" cy="16319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-471170</wp:posOffset>
            </wp:positionV>
            <wp:extent cx="7123430"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23430" cy="16319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-1353820</wp:posOffset>
            </wp:positionV>
            <wp:extent cx="7123430"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-3668395</wp:posOffset>
            </wp:positionV>
            <wp:extent cx="712343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23430" cy="128905"/>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-5262880</wp:posOffset>
            </wp:positionV>
            <wp:extent cx="7123430"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23430" cy="1289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260"/>
            <w:col w:w="8720"/>
          </w:cols>
          <w:pgMar w:left="320" w:top="805" w:right="339" w:bottom="1440" w:gutter="0" w:footer="0" w:header="0"/>
        </w:sectPr>
      </w:pPr>
    </w:p>
    <w:p>
      <w:pPr>
        <w:spacing w:after="0" w:line="119" w:lineRule="exact"/>
        <w:rPr>
          <w:sz w:val="20"/>
          <w:szCs w:val="20"/>
          <w:color w:val="auto"/>
        </w:rPr>
      </w:pPr>
    </w:p>
    <w:p>
      <w:pPr>
        <w:ind w:left="480" w:hanging="310"/>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Calculated by dividing GAAP net income (loss) by GAAP average shareholders' equity.</w:t>
      </w:r>
    </w:p>
    <w:p>
      <w:pPr>
        <w:spacing w:after="0" w:line="13" w:lineRule="exact"/>
        <w:rPr>
          <w:rFonts w:ascii="Arial" w:cs="Arial" w:eastAsia="Arial" w:hAnsi="Arial"/>
          <w:sz w:val="14"/>
          <w:szCs w:val="14"/>
          <w:color w:val="auto"/>
        </w:rPr>
      </w:pPr>
    </w:p>
    <w:p>
      <w:pPr>
        <w:ind w:left="480" w:hanging="310"/>
        <w:spacing w:after="0"/>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Adjusted return on capital is defined as adjusted net income plus adjusted interest expense (after-tax) divided by adjusted average capital.</w:t>
      </w:r>
    </w:p>
    <w:p>
      <w:pPr>
        <w:spacing w:after="0" w:line="1" w:lineRule="exact"/>
        <w:rPr>
          <w:rFonts w:ascii="Arial" w:cs="Arial" w:eastAsia="Arial" w:hAnsi="Arial"/>
          <w:sz w:val="14"/>
          <w:szCs w:val="14"/>
          <w:color w:val="auto"/>
        </w:rPr>
      </w:pPr>
    </w:p>
    <w:p>
      <w:pPr>
        <w:jc w:val="both"/>
        <w:ind w:left="500" w:hanging="330"/>
        <w:spacing w:after="0" w:line="246" w:lineRule="auto"/>
        <w:tabs>
          <w:tab w:leader="none" w:pos="535" w:val="left"/>
        </w:tabs>
        <w:numPr>
          <w:ilvl w:val="0"/>
          <w:numId w:val="17"/>
        </w:numPr>
        <w:rPr>
          <w:rFonts w:ascii="Arial" w:cs="Arial" w:eastAsia="Arial" w:hAnsi="Arial"/>
          <w:sz w:val="14"/>
          <w:szCs w:val="14"/>
          <w:color w:val="auto"/>
        </w:rPr>
      </w:pPr>
      <w:r>
        <w:rPr>
          <w:rFonts w:ascii="Arial" w:cs="Arial" w:eastAsia="Arial" w:hAnsi="Arial"/>
          <w:sz w:val="14"/>
          <w:szCs w:val="14"/>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30-year Treasury rate + 5%) + [(1 – tax rate) x (the average 30-year Treasury rate + 5% – pre-tax average cost of debt rate) x average debt/(average equity + average debt x tax rate)]. For the periods presented, the average 30-year Treasury rate and the adjusted pre-tax average cost of debt were as follows: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For the Three Months Ended</w:t>
            </w: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87"/>
        </w:trPr>
        <w:tc>
          <w:tcPr>
            <w:tcW w:w="2680" w:type="dxa"/>
            <w:vAlign w:val="bottom"/>
          </w:tcPr>
          <w:p>
            <w:pPr>
              <w:spacing w:after="0"/>
              <w:rPr>
                <w:sz w:val="16"/>
                <w:szCs w:val="16"/>
                <w:color w:val="auto"/>
              </w:rPr>
            </w:pPr>
          </w:p>
        </w:tc>
        <w:tc>
          <w:tcPr>
            <w:tcW w:w="106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 30, 2021</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 30, 2021</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Mar. 31, 2021</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 31, 2020</w:t>
            </w:r>
          </w:p>
        </w:tc>
        <w:tc>
          <w:tcPr>
            <w:tcW w:w="108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 30, 2020</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Jun. 30, 2020</w:t>
            </w:r>
          </w:p>
        </w:tc>
        <w:tc>
          <w:tcPr>
            <w:tcW w:w="1100" w:type="dxa"/>
            <w:vAlign w:val="bottom"/>
            <w:gridSpan w:val="2"/>
          </w:tcPr>
          <w:p>
            <w:pPr>
              <w:ind w:left="80"/>
              <w:spacing w:after="0"/>
              <w:rPr>
                <w:sz w:val="20"/>
                <w:szCs w:val="20"/>
                <w:color w:val="auto"/>
              </w:rPr>
            </w:pPr>
            <w:r>
              <w:rPr>
                <w:rFonts w:ascii="Arial" w:cs="Arial" w:eastAsia="Arial" w:hAnsi="Arial"/>
                <w:sz w:val="14"/>
                <w:szCs w:val="14"/>
                <w:b w:val="1"/>
                <w:bCs w:val="1"/>
                <w:color w:val="auto"/>
              </w:rPr>
              <w:t>Mar. 31, 2020</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Dec. 31, 2019</w:t>
            </w:r>
          </w:p>
        </w:tc>
      </w:tr>
      <w:tr>
        <w:trPr>
          <w:trHeight w:val="184"/>
        </w:trPr>
        <w:tc>
          <w:tcPr>
            <w:tcW w:w="2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30-year Treasury rate</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2.3 %</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12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2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1.8 %</w:t>
            </w:r>
          </w:p>
        </w:tc>
        <w:tc>
          <w:tcPr>
            <w:tcW w:w="10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2.2 %</w:t>
            </w:r>
          </w:p>
        </w:tc>
      </w:tr>
      <w:tr>
        <w:trPr>
          <w:trHeight w:val="182"/>
        </w:trPr>
        <w:tc>
          <w:tcPr>
            <w:tcW w:w="2680" w:type="dxa"/>
            <w:vAlign w:val="bottom"/>
          </w:tcPr>
          <w:p>
            <w:pPr>
              <w:ind w:left="20"/>
              <w:spacing w:after="0"/>
              <w:rPr>
                <w:sz w:val="20"/>
                <w:szCs w:val="20"/>
                <w:color w:val="auto"/>
              </w:rPr>
            </w:pPr>
            <w:r>
              <w:rPr>
                <w:rFonts w:ascii="Arial" w:cs="Arial" w:eastAsia="Arial" w:hAnsi="Arial"/>
                <w:sz w:val="14"/>
                <w:szCs w:val="14"/>
                <w:color w:val="auto"/>
              </w:rPr>
              <w:t>Adjusted pre-tax average cost of debt (4)</w:t>
            </w:r>
          </w:p>
        </w:tc>
        <w:tc>
          <w:tcPr>
            <w:tcW w:w="960" w:type="dxa"/>
            <w:vAlign w:val="bottom"/>
          </w:tcPr>
          <w:p>
            <w:pPr>
              <w:jc w:val="right"/>
              <w:spacing w:after="0"/>
              <w:rPr>
                <w:sz w:val="20"/>
                <w:szCs w:val="20"/>
                <w:color w:val="auto"/>
              </w:rPr>
            </w:pPr>
            <w:r>
              <w:rPr>
                <w:rFonts w:ascii="Arial" w:cs="Arial" w:eastAsia="Arial" w:hAnsi="Arial"/>
                <w:sz w:val="14"/>
                <w:szCs w:val="14"/>
                <w:color w:val="auto"/>
              </w:rPr>
              <w:t>3.4 %</w:t>
            </w:r>
          </w:p>
        </w:tc>
        <w:tc>
          <w:tcPr>
            <w:tcW w:w="10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3.6 %</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3.8 %</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3.9 %</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4.0 %</w:t>
            </w: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4.5 %</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4.8 %</w:t>
            </w:r>
          </w:p>
        </w:tc>
      </w:tr>
    </w:tbl>
    <w:p>
      <w:pPr>
        <w:spacing w:after="0" w:line="326"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(4)</w:t>
      </w:r>
      <w:r>
        <w:rPr>
          <w:sz w:val="20"/>
          <w:szCs w:val="20"/>
          <w:color w:val="auto"/>
        </w:rPr>
        <w:tab/>
      </w:r>
      <w:r>
        <w:rPr>
          <w:rFonts w:ascii="Arial" w:cs="Arial" w:eastAsia="Arial" w:hAnsi="Arial"/>
          <w:sz w:val="13"/>
          <w:szCs w:val="13"/>
          <w:color w:val="auto"/>
        </w:rPr>
        <w:t>Annualized.</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805"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92"/>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(In millions, except share and per share data)</w:t>
            </w:r>
          </w:p>
        </w:tc>
        <w:tc>
          <w:tcPr>
            <w:tcW w:w="4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4"/>
          </w:tcPr>
          <w:p>
            <w:pPr>
              <w:jc w:val="right"/>
              <w:ind w:right="668"/>
              <w:spacing w:after="0"/>
              <w:rPr>
                <w:sz w:val="20"/>
                <w:szCs w:val="20"/>
                <w:color w:val="auto"/>
              </w:rPr>
            </w:pPr>
            <w:r>
              <w:rPr>
                <w:rFonts w:ascii="Arial" w:cs="Arial" w:eastAsia="Arial" w:hAnsi="Arial"/>
                <w:sz w:val="14"/>
                <w:szCs w:val="14"/>
                <w:b w:val="1"/>
                <w:bCs w:val="1"/>
                <w:color w:val="auto"/>
              </w:rPr>
              <w:t>For the Nine Months Ended September 30,</w:t>
            </w:r>
          </w:p>
        </w:tc>
      </w:tr>
      <w:tr>
        <w:trPr>
          <w:trHeight w:val="186"/>
        </w:trPr>
        <w:tc>
          <w:tcPr>
            <w:tcW w:w="6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728"/>
              <w:spacing w:after="0"/>
              <w:rPr>
                <w:sz w:val="20"/>
                <w:szCs w:val="20"/>
                <w:color w:val="auto"/>
              </w:rPr>
            </w:pPr>
            <w:r>
              <w:rPr>
                <w:rFonts w:ascii="Arial" w:cs="Arial" w:eastAsia="Arial" w:hAnsi="Arial"/>
                <w:sz w:val="14"/>
                <w:szCs w:val="14"/>
                <w:b w:val="1"/>
                <w:bCs w:val="1"/>
                <w:color w:val="auto"/>
              </w:rPr>
              <w:t>2020</w:t>
            </w:r>
          </w:p>
        </w:tc>
      </w:tr>
      <w:tr>
        <w:trPr>
          <w:trHeight w:val="169"/>
        </w:trPr>
        <w:tc>
          <w:tcPr>
            <w:tcW w:w="6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net income</w:t>
            </w:r>
          </w:p>
        </w:tc>
        <w:tc>
          <w:tcPr>
            <w:tcW w:w="4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85"/>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GAAP net income</w:t>
            </w:r>
          </w:p>
        </w:tc>
        <w:tc>
          <w:tcPr>
            <w:tcW w:w="20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740.7</w:t>
            </w:r>
          </w:p>
        </w:tc>
        <w:tc>
          <w:tcPr>
            <w:tcW w:w="28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254.7</w:t>
            </w:r>
          </w:p>
        </w:tc>
      </w:tr>
      <w:tr>
        <w:trPr>
          <w:trHeight w:val="186"/>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Floating yield adjustment (after-tax)</w:t>
            </w:r>
          </w:p>
        </w:tc>
        <w:tc>
          <w:tcPr>
            <w:tcW w:w="420" w:type="dxa"/>
            <w:vAlign w:val="bottom"/>
          </w:tcPr>
          <w:p>
            <w:pPr>
              <w:spacing w:after="0"/>
              <w:rPr>
                <w:sz w:val="16"/>
                <w:szCs w:val="16"/>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(122.4)</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(122.0)</w:t>
            </w:r>
          </w:p>
        </w:tc>
      </w:tr>
      <w:tr>
        <w:trPr>
          <w:trHeight w:val="192"/>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GAAP provision for credit losses (after-tax)</w:t>
            </w:r>
          </w:p>
        </w:tc>
        <w:tc>
          <w:tcPr>
            <w:tcW w:w="4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(13.5)</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357.5</w:t>
            </w:r>
          </w:p>
        </w:tc>
      </w:tr>
      <w:tr>
        <w:trPr>
          <w:trHeight w:val="186"/>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Senior notes adjustment (after-tax)</w:t>
            </w:r>
          </w:p>
        </w:tc>
        <w:tc>
          <w:tcPr>
            <w:tcW w:w="420" w:type="dxa"/>
            <w:vAlign w:val="bottom"/>
          </w:tcPr>
          <w:p>
            <w:pPr>
              <w:spacing w:after="0"/>
              <w:rPr>
                <w:sz w:val="16"/>
                <w:szCs w:val="16"/>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4.6</w:t>
            </w:r>
          </w:p>
        </w:tc>
      </w:tr>
      <w:tr>
        <w:trPr>
          <w:trHeight w:val="18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tax adjustment (1)</w:t>
            </w:r>
          </w:p>
        </w:tc>
        <w:tc>
          <w:tcPr>
            <w:tcW w:w="4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11.0</w:t>
            </w:r>
          </w:p>
        </w:tc>
        <w:tc>
          <w:tcPr>
            <w:tcW w:w="2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r>
      <w:tr>
        <w:trPr>
          <w:trHeight w:val="186"/>
        </w:trPr>
        <w:tc>
          <w:tcPr>
            <w:tcW w:w="6820" w:type="dxa"/>
            <w:vAlign w:val="bottom"/>
            <w:gridSpan w:val="2"/>
          </w:tcPr>
          <w:p>
            <w:pPr>
              <w:ind w:left="200"/>
              <w:spacing w:after="0"/>
              <w:rPr>
                <w:sz w:val="20"/>
                <w:szCs w:val="20"/>
                <w:color w:val="auto"/>
              </w:rPr>
            </w:pPr>
            <w:r>
              <w:rPr>
                <w:rFonts w:ascii="Arial" w:cs="Arial" w:eastAsia="Arial" w:hAnsi="Arial"/>
                <w:sz w:val="14"/>
                <w:szCs w:val="14"/>
                <w:color w:val="auto"/>
              </w:rPr>
              <w:t>Adjusted net income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614.2</w:t>
            </w:r>
          </w:p>
        </w:tc>
        <w:tc>
          <w:tcPr>
            <w:tcW w:w="28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496.8</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70"/>
        </w:trPr>
        <w:tc>
          <w:tcPr>
            <w:tcW w:w="6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6"/>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Adjusted net income per diluted share</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37.09</w:t>
            </w:r>
          </w:p>
        </w:tc>
        <w:tc>
          <w:tcPr>
            <w:tcW w:w="280" w:type="dxa"/>
            <w:vAlign w:val="bottom"/>
          </w:tcPr>
          <w:p>
            <w:pPr>
              <w:spacing w:after="0"/>
              <w:rPr>
                <w:sz w:val="16"/>
                <w:szCs w:val="16"/>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27.64</w:t>
            </w:r>
          </w:p>
        </w:tc>
      </w:tr>
      <w:tr>
        <w:trPr>
          <w:trHeight w:val="192"/>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420" w:type="dxa"/>
            <w:vAlign w:val="bottom"/>
            <w:shd w:val="clear" w:color="auto" w:fill="CCEEFF"/>
          </w:tcPr>
          <w:p>
            <w:pPr>
              <w:spacing w:after="0"/>
              <w:rPr>
                <w:sz w:val="16"/>
                <w:szCs w:val="16"/>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16,559,639</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17,973,091</w:t>
            </w:r>
          </w:p>
        </w:tc>
      </w:tr>
      <w:tr>
        <w:trPr>
          <w:trHeight w:val="203"/>
        </w:trPr>
        <w:tc>
          <w:tcPr>
            <w:tcW w:w="6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Adjusted average capital</w:t>
            </w:r>
          </w:p>
        </w:tc>
        <w:tc>
          <w:tcPr>
            <w:tcW w:w="42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spacing w:after="0"/>
              <w:rPr>
                <w:sz w:val="16"/>
                <w:szCs w:val="16"/>
                <w:color w:val="auto"/>
              </w:rPr>
            </w:pPr>
          </w:p>
        </w:tc>
      </w:tr>
      <w:tr>
        <w:trPr>
          <w:trHeight w:val="179"/>
        </w:trPr>
        <w:tc>
          <w:tcPr>
            <w:tcW w:w="66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GAAP average debt</w:t>
            </w:r>
          </w:p>
        </w:tc>
        <w:tc>
          <w:tcPr>
            <w:tcW w:w="20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4,709.5</w:t>
            </w:r>
          </w:p>
        </w:tc>
        <w:tc>
          <w:tcPr>
            <w:tcW w:w="280" w:type="dxa"/>
            <w:vAlign w:val="bottom"/>
          </w:tcPr>
          <w:p>
            <w:pPr>
              <w:spacing w:after="0"/>
              <w:rPr>
                <w:sz w:val="15"/>
                <w:szCs w:val="15"/>
                <w:color w:val="auto"/>
              </w:rPr>
            </w:pPr>
          </w:p>
        </w:tc>
        <w:tc>
          <w:tcPr>
            <w:tcW w:w="440" w:type="dxa"/>
            <w:vAlign w:val="bottom"/>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4,706.4</w:t>
            </w:r>
          </w:p>
        </w:tc>
      </w:tr>
      <w:tr>
        <w:trPr>
          <w:trHeight w:val="192"/>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GAAP average shareholders' equity</w:t>
            </w:r>
          </w:p>
        </w:tc>
        <w:tc>
          <w:tcPr>
            <w:tcW w:w="4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2,330.4</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2,144.7</w:t>
            </w:r>
          </w:p>
        </w:tc>
      </w:tr>
      <w:tr>
        <w:trPr>
          <w:trHeight w:val="186"/>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Deferred debt issuance adjustment</w:t>
            </w:r>
          </w:p>
        </w:tc>
        <w:tc>
          <w:tcPr>
            <w:tcW w:w="420" w:type="dxa"/>
            <w:vAlign w:val="bottom"/>
          </w:tcPr>
          <w:p>
            <w:pPr>
              <w:spacing w:after="0"/>
              <w:rPr>
                <w:sz w:val="16"/>
                <w:szCs w:val="16"/>
                <w:color w:val="auto"/>
              </w:rPr>
            </w:pPr>
          </w:p>
        </w:tc>
        <w:tc>
          <w:tcPr>
            <w:tcW w:w="1500" w:type="dxa"/>
            <w:vAlign w:val="bottom"/>
          </w:tcPr>
          <w:p>
            <w:pPr>
              <w:jc w:val="right"/>
              <w:ind w:right="128"/>
              <w:spacing w:after="0"/>
              <w:rPr>
                <w:sz w:val="20"/>
                <w:szCs w:val="20"/>
                <w:color w:val="auto"/>
              </w:rPr>
            </w:pPr>
            <w:r>
              <w:rPr>
                <w:rFonts w:ascii="Arial" w:cs="Arial" w:eastAsia="Arial" w:hAnsi="Arial"/>
                <w:sz w:val="14"/>
                <w:szCs w:val="14"/>
                <w:color w:val="auto"/>
              </w:rPr>
              <w:t>29.4</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108"/>
              <w:spacing w:after="0"/>
              <w:rPr>
                <w:sz w:val="20"/>
                <w:szCs w:val="20"/>
                <w:color w:val="auto"/>
              </w:rPr>
            </w:pPr>
            <w:r>
              <w:rPr>
                <w:rFonts w:ascii="Arial" w:cs="Arial" w:eastAsia="Arial" w:hAnsi="Arial"/>
                <w:sz w:val="14"/>
                <w:szCs w:val="14"/>
                <w:color w:val="auto"/>
              </w:rPr>
              <w:t>26.7</w:t>
            </w:r>
          </w:p>
        </w:tc>
      </w:tr>
      <w:tr>
        <w:trPr>
          <w:trHeight w:val="192"/>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Senior notes adjustment</w:t>
            </w:r>
          </w:p>
        </w:tc>
        <w:tc>
          <w:tcPr>
            <w:tcW w:w="4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11.0</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w:t>
            </w:r>
          </w:p>
        </w:tc>
      </w:tr>
      <w:tr>
        <w:trPr>
          <w:trHeight w:val="186"/>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Income tax adjustment (2)</w:t>
            </w:r>
          </w:p>
        </w:tc>
        <w:tc>
          <w:tcPr>
            <w:tcW w:w="420" w:type="dxa"/>
            <w:vAlign w:val="bottom"/>
          </w:tcPr>
          <w:p>
            <w:pPr>
              <w:spacing w:after="0"/>
              <w:rPr>
                <w:sz w:val="16"/>
                <w:szCs w:val="16"/>
                <w:color w:val="auto"/>
              </w:rPr>
            </w:pPr>
          </w:p>
        </w:tc>
        <w:tc>
          <w:tcPr>
            <w:tcW w:w="1500" w:type="dxa"/>
            <w:vAlign w:val="bottom"/>
          </w:tcPr>
          <w:p>
            <w:pPr>
              <w:jc w:val="right"/>
              <w:ind w:right="88"/>
              <w:spacing w:after="0"/>
              <w:rPr>
                <w:sz w:val="20"/>
                <w:szCs w:val="20"/>
                <w:color w:val="auto"/>
              </w:rPr>
            </w:pPr>
            <w:r>
              <w:rPr>
                <w:rFonts w:ascii="Arial" w:cs="Arial" w:eastAsia="Arial" w:hAnsi="Arial"/>
                <w:sz w:val="14"/>
                <w:szCs w:val="14"/>
                <w:color w:val="auto"/>
              </w:rPr>
              <w:t>(118.5)</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jc w:val="right"/>
              <w:ind w:right="88"/>
              <w:spacing w:after="0"/>
              <w:rPr>
                <w:sz w:val="20"/>
                <w:szCs w:val="20"/>
                <w:color w:val="auto"/>
              </w:rPr>
            </w:pPr>
            <w:r>
              <w:rPr>
                <w:rFonts w:ascii="Arial" w:cs="Arial" w:eastAsia="Arial" w:hAnsi="Arial"/>
                <w:sz w:val="14"/>
                <w:szCs w:val="14"/>
                <w:color w:val="auto"/>
              </w:rPr>
              <w:t>(118.5)</w:t>
            </w:r>
          </w:p>
        </w:tc>
      </w:tr>
      <w:tr>
        <w:trPr>
          <w:trHeight w:val="18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Floating yield adjustment</w:t>
            </w:r>
          </w:p>
        </w:tc>
        <w:tc>
          <w:tcPr>
            <w:tcW w:w="420" w:type="dxa"/>
            <w:vAlign w:val="bottom"/>
            <w:tcBorders>
              <w:bottom w:val="single" w:sz="8" w:color="auto"/>
            </w:tcBorders>
            <w:shd w:val="clear" w:color="auto" w:fill="CCEEFF"/>
          </w:tcPr>
          <w:p>
            <w:pPr>
              <w:spacing w:after="0"/>
              <w:rPr>
                <w:sz w:val="16"/>
                <w:szCs w:val="16"/>
                <w:color w:val="auto"/>
              </w:rPr>
            </w:pPr>
          </w:p>
        </w:tc>
        <w:tc>
          <w:tcPr>
            <w:tcW w:w="1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260.0</w:t>
            </w:r>
          </w:p>
        </w:tc>
        <w:tc>
          <w:tcPr>
            <w:tcW w:w="2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280.7</w:t>
            </w:r>
          </w:p>
        </w:tc>
      </w:tr>
      <w:tr>
        <w:trPr>
          <w:trHeight w:val="186"/>
        </w:trPr>
        <w:tc>
          <w:tcPr>
            <w:tcW w:w="6820" w:type="dxa"/>
            <w:vAlign w:val="bottom"/>
            <w:gridSpan w:val="2"/>
          </w:tcPr>
          <w:p>
            <w:pPr>
              <w:ind w:left="160"/>
              <w:spacing w:after="0"/>
              <w:rPr>
                <w:sz w:val="20"/>
                <w:szCs w:val="20"/>
                <w:color w:val="auto"/>
              </w:rPr>
            </w:pPr>
            <w:r>
              <w:rPr>
                <w:rFonts w:ascii="Arial" w:cs="Arial" w:eastAsia="Arial" w:hAnsi="Arial"/>
                <w:sz w:val="14"/>
                <w:szCs w:val="14"/>
                <w:color w:val="auto"/>
              </w:rPr>
              <w:t>Adjusted average capital</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7,221.8</w:t>
            </w:r>
          </w:p>
        </w:tc>
        <w:tc>
          <w:tcPr>
            <w:tcW w:w="280" w:type="dxa"/>
            <w:vAlign w:val="bottom"/>
          </w:tcPr>
          <w:p>
            <w:pPr>
              <w:spacing w:after="0"/>
              <w:rPr>
                <w:sz w:val="16"/>
                <w:szCs w:val="16"/>
                <w:color w:val="auto"/>
              </w:rPr>
            </w:pPr>
          </w:p>
        </w:tc>
        <w:tc>
          <w:tcPr>
            <w:tcW w:w="4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7,043.3</w:t>
            </w: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9"/>
        </w:trPr>
        <w:tc>
          <w:tcPr>
            <w:tcW w:w="6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r>
      <w:tr>
        <w:trPr>
          <w:trHeight w:val="188"/>
        </w:trPr>
        <w:tc>
          <w:tcPr>
            <w:tcW w:w="682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interest expense (after-tax)</w:t>
            </w:r>
          </w:p>
        </w:tc>
        <w:tc>
          <w:tcPr>
            <w:tcW w:w="4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60" w:type="dxa"/>
            <w:vAlign w:val="bottom"/>
          </w:tcPr>
          <w:p>
            <w:pPr>
              <w:spacing w:after="0"/>
              <w:rPr>
                <w:sz w:val="16"/>
                <w:szCs w:val="16"/>
                <w:color w:val="auto"/>
              </w:rPr>
            </w:pPr>
          </w:p>
        </w:tc>
      </w:tr>
      <w:tr>
        <w:trPr>
          <w:trHeight w:val="184"/>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GAAP interest expense</w:t>
            </w:r>
          </w:p>
        </w:tc>
        <w:tc>
          <w:tcPr>
            <w:tcW w:w="20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CCEEFF"/>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CCEEFF"/>
            </w:tcBorders>
            <w:shd w:val="clear" w:color="auto" w:fill="CCEEFF"/>
          </w:tcPr>
          <w:p>
            <w:pPr>
              <w:jc w:val="right"/>
              <w:ind w:right="128"/>
              <w:spacing w:after="0"/>
              <w:rPr>
                <w:sz w:val="20"/>
                <w:szCs w:val="20"/>
                <w:color w:val="auto"/>
              </w:rPr>
            </w:pPr>
            <w:r>
              <w:rPr>
                <w:rFonts w:ascii="Arial" w:cs="Arial" w:eastAsia="Arial" w:hAnsi="Arial"/>
                <w:sz w:val="14"/>
                <w:szCs w:val="14"/>
                <w:color w:val="auto"/>
              </w:rPr>
              <w:t>125.6</w:t>
            </w:r>
          </w:p>
        </w:tc>
        <w:tc>
          <w:tcPr>
            <w:tcW w:w="2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CCEEFF"/>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tcBorders>
              <w:top w:val="single" w:sz="8" w:color="CCEEFF"/>
            </w:tcBorders>
            <w:shd w:val="clear" w:color="auto" w:fill="CCEEFF"/>
          </w:tcPr>
          <w:p>
            <w:pPr>
              <w:jc w:val="right"/>
              <w:ind w:right="108"/>
              <w:spacing w:after="0"/>
              <w:rPr>
                <w:sz w:val="20"/>
                <w:szCs w:val="20"/>
                <w:color w:val="auto"/>
              </w:rPr>
            </w:pPr>
            <w:r>
              <w:rPr>
                <w:rFonts w:ascii="Arial" w:cs="Arial" w:eastAsia="Arial" w:hAnsi="Arial"/>
                <w:sz w:val="14"/>
                <w:szCs w:val="14"/>
                <w:color w:val="auto"/>
              </w:rPr>
              <w:t>146.9</w:t>
            </w:r>
          </w:p>
        </w:tc>
      </w:tr>
      <w:tr>
        <w:trPr>
          <w:trHeight w:val="18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Senior notes adjustment</w:t>
            </w: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2.1</w:t>
            </w:r>
          </w:p>
        </w:tc>
        <w:tc>
          <w:tcPr>
            <w:tcW w:w="2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1.5</w:t>
            </w:r>
          </w:p>
        </w:tc>
      </w:tr>
      <w:tr>
        <w:trPr>
          <w:trHeight w:val="18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interest expense (pre-tax)</w:t>
            </w:r>
          </w:p>
        </w:tc>
        <w:tc>
          <w:tcPr>
            <w:tcW w:w="420" w:type="dxa"/>
            <w:vAlign w:val="bottom"/>
            <w:shd w:val="clear" w:color="auto" w:fill="CCEEFF"/>
          </w:tcPr>
          <w:p>
            <w:pPr>
              <w:spacing w:after="0"/>
              <w:rPr>
                <w:sz w:val="16"/>
                <w:szCs w:val="16"/>
                <w:color w:val="auto"/>
              </w:rPr>
            </w:pPr>
          </w:p>
        </w:tc>
        <w:tc>
          <w:tcPr>
            <w:tcW w:w="15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127.7</w:t>
            </w:r>
          </w:p>
        </w:tc>
        <w:tc>
          <w:tcPr>
            <w:tcW w:w="2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4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148.4</w:t>
            </w:r>
          </w:p>
        </w:tc>
      </w:tr>
      <w:tr>
        <w:trPr>
          <w:trHeight w:val="18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Adjustment to record tax effect (1)</w:t>
            </w:r>
          </w:p>
        </w:tc>
        <w:tc>
          <w:tcPr>
            <w:tcW w:w="4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(29.4)</w:t>
            </w:r>
          </w:p>
        </w:tc>
        <w:tc>
          <w:tcPr>
            <w:tcW w:w="2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(34.1)</w:t>
            </w:r>
          </w:p>
        </w:tc>
      </w:tr>
      <w:tr>
        <w:trPr>
          <w:trHeight w:val="211"/>
        </w:trPr>
        <w:tc>
          <w:tcPr>
            <w:tcW w:w="6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Adjusted interest expense (after-tax)</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98.3</w:t>
            </w:r>
          </w:p>
        </w:tc>
        <w:tc>
          <w:tcPr>
            <w:tcW w:w="2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ind w:right="288"/>
              <w:spacing w:after="0"/>
              <w:rPr>
                <w:sz w:val="20"/>
                <w:szCs w:val="20"/>
                <w:color w:val="auto"/>
              </w:rPr>
            </w:pPr>
            <w:r>
              <w:rPr>
                <w:rFonts w:ascii="Arial" w:cs="Arial" w:eastAsia="Arial" w:hAnsi="Arial"/>
                <w:sz w:val="14"/>
                <w:szCs w:val="14"/>
                <w:color w:val="auto"/>
                <w:w w:val="76"/>
              </w:rPr>
              <w:t>$</w:t>
            </w:r>
          </w:p>
        </w:tc>
        <w:tc>
          <w:tcPr>
            <w:tcW w:w="14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114.3</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ectPr>
          <w:pgSz w:w="11900" w:h="16838" w:orient="portrait"/>
          <w:cols w:equalWidth="0" w:num="1">
            <w:col w:w="10920"/>
          </w:cols>
          <w:pgMar w:left="480" w:top="805" w:right="499" w:bottom="1440" w:gutter="0" w:footer="0" w:header="0"/>
        </w:sectPr>
      </w:pPr>
    </w:p>
    <w:p>
      <w:pPr>
        <w:ind w:left="20"/>
        <w:spacing w:after="0"/>
        <w:rPr>
          <w:sz w:val="20"/>
          <w:szCs w:val="20"/>
          <w:color w:val="auto"/>
        </w:rPr>
      </w:pPr>
      <w:r>
        <w:rPr>
          <w:rFonts w:ascii="Arial" w:cs="Arial" w:eastAsia="Arial" w:hAnsi="Arial"/>
          <w:sz w:val="14"/>
          <w:szCs w:val="14"/>
          <w:b w:val="1"/>
          <w:bCs w:val="1"/>
          <w:color w:val="auto"/>
        </w:rPr>
        <w:t>Adjusted return on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-95885</wp:posOffset>
            </wp:positionV>
            <wp:extent cx="6926580"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net income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interest expense (after-tax)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-98425</wp:posOffset>
            </wp:positionV>
            <wp:extent cx="6926580" cy="120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26580" cy="120015"/>
                    </a:xfrm>
                    <a:prstGeom prst="rect">
                      <a:avLst/>
                    </a:prstGeom>
                    <a:noFill/>
                  </pic:spPr>
                </pic:pic>
              </a:graphicData>
            </a:graphic>
          </wp:anchor>
        </w:drawing>
      </w:r>
    </w:p>
    <w:p>
      <w:pPr>
        <w:spacing w:after="0" w:line="49" w:lineRule="exact"/>
        <w:rPr>
          <w:sz w:val="20"/>
          <w:szCs w:val="20"/>
          <w:color w:val="auto"/>
        </w:rPr>
      </w:pPr>
    </w:p>
    <w:p>
      <w:pPr>
        <w:ind w:left="160"/>
        <w:spacing w:after="0"/>
        <w:rPr>
          <w:sz w:val="20"/>
          <w:szCs w:val="20"/>
          <w:color w:val="auto"/>
        </w:rPr>
      </w:pPr>
      <w:r>
        <w:rPr>
          <w:rFonts w:ascii="Arial" w:cs="Arial" w:eastAsia="Arial" w:hAnsi="Arial"/>
          <w:sz w:val="14"/>
          <w:szCs w:val="14"/>
          <w:color w:val="auto"/>
        </w:rPr>
        <w:t>Adjusted net income plus interest expense (after-tax)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6926580"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Reconciliation of GAAP return on equity to adjusted return on capital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31115</wp:posOffset>
            </wp:positionV>
            <wp:extent cx="6926580"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color w:val="auto"/>
        </w:rPr>
        <w:t>GAAP return on equity (3)</w:t>
      </w:r>
    </w:p>
    <w:p>
      <w:pPr>
        <w:spacing w:after="0" w:line="2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Non-GAAP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20955</wp:posOffset>
            </wp:positionV>
            <wp:extent cx="692658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26580" cy="146050"/>
                    </a:xfrm>
                    <a:prstGeom prst="rect">
                      <a:avLst/>
                    </a:prstGeom>
                    <a:noFill/>
                  </pic:spPr>
                </pic:pic>
              </a:graphicData>
            </a:graphic>
          </wp:anchor>
        </w:drawing>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return on capital (4)</w:t>
      </w:r>
    </w:p>
    <w:p>
      <w:pPr>
        <w:spacing w:after="0" w:line="22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Economic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-95885</wp:posOffset>
            </wp:positionV>
            <wp:extent cx="6926580"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6580" cy="128905"/>
                    </a:xfrm>
                    <a:prstGeom prst="rect">
                      <a:avLst/>
                    </a:prstGeom>
                    <a:noFill/>
                  </pic:spPr>
                </pic:pic>
              </a:graphicData>
            </a:graphic>
          </wp:anchor>
        </w:drawing>
      </w:r>
    </w:p>
    <w:p>
      <w:pPr>
        <w:spacing w:after="0" w:line="26" w:lineRule="exact"/>
        <w:rPr>
          <w:sz w:val="20"/>
          <w:szCs w:val="20"/>
          <w:color w:val="auto"/>
        </w:rPr>
      </w:pPr>
    </w:p>
    <w:p>
      <w:pPr>
        <w:ind w:left="20"/>
        <w:spacing w:after="0"/>
        <w:rPr>
          <w:sz w:val="20"/>
          <w:szCs w:val="20"/>
          <w:color w:val="auto"/>
        </w:rPr>
      </w:pPr>
      <w:r>
        <w:rPr>
          <w:rFonts w:ascii="Arial" w:cs="Arial" w:eastAsia="Arial" w:hAnsi="Arial"/>
          <w:sz w:val="14"/>
          <w:szCs w:val="14"/>
          <w:color w:val="auto"/>
        </w:rPr>
        <w:t>Adjusted return on capital</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Cost of capital (5)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-98425</wp:posOffset>
            </wp:positionV>
            <wp:extent cx="6926580" cy="120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6580" cy="1200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2"/>
        </w:trPr>
        <w:tc>
          <w:tcPr>
            <w:tcW w:w="760" w:type="dxa"/>
            <w:vAlign w:val="bottom"/>
          </w:tcPr>
          <w:p>
            <w:pPr>
              <w:jc w:val="right"/>
              <w:ind w:right="5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128"/>
              <w:spacing w:after="0"/>
              <w:rPr>
                <w:sz w:val="20"/>
                <w:szCs w:val="20"/>
                <w:color w:val="auto"/>
              </w:rPr>
            </w:pPr>
            <w:r>
              <w:rPr>
                <w:rFonts w:ascii="Arial" w:cs="Arial" w:eastAsia="Arial" w:hAnsi="Arial"/>
                <w:sz w:val="14"/>
                <w:szCs w:val="14"/>
                <w:color w:val="auto"/>
              </w:rPr>
              <w:t>614.2</w:t>
            </w:r>
          </w:p>
        </w:tc>
        <w:tc>
          <w:tcPr>
            <w:tcW w:w="280" w:type="dxa"/>
            <w:vAlign w:val="bottom"/>
          </w:tcPr>
          <w:p>
            <w:pPr>
              <w:spacing w:after="0"/>
              <w:rPr>
                <w:sz w:val="15"/>
                <w:szCs w:val="15"/>
                <w:color w:val="auto"/>
              </w:rPr>
            </w:pPr>
          </w:p>
        </w:tc>
        <w:tc>
          <w:tcPr>
            <w:tcW w:w="740" w:type="dxa"/>
            <w:vAlign w:val="bottom"/>
          </w:tcPr>
          <w:p>
            <w:pPr>
              <w:jc w:val="right"/>
              <w:ind w:right="58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108"/>
              <w:spacing w:after="0"/>
              <w:rPr>
                <w:sz w:val="20"/>
                <w:szCs w:val="20"/>
                <w:color w:val="auto"/>
              </w:rPr>
            </w:pPr>
            <w:r>
              <w:rPr>
                <w:rFonts w:ascii="Arial" w:cs="Arial" w:eastAsia="Arial" w:hAnsi="Arial"/>
                <w:sz w:val="14"/>
                <w:szCs w:val="14"/>
                <w:color w:val="auto"/>
              </w:rPr>
              <w:t>496.8</w:t>
            </w:r>
          </w:p>
        </w:tc>
      </w:tr>
      <w:tr>
        <w:trPr>
          <w:trHeight w:val="195"/>
        </w:trPr>
        <w:tc>
          <w:tcPr>
            <w:tcW w:w="7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98.3</w:t>
            </w:r>
          </w:p>
        </w:tc>
        <w:tc>
          <w:tcPr>
            <w:tcW w:w="2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114.3</w:t>
            </w:r>
          </w:p>
        </w:tc>
      </w:tr>
      <w:tr>
        <w:trPr>
          <w:trHeight w:val="185"/>
        </w:trPr>
        <w:tc>
          <w:tcPr>
            <w:tcW w:w="76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712.5</w:t>
            </w:r>
          </w:p>
        </w:tc>
        <w:tc>
          <w:tcPr>
            <w:tcW w:w="280" w:type="dxa"/>
            <w:vAlign w:val="bottom"/>
          </w:tcPr>
          <w:p>
            <w:pPr>
              <w:spacing w:after="0"/>
              <w:rPr>
                <w:sz w:val="16"/>
                <w:szCs w:val="16"/>
                <w:color w:val="auto"/>
              </w:rPr>
            </w:pPr>
          </w:p>
        </w:tc>
        <w:tc>
          <w:tcPr>
            <w:tcW w:w="7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611.1</w:t>
            </w:r>
          </w:p>
        </w:tc>
      </w:tr>
      <w:tr>
        <w:trPr>
          <w:trHeight w:val="24"/>
        </w:trPr>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bl>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920" w:type="dxa"/>
            <w:vAlign w:val="bottom"/>
          </w:tcPr>
          <w:p>
            <w:pPr>
              <w:jc w:val="right"/>
              <w:spacing w:after="0"/>
              <w:rPr>
                <w:sz w:val="20"/>
                <w:szCs w:val="20"/>
                <w:color w:val="auto"/>
              </w:rPr>
            </w:pPr>
            <w:r>
              <w:rPr>
                <w:rFonts w:ascii="Arial" w:cs="Arial" w:eastAsia="Arial" w:hAnsi="Arial"/>
                <w:sz w:val="14"/>
                <w:szCs w:val="14"/>
                <w:color w:val="auto"/>
              </w:rPr>
              <w:t>42.4 %</w:t>
            </w:r>
          </w:p>
        </w:tc>
        <w:tc>
          <w:tcPr>
            <w:tcW w:w="280" w:type="dxa"/>
            <w:vAlign w:val="bottom"/>
          </w:tcPr>
          <w:p>
            <w:pPr>
              <w:spacing w:after="0"/>
              <w:rPr>
                <w:sz w:val="15"/>
                <w:szCs w:val="15"/>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15.8 %</w:t>
            </w:r>
          </w:p>
        </w:tc>
      </w:tr>
      <w:tr>
        <w:trPr>
          <w:trHeight w:val="195"/>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-29.2 %</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-4.2 %</w:t>
            </w:r>
          </w:p>
        </w:tc>
      </w:tr>
      <w:tr>
        <w:trPr>
          <w:trHeight w:val="185"/>
        </w:trPr>
        <w:tc>
          <w:tcPr>
            <w:tcW w:w="1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13.2 %</w:t>
            </w:r>
          </w:p>
        </w:tc>
        <w:tc>
          <w:tcPr>
            <w:tcW w:w="280" w:type="dxa"/>
            <w:vAlign w:val="bottom"/>
          </w:tcPr>
          <w:p>
            <w:pPr>
              <w:spacing w:after="0"/>
              <w:rPr>
                <w:sz w:val="16"/>
                <w:szCs w:val="16"/>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11.6 %</w:t>
            </w:r>
          </w:p>
        </w:tc>
      </w:tr>
      <w:tr>
        <w:trPr>
          <w:trHeight w:val="24"/>
        </w:trPr>
        <w:tc>
          <w:tcPr>
            <w:tcW w:w="19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548"/>
        </w:trPr>
        <w:tc>
          <w:tcPr>
            <w:tcW w:w="1920" w:type="dxa"/>
            <w:vAlign w:val="bottom"/>
          </w:tcPr>
          <w:p>
            <w:pPr>
              <w:jc w:val="right"/>
              <w:spacing w:after="0"/>
              <w:rPr>
                <w:sz w:val="20"/>
                <w:szCs w:val="20"/>
                <w:color w:val="auto"/>
              </w:rPr>
            </w:pPr>
            <w:r>
              <w:rPr>
                <w:rFonts w:ascii="Arial" w:cs="Arial" w:eastAsia="Arial" w:hAnsi="Arial"/>
                <w:sz w:val="14"/>
                <w:szCs w:val="14"/>
                <w:color w:val="auto"/>
              </w:rPr>
              <w:t>13.2 %</w:t>
            </w:r>
          </w:p>
        </w:tc>
        <w:tc>
          <w:tcPr>
            <w:tcW w:w="28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11.6 %</w:t>
            </w:r>
          </w:p>
        </w:tc>
      </w:tr>
      <w:tr>
        <w:trPr>
          <w:trHeight w:val="189"/>
        </w:trPr>
        <w:tc>
          <w:tcPr>
            <w:tcW w:w="1920" w:type="dxa"/>
            <w:vAlign w:val="bottom"/>
          </w:tcPr>
          <w:p>
            <w:pPr>
              <w:jc w:val="right"/>
              <w:spacing w:after="0"/>
              <w:rPr>
                <w:sz w:val="20"/>
                <w:szCs w:val="20"/>
                <w:color w:val="auto"/>
              </w:rPr>
            </w:pPr>
            <w:r>
              <w:rPr>
                <w:rFonts w:ascii="Arial" w:cs="Arial" w:eastAsia="Arial" w:hAnsi="Arial"/>
                <w:sz w:val="14"/>
                <w:szCs w:val="14"/>
                <w:color w:val="auto"/>
              </w:rPr>
              <w:t>5.5 %</w:t>
            </w:r>
          </w:p>
        </w:tc>
        <w:tc>
          <w:tcPr>
            <w:tcW w:w="280" w:type="dxa"/>
            <w:vAlign w:val="bottom"/>
          </w:tcPr>
          <w:p>
            <w:pPr>
              <w:spacing w:after="0"/>
              <w:rPr>
                <w:sz w:val="16"/>
                <w:szCs w:val="16"/>
                <w:color w:val="auto"/>
              </w:rPr>
            </w:pPr>
          </w:p>
        </w:tc>
        <w:tc>
          <w:tcPr>
            <w:tcW w:w="1900" w:type="dxa"/>
            <w:vAlign w:val="bottom"/>
          </w:tcPr>
          <w:p>
            <w:pPr>
              <w:jc w:val="right"/>
              <w:spacing w:after="0"/>
              <w:rPr>
                <w:sz w:val="20"/>
                <w:szCs w:val="20"/>
                <w:color w:val="auto"/>
              </w:rPr>
            </w:pPr>
            <w:r>
              <w:rPr>
                <w:rFonts w:ascii="Arial" w:cs="Arial" w:eastAsia="Arial" w:hAnsi="Arial"/>
                <w:sz w:val="14"/>
                <w:szCs w:val="14"/>
                <w:color w:val="auto"/>
              </w:rPr>
              <w:t>5.1 %</w:t>
            </w:r>
          </w:p>
        </w:tc>
      </w:tr>
    </w:tbl>
    <w:p>
      <w:pPr>
        <w:spacing w:after="0" w:line="1" w:lineRule="exact"/>
        <w:rPr>
          <w:sz w:val="20"/>
          <w:szCs w:val="20"/>
          <w:color w:val="auto"/>
        </w:rPr>
      </w:pPr>
    </w:p>
    <w:p>
      <w:pPr>
        <w:sectPr>
          <w:pgSz w:w="11900" w:h="16838" w:orient="portrait"/>
          <w:cols w:equalWidth="0" w:num="2">
            <w:col w:w="6100" w:space="720"/>
            <w:col w:w="4100"/>
          </w:cols>
          <w:pgMar w:left="480" w:top="805" w:right="499" w:bottom="1440" w:gutter="0" w:footer="0" w:header="0"/>
          <w:type w:val="continuous"/>
        </w:sectPr>
      </w:pPr>
    </w:p>
    <w:tbl>
      <w:tblPr>
        <w:tblLayout w:type="fixed"/>
        <w:tblInd w:w="0" w:type="dxa"/>
        <w:tblCellMar>
          <w:top w:w="0" w:type="dxa"/>
          <w:left w:w="0" w:type="dxa"/>
          <w:bottom w:w="0" w:type="dxa"/>
          <w:right w:w="0" w:type="dxa"/>
        </w:tblCellMar>
      </w:tblPr>
      <w:tr>
        <w:trPr>
          <w:trHeight w:val="191"/>
        </w:trPr>
        <w:tc>
          <w:tcPr>
            <w:tcW w:w="6820" w:type="dxa"/>
            <w:vAlign w:val="bottom"/>
            <w:gridSpan w:val="2"/>
          </w:tcPr>
          <w:p>
            <w:pPr>
              <w:ind w:left="20"/>
              <w:spacing w:after="0"/>
              <w:rPr>
                <w:sz w:val="20"/>
                <w:szCs w:val="20"/>
                <w:color w:val="auto"/>
              </w:rPr>
            </w:pPr>
            <w:r>
              <w:rPr>
                <w:rFonts w:ascii="Arial" w:cs="Arial" w:eastAsia="Arial" w:hAnsi="Arial"/>
                <w:sz w:val="14"/>
                <w:szCs w:val="14"/>
                <w:color w:val="auto"/>
              </w:rPr>
              <w:t>Adjusted return on capital in excess of cost of capital</w:t>
            </w:r>
          </w:p>
        </w:tc>
        <w:tc>
          <w:tcPr>
            <w:tcW w:w="7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7.7</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c>
          <w:tcPr>
            <w:tcW w:w="280" w:type="dxa"/>
            <w:vAlign w:val="bottom"/>
          </w:tcPr>
          <w:p>
            <w:pPr>
              <w:spacing w:after="0"/>
              <w:rPr>
                <w:sz w:val="16"/>
                <w:szCs w:val="16"/>
                <w:color w:val="auto"/>
              </w:rPr>
            </w:pPr>
          </w:p>
        </w:tc>
        <w:tc>
          <w:tcPr>
            <w:tcW w:w="6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6"/>
              </w:rPr>
              <w:t>%</w:t>
            </w:r>
          </w:p>
        </w:tc>
      </w:tr>
      <w:tr>
        <w:trPr>
          <w:trHeight w:val="192"/>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average capital</w:t>
            </w:r>
          </w:p>
        </w:tc>
        <w:tc>
          <w:tcPr>
            <w:tcW w:w="700" w:type="dxa"/>
            <w:vAlign w:val="bottom"/>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7,221.8</w:t>
            </w:r>
          </w:p>
        </w:tc>
        <w:tc>
          <w:tcPr>
            <w:tcW w:w="1120" w:type="dxa"/>
            <w:vAlign w:val="bottom"/>
            <w:gridSpan w:val="3"/>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7,043.3</w:t>
            </w:r>
          </w:p>
        </w:tc>
        <w:tc>
          <w:tcPr>
            <w:tcW w:w="160" w:type="dxa"/>
            <w:vAlign w:val="bottom"/>
            <w:shd w:val="clear" w:color="auto" w:fill="CCEEFF"/>
          </w:tcPr>
          <w:p>
            <w:pPr>
              <w:spacing w:after="0"/>
              <w:rPr>
                <w:sz w:val="16"/>
                <w:szCs w:val="16"/>
                <w:color w:val="auto"/>
              </w:rPr>
            </w:pPr>
          </w:p>
        </w:tc>
      </w:tr>
      <w:tr>
        <w:trPr>
          <w:trHeight w:val="183"/>
        </w:trPr>
        <w:tc>
          <w:tcPr>
            <w:tcW w:w="6820" w:type="dxa"/>
            <w:vAlign w:val="bottom"/>
            <w:gridSpan w:val="2"/>
          </w:tcPr>
          <w:p>
            <w:pPr>
              <w:ind w:left="180"/>
              <w:spacing w:after="0"/>
              <w:rPr>
                <w:sz w:val="20"/>
                <w:szCs w:val="20"/>
                <w:color w:val="auto"/>
              </w:rPr>
            </w:pPr>
            <w:r>
              <w:rPr>
                <w:rFonts w:ascii="Arial" w:cs="Arial" w:eastAsia="Arial" w:hAnsi="Arial"/>
                <w:sz w:val="14"/>
                <w:szCs w:val="14"/>
                <w:color w:val="auto"/>
              </w:rPr>
              <w:t>Economic profit</w:t>
            </w:r>
          </w:p>
        </w:tc>
        <w:tc>
          <w:tcPr>
            <w:tcW w:w="7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416.0</w:t>
            </w:r>
          </w:p>
        </w:tc>
        <w:tc>
          <w:tcPr>
            <w:tcW w:w="160" w:type="dxa"/>
            <w:vAlign w:val="bottom"/>
            <w:tcBorders>
              <w:top w:val="single" w:sz="8" w:color="auto"/>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339.7</w:t>
            </w:r>
          </w:p>
        </w:tc>
        <w:tc>
          <w:tcPr>
            <w:tcW w:w="160" w:type="dxa"/>
            <w:vAlign w:val="bottom"/>
            <w:tcBorders>
              <w:top w:val="single" w:sz="8" w:color="auto"/>
              <w:bottom w:val="single" w:sz="8" w:color="auto"/>
            </w:tcBorders>
          </w:tcPr>
          <w:p>
            <w:pPr>
              <w:spacing w:after="0"/>
              <w:rPr>
                <w:sz w:val="15"/>
                <w:szCs w:val="15"/>
                <w:color w:val="auto"/>
              </w:rPr>
            </w:pPr>
          </w:p>
        </w:tc>
      </w:tr>
      <w:tr>
        <w:trPr>
          <w:trHeight w:val="20"/>
        </w:trPr>
        <w:tc>
          <w:tcPr>
            <w:tcW w:w="66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70"/>
        </w:trPr>
        <w:tc>
          <w:tcPr>
            <w:tcW w:w="66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r>
      <w:tr>
        <w:trPr>
          <w:trHeight w:val="188"/>
        </w:trPr>
        <w:tc>
          <w:tcPr>
            <w:tcW w:w="6820" w:type="dxa"/>
            <w:vAlign w:val="bottom"/>
            <w:gridSpan w:val="2"/>
          </w:tcPr>
          <w:p>
            <w:pPr>
              <w:ind w:left="20"/>
              <w:spacing w:after="0"/>
              <w:rPr>
                <w:sz w:val="20"/>
                <w:szCs w:val="20"/>
                <w:color w:val="auto"/>
              </w:rPr>
            </w:pPr>
            <w:r>
              <w:rPr>
                <w:rFonts w:ascii="Arial" w:cs="Arial" w:eastAsia="Arial" w:hAnsi="Arial"/>
                <w:sz w:val="14"/>
                <w:szCs w:val="14"/>
                <w:b w:val="1"/>
                <w:bCs w:val="1"/>
                <w:color w:val="auto"/>
              </w:rPr>
              <w:t>Reconciliation of GAAP net income to economic profit</w:t>
            </w:r>
          </w:p>
        </w:tc>
        <w:tc>
          <w:tcPr>
            <w:tcW w:w="7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84"/>
        </w:trPr>
        <w:tc>
          <w:tcPr>
            <w:tcW w:w="6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GAAP net income</w:t>
            </w:r>
          </w:p>
        </w:tc>
        <w:tc>
          <w:tcPr>
            <w:tcW w:w="20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CCEEFF"/>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740.7</w:t>
            </w:r>
          </w:p>
        </w:tc>
        <w:tc>
          <w:tcPr>
            <w:tcW w:w="1120" w:type="dxa"/>
            <w:vAlign w:val="bottom"/>
            <w:tcBorders>
              <w:top w:val="single" w:sz="8" w:color="CCEEFF"/>
            </w:tcBorders>
            <w:gridSpan w:val="3"/>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254.7</w:t>
            </w:r>
          </w:p>
        </w:tc>
        <w:tc>
          <w:tcPr>
            <w:tcW w:w="160" w:type="dxa"/>
            <w:vAlign w:val="bottom"/>
            <w:tcBorders>
              <w:top w:val="single" w:sz="8" w:color="CCEEFF"/>
            </w:tcBorders>
            <w:shd w:val="clear" w:color="auto" w:fill="CCEEFF"/>
          </w:tcPr>
          <w:p>
            <w:pPr>
              <w:spacing w:after="0"/>
              <w:rPr>
                <w:sz w:val="15"/>
                <w:szCs w:val="15"/>
                <w:color w:val="auto"/>
              </w:rPr>
            </w:pPr>
          </w:p>
        </w:tc>
      </w:tr>
      <w:tr>
        <w:trPr>
          <w:trHeight w:val="18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Non-GAAP adjustments</w:t>
            </w: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242.1</w:t>
            </w:r>
          </w:p>
        </w:tc>
        <w:tc>
          <w:tcPr>
            <w:tcW w:w="160" w:type="dxa"/>
            <w:vAlign w:val="bottom"/>
            <w:tcBorders>
              <w:bottom w:val="single" w:sz="8" w:color="auto"/>
            </w:tcBorders>
          </w:tcPr>
          <w:p>
            <w:pPr>
              <w:spacing w:after="0"/>
              <w:rPr>
                <w:sz w:val="16"/>
                <w:szCs w:val="16"/>
                <w:color w:val="auto"/>
              </w:rPr>
            </w:pPr>
          </w:p>
        </w:tc>
      </w:tr>
      <w:tr>
        <w:trPr>
          <w:trHeight w:val="18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net income</w:t>
            </w: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614.2</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496.8</w:t>
            </w:r>
          </w:p>
        </w:tc>
        <w:tc>
          <w:tcPr>
            <w:tcW w:w="160" w:type="dxa"/>
            <w:vAlign w:val="bottom"/>
            <w:shd w:val="clear" w:color="auto" w:fill="CCEEFF"/>
          </w:tcPr>
          <w:p>
            <w:pPr>
              <w:spacing w:after="0"/>
              <w:rPr>
                <w:sz w:val="16"/>
                <w:szCs w:val="16"/>
                <w:color w:val="auto"/>
              </w:rPr>
            </w:pPr>
          </w:p>
        </w:tc>
      </w:tr>
      <w:tr>
        <w:trPr>
          <w:trHeight w:val="18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Adjusted interest expense (after-tax)</w:t>
            </w: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98.3</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114.3</w:t>
            </w:r>
          </w:p>
        </w:tc>
        <w:tc>
          <w:tcPr>
            <w:tcW w:w="160" w:type="dxa"/>
            <w:vAlign w:val="bottom"/>
            <w:tcBorders>
              <w:bottom w:val="single" w:sz="8" w:color="auto"/>
            </w:tcBorders>
          </w:tcPr>
          <w:p>
            <w:pPr>
              <w:spacing w:after="0"/>
              <w:rPr>
                <w:sz w:val="16"/>
                <w:szCs w:val="16"/>
                <w:color w:val="auto"/>
              </w:rPr>
            </w:pPr>
          </w:p>
        </w:tc>
      </w:tr>
      <w:tr>
        <w:trPr>
          <w:trHeight w:val="186"/>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Adjusted net income plus interest expense (after-tax)</w:t>
            </w: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712.5</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611.1</w:t>
            </w:r>
          </w:p>
        </w:tc>
        <w:tc>
          <w:tcPr>
            <w:tcW w:w="160" w:type="dxa"/>
            <w:vAlign w:val="bottom"/>
            <w:shd w:val="clear" w:color="auto" w:fill="CCEEFF"/>
          </w:tcPr>
          <w:p>
            <w:pPr>
              <w:spacing w:after="0"/>
              <w:rPr>
                <w:sz w:val="16"/>
                <w:szCs w:val="16"/>
                <w:color w:val="auto"/>
              </w:rPr>
            </w:pPr>
          </w:p>
        </w:tc>
      </w:tr>
      <w:tr>
        <w:trPr>
          <w:trHeight w:val="18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Less: cost of capital</w:t>
            </w: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296.5</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271.4</w:t>
            </w:r>
          </w:p>
        </w:tc>
        <w:tc>
          <w:tcPr>
            <w:tcW w:w="160" w:type="dxa"/>
            <w:vAlign w:val="bottom"/>
            <w:tcBorders>
              <w:bottom w:val="single" w:sz="8" w:color="auto"/>
            </w:tcBorders>
          </w:tcPr>
          <w:p>
            <w:pPr>
              <w:spacing w:after="0"/>
              <w:rPr>
                <w:sz w:val="16"/>
                <w:szCs w:val="16"/>
                <w:color w:val="auto"/>
              </w:rPr>
            </w:pPr>
          </w:p>
        </w:tc>
      </w:tr>
      <w:tr>
        <w:trPr>
          <w:trHeight w:val="211"/>
        </w:trPr>
        <w:tc>
          <w:tcPr>
            <w:tcW w:w="68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4"/>
                <w:szCs w:val="14"/>
                <w:color w:val="auto"/>
              </w:rPr>
              <w:t>Economic profit</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416.0</w:t>
            </w:r>
          </w:p>
        </w:tc>
        <w:tc>
          <w:tcPr>
            <w:tcW w:w="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339.7</w:t>
            </w:r>
          </w:p>
        </w:tc>
        <w:tc>
          <w:tcPr>
            <w:tcW w:w="160" w:type="dxa"/>
            <w:vAlign w:val="bottom"/>
            <w:tcBorders>
              <w:bottom w:val="single" w:sz="8" w:color="auto"/>
            </w:tcBorders>
            <w:shd w:val="clear" w:color="auto" w:fill="CCEEFF"/>
          </w:tcPr>
          <w:p>
            <w:pPr>
              <w:spacing w:after="0"/>
              <w:rPr>
                <w:sz w:val="17"/>
                <w:szCs w:val="17"/>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r>
        <w:trPr>
          <w:trHeight w:val="149"/>
        </w:trPr>
        <w:tc>
          <w:tcPr>
            <w:tcW w:w="6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89"/>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179"/>
        </w:trPr>
        <w:tc>
          <w:tcPr>
            <w:tcW w:w="66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GAAP salaries and wages</w:t>
            </w:r>
          </w:p>
        </w:tc>
        <w:tc>
          <w:tcPr>
            <w:tcW w:w="200" w:type="dxa"/>
            <w:vAlign w:val="bottom"/>
          </w:tcPr>
          <w:p>
            <w:pPr>
              <w:spacing w:after="0"/>
              <w:rPr>
                <w:sz w:val="15"/>
                <w:szCs w:val="15"/>
                <w:color w:val="auto"/>
              </w:rPr>
            </w:pPr>
          </w:p>
        </w:tc>
        <w:tc>
          <w:tcPr>
            <w:tcW w:w="700" w:type="dxa"/>
            <w:vAlign w:val="bottom"/>
          </w:tcPr>
          <w:p>
            <w:pPr>
              <w:jc w:val="right"/>
              <w:ind w:right="5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150.9</w:t>
            </w:r>
          </w:p>
        </w:tc>
        <w:tc>
          <w:tcPr>
            <w:tcW w:w="1120" w:type="dxa"/>
            <w:vAlign w:val="bottom"/>
            <w:gridSpan w:val="3"/>
          </w:tcPr>
          <w:p>
            <w:pPr>
              <w:jc w:val="right"/>
              <w:ind w:right="5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140.4</w:t>
            </w:r>
          </w:p>
        </w:tc>
        <w:tc>
          <w:tcPr>
            <w:tcW w:w="160" w:type="dxa"/>
            <w:vAlign w:val="bottom"/>
          </w:tcPr>
          <w:p>
            <w:pPr>
              <w:spacing w:after="0"/>
              <w:rPr>
                <w:sz w:val="15"/>
                <w:szCs w:val="15"/>
                <w:color w:val="auto"/>
              </w:rPr>
            </w:pPr>
          </w:p>
        </w:tc>
      </w:tr>
      <w:tr>
        <w:trPr>
          <w:trHeight w:val="192"/>
        </w:trPr>
        <w:tc>
          <w:tcPr>
            <w:tcW w:w="6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GAAP general and administrative</w:t>
            </w:r>
          </w:p>
        </w:tc>
        <w:tc>
          <w:tcPr>
            <w:tcW w:w="7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79.9</w:t>
            </w: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46.8</w:t>
            </w:r>
          </w:p>
        </w:tc>
        <w:tc>
          <w:tcPr>
            <w:tcW w:w="160" w:type="dxa"/>
            <w:vAlign w:val="bottom"/>
            <w:shd w:val="clear" w:color="auto" w:fill="CCEEFF"/>
          </w:tcPr>
          <w:p>
            <w:pPr>
              <w:spacing w:after="0"/>
              <w:rPr>
                <w:sz w:val="16"/>
                <w:szCs w:val="16"/>
                <w:color w:val="auto"/>
              </w:rPr>
            </w:pPr>
          </w:p>
        </w:tc>
      </w:tr>
      <w:tr>
        <w:trPr>
          <w:trHeight w:val="186"/>
        </w:trPr>
        <w:tc>
          <w:tcPr>
            <w:tcW w:w="6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GAAP sales and marketing</w:t>
            </w:r>
          </w:p>
        </w:tc>
        <w:tc>
          <w:tcPr>
            <w:tcW w:w="7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48.4</w:t>
            </w: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w:t>
            </w:r>
          </w:p>
        </w:tc>
        <w:tc>
          <w:tcPr>
            <w:tcW w:w="160" w:type="dxa"/>
            <w:vAlign w:val="bottom"/>
            <w:tcBorders>
              <w:bottom w:val="single" w:sz="8" w:color="auto"/>
            </w:tcBorders>
          </w:tcPr>
          <w:p>
            <w:pPr>
              <w:spacing w:after="0"/>
              <w:rPr>
                <w:sz w:val="16"/>
                <w:szCs w:val="16"/>
                <w:color w:val="auto"/>
              </w:rPr>
            </w:pPr>
          </w:p>
        </w:tc>
      </w:tr>
      <w:tr>
        <w:trPr>
          <w:trHeight w:val="211"/>
        </w:trPr>
        <w:tc>
          <w:tcPr>
            <w:tcW w:w="682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4"/>
                <w:szCs w:val="14"/>
                <w:color w:val="auto"/>
              </w:rPr>
              <w:t>Operating expenses</w:t>
            </w:r>
          </w:p>
        </w:tc>
        <w:tc>
          <w:tcPr>
            <w:tcW w:w="70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279.2</w:t>
            </w:r>
          </w:p>
        </w:tc>
        <w:tc>
          <w:tcPr>
            <w:tcW w:w="1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ind w:right="52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241.1</w:t>
            </w:r>
          </w:p>
        </w:tc>
        <w:tc>
          <w:tcPr>
            <w:tcW w:w="160" w:type="dxa"/>
            <w:vAlign w:val="bottom"/>
            <w:tcBorders>
              <w:bottom w:val="single" w:sz="8" w:color="auto"/>
            </w:tcBorders>
            <w:shd w:val="clear" w:color="auto" w:fill="CCEEFF"/>
          </w:tcPr>
          <w:p>
            <w:pPr>
              <w:spacing w:after="0"/>
              <w:rPr>
                <w:sz w:val="17"/>
                <w:szCs w:val="17"/>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480" w:top="805" w:right="499" w:bottom="1440" w:gutter="0" w:footer="0" w:header="0"/>
          <w:type w:val="continuous"/>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0920"/>
          </w:cols>
          <w:pgMar w:left="480" w:top="805" w:right="499" w:bottom="1440" w:gutter="0" w:footer="0" w:header="0"/>
          <w:type w:val="continuous"/>
        </w:sectPr>
      </w:pPr>
    </w:p>
    <w:bookmarkStart w:id="17" w:name="page18"/>
    <w:bookmarkEnd w:id="17"/>
    <w:p>
      <w:pPr>
        <w:ind w:left="480" w:hanging="310"/>
        <w:spacing w:after="0"/>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Adjustment to record taxes at our estimated long-term effective income tax rate of 23%.</w:t>
      </w:r>
    </w:p>
    <w:p>
      <w:pPr>
        <w:spacing w:after="0" w:line="13" w:lineRule="exact"/>
        <w:rPr>
          <w:rFonts w:ascii="Arial" w:cs="Arial" w:eastAsia="Arial" w:hAnsi="Arial"/>
          <w:sz w:val="14"/>
          <w:szCs w:val="14"/>
          <w:color w:val="auto"/>
        </w:rPr>
      </w:pPr>
    </w:p>
    <w:p>
      <w:pPr>
        <w:jc w:val="both"/>
        <w:ind w:left="500" w:hanging="330"/>
        <w:spacing w:after="0" w:line="241" w:lineRule="auto"/>
        <w:tabs>
          <w:tab w:leader="none" w:pos="514"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enactment of the 2017 Tax Act in December 2017 resulted in the reversal of $118.5 million of provision for income taxes to reflect the new federal statutory income tax rate. This adjustment removes the impact of this reversal from adjusted average capital. We believe the income tax adjustment provides a more accurate reflection of the performance of our business as we are recognizing provision for income taxes at the applicable long-term effective tax rate for the period.</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Calculated by dividing GAAP net income by GAAP average shareholders' equity.</w:t>
      </w:r>
    </w:p>
    <w:p>
      <w:pPr>
        <w:spacing w:after="0" w:line="1" w:lineRule="exact"/>
        <w:rPr>
          <w:rFonts w:ascii="Arial" w:cs="Arial" w:eastAsia="Arial" w:hAnsi="Arial"/>
          <w:sz w:val="14"/>
          <w:szCs w:val="14"/>
          <w:color w:val="auto"/>
        </w:rPr>
      </w:pPr>
    </w:p>
    <w:p>
      <w:pPr>
        <w:ind w:left="480" w:hanging="310"/>
        <w:spacing w:after="0"/>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Adjusted return on capital is defined as adjusted net income plus adjusted interest expense after-tax divided by adjusted average capital.</w:t>
      </w:r>
    </w:p>
    <w:p>
      <w:pPr>
        <w:spacing w:after="0" w:line="1" w:lineRule="exact"/>
        <w:rPr>
          <w:rFonts w:ascii="Arial" w:cs="Arial" w:eastAsia="Arial" w:hAnsi="Arial"/>
          <w:sz w:val="14"/>
          <w:szCs w:val="14"/>
          <w:color w:val="auto"/>
        </w:rPr>
      </w:pPr>
    </w:p>
    <w:p>
      <w:pPr>
        <w:jc w:val="both"/>
        <w:ind w:left="500" w:hanging="330"/>
        <w:spacing w:after="0" w:line="246" w:lineRule="auto"/>
        <w:tabs>
          <w:tab w:leader="none" w:pos="535"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cost of capital includes both a cost of equity and a cost of debt. The cost of equity capital is determined based on a formula that considers the risk of the business and the risk associated with our use of debt. The formula utilized for determining the cost of equity capital is as follows: (the average 30-year Treasury rate + 5%) + [(1 - tax rate) x (the average 30-year Treasury rate + 5% - pre-tax average cost of debt rate) x average debt/(average equity + average debt x tax rate)]. For the periods presented, the average 30-year Treasury rate and the adjusted pre-tax average cost of debt were as follows:</w:t>
      </w:r>
    </w:p>
    <w:p>
      <w:pPr>
        <w:spacing w:after="0" w:line="107"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For the Nine Months Ended September 30,</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00" w:type="dxa"/>
            <w:vAlign w:val="bottom"/>
            <w:tcBorders>
              <w:bottom w:val="single" w:sz="8" w:color="CCEEFF"/>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CCEEFF"/>
            </w:tcBorders>
          </w:tcPr>
          <w:p>
            <w:pPr>
              <w:spacing w:after="0"/>
              <w:rPr>
                <w:sz w:val="16"/>
                <w:szCs w:val="16"/>
                <w:color w:val="auto"/>
              </w:rPr>
            </w:pPr>
          </w:p>
        </w:tc>
        <w:tc>
          <w:tcPr>
            <w:tcW w:w="1940" w:type="dxa"/>
            <w:vAlign w:val="bottom"/>
            <w:tcBorders>
              <w:top w:val="single" w:sz="8" w:color="auto"/>
              <w:bottom w:val="single" w:sz="8" w:color="auto"/>
            </w:tcBorders>
          </w:tcPr>
          <w:p>
            <w:pPr>
              <w:jc w:val="right"/>
              <w:ind w:right="748"/>
              <w:spacing w:after="0"/>
              <w:rPr>
                <w:sz w:val="20"/>
                <w:szCs w:val="20"/>
                <w:color w:val="auto"/>
              </w:rPr>
            </w:pPr>
            <w:r>
              <w:rPr>
                <w:rFonts w:ascii="Arial" w:cs="Arial" w:eastAsia="Arial" w:hAnsi="Arial"/>
                <w:sz w:val="14"/>
                <w:szCs w:val="14"/>
                <w:b w:val="1"/>
                <w:bCs w:val="1"/>
                <w:color w:val="auto"/>
              </w:rPr>
              <w:t>2020</w:t>
            </w:r>
          </w:p>
        </w:tc>
      </w:tr>
      <w:tr>
        <w:trPr>
          <w:trHeight w:val="184"/>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Average 30-year Treasury rate</w:t>
            </w:r>
          </w:p>
        </w:tc>
        <w:tc>
          <w:tcPr>
            <w:tcW w:w="134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2.1 %</w:t>
            </w:r>
          </w:p>
        </w:tc>
        <w:tc>
          <w:tcPr>
            <w:tcW w:w="280" w:type="dxa"/>
            <w:vAlign w:val="bottom"/>
            <w:shd w:val="clear" w:color="auto" w:fill="CCEEFF"/>
          </w:tcPr>
          <w:p>
            <w:pPr>
              <w:spacing w:after="0"/>
              <w:rPr>
                <w:sz w:val="15"/>
                <w:szCs w:val="15"/>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r>
      <w:tr>
        <w:trPr>
          <w:trHeight w:val="182"/>
        </w:trPr>
        <w:tc>
          <w:tcPr>
            <w:tcW w:w="8440" w:type="dxa"/>
            <w:vAlign w:val="bottom"/>
            <w:gridSpan w:val="2"/>
          </w:tcPr>
          <w:p>
            <w:pPr>
              <w:ind w:left="20"/>
              <w:spacing w:after="0"/>
              <w:rPr>
                <w:sz w:val="20"/>
                <w:szCs w:val="20"/>
                <w:color w:val="auto"/>
              </w:rPr>
            </w:pPr>
            <w:r>
              <w:rPr>
                <w:rFonts w:ascii="Arial" w:cs="Arial" w:eastAsia="Arial" w:hAnsi="Arial"/>
                <w:sz w:val="14"/>
                <w:szCs w:val="14"/>
                <w:color w:val="auto"/>
              </w:rPr>
              <w:t>Adjusted pre-tax average cost of debt (6)</w:t>
            </w:r>
          </w:p>
        </w:tc>
        <w:tc>
          <w:tcPr>
            <w:tcW w:w="580" w:type="dxa"/>
            <w:vAlign w:val="bottom"/>
          </w:tcPr>
          <w:p>
            <w:pPr>
              <w:jc w:val="right"/>
              <w:spacing w:after="0"/>
              <w:rPr>
                <w:sz w:val="20"/>
                <w:szCs w:val="20"/>
                <w:color w:val="auto"/>
              </w:rPr>
            </w:pPr>
            <w:r>
              <w:rPr>
                <w:rFonts w:ascii="Arial" w:cs="Arial" w:eastAsia="Arial" w:hAnsi="Arial"/>
                <w:sz w:val="14"/>
                <w:szCs w:val="14"/>
                <w:color w:val="auto"/>
              </w:rPr>
              <w:t>3.6 %</w:t>
            </w:r>
          </w:p>
        </w:tc>
        <w:tc>
          <w:tcPr>
            <w:tcW w:w="280" w:type="dxa"/>
            <w:vAlign w:val="bottom"/>
          </w:tcPr>
          <w:p>
            <w:pPr>
              <w:spacing w:after="0"/>
              <w:rPr>
                <w:sz w:val="15"/>
                <w:szCs w:val="15"/>
                <w:color w:val="auto"/>
              </w:rPr>
            </w:pPr>
          </w:p>
        </w:tc>
        <w:tc>
          <w:tcPr>
            <w:tcW w:w="1940" w:type="dxa"/>
            <w:vAlign w:val="bottom"/>
          </w:tcPr>
          <w:p>
            <w:pPr>
              <w:jc w:val="right"/>
              <w:spacing w:after="0"/>
              <w:rPr>
                <w:sz w:val="20"/>
                <w:szCs w:val="20"/>
                <w:color w:val="auto"/>
              </w:rPr>
            </w:pPr>
            <w:r>
              <w:rPr>
                <w:rFonts w:ascii="Arial" w:cs="Arial" w:eastAsia="Arial" w:hAnsi="Arial"/>
                <w:sz w:val="14"/>
                <w:szCs w:val="14"/>
                <w:color w:val="auto"/>
              </w:rPr>
              <w:t>4.2 %</w:t>
            </w:r>
          </w:p>
        </w:tc>
      </w:tr>
    </w:tbl>
    <w:p>
      <w:pPr>
        <w:spacing w:after="0" w:line="312" w:lineRule="exact"/>
        <w:rPr>
          <w:sz w:val="20"/>
          <w:szCs w:val="20"/>
          <w:color w:val="auto"/>
        </w:rPr>
      </w:pPr>
    </w:p>
    <w:p>
      <w:pPr>
        <w:ind w:left="180"/>
        <w:spacing w:after="0"/>
        <w:tabs>
          <w:tab w:leader="none" w:pos="460" w:val="left"/>
        </w:tabs>
        <w:rPr>
          <w:sz w:val="20"/>
          <w:szCs w:val="20"/>
          <w:color w:val="auto"/>
        </w:rPr>
      </w:pPr>
      <w:r>
        <w:rPr>
          <w:rFonts w:ascii="Arial" w:cs="Arial" w:eastAsia="Arial" w:hAnsi="Arial"/>
          <w:sz w:val="14"/>
          <w:szCs w:val="14"/>
          <w:color w:val="auto"/>
        </w:rPr>
        <w:t>(6)</w:t>
      </w:r>
      <w:r>
        <w:rPr>
          <w:sz w:val="20"/>
          <w:szCs w:val="20"/>
          <w:color w:val="auto"/>
        </w:rPr>
        <w:tab/>
      </w:r>
      <w:r>
        <w:rPr>
          <w:rFonts w:ascii="Arial" w:cs="Arial" w:eastAsia="Arial" w:hAnsi="Arial"/>
          <w:sz w:val="13"/>
          <w:szCs w:val="13"/>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76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auto"/>
        </w:rPr>
        <w:t>Floating Yield Adjustment</w:t>
      </w:r>
    </w:p>
    <w:p>
      <w:pPr>
        <w:spacing w:after="0" w:line="27"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net loan income (finance charge revenue less provision for credit losses expense) that we recognize over the life of a loan equals the cash we collect from the underlying Consumer Loan less the cash we pay to the dealer. We believe the economics of our business are best exhibited by recognizing loan revenue on a level-yield basis over the life of the loan based on expected future net cash flows. The purpose of this non-GAAP adjustment is to provide insight into our business by showing this level yield measure of income. Under GAAP, contractual amounts due in excess of the loan receivable balance at the time of assignment will be reflected as interest income, while contractual amounts due that are not expected to be collected are reflected in the provision for credit losses. Our non-GAAP floating yield adjustment recognizes the net effects of contractual interest income and expected credit losses in a single measure of finance charge revenue, consistent with how we manage our business. The floating yield adjustment recognizes revenue on a level-yield basis based upon expected future net cash flows, with any changes in expected future net cash flows, which are recognized immediately under GAAP as provision for credit losses, recognized over the remaining forecast period (up to 120 months after the origination date of the underlying Consumer Loans) for each individual dealer loan and purchased loan. The floating yield adjustment does not accelerate revenue recognition. Rather, it reduces revenue by taking amounts that are reported under GAAP as provision for credit losses and instead treating them as reductions of revenue over time.</w:t>
      </w:r>
    </w:p>
    <w:p>
      <w:pPr>
        <w:spacing w:after="0" w:line="20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January 1, 2020, we adopted CECL, which changed our GAAP methodology. Under the GAAP methodology we employed prior to January 1, 2020, net loan income was based on expected future net cash flows and was recognized on a level-yield basis over the estimated life of the loan. Favorable changes in expected future net cash flows were treated as increases to the yield and were recognized over time, while unfavorable changes were recorded as current period provision for credit losses expense. We do not believe the GAAP methodology we employed prior to January 1, 2020 provided sufficient transparency into the economics of our business due to its asymmetrical treatment of favorable and unfavorable changes to expected future net cash flows. While CECL eliminated that asymmetrical treatment of changes in expected future net cash flows from the GAAP methodology we employ by requiring both favorable and unfavorable changes to expected future net cash flows to be immediately recognized as current period provision for credit losses expense, it introduced a different asymmetry by requiring us to recognize at the time of the loan’s assignment to us a significant provision for credit losses expense for amounts we never expect to realize and to recognize in subsequent periods finance charge revenue that is significantly in excess of our expected yields. Our floating yield adjustment enables us to provide measures of income that are not impacted by GAAP’s asymmetrical treatments of estimates.</w:t>
      </w:r>
    </w:p>
    <w:p>
      <w:pPr>
        <w:spacing w:after="0" w:line="2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believe the floating yield adjustment is presented in a manner which reflects both the economic reality of our business and how the business is managed and provides valuable supplemental information to help investors better understand our business, executive compensation, liquidity and capital resources.</w:t>
      </w:r>
    </w:p>
    <w:p>
      <w:pPr>
        <w:spacing w:after="0"/>
        <w:rPr>
          <w:sz w:val="20"/>
          <w:szCs w:val="20"/>
          <w:color w:val="auto"/>
        </w:rPr>
      </w:pPr>
      <w:r>
        <w:rPr>
          <w:rFonts w:ascii="Arial" w:cs="Arial" w:eastAsia="Arial" w:hAnsi="Arial"/>
          <w:sz w:val="18"/>
          <w:szCs w:val="18"/>
          <w:b w:val="1"/>
          <w:bCs w:val="1"/>
          <w:u w:val="single" w:color="auto"/>
          <w:color w:val="auto"/>
        </w:rPr>
        <w:t>Senior Notes Adjustment</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The purpose of this non-GAAP adjustment is to modify our GAAP financial results to treat the issuance of certain senior notes as a refinancing of certain previously-issued senior notes.</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On December 18, 2019, we issued $400.0 million of 5.125% senior notes due 2024 (the “2024 senior notes”). We used a portion of the net proceeds from the 2024 senior notes to repurchase or redeem all of the $300.0 million outstanding principal amount of our 6.125% senior notes due 2021 (the “2021 senior notes”), of which $148.2 million was repurchased on December 18, 2019 and the remaining $151.8 million was redeemed on January 17, 2020. We used the remaining net proceeds from the 2024 senior notes, together with borrowings under our revolving credit facility, to redeem in full the $250.0 million outstanding principal amount of our 7.375% senior notes due 2023 (the "2023 senior notes") on March 15, 2020. Under GAAP, the fourth quarter of 2019 included (i) a pre-tax loss on extinguishment of debt of $1.8 million related to the repurchase of 2021 senior notes in the fourth quarter of 2019 and the redemption of the remaining 2021 senior notes in the first quarter of 2020 and (ii) additional interest expense of $0.3 million on $160.0 million of additional outstanding debt caused by the one month lag from the issuance of the 2024 senior notes and repurchase of 2021 senior notes in the fourth quarter of 2019 to the redemption of the remaining 2021 senior notes in the first quarter of 2020. Under GAAP, the first quarter of 2020 included (i) a pre-tax loss on extinguishment of debt of $7.4 million related to the redemption of 2023 senior notes in the first quarter of 2020 and (ii) additional interest expense of $0.4 million on $160.0 million of additional outstanding debt caused by the one month lag from the issuance of the 2024 senior notes and repurchase of 2021 senior notes in the fourth quarter of 2019 to the redemption of the remaining 2021 senior notes in the first quarter of 2020.</w:t>
      </w:r>
    </w:p>
    <w:p>
      <w:pPr>
        <w:spacing w:after="0" w:line="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January 22, 2014, we issued the 2021 senior notes. On February 21, 2014, we used the net proceeds from the 2021 senior notes, together with borrowings under our revolving credit facilities, to redeem in full the $350.0 million outstanding principal amount of our 9.125% senior notes due 2017 (the “2017 senior notes”). Under GAAP, the first quarter of 2014 included (i) a pre-tax loss on extinguishment of debt of $21.8 million related to the redemption of the 2017 senior notes in the first quarter of 2014 and (ii) additional interest expense of $1.4 million on $276.0 million of additional outstanding debt caused by the one month lag from the issuance of the 2021 senior notes to the redemption of the 2017 senior notes.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769" w:right="339" w:bottom="1440" w:gutter="0" w:footer="0" w:header="0"/>
        </w:sectPr>
      </w:pPr>
    </w:p>
    <w:bookmarkStart w:id="19" w:name="page20"/>
    <w:bookmarkEnd w:id="19"/>
    <w:p>
      <w:pPr>
        <w:jc w:val="both"/>
        <w:spacing w:after="0" w:line="268" w:lineRule="auto"/>
        <w:rPr>
          <w:sz w:val="20"/>
          <w:szCs w:val="20"/>
          <w:color w:val="auto"/>
        </w:rPr>
      </w:pPr>
      <w:r>
        <w:rPr>
          <w:rFonts w:ascii="Arial" w:cs="Arial" w:eastAsia="Arial" w:hAnsi="Arial"/>
          <w:sz w:val="17"/>
          <w:szCs w:val="17"/>
          <w:color w:val="auto"/>
        </w:rPr>
        <w:t>Under our non-GAAP approach, the loss on extinguishment of debt and additional interest expense that were recognized for GAAP purposes were in each case deferred as debt issuance costs and are being recognized ratably as interest expense over the term of the newly issued notes. In addition, for adjusted average capital purposes, the impact of additional outstanding debt related to the lag from the issuance of the new notes to the redemption of the previously issued notes was in each case deferred and is being recognized ratably over the term of the newly issued notes. Upon the issuance of the 2024 senior notes in the fourth quarter of 2019, the outstanding unamortized balances of the non-GAAP adjustments related to the 2021 senior notes were deferred and are being recognized ratably over the term of the 2024 senior notes.</w:t>
      </w:r>
    </w:p>
    <w:p>
      <w:pPr>
        <w:spacing w:after="0" w:line="1" w:lineRule="exact"/>
        <w:rPr>
          <w:sz w:val="20"/>
          <w:szCs w:val="20"/>
          <w:color w:val="auto"/>
        </w:rPr>
      </w:pPr>
    </w:p>
    <w:p>
      <w:pPr>
        <w:jc w:val="both"/>
        <w:ind w:right="20"/>
        <w:spacing w:after="0" w:line="323" w:lineRule="auto"/>
        <w:rPr>
          <w:sz w:val="20"/>
          <w:szCs w:val="20"/>
          <w:color w:val="auto"/>
        </w:rPr>
      </w:pPr>
      <w:r>
        <w:rPr>
          <w:rFonts w:ascii="Arial" w:cs="Arial" w:eastAsia="Arial" w:hAnsi="Arial"/>
          <w:sz w:val="16"/>
          <w:szCs w:val="16"/>
          <w:color w:val="auto"/>
        </w:rPr>
        <w:t>We believe the senior notes adjustment provides a more accurate reflection of the performance of our business, since we are recognizing the costs incurred with these transactions in a manner consistent with how we recognize the costs incurred when we periodically refinance our other debt facilities.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Statement Regarding Forward-Looking Information</w:t>
      </w:r>
    </w:p>
    <w:p>
      <w:pPr>
        <w:spacing w:after="0" w:line="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claim the protection of the safe harbor for forward-looking statements contained in the Private Securities Litigation Reform Act of 1995 for all of our forward-looking statements. Statements in this release that are not historical facts, such as those using terms like “may,” “will,” “should,” “believe,” “expect,” “anticipate,” “assume,” “forecast,” “estimate,” “intend,” “plan,” “target” and those regarding our future results, plans and objectives, are “forward-looking statements” within the meaning of the federal securities laws. These forward-looking statements represent our outlook only as of the date of this release. Actual results could differ materially from these forward-looking statements since the statements are based on our current expectations, which are subject to risks and uncertainties. Factors that might cause such a difference include, but are not limited to, the factors set forth in Item 1A of our Form 10-K for the year ended December 31, 2020, filed with the Securities and Exchange Commission on February 12, 2021, and other risk factors discussed herein or listed from time to time in our reports filed with the Securities and Exchange Commission and the following:</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Industry, Operational and Macroeconomic Risks</w:t>
      </w:r>
    </w:p>
    <w:p>
      <w:pPr>
        <w:spacing w:after="0" w:line="12" w:lineRule="exact"/>
        <w:rPr>
          <w:sz w:val="20"/>
          <w:szCs w:val="20"/>
          <w:color w:val="auto"/>
        </w:rPr>
      </w:pPr>
    </w:p>
    <w:p>
      <w:pPr>
        <w:jc w:val="both"/>
        <w:ind w:left="660" w:hanging="328"/>
        <w:spacing w:after="0" w:line="249"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outbreak of COVID-19 has adversely impacted our business, and the continuance of this pandemic, or any future outbreak of any contagious diseases or other public health emergency, could materially and adversely affect our business, financial condition, liquidity and results of operations.</w:t>
      </w:r>
    </w:p>
    <w:p>
      <w:pPr>
        <w:spacing w:after="0" w:line="2"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inability to accurately forecast and estimate the amount and timing of future collections could have a material adverse effect on results of operations.</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Due to competition from traditional financing sources and non-traditional lenders, we may not be able to compete successfully.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third parties to administer our ancillary product offerings could adversely affect our business and financial results.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are dependent on our senior management and the loss of any of these individuals or an inability to hire additional team members could adversely affect our ability to operate profitably.</w:t>
      </w: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reputation is a key asset to our business, and our business may be affected by how we are perceived in the marketplace.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concentration of our dealers in several states could adversely affect us.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our outsourced business functions could adversely affect our business.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to hire and retain foreign information technology personnel could be hindered by immigration restrictions.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may be unable to execute our business strategy due to current economic conditions.</w:t>
      </w:r>
    </w:p>
    <w:p>
      <w:pPr>
        <w:spacing w:after="0" w:line="9" w:lineRule="exact"/>
        <w:rPr>
          <w:rFonts w:ascii="Arial" w:cs="Arial" w:eastAsia="Arial" w:hAnsi="Arial"/>
          <w:sz w:val="18"/>
          <w:szCs w:val="18"/>
          <w:color w:val="auto"/>
        </w:rPr>
      </w:pPr>
    </w:p>
    <w:p>
      <w:pPr>
        <w:jc w:val="both"/>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Adverse changes in economic conditions, the automobile or finance industries, or the non-prime consumer market could adversely affect our financial position, liquidity and results of operations, the ability of key vendors that we depend on to supply us with services, and our ability to enter into future financing transactions.</w:t>
      </w:r>
    </w:p>
    <w:p>
      <w:pPr>
        <w:spacing w:after="0" w:line="1"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Natural disasters, acts of war, terrorist attacks and threats or the escalation of military activity in response to these attacks or otherwise may negatively affect our business, financial condition and results of operations.</w:t>
      </w:r>
    </w:p>
    <w:p>
      <w:pPr>
        <w:ind w:left="660" w:hanging="328"/>
        <w:spacing w:after="0" w:line="260" w:lineRule="auto"/>
        <w:tabs>
          <w:tab w:leader="none" w:pos="655"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small number of our shareholders have the ability to significantly influence matters requiring shareholder approval and such shareholders have interests which may conflict with the interests of our other security holders.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Capital and Liquidity Risks</w:t>
      </w:r>
    </w:p>
    <w:p>
      <w:pPr>
        <w:spacing w:after="0" w:line="12"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be unable to continue to access or renew funding sources and obtain capital needed to maintain and grow our business.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terms of our debt limit how we conduct our business.</w:t>
      </w:r>
    </w:p>
    <w:p>
      <w:pPr>
        <w:spacing w:after="0" w:line="9"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violation of the terms of our asset-backed secured financing facilities or revolving secured warehouse facilities could have a material adverse impact on our operations.</w:t>
      </w: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substantial debt could negatively impact our business, prevent us from satisfying our debt obligations and adversely affect our financial condition.</w:t>
      </w:r>
    </w:p>
    <w:p>
      <w:pPr>
        <w:ind w:left="660" w:hanging="328"/>
        <w:spacing w:after="0" w:line="25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may not be able to generate sufficient cash flows to service our outstanding debt and fund operations and may be forced to take other actions to satisfy our obligations under such debt.</w:t>
      </w: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rate fluctuations may adversely affect our borrowing costs, profitability and liquidity.</w:t>
      </w:r>
    </w:p>
    <w:p>
      <w:pPr>
        <w:spacing w:after="0" w:line="9" w:lineRule="exact"/>
        <w:rPr>
          <w:rFonts w:ascii="Arial" w:cs="Arial" w:eastAsia="Arial" w:hAnsi="Arial"/>
          <w:sz w:val="18"/>
          <w:szCs w:val="18"/>
          <w:color w:val="auto"/>
        </w:rPr>
      </w:pPr>
    </w:p>
    <w:p>
      <w:pPr>
        <w:ind w:left="660" w:right="360" w:hanging="328"/>
        <w:spacing w:after="0" w:line="260"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phaseout of the London Interbank Offered Rate (“LIBOR”), or the replacement of LIBOR with a different reference rate, could result in a material adverse effect on our business.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773" w:right="339" w:bottom="1440" w:gutter="0" w:footer="0" w:header="0"/>
        </w:sectPr>
      </w:pPr>
    </w:p>
    <w:bookmarkStart w:id="20" w:name="page21"/>
    <w:bookmarkEnd w:id="20"/>
    <w:p>
      <w:pPr>
        <w:ind w:left="660" w:hanging="328"/>
        <w:spacing w:after="0" w:line="258"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Reduction in our credit rating could increase the cost of our funding from, and restrict our access to, the capital markets and adversely affect our liquidity, financial condition and results of operations.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may incur substantially more debt and other liabilities. This could exacerbate further the risks associated with our current debt levels.</w:t>
      </w:r>
    </w:p>
    <w:p>
      <w:pPr>
        <w:spacing w:after="0" w:line="20" w:lineRule="exact"/>
        <w:rPr>
          <w:rFonts w:ascii="Arial" w:cs="Arial" w:eastAsia="Arial" w:hAnsi="Arial"/>
          <w:sz w:val="17"/>
          <w:szCs w:val="17"/>
          <w:color w:val="auto"/>
        </w:rPr>
      </w:pPr>
    </w:p>
    <w:p>
      <w:pPr>
        <w:ind w:left="660" w:hanging="328"/>
        <w:spacing w:after="0" w:line="323" w:lineRule="auto"/>
        <w:tabs>
          <w:tab w:leader="none" w:pos="65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conditions of the U.S. and international capital markets may adversely affect lenders with which we have relationships, causing us to incur additional costs and reducing our sources of liquidity, which may adversely affect our financial position, liquidity and results of operations.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Information Technology and Cybersecurity Risks</w:t>
      </w:r>
    </w:p>
    <w:p>
      <w:pPr>
        <w:spacing w:after="0" w:line="12"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dependence on technology could have a material adverse effect on our business.</w:t>
      </w:r>
    </w:p>
    <w:p>
      <w:pPr>
        <w:spacing w:after="0" w:line="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use of electronic contracts could impact our ability to perfect our ownership or security interest in Consumer Loans.</w:t>
      </w:r>
    </w:p>
    <w:p>
      <w:pPr>
        <w:spacing w:after="0" w:line="9" w:lineRule="exact"/>
        <w:rPr>
          <w:rFonts w:ascii="Arial" w:cs="Arial" w:eastAsia="Arial" w:hAnsi="Arial"/>
          <w:sz w:val="18"/>
          <w:szCs w:val="18"/>
          <w:color w:val="auto"/>
        </w:rPr>
      </w:pPr>
    </w:p>
    <w:p>
      <w:pPr>
        <w:ind w:left="660" w:hanging="328"/>
        <w:spacing w:after="0" w:line="260"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properly safeguard confidential consumer and team member information could subject us to liability, decrease our profitability and damage our reputation.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Legal and Regulatory Risks</w:t>
      </w:r>
    </w:p>
    <w:p>
      <w:pPr>
        <w:spacing w:after="0" w:line="12"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Litigation we are involved in from time to time may adversely affect our financial condition, results of operations and cash flows.</w:t>
      </w:r>
    </w:p>
    <w:p>
      <w:pPr>
        <w:spacing w:after="0" w:line="7" w:lineRule="exact"/>
        <w:rPr>
          <w:rFonts w:ascii="Arial" w:cs="Arial" w:eastAsia="Arial" w:hAnsi="Arial"/>
          <w:sz w:val="18"/>
          <w:szCs w:val="18"/>
          <w:color w:val="auto"/>
        </w:rPr>
      </w:pPr>
    </w:p>
    <w:p>
      <w:pPr>
        <w:ind w:left="660" w:hanging="328"/>
        <w:spacing w:after="0" w:line="250"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tax laws and the resolution of uncertain income tax matters could have a material adverse effect on our results of operations and cash flows from operations.</w:t>
      </w: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regulations to which we are or may become subject could result in a material adverse effect on our business.</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factors not currently anticipated by management may also materially and adversely affect our business, financial condition and results of operations. We do not undertake, and expressly disclaim any obligation, to update or alter our statements whether as a result of new information, future events or otherwise, except as required by applicable law.</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Webcast Details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will host a webcast on November 1, 2021 at 5:00 p.m. Eastern Time to answer questions related to our third quarter results. The webcast can be accessed live by visiting the “Investor Relations” section of our website at </w:t>
      </w:r>
      <w:r>
        <w:rPr>
          <w:rFonts w:ascii="Arial" w:cs="Arial" w:eastAsia="Arial" w:hAnsi="Arial"/>
          <w:sz w:val="18"/>
          <w:szCs w:val="18"/>
          <w:u w:val="single" w:color="auto"/>
          <w:color w:val="auto"/>
        </w:rPr>
        <w:t>ir.creditacceptance.com</w:t>
      </w:r>
      <w:r>
        <w:rPr>
          <w:rFonts w:ascii="Arial" w:cs="Arial" w:eastAsia="Arial" w:hAnsi="Arial"/>
          <w:sz w:val="18"/>
          <w:szCs w:val="18"/>
          <w:color w:val="auto"/>
        </w:rPr>
        <w:t xml:space="preserve"> or by dialing 877-303-2904. Additionally, a replay and transcript of the webcast will be archived in the “Investor Relations” section of our website.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 of Credit Acceptance Corporation</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1972, Credit Acceptance has offered financing programs that enable automobile dealers to sell vehicles to consumers, regardless of their credit history. Our financing programs are offered through a nationwide network of automobile dealers who benefit from sales of vehicles to consumers who otherwise could not obtain financing; from repeat and referral sales generated by these same customers; and from sales to customers responding to advertisements for our financing programs, but who actually end up qualifying for traditional financing.</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Without our financing programs, consumers are often unable to purchase vehicles or they purchase unreliable ones. Further, as we report to the three national credit reporting agencies, an important ancillary benefit of our programs is that we provide consumers with an opportunity to improve their lives by improving their credit score and move on to more traditional sources of financing. Credit Acceptance is publicly traded on the Nasdaq Stock Market under the symbol CACC. For more information, visit </w:t>
      </w:r>
      <w:r>
        <w:rPr>
          <w:rFonts w:ascii="Arial" w:cs="Arial" w:eastAsia="Arial" w:hAnsi="Arial"/>
          <w:sz w:val="18"/>
          <w:szCs w:val="18"/>
          <w:u w:val="single" w:color="auto"/>
          <w:color w:val="auto"/>
        </w:rPr>
        <w:t>creditacceptance.com</w:t>
      </w:r>
      <w:r>
        <w:rPr>
          <w:rFonts w:ascii="Arial" w:cs="Arial" w:eastAsia="Arial" w:hAnsi="Arial"/>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773" w:right="3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60" w:type="dxa"/>
            <w:vAlign w:val="bottom"/>
          </w:tcPr>
          <w:p>
            <w:pPr>
              <w:ind w:left="20"/>
              <w:spacing w:after="0"/>
              <w:rPr>
                <w:sz w:val="20"/>
                <w:szCs w:val="20"/>
                <w:color w:val="auto"/>
              </w:rPr>
            </w:pPr>
            <w:r>
              <w:rPr>
                <w:rFonts w:ascii="Arial" w:cs="Arial" w:eastAsia="Arial" w:hAnsi="Arial"/>
                <w:sz w:val="14"/>
                <w:szCs w:val="14"/>
                <w:color w:val="auto"/>
              </w:rPr>
              <w:t>(Dollars in millions, except per share data)</w:t>
            </w:r>
          </w:p>
        </w:tc>
        <w:tc>
          <w:tcPr>
            <w:tcW w:w="240" w:type="dxa"/>
            <w:vAlign w:val="bottom"/>
          </w:tcPr>
          <w:p>
            <w:pPr>
              <w:spacing w:after="0"/>
              <w:rPr>
                <w:sz w:val="16"/>
                <w:szCs w:val="16"/>
                <w:color w:val="auto"/>
              </w:rPr>
            </w:pPr>
          </w:p>
        </w:tc>
        <w:tc>
          <w:tcPr>
            <w:tcW w:w="3420" w:type="dxa"/>
            <w:vAlign w:val="bottom"/>
            <w:gridSpan w:val="5"/>
          </w:tcPr>
          <w:p>
            <w:pPr>
              <w:ind w:left="120"/>
              <w:spacing w:after="0"/>
              <w:rPr>
                <w:sz w:val="20"/>
                <w:szCs w:val="20"/>
                <w:color w:val="auto"/>
              </w:rPr>
            </w:pPr>
            <w:r>
              <w:rPr>
                <w:rFonts w:ascii="Arial" w:cs="Arial" w:eastAsia="Arial" w:hAnsi="Arial"/>
                <w:sz w:val="14"/>
                <w:szCs w:val="14"/>
                <w:b w:val="1"/>
                <w:bCs w:val="1"/>
                <w:color w:val="auto"/>
              </w:rPr>
              <w:t>For the Three Months Ended September 30,</w:t>
            </w:r>
          </w:p>
        </w:tc>
        <w:tc>
          <w:tcPr>
            <w:tcW w:w="240" w:type="dxa"/>
            <w:vAlign w:val="bottom"/>
          </w:tcPr>
          <w:p>
            <w:pPr>
              <w:spacing w:after="0"/>
              <w:rPr>
                <w:sz w:val="16"/>
                <w:szCs w:val="16"/>
                <w:color w:val="auto"/>
              </w:rPr>
            </w:pPr>
          </w:p>
        </w:tc>
        <w:tc>
          <w:tcPr>
            <w:tcW w:w="3160" w:type="dxa"/>
            <w:vAlign w:val="bottom"/>
            <w:gridSpan w:val="4"/>
          </w:tcPr>
          <w:p>
            <w:pPr>
              <w:jc w:val="right"/>
              <w:ind w:right="291"/>
              <w:spacing w:after="0"/>
              <w:rPr>
                <w:sz w:val="20"/>
                <w:szCs w:val="20"/>
                <w:color w:val="auto"/>
              </w:rPr>
            </w:pPr>
            <w:r>
              <w:rPr>
                <w:rFonts w:ascii="Arial" w:cs="Arial" w:eastAsia="Arial" w:hAnsi="Arial"/>
                <w:sz w:val="14"/>
                <w:szCs w:val="14"/>
                <w:b w:val="1"/>
                <w:bCs w:val="1"/>
                <w:color w:val="auto"/>
                <w:w w:val="97"/>
              </w:rPr>
              <w:t>For the Nine Months Ended September 30,</w:t>
            </w:r>
          </w:p>
        </w:tc>
      </w:tr>
      <w:tr>
        <w:trPr>
          <w:trHeight w:val="186"/>
        </w:trPr>
        <w:tc>
          <w:tcPr>
            <w:tcW w:w="416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6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r>
      <w:tr>
        <w:trPr>
          <w:trHeight w:val="212"/>
        </w:trPr>
        <w:tc>
          <w:tcPr>
            <w:tcW w:w="4160" w:type="dxa"/>
            <w:vAlign w:val="bottom"/>
          </w:tcPr>
          <w:p>
            <w:pPr>
              <w:ind w:left="20"/>
              <w:spacing w:after="0"/>
              <w:rPr>
                <w:sz w:val="20"/>
                <w:szCs w:val="20"/>
                <w:color w:val="auto"/>
              </w:rPr>
            </w:pPr>
            <w:r>
              <w:rPr>
                <w:rFonts w:ascii="Arial" w:cs="Arial" w:eastAsia="Arial" w:hAnsi="Arial"/>
                <w:sz w:val="18"/>
                <w:szCs w:val="18"/>
                <w:b w:val="1"/>
                <w:bCs w:val="1"/>
                <w:color w:val="auto"/>
              </w:rPr>
              <w:t>Revenue:</w:t>
            </w: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29"/>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Finance charges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1,312.4</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1,144.5</w:t>
            </w: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Premiums earned</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45.6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42.2</w:t>
            </w:r>
          </w:p>
        </w:tc>
      </w:tr>
      <w:tr>
        <w:trPr>
          <w:trHeight w:val="23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r>
      <w:tr>
        <w:trPr>
          <w:trHeight w:val="223"/>
        </w:trPr>
        <w:tc>
          <w:tcPr>
            <w:tcW w:w="416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470.1</w:t>
            </w:r>
          </w:p>
        </w:tc>
        <w:tc>
          <w:tcPr>
            <w:tcW w:w="2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1,392.8</w:t>
            </w:r>
          </w:p>
        </w:tc>
        <w:tc>
          <w:tcPr>
            <w:tcW w:w="2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1,221.9</w:t>
            </w:r>
          </w:p>
        </w:tc>
      </w:tr>
      <w:tr>
        <w:trPr>
          <w:trHeight w:val="210"/>
        </w:trPr>
        <w:tc>
          <w:tcPr>
            <w:tcW w:w="4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Salaries and wages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150.9</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140.4</w:t>
            </w:r>
          </w:p>
        </w:tc>
      </w:tr>
      <w:tr>
        <w:trPr>
          <w:trHeight w:val="229"/>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48.4</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53.9</w:t>
            </w:r>
          </w:p>
        </w:tc>
      </w:tr>
      <w:tr>
        <w:trPr>
          <w:trHeight w:val="229"/>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credit losses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464.3</w:t>
            </w: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39.8</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125.6</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146.9</w:t>
            </w:r>
          </w:p>
        </w:tc>
      </w:tr>
      <w:tr>
        <w:trPr>
          <w:trHeight w:val="23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claims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r>
      <w:tr>
        <w:trPr>
          <w:trHeight w:val="229"/>
        </w:trPr>
        <w:tc>
          <w:tcPr>
            <w:tcW w:w="4160" w:type="dxa"/>
            <w:vAlign w:val="bottom"/>
          </w:tcPr>
          <w:p>
            <w:pPr>
              <w:ind w:left="360"/>
              <w:spacing w:after="0"/>
              <w:rPr>
                <w:sz w:val="20"/>
                <w:szCs w:val="20"/>
                <w:color w:val="auto"/>
              </w:rPr>
            </w:pPr>
            <w:r>
              <w:rPr>
                <w:rFonts w:ascii="Arial" w:cs="Arial" w:eastAsia="Arial" w:hAnsi="Arial"/>
                <w:sz w:val="18"/>
                <w:szCs w:val="18"/>
                <w:color w:val="auto"/>
              </w:rPr>
              <w:t>Loss on extinguishment of debt</w:t>
            </w:r>
          </w:p>
        </w:tc>
        <w:tc>
          <w:tcPr>
            <w:tcW w:w="24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5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3"/>
        </w:trPr>
        <w:tc>
          <w:tcPr>
            <w:tcW w:w="41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137.9</w:t>
            </w:r>
          </w:p>
        </w:tc>
        <w:tc>
          <w:tcPr>
            <w:tcW w:w="2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108.1</w:t>
            </w:r>
          </w:p>
        </w:tc>
        <w:tc>
          <w:tcPr>
            <w:tcW w:w="2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w:t>
            </w:r>
          </w:p>
        </w:tc>
        <w:tc>
          <w:tcPr>
            <w:tcW w:w="24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888.5</w:t>
            </w: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Income before provision for income taxes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332.2</w:t>
            </w: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318.4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976.2</w:t>
            </w: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333.4</w:t>
            </w:r>
          </w:p>
        </w:tc>
      </w:tr>
      <w:tr>
        <w:trPr>
          <w:trHeight w:val="23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2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2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78.7</w:t>
            </w:r>
          </w:p>
        </w:tc>
      </w:tr>
      <w:tr>
        <w:trPr>
          <w:trHeight w:val="223"/>
        </w:trPr>
        <w:tc>
          <w:tcPr>
            <w:tcW w:w="41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242.1</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740.7</w:t>
            </w:r>
          </w:p>
        </w:tc>
        <w:tc>
          <w:tcPr>
            <w:tcW w:w="24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254.7</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4"/>
        </w:trPr>
        <w:tc>
          <w:tcPr>
            <w:tcW w:w="4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55"/>
        </w:trPr>
        <w:tc>
          <w:tcPr>
            <w:tcW w:w="4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13.57</w:t>
            </w:r>
          </w:p>
        </w:tc>
        <w:tc>
          <w:tcPr>
            <w:tcW w:w="2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44.77</w:t>
            </w:r>
          </w:p>
        </w:tc>
        <w:tc>
          <w:tcPr>
            <w:tcW w:w="24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14.18</w:t>
            </w:r>
          </w:p>
        </w:tc>
      </w:tr>
      <w:tr>
        <w:trPr>
          <w:trHeight w:val="20"/>
        </w:trPr>
        <w:tc>
          <w:tcPr>
            <w:tcW w:w="4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16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15.79</w:t>
            </w:r>
          </w:p>
        </w:tc>
        <w:tc>
          <w:tcPr>
            <w:tcW w:w="220" w:type="dxa"/>
            <w:vAlign w:val="bottom"/>
          </w:tcPr>
          <w:p>
            <w:pPr>
              <w:spacing w:after="0"/>
              <w:rPr>
                <w:sz w:val="17"/>
                <w:szCs w:val="17"/>
                <w:color w:val="auto"/>
              </w:rPr>
            </w:pPr>
          </w:p>
        </w:tc>
        <w:tc>
          <w:tcPr>
            <w:tcW w:w="38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13.56</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203" w:lineRule="exact"/>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44.73</w:t>
            </w:r>
          </w:p>
        </w:tc>
        <w:tc>
          <w:tcPr>
            <w:tcW w:w="240" w:type="dxa"/>
            <w:vAlign w:val="bottom"/>
          </w:tcPr>
          <w:p>
            <w:pPr>
              <w:spacing w:after="0"/>
              <w:rPr>
                <w:sz w:val="17"/>
                <w:szCs w:val="17"/>
                <w:color w:val="auto"/>
              </w:rPr>
            </w:pPr>
          </w:p>
        </w:tc>
        <w:tc>
          <w:tcPr>
            <w:tcW w:w="380" w:type="dxa"/>
            <w:vAlign w:val="bottom"/>
            <w:tcBorders>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14.17</w:t>
            </w: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23"/>
        </w:trPr>
        <w:tc>
          <w:tcPr>
            <w:tcW w:w="4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416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4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15,795,963</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17,844,785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16,543,326</w:t>
            </w:r>
          </w:p>
        </w:tc>
        <w:tc>
          <w:tcPr>
            <w:tcW w:w="2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17,957,931</w:t>
            </w:r>
          </w:p>
        </w:tc>
      </w:tr>
      <w:tr>
        <w:trPr>
          <w:trHeight w:val="230"/>
        </w:trPr>
        <w:tc>
          <w:tcPr>
            <w:tcW w:w="41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4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15,829,166</w:t>
            </w: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17,849,765</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16,559,639</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17,973,091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20" w:top="1012" w:right="35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CREDIT ACCEPTANCE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880" w:type="dxa"/>
            <w:vAlign w:val="bottom"/>
            <w:gridSpan w:val="4"/>
          </w:tcPr>
          <w:p>
            <w:pPr>
              <w:spacing w:after="0"/>
              <w:rPr>
                <w:sz w:val="20"/>
                <w:szCs w:val="20"/>
                <w:color w:val="auto"/>
              </w:rPr>
            </w:pPr>
            <w:r>
              <w:rPr>
                <w:rFonts w:ascii="Arial" w:cs="Arial" w:eastAsia="Arial" w:hAnsi="Arial"/>
                <w:sz w:val="14"/>
                <w:szCs w:val="14"/>
                <w:color w:val="auto"/>
              </w:rPr>
              <w:t>(Dollars in millions, except per share data)</w:t>
            </w: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w w:val="91"/>
              </w:rPr>
              <w:t>As of</w:t>
            </w:r>
          </w:p>
        </w:tc>
        <w:tc>
          <w:tcPr>
            <w:tcW w:w="1420" w:type="dxa"/>
            <w:vAlign w:val="bottom"/>
            <w:tcBorders>
              <w:bottom w:val="single" w:sz="8" w:color="auto"/>
            </w:tcBorders>
          </w:tcPr>
          <w:p>
            <w:pPr>
              <w:spacing w:after="0"/>
              <w:rPr>
                <w:sz w:val="16"/>
                <w:szCs w:val="16"/>
                <w:color w:val="auto"/>
              </w:rPr>
            </w:pPr>
          </w:p>
        </w:tc>
      </w:tr>
      <w:tr>
        <w:trPr>
          <w:trHeight w:val="186"/>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3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3"/>
              </w:rPr>
              <w:t>September 30, 2021</w:t>
            </w:r>
          </w:p>
        </w:tc>
        <w:tc>
          <w:tcPr>
            <w:tcW w:w="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w w:val="95"/>
              </w:rPr>
              <w:t>December 31, 2020</w:t>
            </w:r>
          </w:p>
        </w:tc>
      </w:tr>
      <w:tr>
        <w:trPr>
          <w:trHeight w:val="212"/>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000" w:type="dxa"/>
            <w:vAlign w:val="bottom"/>
            <w:gridSpan w:val="2"/>
          </w:tcPr>
          <w:p>
            <w:pPr>
              <w:jc w:val="center"/>
              <w:ind w:right="2770"/>
              <w:spacing w:after="0"/>
              <w:rPr>
                <w:sz w:val="20"/>
                <w:szCs w:val="20"/>
                <w:color w:val="auto"/>
              </w:rPr>
            </w:pPr>
            <w:r>
              <w:rPr>
                <w:rFonts w:ascii="Arial" w:cs="Arial" w:eastAsia="Arial" w:hAnsi="Arial"/>
                <w:sz w:val="18"/>
                <w:szCs w:val="18"/>
                <w:b w:val="1"/>
                <w:bCs w:val="1"/>
                <w:color w:val="auto"/>
                <w:w w:val="94"/>
              </w:rPr>
              <w:t>ASSETS:</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7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20" w:type="dxa"/>
            <w:vAlign w:val="bottom"/>
          </w:tcPr>
          <w:p>
            <w:pPr>
              <w:spacing w:after="0"/>
              <w:rPr>
                <w:sz w:val="19"/>
                <w:szCs w:val="19"/>
                <w:color w:val="auto"/>
              </w:rPr>
            </w:pPr>
          </w:p>
        </w:tc>
        <w:tc>
          <w:tcPr>
            <w:tcW w:w="7860" w:type="dxa"/>
            <w:vAlign w:val="bottom"/>
            <w:gridSpan w:val="3"/>
          </w:tcPr>
          <w:p>
            <w:pPr>
              <w:ind w:left="480"/>
              <w:spacing w:after="0"/>
              <w:rPr>
                <w:sz w:val="20"/>
                <w:szCs w:val="20"/>
                <w:color w:val="auto"/>
              </w:rPr>
            </w:pPr>
            <w:r>
              <w:rPr>
                <w:rFonts w:ascii="Arial" w:cs="Arial" w:eastAsia="Arial" w:hAnsi="Arial"/>
                <w:sz w:val="18"/>
                <w:szCs w:val="18"/>
                <w:color w:val="auto"/>
              </w:rPr>
              <w:t>Restricted cash and cash equivalents</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429.0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380.2</w:t>
            </w: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Restricted securities available for sale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r>
      <w:tr>
        <w:trPr>
          <w:trHeight w:val="256"/>
        </w:trPr>
        <w:tc>
          <w:tcPr>
            <w:tcW w:w="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30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Loans receivable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9,685.8</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10,124.8</w:t>
            </w:r>
          </w:p>
        </w:tc>
      </w:tr>
      <w:tr>
        <w:trPr>
          <w:trHeight w:val="229"/>
        </w:trPr>
        <w:tc>
          <w:tcPr>
            <w:tcW w:w="20" w:type="dxa"/>
            <w:vAlign w:val="bottom"/>
          </w:tcPr>
          <w:p>
            <w:pPr>
              <w:spacing w:after="0"/>
              <w:rPr>
                <w:sz w:val="19"/>
                <w:szCs w:val="19"/>
                <w:color w:val="auto"/>
              </w:rPr>
            </w:pPr>
          </w:p>
        </w:tc>
        <w:tc>
          <w:tcPr>
            <w:tcW w:w="786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auto"/>
              </w:rPr>
              <w:t>Allowance for credit losses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(3,103.2)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(3,336.9)</w:t>
            </w: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Loans receivable, net</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6,582.6</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6,787.9</w:t>
            </w:r>
          </w:p>
        </w:tc>
      </w:tr>
      <w:tr>
        <w:trPr>
          <w:trHeight w:val="237"/>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7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r>
      <w:tr>
        <w:trPr>
          <w:trHeight w:val="229"/>
        </w:trPr>
        <w:tc>
          <w:tcPr>
            <w:tcW w:w="20" w:type="dxa"/>
            <w:vAlign w:val="bottom"/>
          </w:tcPr>
          <w:p>
            <w:pPr>
              <w:spacing w:after="0"/>
              <w:rPr>
                <w:sz w:val="19"/>
                <w:szCs w:val="19"/>
                <w:color w:val="auto"/>
              </w:rPr>
            </w:pPr>
          </w:p>
        </w:tc>
        <w:tc>
          <w:tcPr>
            <w:tcW w:w="7860" w:type="dxa"/>
            <w:vAlign w:val="bottom"/>
            <w:gridSpan w:val="3"/>
          </w:tcPr>
          <w:p>
            <w:pPr>
              <w:ind w:left="480"/>
              <w:spacing w:after="0"/>
              <w:rPr>
                <w:sz w:val="20"/>
                <w:szCs w:val="20"/>
                <w:color w:val="auto"/>
              </w:rPr>
            </w:pPr>
            <w:r>
              <w:rPr>
                <w:rFonts w:ascii="Arial" w:cs="Arial" w:eastAsia="Arial" w:hAnsi="Arial"/>
                <w:sz w:val="18"/>
                <w:szCs w:val="18"/>
                <w:color w:val="auto"/>
              </w:rPr>
              <w:t>Income taxes receivable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147.0</w:t>
            </w: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r>
      <w:tr>
        <w:trPr>
          <w:trHeight w:val="223"/>
        </w:trPr>
        <w:tc>
          <w:tcPr>
            <w:tcW w:w="20" w:type="dxa"/>
            <w:vAlign w:val="bottom"/>
          </w:tcPr>
          <w:p>
            <w:pPr>
              <w:spacing w:after="0"/>
              <w:rPr>
                <w:sz w:val="19"/>
                <w:szCs w:val="19"/>
                <w:color w:val="auto"/>
              </w:rPr>
            </w:pPr>
          </w:p>
        </w:tc>
        <w:tc>
          <w:tcPr>
            <w:tcW w:w="7860" w:type="dxa"/>
            <w:vAlign w:val="bottom"/>
            <w:gridSpan w:val="3"/>
          </w:tcPr>
          <w:p>
            <w:pPr>
              <w:ind w:left="8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7,199.0</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7,489.0</w:t>
            </w:r>
          </w:p>
        </w:tc>
      </w:tr>
      <w:tr>
        <w:trPr>
          <w:trHeight w:val="20"/>
        </w:trPr>
        <w:tc>
          <w:tcPr>
            <w:tcW w:w="20" w:type="dxa"/>
            <w:vAlign w:val="bottom"/>
          </w:tcPr>
          <w:p>
            <w:pPr>
              <w:spacing w:after="0" w:line="20" w:lineRule="exact"/>
              <w:rPr>
                <w:sz w:val="1"/>
                <w:szCs w:val="1"/>
                <w:color w:val="auto"/>
              </w:rPr>
            </w:pPr>
          </w:p>
        </w:tc>
        <w:tc>
          <w:tcPr>
            <w:tcW w:w="2860" w:type="dxa"/>
            <w:vAlign w:val="bottom"/>
            <w:tcBorders>
              <w:bottom w:val="single" w:sz="8" w:color="CCEEFF"/>
            </w:tcBorders>
          </w:tcPr>
          <w:p>
            <w:pPr>
              <w:spacing w:after="0" w:line="20" w:lineRule="exact"/>
              <w:rPr>
                <w:sz w:val="1"/>
                <w:szCs w:val="1"/>
                <w:color w:val="auto"/>
              </w:rPr>
            </w:pPr>
          </w:p>
        </w:tc>
        <w:tc>
          <w:tcPr>
            <w:tcW w:w="1920" w:type="dxa"/>
            <w:vAlign w:val="bottom"/>
            <w:tcBorders>
              <w:bottom w:val="single" w:sz="8" w:color="CCEEFF"/>
            </w:tcBorders>
          </w:tcPr>
          <w:p>
            <w:pPr>
              <w:spacing w:after="0" w:line="20" w:lineRule="exact"/>
              <w:rPr>
                <w:sz w:val="1"/>
                <w:szCs w:val="1"/>
                <w:color w:val="auto"/>
              </w:rPr>
            </w:pPr>
          </w:p>
        </w:tc>
        <w:tc>
          <w:tcPr>
            <w:tcW w:w="3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86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30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jc w:val="cente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8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ind w:left="480"/>
              <w:spacing w:after="0"/>
              <w:rPr>
                <w:sz w:val="20"/>
                <w:szCs w:val="20"/>
                <w:color w:val="auto"/>
              </w:rPr>
            </w:pPr>
            <w:r>
              <w:rPr>
                <w:rFonts w:ascii="Arial" w:cs="Arial" w:eastAsia="Arial" w:hAnsi="Arial"/>
                <w:sz w:val="18"/>
                <w:szCs w:val="18"/>
                <w:color w:val="auto"/>
              </w:rPr>
              <w:t>Accounts payable and accrued liabilities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251.3</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186.7</w:t>
            </w:r>
          </w:p>
        </w:tc>
      </w:tr>
      <w:tr>
        <w:trPr>
          <w:trHeight w:val="229"/>
        </w:trPr>
        <w:tc>
          <w:tcPr>
            <w:tcW w:w="20" w:type="dxa"/>
            <w:vAlign w:val="bottom"/>
          </w:tcPr>
          <w:p>
            <w:pPr>
              <w:spacing w:after="0"/>
              <w:rPr>
                <w:sz w:val="19"/>
                <w:szCs w:val="19"/>
                <w:color w:val="auto"/>
              </w:rPr>
            </w:pPr>
          </w:p>
        </w:tc>
        <w:tc>
          <w:tcPr>
            <w:tcW w:w="7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Revolving secured line of credit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95.9</w:t>
            </w:r>
          </w:p>
        </w:tc>
      </w:tr>
      <w:tr>
        <w:trPr>
          <w:trHeight w:val="230"/>
        </w:trPr>
        <w:tc>
          <w:tcPr>
            <w:tcW w:w="20" w:type="dxa"/>
            <w:vAlign w:val="bottom"/>
          </w:tcPr>
          <w:p>
            <w:pPr>
              <w:spacing w:after="0"/>
              <w:rPr>
                <w:sz w:val="19"/>
                <w:szCs w:val="19"/>
                <w:color w:val="auto"/>
              </w:rPr>
            </w:pPr>
          </w:p>
        </w:tc>
        <w:tc>
          <w:tcPr>
            <w:tcW w:w="7860" w:type="dxa"/>
            <w:vAlign w:val="bottom"/>
            <w:gridSpan w:val="3"/>
          </w:tcPr>
          <w:p>
            <w:pPr>
              <w:ind w:left="480"/>
              <w:spacing w:after="0"/>
              <w:rPr>
                <w:sz w:val="20"/>
                <w:szCs w:val="20"/>
                <w:color w:val="auto"/>
              </w:rPr>
            </w:pPr>
            <w:r>
              <w:rPr>
                <w:rFonts w:ascii="Arial" w:cs="Arial" w:eastAsia="Arial" w:hAnsi="Arial"/>
                <w:sz w:val="18"/>
                <w:szCs w:val="18"/>
                <w:color w:val="auto"/>
              </w:rPr>
              <w:t>Secured financing</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3,733.0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3,711.6</w:t>
            </w:r>
          </w:p>
        </w:tc>
      </w:tr>
      <w:tr>
        <w:trPr>
          <w:trHeight w:val="229"/>
        </w:trPr>
        <w:tc>
          <w:tcPr>
            <w:tcW w:w="20" w:type="dxa"/>
            <w:vAlign w:val="bottom"/>
          </w:tcPr>
          <w:p>
            <w:pPr>
              <w:spacing w:after="0"/>
              <w:rPr>
                <w:sz w:val="19"/>
                <w:szCs w:val="19"/>
                <w:color w:val="auto"/>
              </w:rPr>
            </w:pPr>
          </w:p>
        </w:tc>
        <w:tc>
          <w:tcPr>
            <w:tcW w:w="7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Senior notes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790.6</w:t>
            </w:r>
          </w:p>
        </w:tc>
      </w:tr>
      <w:tr>
        <w:trPr>
          <w:trHeight w:val="230"/>
        </w:trPr>
        <w:tc>
          <w:tcPr>
            <w:tcW w:w="20" w:type="dxa"/>
            <w:vAlign w:val="bottom"/>
          </w:tcPr>
          <w:p>
            <w:pPr>
              <w:spacing w:after="0"/>
              <w:rPr>
                <w:sz w:val="19"/>
                <w:szCs w:val="19"/>
                <w:color w:val="auto"/>
              </w:rPr>
            </w:pPr>
          </w:p>
        </w:tc>
        <w:tc>
          <w:tcPr>
            <w:tcW w:w="7860" w:type="dxa"/>
            <w:vAlign w:val="bottom"/>
            <w:gridSpan w:val="3"/>
          </w:tcPr>
          <w:p>
            <w:pPr>
              <w:ind w:left="480"/>
              <w:spacing w:after="0"/>
              <w:rPr>
                <w:sz w:val="20"/>
                <w:szCs w:val="20"/>
                <w:color w:val="auto"/>
              </w:rPr>
            </w:pPr>
            <w:r>
              <w:rPr>
                <w:rFonts w:ascii="Arial" w:cs="Arial" w:eastAsia="Arial" w:hAnsi="Arial"/>
                <w:sz w:val="18"/>
                <w:szCs w:val="18"/>
                <w:color w:val="auto"/>
              </w:rPr>
              <w:t>Mortgage note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10.5</w:t>
            </w: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Deferred income taxes,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391.0</w:t>
            </w: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auto"/>
              </w:rPr>
              <w:t>Income taxes payable</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5,245.2</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5,186.5</w:t>
            </w:r>
          </w:p>
        </w:tc>
      </w:tr>
      <w:tr>
        <w:trPr>
          <w:trHeight w:val="236"/>
        </w:trPr>
        <w:tc>
          <w:tcPr>
            <w:tcW w:w="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860" w:type="dxa"/>
            <w:vAlign w:val="bottom"/>
            <w:gridSpan w:val="3"/>
          </w:tcPr>
          <w:p>
            <w:pPr>
              <w:ind w:left="480"/>
              <w:spacing w:after="0"/>
              <w:rPr>
                <w:sz w:val="20"/>
                <w:szCs w:val="20"/>
                <w:color w:val="auto"/>
              </w:rPr>
            </w:pPr>
            <w:r>
              <w:rPr>
                <w:rFonts w:ascii="Arial" w:cs="Arial" w:eastAsia="Arial" w:hAnsi="Arial"/>
                <w:sz w:val="18"/>
                <w:szCs w:val="18"/>
                <w:color w:val="auto"/>
              </w:rPr>
              <w:t>Preferred stock, $.01 par value, 1,000,000 shares authorized, none issued</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5"/>
        </w:trPr>
        <w:tc>
          <w:tcPr>
            <w:tcW w:w="20" w:type="dxa"/>
            <w:vAlign w:val="bottom"/>
          </w:tcPr>
          <w:p>
            <w:pPr>
              <w:spacing w:after="0"/>
              <w:rPr>
                <w:sz w:val="15"/>
                <w:szCs w:val="15"/>
                <w:color w:val="auto"/>
              </w:rPr>
            </w:pPr>
          </w:p>
        </w:tc>
        <w:tc>
          <w:tcPr>
            <w:tcW w:w="286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89"/>
              </w:rPr>
              <w:t>Common stock, $.01 par value, 8</w:t>
            </w:r>
          </w:p>
        </w:tc>
        <w:tc>
          <w:tcPr>
            <w:tcW w:w="1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87"/>
                <w:shd w:val="clear" w:color="auto" w:fill="CCEEFF"/>
              </w:rPr>
              <w:t>0,000,000 shares authorize</w:t>
            </w:r>
          </w:p>
        </w:tc>
        <w:tc>
          <w:tcPr>
            <w:tcW w:w="30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 14,716,977 and 17,092,432 shares</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30"/>
        </w:trPr>
        <w:tc>
          <w:tcPr>
            <w:tcW w:w="20" w:type="dxa"/>
            <w:vAlign w:val="bottom"/>
          </w:tcPr>
          <w:p>
            <w:pPr>
              <w:spacing w:after="0"/>
              <w:rPr>
                <w:sz w:val="19"/>
                <w:szCs w:val="19"/>
                <w:color w:val="auto"/>
              </w:rPr>
            </w:pPr>
          </w:p>
        </w:tc>
        <w:tc>
          <w:tcPr>
            <w:tcW w:w="286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2"/>
              </w:rPr>
              <w:t>issued and outstanding as of</w:t>
            </w: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30, 2021 and December 31, 2020, respectively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20" w:type="dxa"/>
            <w:vAlign w:val="bottom"/>
          </w:tcPr>
          <w:p>
            <w:pPr>
              <w:spacing w:after="0"/>
              <w:rPr>
                <w:sz w:val="19"/>
                <w:szCs w:val="19"/>
                <w:color w:val="auto"/>
              </w:rPr>
            </w:pPr>
          </w:p>
        </w:tc>
        <w:tc>
          <w:tcPr>
            <w:tcW w:w="7860" w:type="dxa"/>
            <w:vAlign w:val="bottom"/>
            <w:gridSpan w:val="3"/>
          </w:tcPr>
          <w:p>
            <w:pPr>
              <w:ind w:left="480"/>
              <w:spacing w:after="0"/>
              <w:rPr>
                <w:sz w:val="20"/>
                <w:szCs w:val="20"/>
                <w:color w:val="auto"/>
              </w:rPr>
            </w:pPr>
            <w:r>
              <w:rPr>
                <w:rFonts w:ascii="Arial" w:cs="Arial" w:eastAsia="Arial" w:hAnsi="Arial"/>
                <w:sz w:val="18"/>
                <w:szCs w:val="18"/>
                <w:color w:val="auto"/>
              </w:rPr>
              <w:t>Paid-in capital</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161.9</w:t>
            </w:r>
          </w:p>
        </w:tc>
      </w:tr>
      <w:tr>
        <w:trPr>
          <w:trHeight w:val="229"/>
        </w:trPr>
        <w:tc>
          <w:tcPr>
            <w:tcW w:w="20" w:type="dxa"/>
            <w:vAlign w:val="bottom"/>
          </w:tcPr>
          <w:p>
            <w:pPr>
              <w:spacing w:after="0"/>
              <w:rPr>
                <w:sz w:val="19"/>
                <w:szCs w:val="19"/>
                <w:color w:val="auto"/>
              </w:rPr>
            </w:pPr>
          </w:p>
        </w:tc>
        <w:tc>
          <w:tcPr>
            <w:tcW w:w="78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Retained earnings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1,787.0</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2,138.8</w:t>
            </w:r>
          </w:p>
        </w:tc>
      </w:tr>
      <w:tr>
        <w:trPr>
          <w:trHeight w:val="230"/>
        </w:trPr>
        <w:tc>
          <w:tcPr>
            <w:tcW w:w="20" w:type="dxa"/>
            <w:vAlign w:val="bottom"/>
          </w:tcPr>
          <w:p>
            <w:pPr>
              <w:spacing w:after="0"/>
              <w:rPr>
                <w:sz w:val="19"/>
                <w:szCs w:val="19"/>
                <w:color w:val="auto"/>
              </w:rPr>
            </w:pPr>
          </w:p>
        </w:tc>
        <w:tc>
          <w:tcPr>
            <w:tcW w:w="7860" w:type="dxa"/>
            <w:vAlign w:val="bottom"/>
            <w:tcBorders>
              <w:bottom w:val="single" w:sz="8" w:color="CCEEFF"/>
            </w:tcBorders>
            <w:gridSpan w:val="3"/>
          </w:tcPr>
          <w:p>
            <w:pPr>
              <w:ind w:left="48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r>
      <w:tr>
        <w:trPr>
          <w:trHeight w:val="223"/>
        </w:trPr>
        <w:tc>
          <w:tcPr>
            <w:tcW w:w="20" w:type="dxa"/>
            <w:vAlign w:val="bottom"/>
          </w:tcPr>
          <w:p>
            <w:pPr>
              <w:spacing w:after="0"/>
              <w:rPr>
                <w:sz w:val="19"/>
                <w:szCs w:val="19"/>
                <w:color w:val="auto"/>
              </w:rPr>
            </w:pPr>
          </w:p>
        </w:tc>
        <w:tc>
          <w:tcPr>
            <w:tcW w:w="7860" w:type="dxa"/>
            <w:vAlign w:val="bottom"/>
            <w:gridSpan w:val="3"/>
            <w:shd w:val="clear" w:color="auto" w:fill="CCEEFF"/>
          </w:tcPr>
          <w:p>
            <w:pPr>
              <w:ind w:left="880"/>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1,953.8</w:t>
            </w:r>
          </w:p>
        </w:tc>
        <w:tc>
          <w:tcPr>
            <w:tcW w:w="6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2,302.5</w:t>
            </w:r>
          </w:p>
        </w:tc>
      </w:tr>
      <w:tr>
        <w:trPr>
          <w:trHeight w:val="223"/>
        </w:trPr>
        <w:tc>
          <w:tcPr>
            <w:tcW w:w="20" w:type="dxa"/>
            <w:vAlign w:val="bottom"/>
          </w:tcPr>
          <w:p>
            <w:pPr>
              <w:spacing w:after="0"/>
              <w:rPr>
                <w:sz w:val="19"/>
                <w:szCs w:val="19"/>
                <w:color w:val="auto"/>
              </w:rPr>
            </w:pPr>
          </w:p>
        </w:tc>
        <w:tc>
          <w:tcPr>
            <w:tcW w:w="7860" w:type="dxa"/>
            <w:vAlign w:val="bottom"/>
            <w:gridSpan w:val="3"/>
          </w:tcPr>
          <w:p>
            <w:pPr>
              <w:ind w:left="880"/>
              <w:spacing w:after="0"/>
              <w:rPr>
                <w:sz w:val="20"/>
                <w:szCs w:val="20"/>
                <w:color w:val="auto"/>
              </w:rPr>
            </w:pPr>
            <w:r>
              <w:rPr>
                <w:rFonts w:ascii="Arial" w:cs="Arial" w:eastAsia="Arial" w:hAnsi="Arial"/>
                <w:sz w:val="18"/>
                <w:szCs w:val="18"/>
                <w:color w:val="auto"/>
              </w:rPr>
              <w:t>Total Liabilities and Shareholders'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7,199.0</w:t>
            </w:r>
          </w:p>
        </w:tc>
        <w:tc>
          <w:tcPr>
            <w:tcW w:w="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7,489.0</w:t>
            </w:r>
          </w:p>
        </w:tc>
      </w:tr>
      <w:tr>
        <w:trPr>
          <w:trHeight w:val="21"/>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sectPr>
      <w:pgSz w:w="11900" w:h="16838" w:orient="portrait"/>
      <w:cols w:equalWidth="0" w:num="1">
        <w:col w:w="11240"/>
      </w:cols>
      <w:pgMar w:left="300" w:top="101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decimal"/>
      <w:start w:val="1"/>
    </w:lvl>
  </w:abstractNum>
  <w:abstractNum w:abstractNumId="3">
    <w:nsid w:val="109CF92E"/>
    <w:multiLevelType w:val="hybridMultilevel"/>
    <w:lvl w:ilvl="0">
      <w:lvlJc w:val="left"/>
      <w:lvlText w:val="(%1)"/>
      <w:numFmt w:val="decimal"/>
      <w:start w:val="1"/>
    </w:lvl>
  </w:abstractNum>
  <w:abstractNum w:abstractNumId="4">
    <w:nsid w:val="DED7263"/>
    <w:multiLevelType w:val="hybridMultilevel"/>
    <w:lvl w:ilvl="0">
      <w:lvlJc w:val="left"/>
      <w:lvlText w:val="(%1)"/>
      <w:numFmt w:val="decimal"/>
      <w:start w:val="1"/>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1)"/>
      <w:numFmt w:val="decimal"/>
      <w:start w:val="1"/>
    </w:lvl>
  </w:abstractNum>
  <w:abstractNum w:abstractNumId="8">
    <w:nsid w:val="6B68079A"/>
    <w:multiLevelType w:val="hybridMultilevel"/>
    <w:lvl w:ilvl="0">
      <w:lvlJc w:val="left"/>
      <w:lvlText w:val="(%1)"/>
      <w:numFmt w:val="decimal"/>
      <w:start w:val="1"/>
    </w:lvl>
  </w:abstractNum>
  <w:abstractNum w:abstractNumId="9">
    <w:nsid w:val="4E6AFB66"/>
    <w:multiLevelType w:val="hybridMultilevel"/>
    <w:lvl w:ilvl="0">
      <w:lvlJc w:val="left"/>
      <w:lvlText w:val="(%1)"/>
      <w:numFmt w:val="decimal"/>
      <w:start w:val="1"/>
    </w:lvl>
  </w:abstractNum>
  <w:abstractNum w:abstractNumId="10">
    <w:nsid w:val="25E45D32"/>
    <w:multiLevelType w:val="hybridMultilevel"/>
    <w:lvl w:ilvl="0">
      <w:lvlJc w:val="left"/>
      <w:lvlText w:val="•"/>
      <w:numFmt w:val="bullet"/>
      <w:start w:val="1"/>
    </w:lvl>
    <w:lvl w:ilvl="1">
      <w:lvlJc w:val="left"/>
      <w:lvlText w:val="•"/>
      <w:numFmt w:val="bullet"/>
      <w:start w:val="1"/>
    </w:lvl>
  </w:abstractNum>
  <w:abstractNum w:abstractNumId="11">
    <w:nsid w:val="519B500D"/>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2">
    <w:nsid w:val="431BD7B7"/>
    <w:multiLevelType w:val="hybridMultilevel"/>
    <w:lvl w:ilvl="0">
      <w:lvlJc w:val="left"/>
      <w:lvlText w:val="•"/>
      <w:numFmt w:val="bullet"/>
      <w:start w:val="1"/>
    </w:lvl>
    <w:lvl w:ilvl="1">
      <w:lvlJc w:val="left"/>
      <w:lvlText w:val="•"/>
      <w:numFmt w:val="bullet"/>
      <w:start w:val="1"/>
    </w:lvl>
  </w:abstractNum>
  <w:abstractNum w:abstractNumId="13">
    <w:nsid w:val="3F2DBA31"/>
    <w:multiLevelType w:val="hybridMultilevel"/>
    <w:lvl w:ilvl="0">
      <w:lvlJc w:val="left"/>
      <w:lvlText w:val="•"/>
      <w:numFmt w:val="bullet"/>
      <w:start w:val="1"/>
    </w:lvl>
    <w:lvl w:ilvl="1">
      <w:lvlJc w:val="left"/>
      <w:lvlText w:val="•"/>
      <w:numFmt w:val="bullet"/>
      <w:start w:val="1"/>
    </w:lvl>
  </w:abstractNum>
  <w:abstractNum w:abstractNumId="14">
    <w:nsid w:val="7C83E458"/>
    <w:multiLevelType w:val="hybridMultilevel"/>
    <w:lvl w:ilvl="0">
      <w:lvlJc w:val="left"/>
      <w:lvlText w:val="•"/>
      <w:numFmt w:val="bullet"/>
      <w:start w:val="1"/>
    </w:lvl>
  </w:abstractNum>
  <w:abstractNum w:abstractNumId="15">
    <w:nsid w:val="257130A3"/>
    <w:multiLevelType w:val="hybridMultilevel"/>
    <w:lvl w:ilvl="0">
      <w:lvlJc w:val="left"/>
      <w:lvlText w:val="(%1)"/>
      <w:numFmt w:val="decimal"/>
      <w:start w:val="1"/>
    </w:lvl>
  </w:abstractNum>
  <w:abstractNum w:abstractNumId="16">
    <w:nsid w:val="62BBD95A"/>
    <w:multiLevelType w:val="hybridMultilevel"/>
    <w:lvl w:ilvl="0">
      <w:lvlJc w:val="left"/>
      <w:lvlText w:val="(%1)"/>
      <w:numFmt w:val="decimal"/>
      <w:start w:val="1"/>
    </w:lvl>
  </w:abstractNum>
  <w:abstractNum w:abstractNumId="17">
    <w:nsid w:val="436C6125"/>
    <w:multiLevelType w:val="hybridMultilevel"/>
    <w:lvl w:ilvl="0">
      <w:lvlJc w:val="left"/>
      <w:lvlText w:val="(%1)"/>
      <w:numFmt w:val="decimal"/>
      <w:start w:val="1"/>
    </w:lvl>
  </w:abstractNum>
  <w:abstractNum w:abstractNumId="18">
    <w:nsid w:val="628C895D"/>
    <w:multiLevelType w:val="hybridMultilevel"/>
    <w:lvl w:ilvl="0">
      <w:lvlJc w:val="left"/>
      <w:lvlText w:val="•"/>
      <w:numFmt w:val="bullet"/>
      <w:start w:val="1"/>
    </w:lvl>
  </w:abstractNum>
  <w:abstractNum w:abstractNumId="19">
    <w:nsid w:val="333AB105"/>
    <w:multiLevelType w:val="hybridMultilevel"/>
    <w:lvl w:ilvl="0">
      <w:lvlJc w:val="left"/>
      <w:lvlText w:val="•"/>
      <w:numFmt w:val="bullet"/>
      <w:start w:val="1"/>
    </w:lvl>
  </w:abstractNum>
  <w:abstractNum w:abstractNumId="20">
    <w:nsid w:val="721DA317"/>
    <w:multiLevelType w:val="hybridMultilevel"/>
    <w:lvl w:ilvl="0">
      <w:lvlJc w:val="left"/>
      <w:lvlText w:val="•"/>
      <w:numFmt w:val="bullet"/>
      <w:start w:val="1"/>
    </w:lvl>
  </w:abstractNum>
  <w:abstractNum w:abstractNumId="21">
    <w:nsid w:val="2443A858"/>
    <w:multiLevelType w:val="hybridMultilevel"/>
    <w:lvl w:ilvl="0">
      <w:lvlJc w:val="left"/>
      <w:lvlText w:val="•"/>
      <w:numFmt w:val="bullet"/>
      <w:start w:val="1"/>
    </w:lvl>
  </w:abstractNum>
  <w:abstractNum w:abstractNumId="22">
    <w:nsid w:val="2D1D5A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2021-11-01T15:11:31Z</dcterms:created>
  <dcterms:modified xsi:type="dcterms:W3CDTF">2021-11-01T15:11:31Z</dcterms:modified>
</cp:coreProperties>
</file>