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19, 2010</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CREDIT ACCEPTANCE CORPORATION</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140" w:type="dxa"/>
            <w:vAlign w:val="bottom"/>
            <w:tcBorders>
              <w:top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1780" w:type="dxa"/>
            <w:vAlign w:val="bottom"/>
            <w:tcBorders>
              <w:top w:val="single" w:sz="8" w:color="auto"/>
            </w:tcBorders>
          </w:tcPr>
          <w:p>
            <w:pPr>
              <w:spacing w:after="0"/>
              <w:rPr>
                <w:sz w:val="20"/>
                <w:szCs w:val="20"/>
                <w:color w:val="auto"/>
              </w:rPr>
            </w:pPr>
          </w:p>
        </w:tc>
        <w:tc>
          <w:tcPr>
            <w:tcW w:w="1640" w:type="dxa"/>
            <w:vAlign w:val="bottom"/>
          </w:tcPr>
          <w:p>
            <w:pPr>
              <w:spacing w:after="0"/>
              <w:rPr>
                <w:sz w:val="20"/>
                <w:szCs w:val="20"/>
                <w:color w:val="auto"/>
              </w:rPr>
            </w:pPr>
          </w:p>
        </w:tc>
      </w:tr>
      <w:tr>
        <w:trPr>
          <w:trHeight w:val="411"/>
        </w:trPr>
        <w:tc>
          <w:tcPr>
            <w:tcW w:w="386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Michigan</w:t>
            </w:r>
          </w:p>
        </w:tc>
        <w:tc>
          <w:tcPr>
            <w:tcW w:w="3580" w:type="dxa"/>
            <w:vAlign w:val="bottom"/>
            <w:gridSpan w:val="4"/>
          </w:tcPr>
          <w:p>
            <w:pPr>
              <w:jc w:val="center"/>
              <w:ind w:left="70"/>
              <w:spacing w:after="0"/>
              <w:rPr>
                <w:sz w:val="20"/>
                <w:szCs w:val="20"/>
                <w:color w:val="auto"/>
              </w:rPr>
            </w:pPr>
            <w:r>
              <w:rPr>
                <w:rFonts w:ascii="Arial" w:cs="Arial" w:eastAsia="Arial" w:hAnsi="Arial"/>
                <w:sz w:val="18"/>
                <w:szCs w:val="18"/>
                <w:color w:val="auto"/>
                <w:w w:val="90"/>
              </w:rPr>
              <w:t>000-20202</w:t>
            </w:r>
          </w:p>
        </w:tc>
        <w:tc>
          <w:tcPr>
            <w:tcW w:w="560" w:type="dxa"/>
            <w:vAlign w:val="bottom"/>
          </w:tcPr>
          <w:p>
            <w:pPr>
              <w:spacing w:after="0"/>
              <w:rPr>
                <w:sz w:val="24"/>
                <w:szCs w:val="24"/>
                <w:color w:val="auto"/>
              </w:rPr>
            </w:pPr>
          </w:p>
        </w:tc>
        <w:tc>
          <w:tcPr>
            <w:tcW w:w="3420" w:type="dxa"/>
            <w:vAlign w:val="bottom"/>
            <w:gridSpan w:val="2"/>
          </w:tcPr>
          <w:p>
            <w:pPr>
              <w:jc w:val="center"/>
              <w:spacing w:after="0"/>
              <w:rPr>
                <w:sz w:val="20"/>
                <w:szCs w:val="20"/>
                <w:color w:val="auto"/>
              </w:rPr>
            </w:pPr>
            <w:r>
              <w:rPr>
                <w:rFonts w:ascii="Arial" w:cs="Arial" w:eastAsia="Arial" w:hAnsi="Arial"/>
                <w:sz w:val="18"/>
                <w:szCs w:val="18"/>
                <w:color w:val="auto"/>
                <w:w w:val="89"/>
              </w:rPr>
              <w:t>38-1999511</w:t>
            </w:r>
          </w:p>
        </w:tc>
      </w:tr>
      <w:tr>
        <w:trPr>
          <w:trHeight w:val="209"/>
        </w:trPr>
        <w:tc>
          <w:tcPr>
            <w:tcW w:w="34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3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86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of incorporation)</w:t>
            </w:r>
          </w:p>
        </w:tc>
        <w:tc>
          <w:tcPr>
            <w:tcW w:w="160" w:type="dxa"/>
            <w:vAlign w:val="bottom"/>
          </w:tcPr>
          <w:p>
            <w:pPr>
              <w:spacing w:after="0"/>
              <w:rPr>
                <w:sz w:val="20"/>
                <w:szCs w:val="20"/>
                <w:color w:val="auto"/>
              </w:rPr>
            </w:pPr>
          </w:p>
        </w:tc>
        <w:tc>
          <w:tcPr>
            <w:tcW w:w="3980" w:type="dxa"/>
            <w:vAlign w:val="bottom"/>
            <w:gridSpan w:val="4"/>
          </w:tcPr>
          <w:p>
            <w:pPr>
              <w:jc w:val="center"/>
              <w:ind w:right="560"/>
              <w:spacing w:after="0"/>
              <w:rPr>
                <w:sz w:val="20"/>
                <w:szCs w:val="20"/>
                <w:color w:val="auto"/>
              </w:rPr>
            </w:pPr>
            <w:r>
              <w:rPr>
                <w:rFonts w:ascii="Arial" w:cs="Arial" w:eastAsia="Arial" w:hAnsi="Arial"/>
                <w:sz w:val="18"/>
                <w:szCs w:val="18"/>
                <w:color w:val="auto"/>
                <w:w w:val="94"/>
              </w:rPr>
              <w:t>File Number)</w:t>
            </w:r>
          </w:p>
        </w:tc>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860" w:type="dxa"/>
            <w:vAlign w:val="bottom"/>
            <w:gridSpan w:val="3"/>
          </w:tcPr>
          <w:p>
            <w:pPr>
              <w:jc w:val="center"/>
              <w:ind w:left="1490"/>
              <w:spacing w:after="0"/>
              <w:rPr>
                <w:sz w:val="20"/>
                <w:szCs w:val="20"/>
                <w:color w:val="auto"/>
              </w:rPr>
            </w:pPr>
            <w:r>
              <w:rPr>
                <w:rFonts w:ascii="Arial" w:cs="Arial" w:eastAsia="Arial" w:hAnsi="Arial"/>
                <w:sz w:val="18"/>
                <w:szCs w:val="18"/>
                <w:color w:val="auto"/>
                <w:w w:val="91"/>
              </w:rPr>
              <w:t>25505 West Twelve Mile Road,</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0"/>
        </w:trPr>
        <w:tc>
          <w:tcPr>
            <w:tcW w:w="16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3"/>
              </w:rPr>
              <w:t>Southfield, Michigan</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48034-8339</w:t>
            </w:r>
          </w:p>
        </w:tc>
        <w:tc>
          <w:tcPr>
            <w:tcW w:w="1640" w:type="dxa"/>
            <w:vAlign w:val="bottom"/>
            <w:tcBorders>
              <w:bottom w:val="single" w:sz="8" w:color="auto"/>
            </w:tcBorders>
          </w:tcPr>
          <w:p>
            <w:pPr>
              <w:spacing w:after="0"/>
              <w:rPr>
                <w:sz w:val="20"/>
                <w:szCs w:val="20"/>
                <w:color w:val="auto"/>
              </w:rPr>
            </w:pPr>
          </w:p>
        </w:tc>
      </w:tr>
      <w:tr>
        <w:trPr>
          <w:trHeight w:val="224"/>
        </w:trPr>
        <w:tc>
          <w:tcPr>
            <w:tcW w:w="5420" w:type="dxa"/>
            <w:vAlign w:val="bottom"/>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2000" w:type="dxa"/>
            <w:vAlign w:val="bottom"/>
            <w:gridSpan w:val="2"/>
          </w:tcPr>
          <w:p>
            <w:pPr>
              <w:spacing w:after="0"/>
              <w:rPr>
                <w:sz w:val="19"/>
                <w:szCs w:val="19"/>
                <w:color w:val="auto"/>
              </w:rPr>
            </w:pPr>
          </w:p>
        </w:tc>
        <w:tc>
          <w:tcPr>
            <w:tcW w:w="3420" w:type="dxa"/>
            <w:vAlign w:val="bottom"/>
            <w:gridSpan w:val="2"/>
          </w:tcPr>
          <w:p>
            <w:pPr>
              <w:jc w:val="center"/>
              <w:ind w:right="2020"/>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248-353-2700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14605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January 19, 2010, Credit Acceptance Corporation (the “Company”) issued a press release announcing that the Company plans to offer $225 million of first priority senior secured notes due 2017. The press release is attached as Exhibit 99.1 to this Current Report on Form 8-K (the “Form 8-K”) and incorporated herein by reference.</w:t>
      </w:r>
    </w:p>
    <w:p>
      <w:pPr>
        <w:spacing w:after="0" w:line="7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in connection with the planned offering, the Company updated the risk factors contained in its reports filed under the Securities Exchange Act of 1934, as amended. A copy of the updated risk factors is attached as Exhibit 99.2 to this Form 8-K and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  Press Release dated January 19, 2010.</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99.2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1" w:right="3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CREDIT ACCEPTANCE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Douglas W. Busk</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Senior Vice President and Treasurer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January 19,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6"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dated January 19,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Risk Factors.</w:t>
            </w:r>
          </w:p>
        </w:tc>
      </w:tr>
    </w:tbl>
    <w:p>
      <w:pPr>
        <w:sectPr>
          <w:pgSz w:w="11900" w:h="16838" w:orient="portrait"/>
          <w:cols w:equalWidth="0" w:num="1">
            <w:col w:w="11420"/>
          </w:cols>
          <w:pgMar w:left="240" w:top="95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Silver Triangle Building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25505 West Twelve Mile Road, Suite 3000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creditacceptance.com</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NEWS RELEASE</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January 19, 2010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Douglas W. Busk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Senior Vice President and Treasurer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IR@creditacceptance.com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NASDAQ: CACC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$225 MILLION SENIOR SECURED NOTES OFFERING</w:t>
      </w:r>
    </w:p>
    <w:p>
      <w:pPr>
        <w:spacing w:after="0" w:line="99"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Southfield, Michigan – January 19, 2010 </w:t>
      </w:r>
      <w:r>
        <w:rPr>
          <w:rFonts w:ascii="Arial" w:cs="Arial" w:eastAsia="Arial" w:hAnsi="Arial"/>
          <w:sz w:val="17"/>
          <w:szCs w:val="17"/>
          <w:color w:val="auto"/>
        </w:rPr>
        <w:t>– Credit Acceptance Corporation (referred to as the “Company,” “we,” “our,” or “us”) announced today that it</w:t>
      </w:r>
      <w:r>
        <w:rPr>
          <w:rFonts w:ascii="Arial" w:cs="Arial" w:eastAsia="Arial" w:hAnsi="Arial"/>
          <w:sz w:val="17"/>
          <w:szCs w:val="17"/>
          <w:b w:val="1"/>
          <w:bCs w:val="1"/>
          <w:color w:val="auto"/>
        </w:rPr>
        <w:t xml:space="preserve"> </w:t>
      </w:r>
      <w:r>
        <w:rPr>
          <w:rFonts w:ascii="Arial" w:cs="Arial" w:eastAsia="Arial" w:hAnsi="Arial"/>
          <w:sz w:val="17"/>
          <w:szCs w:val="17"/>
          <w:color w:val="auto"/>
        </w:rPr>
        <w:t>plans to offer $225 million of first priority senior secured notes due 2017 (the “notes”). We intend to use the net proceeds from the offering to repay all outstanding borrowings under our revolving credit facility with a commercial bank syndicate and, to the extent the net proceeds exceed that amount, to repay outstanding borrowings under our $325.0 million secured warehouse facility with an institutional investor.</w:t>
      </w:r>
    </w:p>
    <w:p>
      <w:pPr>
        <w:spacing w:after="0" w:line="6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notes will be offered in the United States to qualified institutional buyers pursuant to Rule 144A under the Securities Act of 1933, as amended (the “Securities Act”), and outside the United States pursuant to Regulation S under the Securities Act. This press release shall not constitute an offer to sell or the solicitation of an offer to buy, nor shall there be any sale of, the notes in any jurisdiction in which such offer, solicitation or sale would be unlawful prior to registration or qualification under the securities laws of any such jurisdiction. The notes will not be registered under the Securities Act and may not be offered or sold in the United States absent registration or an applicable exemption from registration requirements.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Information</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claim the protection of the safe harbor for forward-looking statements contained in the Private Securities Litigation Reform Act of 1995 for all of our forward-looking statements. Statements in this release that are not historical facts, such as those using terms like “may,” “will,” “should,” “believe,” “expect,” “anticipate,” “assume,” “forecast,” “estimate,” “intend,” “plan,” “target” and those regarding our future results, plans and objectives, are “forward-looking statements” within the meaning of the federal securities laws. These forward-looking statements, which include statements concerning completion of the offering of the notes and application of net proceeds therefrom, represent our outlook only as of the date of this release. Actual results could differ materially from these forward-looking statements since the statements are based on our current expectations, which are subject to risks and uncertainties. We do not undertake, and expressly disclaim any obligation, to update or alter our statements whether as a result of new information, future events or otherwise, except as required by applicable law.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ind w:left="10480"/>
        <w:spacing w:after="0"/>
        <w:rPr>
          <w:sz w:val="20"/>
          <w:szCs w:val="20"/>
          <w:color w:val="auto"/>
        </w:rPr>
      </w:pPr>
      <w:r>
        <w:rPr>
          <w:rFonts w:ascii="Arial" w:cs="Arial" w:eastAsia="Arial" w:hAnsi="Arial"/>
          <w:sz w:val="16"/>
          <w:szCs w:val="16"/>
          <w:b w:val="1"/>
          <w:bCs w:val="1"/>
          <w:color w:val="auto"/>
        </w:rPr>
        <w:t>Exhibit 99.2</w:t>
      </w:r>
    </w:p>
    <w:p>
      <w:pPr>
        <w:spacing w:after="0" w:line="158" w:lineRule="exact"/>
        <w:rPr>
          <w:sz w:val="20"/>
          <w:szCs w:val="20"/>
          <w:color w:val="auto"/>
        </w:rPr>
      </w:pPr>
    </w:p>
    <w:p>
      <w:pPr>
        <w:ind w:left="240" w:right="660"/>
        <w:spacing w:after="0" w:line="277" w:lineRule="auto"/>
        <w:rPr>
          <w:sz w:val="20"/>
          <w:szCs w:val="20"/>
          <w:color w:val="auto"/>
        </w:rPr>
      </w:pPr>
      <w:r>
        <w:rPr>
          <w:rFonts w:ascii="Arial" w:cs="Arial" w:eastAsia="Arial" w:hAnsi="Arial"/>
          <w:sz w:val="18"/>
          <w:szCs w:val="18"/>
          <w:b w:val="1"/>
          <w:bCs w:val="1"/>
          <w:i w:val="1"/>
          <w:iCs w:val="1"/>
          <w:color w:val="auto"/>
        </w:rPr>
        <w:t>Our inability to accurately forecast and estimate the amount and timing of future collections could have a material adverse effect on results of operations.</w:t>
      </w:r>
    </w:p>
    <w:p>
      <w:pPr>
        <w:spacing w:after="0" w:line="76"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Substantially all of the Consumer Loans assigned to us are made to individuals with impaired or limited credit histories or higher debt-to-income ratios than are permitted by traditional lenders. Consumer Loans made to these individuals generally entail a higher risk of delinquency, default and repossession and higher losses than loans made to consumers with better credit. Since most of our revenue and cash flows from operations are generated from these Consumer Loans, our ability to accurately forecast Consumer Loan performance is critical to our business and financial results. At the time of Consumer Loan acceptance or purchase, we forecast future expected cash flows from the Consumer Loan. Based on these forecasts, which include estimates for wholesale vehicle prices in the event of vehicle repossession and sale, we make an advance or cash payment to the related dealer-partner at a level designed to achieve an acceptable return on capital. These forecasts also serve as a critical assumption in our accounting for recognizing finance charge income and determining our allowance for credit losses. If Consumer Loan performance equals or exceeds original expectations, it is likely our target return on capital will be achieved. However, actual cash flows from any individual Consumer Loan are often different than cash flows estimated at Consumer Loan inception. There can be no assurance that our forecasts will be accurate or that Consumer Loan performance will be as expected. Recent economic conditions have made forecasts regarding the performance of Consumer Loans more difficult. In the event that our forecasts are not accurate, our financial position, liquidity and results of operations could be materially adversely affected.</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unable to execute our business strategy due to current economic conditions.</w:t>
      </w:r>
    </w:p>
    <w:p>
      <w:pPr>
        <w:spacing w:after="0" w:line="13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Our financial position, liquidity and results of operations depend on management’s ability to execute our business strategy. Key factors involved in the execution of our business strategy include achieving our desired Consumer Loan origination volume, continued and successful use of CAPS and pricing strategy, the use of effective credit risk management techniques and servicing strategies, implementation of effective Consumer Loan servicing and collection practices, continued investment in technology to support operating efficiency and continued access to funding and liquidity sources. Although we recently implemented a pricing change that was intended to have a positive impact on unit volume, in exchange for mostly lower returns on capital, there can be no assurance that this change will have its intended effect or that lower returns on capital will be modest. Our failure or inability to execute any element of our business strategy could materially adversely affect our financial position, liquidity and results of operations.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unable to continue to access or renew funding sources and obtain capital needed to maintain and grow our business.</w:t>
      </w:r>
    </w:p>
    <w:p>
      <w:pPr>
        <w:spacing w:after="0" w:line="13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currently use three primary sources of debt financing: (1) our revolving credit facility; (2) our revolving secured warehouse facilities; and (3) our asset-backed secured financings. We cannot guarantee that any of these financing sources will continue to be available beyond their current maturity dates at acceptable terms or at all. The availability of additional financing will depend on a variety of factors such as market conditions, the general availability of credit and our credit ratings and capacity for additional borrowing under our existing financing arrangements. If our various financing alternatives were to become limited or unavailable, we may be unable to make and acquire Loans in the volume that we anticipate and our operations could be materially adversely affected.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terms of our debt limit how we conduct our business.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agreements that govern our debt contain covenants that restrict our ability to, among other things:</w:t>
      </w:r>
    </w:p>
    <w:p>
      <w:pPr>
        <w:spacing w:after="0" w:line="131" w:lineRule="exact"/>
        <w:rPr>
          <w:sz w:val="20"/>
          <w:szCs w:val="20"/>
          <w:color w:val="auto"/>
        </w:rPr>
      </w:pPr>
    </w:p>
    <w:p>
      <w:pPr>
        <w:ind w:left="700" w:hanging="233"/>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incur and guarantee debt;</w:t>
      </w:r>
    </w:p>
    <w:p>
      <w:pPr>
        <w:spacing w:after="0" w:line="117" w:lineRule="exact"/>
        <w:rPr>
          <w:rFonts w:ascii="Arial" w:cs="Arial" w:eastAsia="Arial" w:hAnsi="Arial"/>
          <w:sz w:val="18"/>
          <w:szCs w:val="18"/>
          <w:color w:val="auto"/>
        </w:rPr>
      </w:pPr>
    </w:p>
    <w:p>
      <w:pPr>
        <w:ind w:left="700" w:hanging="233"/>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 dividends or make other distributions on or redeem or repurchase our stock;</w:t>
      </w:r>
    </w:p>
    <w:p>
      <w:pPr>
        <w:spacing w:after="0" w:line="117" w:lineRule="exact"/>
        <w:rPr>
          <w:rFonts w:ascii="Arial" w:cs="Arial" w:eastAsia="Arial" w:hAnsi="Arial"/>
          <w:sz w:val="18"/>
          <w:szCs w:val="18"/>
          <w:color w:val="auto"/>
        </w:rPr>
      </w:pPr>
    </w:p>
    <w:p>
      <w:pPr>
        <w:ind w:left="700" w:hanging="233"/>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make investments or acquisitions;</w:t>
      </w:r>
    </w:p>
    <w:p>
      <w:pPr>
        <w:spacing w:after="0" w:line="117" w:lineRule="exact"/>
        <w:rPr>
          <w:rFonts w:ascii="Arial" w:cs="Arial" w:eastAsia="Arial" w:hAnsi="Arial"/>
          <w:sz w:val="18"/>
          <w:szCs w:val="18"/>
          <w:color w:val="auto"/>
        </w:rPr>
      </w:pPr>
    </w:p>
    <w:p>
      <w:pPr>
        <w:ind w:left="700" w:hanging="233"/>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117" w:lineRule="exact"/>
        <w:rPr>
          <w:rFonts w:ascii="Arial" w:cs="Arial" w:eastAsia="Arial" w:hAnsi="Arial"/>
          <w:sz w:val="18"/>
          <w:szCs w:val="18"/>
          <w:color w:val="auto"/>
        </w:rPr>
      </w:pPr>
    </w:p>
    <w:p>
      <w:pPr>
        <w:ind w:left="700" w:hanging="233"/>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7" w:lineRule="exact"/>
        <w:rPr>
          <w:rFonts w:ascii="Arial" w:cs="Arial" w:eastAsia="Arial" w:hAnsi="Arial"/>
          <w:sz w:val="18"/>
          <w:szCs w:val="18"/>
          <w:color w:val="auto"/>
        </w:rPr>
      </w:pPr>
    </w:p>
    <w:p>
      <w:pPr>
        <w:ind w:left="700" w:hanging="233"/>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merge with or into other companies;</w:t>
      </w:r>
    </w:p>
    <w:p>
      <w:pPr>
        <w:spacing w:after="0" w:line="117" w:lineRule="exact"/>
        <w:rPr>
          <w:rFonts w:ascii="Arial" w:cs="Arial" w:eastAsia="Arial" w:hAnsi="Arial"/>
          <w:sz w:val="18"/>
          <w:szCs w:val="18"/>
          <w:color w:val="auto"/>
        </w:rPr>
      </w:pPr>
    </w:p>
    <w:p>
      <w:pPr>
        <w:ind w:left="700" w:hanging="233"/>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 into transactions with stockholders and other affiliates; and</w:t>
      </w:r>
    </w:p>
    <w:p>
      <w:pPr>
        <w:spacing w:after="0" w:line="117" w:lineRule="exact"/>
        <w:rPr>
          <w:rFonts w:ascii="Arial" w:cs="Arial" w:eastAsia="Arial" w:hAnsi="Arial"/>
          <w:sz w:val="18"/>
          <w:szCs w:val="18"/>
          <w:color w:val="auto"/>
        </w:rPr>
      </w:pPr>
    </w:p>
    <w:p>
      <w:pPr>
        <w:ind w:left="700" w:hanging="233"/>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make capital expenditures.</w:t>
      </w:r>
    </w:p>
    <w:p>
      <w:pPr>
        <w:spacing w:after="0" w:line="13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Some of our debt agreements also impose requirements that we maintain specified financial measures not in excess of, or not below, specified levels. In particular, our revolving credit facility requires, among other things, that we maintain (i) at all times a ratio of consolidated net assets to consolidated funded debt equal to or greater than a specified minimum; (ii) as of the end of each fiscal quarter, a ratio of consolidated funded debt to consolidated tangible net worth at or below a specified maximum; (iii) as of the end of each fiscal quarter calculated for the two fiscal quarters then ending, consolidated net income of not less than a specified minimum; and (iv) as of the end of each fiscal quarter, a ratio of consolidated income available for fixed charges for the period of four consecutive fiscal quarters most recently ended to consolidated fixed charges for that period of not less than a specified minimum. These covenants limit the manner in which we can conduct our business and could prevent us from engaging in favorable business activities or financing future operations and capital needs and impair our ability to successfully execute our strategy and operate our business.</w:t>
      </w:r>
    </w:p>
    <w:p>
      <w:pPr>
        <w:spacing w:after="0" w:line="8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breach of any of the covenants in our debt instruments would result in an event of default thereunder if not promptly cured or waived. Any continuing default would permit the creditors to accelerate the related debt, which could also result in the acceleration of other debt containing a cross-acceleration or cross-default provision. In addition, an event of default under our revolving credit facility would permit the lenders thereunder to terminate all commitments to extend further credit under our revolving credit facility. Furthermore, if we were unable to repay the amounts due and payable under our revolving credit facility or other secured debt, the lenders thereunder could cause the collateral agent to proceed against the collateral securing that debt. In the event our creditors accelerate the repayment of our debt, there can be no assurance that we would have sufficient assets to repay that debt, and our financial condition, liquidity and results of operations would suffer.</w:t>
      </w:r>
    </w:p>
    <w:p>
      <w:pPr>
        <w:sectPr>
          <w:pgSz w:w="11900" w:h="16838" w:orient="portrait"/>
          <w:cols w:equalWidth="0" w:num="1">
            <w:col w:w="11420"/>
          </w:cols>
          <w:pgMar w:left="240" w:top="121"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ind w:left="240" w:right="560"/>
        <w:spacing w:after="0" w:line="381" w:lineRule="auto"/>
        <w:rPr>
          <w:sz w:val="20"/>
          <w:szCs w:val="20"/>
          <w:color w:val="auto"/>
        </w:rPr>
      </w:pPr>
      <w:r>
        <w:rPr>
          <w:rFonts w:ascii="Arial" w:cs="Arial" w:eastAsia="Arial" w:hAnsi="Arial"/>
          <w:sz w:val="15"/>
          <w:szCs w:val="15"/>
          <w:b w:val="1"/>
          <w:bCs w:val="1"/>
          <w:i w:val="1"/>
          <w:iCs w:val="1"/>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Turbulence in the global capital markets and the current economic slowdown or recession have resulted in disruptions in the financial sector and potentially affected lenders with which we have relationships. The current adverse conditions, the severity and duration of which are unknown, may increase our exposure to credit risk and adversely affect the ability of lenders to perform under the terms of their lending arrangements with us. Failure by our lenders to perform under the terms of our lending arrangements could cause us to incur additional costs that may adversely affect our liquidity, financial condition and results of operations.</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substantial debt could negatively impact our business, prevent us from satisfying our debt obligations and adversely affect our financial condition.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 substantial amount of debt. The substantial amount of our debt could have important consequences, including the following:</w:t>
      </w:r>
    </w:p>
    <w:p>
      <w:pPr>
        <w:spacing w:after="0" w:line="131" w:lineRule="exact"/>
        <w:rPr>
          <w:sz w:val="20"/>
          <w:szCs w:val="20"/>
          <w:color w:val="auto"/>
        </w:rPr>
      </w:pPr>
    </w:p>
    <w:p>
      <w:pPr>
        <w:ind w:left="700" w:hanging="233"/>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additional financing for Consumer Loan originations, working capital, debt refinancing or other purposes could be impaired;</w:t>
      </w:r>
    </w:p>
    <w:p>
      <w:pPr>
        <w:spacing w:after="0" w:line="128" w:lineRule="exact"/>
        <w:rPr>
          <w:rFonts w:ascii="Arial" w:cs="Arial" w:eastAsia="Arial" w:hAnsi="Arial"/>
          <w:sz w:val="17"/>
          <w:szCs w:val="17"/>
          <w:color w:val="auto"/>
        </w:rPr>
      </w:pPr>
    </w:p>
    <w:p>
      <w:pPr>
        <w:ind w:left="700" w:right="240" w:hanging="233"/>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substantial portion of our cash flows from operations will be dedicated to paying principal and interest on our debt, reducing funds available for other purposes;</w:t>
      </w:r>
    </w:p>
    <w:p>
      <w:pPr>
        <w:spacing w:after="0" w:line="62" w:lineRule="exact"/>
        <w:rPr>
          <w:rFonts w:ascii="Arial" w:cs="Arial" w:eastAsia="Arial" w:hAnsi="Arial"/>
          <w:sz w:val="18"/>
          <w:szCs w:val="18"/>
          <w:color w:val="auto"/>
        </w:rPr>
      </w:pPr>
    </w:p>
    <w:p>
      <w:pPr>
        <w:ind w:left="700" w:right="540" w:hanging="233"/>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vulnerable to interest rate increases, as some of our borrowings, including those under our revolving credit facility, bear interest at variable rates;</w:t>
      </w:r>
    </w:p>
    <w:p>
      <w:pPr>
        <w:spacing w:after="0" w:line="62" w:lineRule="exact"/>
        <w:rPr>
          <w:rFonts w:ascii="Arial" w:cs="Arial" w:eastAsia="Arial" w:hAnsi="Arial"/>
          <w:sz w:val="18"/>
          <w:szCs w:val="18"/>
          <w:color w:val="auto"/>
        </w:rPr>
      </w:pPr>
    </w:p>
    <w:p>
      <w:pPr>
        <w:ind w:left="700" w:hanging="233"/>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could be more vulnerable to adverse developments in our industry or in general economic conditions;</w:t>
      </w:r>
    </w:p>
    <w:p>
      <w:pPr>
        <w:spacing w:after="0" w:line="117" w:lineRule="exact"/>
        <w:rPr>
          <w:rFonts w:ascii="Arial" w:cs="Arial" w:eastAsia="Arial" w:hAnsi="Arial"/>
          <w:sz w:val="18"/>
          <w:szCs w:val="18"/>
          <w:color w:val="auto"/>
        </w:rPr>
      </w:pPr>
    </w:p>
    <w:p>
      <w:pPr>
        <w:ind w:left="700" w:hanging="233"/>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restricted from taking advantage of business opportunities or making strategic acquisitions; and</w:t>
      </w:r>
    </w:p>
    <w:p>
      <w:pPr>
        <w:spacing w:after="0" w:line="117" w:lineRule="exact"/>
        <w:rPr>
          <w:rFonts w:ascii="Arial" w:cs="Arial" w:eastAsia="Arial" w:hAnsi="Arial"/>
          <w:sz w:val="18"/>
          <w:szCs w:val="18"/>
          <w:color w:val="auto"/>
        </w:rPr>
      </w:pPr>
    </w:p>
    <w:p>
      <w:pPr>
        <w:ind w:left="700" w:hanging="233"/>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limited in our flexibility in planning for, or reacting to, changes in our business and the industries in which we operate.</w:t>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to competition from traditional financing sources and non-traditional lenders, we may not be able to compete successfully.</w:t>
      </w:r>
    </w:p>
    <w:p>
      <w:pPr>
        <w:spacing w:after="0" w:line="13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automobile finance market for consumers who do not qualify for conventional automobile financing is large and highly competitive. The market is served by a variety of companies including “buy here, pay here” dealerships. The market is also currently served by banks, captive finance affiliates of automobile manufacturers, credit unions and independent finance companies both publicly and privately owned. Many of these companies are much larger and have greater financial resources than are available to us, and many have long-standing relationships with automobile dealerships. Providers of automobile financing have traditionally competed based on the interest rate charged, the quality of credit accepted, the flexibility of loan terms offered and the quality of service provided to dealers and consumers. There is potential that significant direct competition could emerge and that we may be unable to compete successfully. Additionally, if we are unsuccessful in maintaining and expanding our relationships with dealer-partners, we may be unable to accept Consumer Loans in the volume and on the terms that we anticipate.</w:t>
      </w:r>
    </w:p>
    <w:p>
      <w:pPr>
        <w:spacing w:after="0" w:line="192" w:lineRule="exact"/>
        <w:rPr>
          <w:sz w:val="20"/>
          <w:szCs w:val="20"/>
          <w:color w:val="auto"/>
        </w:rPr>
      </w:pPr>
    </w:p>
    <w:p>
      <w:pPr>
        <w:ind w:left="240" w:right="30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flows to service our outstanding debt and fund operations and may be forced to take other actions to satisfy our obligations under such debt.</w:t>
      </w:r>
    </w:p>
    <w:p>
      <w:pPr>
        <w:spacing w:after="0" w:line="76"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Our ability to make payments of principal and interest on indebtedness will depend in part on our cash flows from operations, which are subject to economic, financial, competitive and other factors beyond our control. We cannot assure you that we will maintain a level of cash flows from operations sufficient to permit us to meet our debt service obligations. If we are unable to generate sufficient cash flows from operations to service our debt, we may be required to sell assets, refinance all or a portion of our existing debt or obtain additional financing. There can be no assurance that any refinancing will be possible or that any asset sales or additional financing can be completed on acceptable terms or at all.</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fluctuations may adversely affect our borrowing costs, profitability and liquidity.</w:t>
      </w:r>
    </w:p>
    <w:p>
      <w:pPr>
        <w:spacing w:after="0" w:line="13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Our profitability may be directly affected by the level of and fluctuations in interest rates, whether caused by changes in economic conditions or other factors, which affect our borrowing costs. Our profitability and liquidity could be materially adversely affected during any period of higher interest rates. We monitor the interest rate environment and employ hedging strategies designed to mitigate the impact of increases in interest rates. We can provide no assurance, however, that hedging strategies will mitigate the impact of increases in interest rates.</w:t>
      </w:r>
    </w:p>
    <w:p>
      <w:pPr>
        <w:spacing w:after="0" w:line="185" w:lineRule="exact"/>
        <w:rPr>
          <w:sz w:val="20"/>
          <w:szCs w:val="20"/>
          <w:color w:val="auto"/>
        </w:rPr>
      </w:pPr>
    </w:p>
    <w:p>
      <w:pPr>
        <w:ind w:left="240" w:right="420"/>
        <w:spacing w:after="0" w:line="277" w:lineRule="auto"/>
        <w:rPr>
          <w:sz w:val="20"/>
          <w:szCs w:val="20"/>
          <w:color w:val="auto"/>
        </w:rPr>
      </w:pPr>
      <w:r>
        <w:rPr>
          <w:rFonts w:ascii="Arial" w:cs="Arial" w:eastAsia="Arial" w:hAnsi="Arial"/>
          <w:sz w:val="18"/>
          <w:szCs w:val="18"/>
          <w:b w:val="1"/>
          <w:bCs w:val="1"/>
          <w:i w:val="1"/>
          <w:iCs w:val="1"/>
          <w:color w:val="auto"/>
        </w:rPr>
        <w:t>Reduction in our credit rating could increase the cost of our funding from, and restrict our access to, the capital markets and adversely affect our liquidity, financial condition and results of operations.</w:t>
      </w:r>
    </w:p>
    <w:p>
      <w:pPr>
        <w:spacing w:after="0" w:line="7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Credit rating agencies evaluate us, and their ratings of our debt and creditworthiness are based on a number of factors. These factors include our financial strength and other factors not entirely within our control, including conditions affecting the financial services industry generally. In light of the difficulties facing the financial services industry and the financial markets, there can be no assurance that we will maintain our current ratings. Failure to maintain those ratings could, among other things, adversely limit our access to the capital markets and affect the cost and other terms upon which we are able to obtain financing.</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incur substantially more debt and other liabilities. This could exacerbate further the risks associated with our current debt levels.</w:t>
      </w:r>
    </w:p>
    <w:p>
      <w:pPr>
        <w:spacing w:after="0" w:line="142"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may be able to incur substantial additional debt in the future. Although the terms of our debt instruments contain restrictions on our ability to incur additional debt, these restrictions are subject to exceptions that could permit us to incur a substantial amount of additional debt. In addition, our debt instruments do not prevent us from incurring liabilities that do not constitute indebtedness as defined for purposes of those debt instruments. If new debt or other liabilities are added to our current debt levels, the risks associated with our having substantial debt could intensify.</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140" w:gutter="0" w:footer="0" w:header="0"/>
        </w:sectPr>
      </w:pPr>
    </w:p>
    <w:bookmarkStart w:id="7" w:name="page8"/>
    <w:bookmarkEnd w:id="7"/>
    <w:p>
      <w:pPr>
        <w:ind w:left="240"/>
        <w:spacing w:after="0"/>
        <w:rPr>
          <w:sz w:val="20"/>
          <w:szCs w:val="20"/>
          <w:color w:val="auto"/>
        </w:rPr>
      </w:pPr>
      <w:r>
        <w:rPr>
          <w:rFonts w:ascii="Arial" w:cs="Arial" w:eastAsia="Arial" w:hAnsi="Arial"/>
          <w:sz w:val="18"/>
          <w:szCs w:val="18"/>
          <w:b w:val="1"/>
          <w:bCs w:val="1"/>
          <w:i w:val="1"/>
          <w:iCs w:val="1"/>
          <w:color w:val="auto"/>
        </w:rPr>
        <w:t>The regulation to which we are or may become subject could result in a material adverse effect on our business.</w:t>
      </w:r>
    </w:p>
    <w:p>
      <w:pPr>
        <w:spacing w:after="0" w:line="13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business is subject to laws and regulations including the Truth in Lending Act, the Equal Credit Opportunity Act, the Fair Credit Reporting Act and other various state and federal laws and regulations. These laws and regulations, among other things, require licensing and qualification; limit interest rates, fees and other charges associated with the Consumer Loans assigned to us; require specified disclosures by dealer-partners to consumers; govern the sale and terms of ancillary products; and define the rights to repossess and sell collateral. Failure to comply with these laws or regulations could have a material adverse effect on us by, among other things, limiting the jurisdictions in which we may operate, restricting our ability to realize the value of the collateral securing the Consumer Loans, making it more costly or burdensome to do business or resulting in potential liability. The volume of new or modified laws and regulations has increased in recent years and has increased significantly in response to issues arising with respect to consumer lending. From time to time, legislation and regulations are enacted which increase the cost of doing business, limit or expand permissible activities or affect the competitive balance among financial services providers. Proposals to change the laws and regulations governing the operations and taxation of financial institutions and financial services providers are frequently made in the U.S. Congress, in the state legislatures and by various regulatory agencies. This legislation may change our operating environment in substantial and unpredictable ways and may have a material adverse effect on our business. For example, the U.S. House of Representatives has passed legislation relating to the creation of a consumer financial protection agency that would provide the U.S. federal government with broad powers to regulate consumer financial services products. We cannot predict whether any of this potential legislation will be enacted and, if enacted, the effect that it, or any implementing regulations, would have on the financial condition or results of operations of us, but these changes could impact the profitability of our business activities, require us to change certain of our business practices and expose us to additional costs (including increased compliance costs). In addition, governmental regulations which would deplete the supply of used vehicles, such as environmental protection regulations governing emissions or fuel consumption, could have a material adverse effect on us.</w:t>
      </w:r>
    </w:p>
    <w:p>
      <w:pPr>
        <w:spacing w:after="0" w:line="8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Our dealer-partners must also comply with credit and trade practice statutes and regulations. Failure of our dealer-partners to comply with these statutes and regulations could result in consumers having rights of rescission and other remedies that could have a material adverse effect on us.</w:t>
      </w:r>
    </w:p>
    <w:p>
      <w:pPr>
        <w:spacing w:after="0" w:line="5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sale of vehicle service contracts and insurance products by dealer-partners in connection with Consumer Loans assigned to us by dealer-partners is also subject to state laws and regulations. As we are the holder of the Consumer Loans that may, in part, finance these products, some of these state laws and regulations may apply to our servicing and collection of the Consumer Loans. Although these laws and regulations do not significantly affect our business, there can be no assurance that insurance or other regulatory authorities in the jurisdictions in which these products are offered by dealer-partners will not seek to regulate or restrict the operation of our business in these jurisdictions. Any regulation or restriction of our business in these jurisdictions could materially adversely affect the income received from these products.</w:t>
      </w:r>
    </w:p>
    <w:p>
      <w:pPr>
        <w:spacing w:after="0" w:line="207"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b w:val="1"/>
          <w:bCs w:val="1"/>
          <w:i w:val="1"/>
          <w:iCs w:val="1"/>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subject to general economic conditions which are beyond our control. Recently, concerns over the availability and cost of credit,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U.S. mortgage market, a declining real estate market and geopolitical issues have contributed to increased volatility and diminished expectations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economy and financial markets going forward. During periods of economic slowdown or recession, delinquencies, defaults, repossessions and losses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on our Consumer Loans. These periods are also typically accompanied by decreased consumer demand for automobiles and declining values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automobiles securing outstanding Consumer Loans, which weakens collateral coverage and increases the amount of a loss in the event of default.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increases in the inventory of used automobiles during periods of economic recession may also depress the prices at which repossessed automobiles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sold or delay the timing of these sales. Additionally, higher gasoline prices, declining stock market values, unstable real estate values, resets of adjustable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mortgages to higher interest rates, increasing unemployment levels, general availability of consumer credit or other factors that impact consumer confidence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disposable income could increase loss frequency and decrease consumer demand for automobiles as well as weaken collateral values of automobiles.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Because our business is focused on consumers who do not qualify for conventional automobile financing, the actual rates of delinquencies, defaults,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repossessions and losses on these Consumer Loans could be higher than that of those experienced in the general automobile finance industry and could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more dramatically affected by a general economic downturn.</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rely on dealer-partners to originate Consumer Loans. High levels of dealer-partner attrition, due to a general economic downturn or otherwise, could materially adversely affect our operations. In addition, we rely on vendors to provide us with services we need to operate our business. Any disruption in our operations due to the untimely or discontinued supply of these services could substantially adversely affect our operations. Finally, during an economic slowdown or recession, our servicing costs may increase without a corresponding increase in service fee income. Any sustained period of increased delinquencies, defaults, repossessions or losses or increased servicing costs could also materially adversely affect our financial position, liquidity and results of operations and our ability to enter into future financing transactions.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Litigation we are involved in from time to time may adversely affect our financial condition, results of operations and cash flows.</w:t>
      </w:r>
    </w:p>
    <w:p>
      <w:pPr>
        <w:spacing w:after="0" w:line="13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result of the consumer-oriented nature of the industry in which we operate and uncertainties with respect to the application of various laws and regulations in some circumstances, we are subject to various consumer claims and litigation seeking damages and statutory penalties based upon, among other things, usury, disclosure inaccuracies, wrongful repossession, violations of bankruptcy stay provisions, certificate of title disputes, fraud and breach of contract. As the assignee of Consumer Loans originated by dealer-partners, we may also be named as a co-defendant in lawsuits filed by consumers principally against dealer-partners. We may also have disputes and litigation with dealer-partners relating to our dealer servicing and related agreements, including claims for, among other things, breach of contract or other duties purportedly owed to the dealer-partners. The damages and penalties that may be claimed by consumers or dealer-partners in these types of matters can be substantial. The relief requested by plaintiffs varies but may include requests for compensatory, statutory and punitive damages, and plaintiffs may seek treatment as purported class actions. A significant judgment against us in connection with any litigation or arbitration could have a material adverse effect on our financial position, liquidity and results of operations.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ind w:left="240"/>
        <w:spacing w:after="0"/>
        <w:rPr>
          <w:sz w:val="20"/>
          <w:szCs w:val="20"/>
          <w:color w:val="auto"/>
        </w:rPr>
      </w:pPr>
      <w:r>
        <w:rPr>
          <w:rFonts w:ascii="Arial" w:cs="Arial" w:eastAsia="Arial" w:hAnsi="Arial"/>
          <w:sz w:val="18"/>
          <w:szCs w:val="18"/>
          <w:b w:val="1"/>
          <w:bCs w:val="1"/>
          <w:i w:val="1"/>
          <w:iCs w:val="1"/>
          <w:color w:val="auto"/>
        </w:rPr>
        <w:t>Our operations are dependent on technology.</w:t>
      </w:r>
    </w:p>
    <w:p>
      <w:pPr>
        <w:spacing w:after="0" w:line="13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Virtually all Consumer Loans accepted and purchased by us are processed through our internet-based CAPS application, which enables our dealer-partners to interact with our proprietary credit scoring system. Our Consumer Loan servicing platform is also technology based. We rely on these systems to record and process significant amounts of data quickly and accurately and believe that these systems provide us with a competitive advantage. All of these systems are dependent upon computer and telecommunications equipment, software systems and Internet access. The temporary or permanent loss of any components of these systems through hardware failures, software errors, the vulnerability of the Internet, operating malfunctions or otherwise could interrupt our business operations, harm our business and adversely affect our competitive advantage. In addition, our competitors could create or acquire systems similar to ours, which would adversely affect our competitive advantage.</w:t>
      </w:r>
    </w:p>
    <w:p>
      <w:pPr>
        <w:spacing w:after="0" w:line="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rely on a variety of measures to protect our technology and proprietary information, including copyrights, trade secrets and patents. However, these measures may not prevent misappropriation or infringement of our intellectual property or proprietary information, which would adversely affect us. In addition, our competitors or other third parties may allege that our systems, processes or technologies infringe their intellectual property rights.</w:t>
      </w:r>
    </w:p>
    <w:p>
      <w:pPr>
        <w:spacing w:after="0" w:line="7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ability to integrate computer and telecommunications technologies into our business is essential to our success. Computer and telecommunications technologies are evolving rapidly and are characterized by short product life cycles. We may not be successful in anticipating, managing or adopting technological changes on a timely basis. While we believe that our existing information systems are sufficient to meet our current demands and continued expansion, our future growth may require additional investment in these systems. We cannot assure that adequate capital resources will be available to us at the appropriate time.</w:t>
      </w:r>
    </w:p>
    <w:p>
      <w:pPr>
        <w:spacing w:after="0" w:line="202"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are dependent on our senior management, and the loss of any of these individuals or an inability to hire additional team members could adversely affect our ability to operate profitably.</w:t>
      </w:r>
    </w:p>
    <w:p>
      <w:pPr>
        <w:spacing w:after="0" w:line="76"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Our senior management team average over 11 years of experience with us. Our success is dependent upon the management and the leadership skills of this team. In addition, competition from other companies to hire our team members possessing the necessary skills and experience required could contribute to an increase in team member turnover. The loss of any of these individuals or an inability to attract and retain additional qualified team members could adversely affect us. There can be no assurance that we will be able to retain our existing senior management or attract additional qualified team members.</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reputation is a key asset to our business, and our business may be affected by how we are perceived in the marketplace.</w:t>
      </w:r>
    </w:p>
    <w:p>
      <w:pPr>
        <w:spacing w:after="0" w:line="13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Our reputation is a key asset to our business. Our ability to attract and retain consumers through our dealer-partners is highly dependent upon external perceptions of our level of service, trustworthiness, business practices and financial condition. Negative publicity regarding these matters could damage our reputation among existing and potential consumers and dealer-partners, which could make it difficult for us to attract new consumers and dealer-partners and maintain existing ones. Adverse developments with respect to our industry may also, by association, negatively impact our reputation or result in greater regulatory or legislative scrutiny or litigation against us.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concentration of our dealer-partners in several states could adversely affect us.</w:t>
      </w:r>
    </w:p>
    <w:p>
      <w:pPr>
        <w:spacing w:after="0" w:line="13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partnered with dealer-partners throughout the United States. During the nine months ended September 30, 2009, our five largest states (measured by total value of Consumer Loans) contained approximately 29.3% of our dealer-partners. While we believe we have a diverse geographic presence, for the near term, we expect that significant amounts of Consumer Loans will continue to be generated by dealer-partners in these five states due to the number of dealer-partners in these states and currently-prevailing economic, demographic, regulatory, competitive and other conditions in these states. Changes to conditions in these states could lead to an increase in dealer-partner attrition or a reduction in demand for our service that could materially adversely affect our financial position, liquidity and results of operations.</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Failure to properly safeguard confidential consumer information could subject us to liability, decrease our profitability and damage our reputation.</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third parties or our employees are able to breach our network security or otherwise misappropriate our customers’ personal information or loan information, or if we give third parties or our employees improper access to our customers’ personal information or loan information, we could be subject to liability. This liability could include identity theft or other similar fraud-related claims. This liability could also include claims for other misuses or losses of personal information, including for unauthorized marketing purposes. Other liabilities could include claims alleging misrepresentation of our privacy and data security practices.</w:t>
      </w:r>
    </w:p>
    <w:p>
      <w:pPr>
        <w:spacing w:after="0" w:line="94"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rely on encryption and authentication technology licensed from third parties to provide the security and authentication necessary to secure online transmission of confidential consumer information. Advances in computer capabilities, new discoveries in the field of cryptography or other events or developments may result in a compromise or breach of the algorithms that we use to protect sensitive customer transaction data. A party who is able to circumvent our security measures could misappropriate proprietary information or cause interruptions in our operations. We may be required to expend capital and other resources to protect against security breaches or to alleviate problems caused by security breaches. Our security measures are designed to protect against security breaches, but our failure to prevent security breaches could subject us to liability, decrease our profitability and damage our reputation.</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left="240" w:right="120"/>
        <w:spacing w:after="0" w:line="277" w:lineRule="auto"/>
        <w:rPr>
          <w:sz w:val="20"/>
          <w:szCs w:val="20"/>
          <w:color w:val="auto"/>
        </w:rPr>
      </w:pPr>
      <w:r>
        <w:rPr>
          <w:rFonts w:ascii="Arial" w:cs="Arial" w:eastAsia="Arial" w:hAnsi="Arial"/>
          <w:sz w:val="18"/>
          <w:szCs w:val="18"/>
          <w:b w:val="1"/>
          <w:bCs w:val="1"/>
          <w:i w:val="1"/>
          <w:iCs w:val="1"/>
          <w:color w:val="auto"/>
        </w:rPr>
        <w:t>CAC’s founder controls a majority of CAC’s common stock, has the ability to control matters requiring shareholder approval and has interests which may conflict with the interests of CAC’s other security holders.</w:t>
      </w:r>
    </w:p>
    <w:p>
      <w:pPr>
        <w:spacing w:after="0" w:line="7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founder owns a large enough stake of CAC to control matters presented to shareholders, including the election and removal of directors, the approval of significant corporate transactions, such as any reclassification, reorganization, merger, consolidation or sale of all or substantially all of our assets, and the control of our management and affairs, including executive compensation arrangements. His interests may conflict with the interests of CAC’s other security holders.</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Reliance on our outsourced business functions could adversely affect our business.</w:t>
      </w:r>
    </w:p>
    <w:p>
      <w:pPr>
        <w:spacing w:after="0" w:line="13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outsource a portion of our collections functions to companies in India and Costa Rica and a portion of our dealer-service center functions to a company in India. While we believe there are benefits to these arrangements, outsourcing increases our operational complexity and decreases our control. We rely on these service providers to provide a high level of service and support, which subjects us to risks associated with inadequate or untimely service. For example, the outsourcing of collection functions could result in lower collection rates on our Consumer Loans than we would have achieved had we performed the same functions internally. In addition, if these outsourcing arrangements were not renewed or were terminated or the services provided to us were otherwise disrupted, we would have to obtain these services from an alternative provider or provide them using our internal resources. We may be unable to replace, or be delayed in replacing these sources and there is a risk that we would be unable to enter into a similar agreement with an alternate provider on terms that we consider favorable or in a timely manner. In the future, we may outsource other business functions. If any of these or other risks related to outsourcing were realized, our financial position, liquidity and results of operations could be adversely affected.</w:t>
      </w:r>
    </w:p>
    <w:p>
      <w:pPr>
        <w:spacing w:after="0" w:line="180"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Natural disasters, acts of war, terrorist attacks and threats or the escalation of military activity in response to these attacks or otherwise may negatively affect our business, financial condition and results of operations.</w:t>
      </w:r>
    </w:p>
    <w:p>
      <w:pPr>
        <w:spacing w:after="0" w:line="76"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Natural disasters, acts of war, terrorist attacks and the escalation of military activity in response to these attacks or otherwise may have negative and significant effects, such as imposition of increased security measures, changes in applicable laws, market disruptions and job losses. These events may have an adverse effect on the economy in general. Moreover, the potential for future terrorist attacks and the national and international responses to these threats could affect the business in ways that cannot be predicted. The effect of any of these events or threats could have a material adverse effect on our business, financial condition and results of operations.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received comments from the staff of the SEC that remain unresolved.</w:t>
      </w:r>
    </w:p>
    <w:p>
      <w:pPr>
        <w:spacing w:after="0" w:line="13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During 2009, we received comment letters from the staff of the SEC relating to our use of an accelerated revenue recognition policy with respect to premiums earned by VSC Re for reinsuring vehicle service contracts. We provided the SEC staff with an explanation of our use of such policy and information regarding the vehicle service contracts that VSC Re reinsures. On January 12, 2010, we received a further comment letter from the SEC staff requesting additional information regarding the pools of vehicle service contracts that VSC Re reinsures. We are in the process of responding to that request. Although we believe that all of the premiums earned by VSC Re are eligible for accelerated revenue recognition in accordance with our revenue recognition policy, there can be no assurance that the SEC staff will agree, and it is possible that we could be required to make changes to our financial statements that would adversely affect our results of operations or financial condition in one or more periods.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sectPr>
      <w:pgSz w:w="11900" w:h="16838" w:orient="portrait"/>
      <w:cols w:equalWidth="0" w:num="1">
        <w:col w:w="11400"/>
      </w:cols>
      <w:pgMar w:left="24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2019-12-10T10:35:36Z</dcterms:created>
  <dcterms:modified xsi:type="dcterms:W3CDTF">2019-12-10T10:35:36Z</dcterms:modified>
</cp:coreProperties>
</file>