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8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Exchange Act of 1934 (Amendment No. 1)</w:t>
      </w:r>
    </w:p>
    <w:p>
      <w:pPr>
        <w:spacing w:after="0" w:line="5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Preliminary proxy statement.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Definitive additional materials.</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w:t>
      </w:r>
    </w:p>
    <w:p>
      <w:pPr>
        <w:spacing w:after="0" w:line="20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color w:val="auto"/>
        </w:rPr>
        <w:t>CREDIT ACCEPTANCE CORPORATION</w:t>
      </w:r>
    </w:p>
    <w:p>
      <w:pPr>
        <w:spacing w:after="0" w:line="4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Fee computed on table below per Exchange Act Rules 14a-6(i)(1) and 0-11.</w:t>
      </w:r>
    </w:p>
    <w:p>
      <w:pPr>
        <w:spacing w:after="0" w:line="97" w:lineRule="exact"/>
        <w:rPr>
          <w:sz w:val="24"/>
          <w:szCs w:val="24"/>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-2314575</wp:posOffset>
            </wp:positionV>
            <wp:extent cx="6903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-1697355</wp:posOffset>
            </wp:positionV>
            <wp:extent cx="6903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-942340</wp:posOffset>
            </wp:positionV>
            <wp:extent cx="6903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-325120</wp:posOffset>
            </wp:positionV>
            <wp:extent cx="6903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292100</wp:posOffset>
            </wp:positionV>
            <wp:extent cx="6903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Times New Roman" w:cs="Times New Roman" w:eastAsia="Times New Roman" w:hAnsi="Times New Roman"/>
          <w:sz w:val="18"/>
          <w:szCs w:val="18"/>
          <w:color w:val="auto"/>
        </w:rPr>
      </w:pPr>
    </w:p>
    <w:p>
      <w:pPr>
        <w:ind w:left="220" w:right="480" w:hanging="212"/>
        <w:spacing w:after="0" w:line="282"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-1560195</wp:posOffset>
            </wp:positionV>
            <wp:extent cx="6903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-942340</wp:posOffset>
            </wp:positionV>
            <wp:extent cx="6903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-325120</wp:posOffset>
            </wp:positionV>
            <wp:extent cx="6903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292100</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08" w:right="439" w:bottom="536"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Acceptance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25505 West Twelve Mile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Southfield, Michigan 48034-8339</w:t>
      </w:r>
    </w:p>
    <w:p>
      <w:pPr>
        <w:spacing w:after="0" w:line="99" w:lineRule="exact"/>
        <w:rPr>
          <w:sz w:val="20"/>
          <w:szCs w:val="20"/>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The following supplements and amends the definitive proxy statement on Schedule 14A filed with the Securities and Exchange Commission on April 10, 2009 (the “2009 Proxy Statement”), by Credit Acceptance Corporation (the “Company”). This supplement to the 2009 Proxy Statement is first being made available to shareholders of the Company on April 16, 2009.</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40" w:firstLine="222"/>
        <w:spacing w:after="0" w:line="257" w:lineRule="auto"/>
        <w:rPr>
          <w:sz w:val="20"/>
          <w:szCs w:val="20"/>
          <w:color w:val="auto"/>
        </w:rPr>
      </w:pPr>
      <w:r>
        <w:rPr>
          <w:rFonts w:ascii="Times New Roman" w:cs="Times New Roman" w:eastAsia="Times New Roman" w:hAnsi="Times New Roman"/>
          <w:sz w:val="18"/>
          <w:szCs w:val="18"/>
          <w:color w:val="auto"/>
        </w:rPr>
        <w:t>The Company is revising certain information contained in the 2009 Proxy Statement in order to properly reflect the number of restricted stock units granted to Brett A. Roberts, Chief Executive Officer of the Company, under the Company’s Incentive Compensation Plan prior to April 6, 2009, appearing on page 24 of the 2009 Proxy Statement. After filing the 2009 Proxy Statement, it was discovered that the Previously Granted Awards Table reflected only</w:t>
      </w:r>
    </w:p>
    <w:p>
      <w:pPr>
        <w:spacing w:after="0" w:line="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Mr. Roberts’ 180,000 previously granted restricted stock units that are currently unvested rather than both his previously granted vested and unvested restricted stock units, totalling 300,000 restricted stock units. The Previously Granted Awards Table below has been revised to indicate the correct restricted stock unit information for Mr. Roberts. Except for the correction of Mr. Roberts’ restricted stock unit information, there are no revisions to the 2009 Proxy Statement.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3020" w:type="dxa"/>
            <w:vAlign w:val="bottom"/>
            <w:tcBorders>
              <w:bottom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Previously Granted Awards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148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Restricted</w:t>
            </w:r>
          </w:p>
        </w:tc>
        <w:tc>
          <w:tcPr>
            <w:tcW w:w="1540" w:type="dxa"/>
            <w:vAlign w:val="bottom"/>
          </w:tcPr>
          <w:p>
            <w:pPr>
              <w:jc w:val="center"/>
              <w:ind w:left="176"/>
              <w:spacing w:after="0" w:line="118" w:lineRule="exact"/>
              <w:rPr>
                <w:sz w:val="20"/>
                <w:szCs w:val="20"/>
                <w:color w:val="auto"/>
              </w:rPr>
            </w:pPr>
            <w:r>
              <w:rPr>
                <w:rFonts w:ascii="Times New Roman" w:cs="Times New Roman" w:eastAsia="Times New Roman" w:hAnsi="Times New Roman"/>
                <w:sz w:val="13"/>
                <w:szCs w:val="13"/>
                <w:b w:val="1"/>
                <w:bCs w:val="1"/>
                <w:color w:val="auto"/>
              </w:rPr>
              <w:t>Restricted</w:t>
            </w:r>
          </w:p>
        </w:tc>
        <w:tc>
          <w:tcPr>
            <w:tcW w:w="0" w:type="dxa"/>
            <w:vAlign w:val="bottom"/>
          </w:tcPr>
          <w:p>
            <w:pPr>
              <w:spacing w:after="0"/>
              <w:rPr>
                <w:sz w:val="1"/>
                <w:szCs w:val="1"/>
                <w:color w:val="auto"/>
              </w:rPr>
            </w:pPr>
          </w:p>
        </w:tc>
      </w:tr>
      <w:tr>
        <w:trPr>
          <w:trHeight w:val="149"/>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4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540" w:type="dxa"/>
            <w:vAlign w:val="bottom"/>
          </w:tcPr>
          <w:p>
            <w:pPr>
              <w:jc w:val="center"/>
              <w:ind w:left="196"/>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180"/>
        </w:trPr>
        <w:tc>
          <w:tcPr>
            <w:tcW w:w="8400" w:type="dxa"/>
            <w:vAlign w:val="bottom"/>
            <w:gridSpan w:val="2"/>
            <w:vMerge w:val="continue"/>
          </w:tcPr>
          <w:p>
            <w:pPr>
              <w:spacing w:after="0"/>
              <w:rPr>
                <w:sz w:val="15"/>
                <w:szCs w:val="15"/>
                <w:color w:val="auto"/>
              </w:rPr>
            </w:pPr>
          </w:p>
        </w:tc>
        <w:tc>
          <w:tcPr>
            <w:tcW w:w="14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40" w:type="dxa"/>
            <w:vAlign w:val="bottom"/>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A. Roberts, Chief Executive Officer</w:t>
            </w:r>
          </w:p>
        </w:tc>
        <w:tc>
          <w:tcPr>
            <w:tcW w:w="148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53,138</w:t>
            </w:r>
          </w:p>
        </w:tc>
        <w:tc>
          <w:tcPr>
            <w:tcW w:w="15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Steven M. Jones, President</w:t>
            </w:r>
          </w:p>
        </w:tc>
        <w:tc>
          <w:tcPr>
            <w:tcW w:w="14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36,431</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S. Booth, Chief Financial Officer</w:t>
            </w:r>
          </w:p>
        </w:tc>
        <w:tc>
          <w:tcPr>
            <w:tcW w:w="148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13,926</w:t>
            </w:r>
          </w:p>
        </w:tc>
        <w:tc>
          <w:tcPr>
            <w:tcW w:w="15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Michael P. Miotto, Chief Information Officer</w:t>
            </w:r>
          </w:p>
        </w:tc>
        <w:tc>
          <w:tcPr>
            <w:tcW w:w="14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10,487</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as a Group (8 persons)</w:t>
            </w:r>
          </w:p>
        </w:tc>
        <w:tc>
          <w:tcPr>
            <w:tcW w:w="148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128,857</w:t>
            </w:r>
          </w:p>
        </w:tc>
        <w:tc>
          <w:tcPr>
            <w:tcW w:w="15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Officer Employee Group</w:t>
            </w:r>
          </w:p>
        </w:tc>
        <w:tc>
          <w:tcPr>
            <w:tcW w:w="14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65,964</w:t>
            </w:r>
          </w:p>
        </w:tc>
        <w:tc>
          <w:tcPr>
            <w:tcW w:w="15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194,821</w:t>
            </w:r>
          </w:p>
        </w:tc>
        <w:tc>
          <w:tcPr>
            <w:tcW w:w="15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755,000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2019-12-13T22:15:19Z</dcterms:created>
  <dcterms:modified xsi:type="dcterms:W3CDTF">2019-12-13T22:15:19Z</dcterms:modified>
</cp:coreProperties>
</file>