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29, 2010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CREDIT ACCEPTANCE CORPORATION</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6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16"/>
        </w:trPr>
        <w:tc>
          <w:tcPr>
            <w:tcW w:w="384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Michigan</w:t>
            </w:r>
          </w:p>
        </w:tc>
        <w:tc>
          <w:tcPr>
            <w:tcW w:w="36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of incorporation)</w:t>
            </w:r>
          </w:p>
        </w:tc>
        <w:tc>
          <w:tcPr>
            <w:tcW w:w="18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25505 West Twelve Mile Road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3840" w:type="dxa"/>
            <w:vAlign w:val="bottom"/>
            <w:tcBorders>
              <w:bottom w:val="single" w:sz="8" w:color="auto"/>
            </w:tcBorders>
            <w:gridSpan w:val="2"/>
          </w:tcPr>
          <w:p>
            <w:pPr>
              <w:jc w:val="center"/>
              <w:ind w:left="1510"/>
              <w:spacing w:after="0"/>
              <w:rPr>
                <w:sz w:val="20"/>
                <w:szCs w:val="20"/>
                <w:color w:val="auto"/>
              </w:rPr>
            </w:pPr>
            <w:r>
              <w:rPr>
                <w:rFonts w:ascii="Arial" w:cs="Arial" w:eastAsia="Arial" w:hAnsi="Arial"/>
                <w:sz w:val="18"/>
                <w:szCs w:val="18"/>
                <w:color w:val="auto"/>
                <w:w w:val="93"/>
              </w:rPr>
              <w:t>Southfield, Michigan</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48034-8339</w:t>
            </w:r>
          </w:p>
        </w:tc>
      </w:tr>
      <w:tr>
        <w:trPr>
          <w:trHeight w:val="224"/>
        </w:trPr>
        <w:tc>
          <w:tcPr>
            <w:tcW w:w="54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29, 2010, Credit Acceptance Corporation (the “Company”), issued a press release announcing its financial results for the three months ended March 31, 2010. The press release is attached as Exhibit 99.1 to this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931" w:right="8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Kenneth S. Booth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April 29, 2010</w:t>
      </w:r>
    </w:p>
    <w:p>
      <w:pPr>
        <w:sectPr>
          <w:pgSz w:w="11900" w:h="16838" w:orient="portrait"/>
          <w:cols w:equalWidth="0" w:num="1">
            <w:col w:w="11220"/>
          </w:cols>
          <w:pgMar w:left="240" w:top="95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April 29, 2010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2010 EARNINGS</w:t>
      </w:r>
    </w:p>
    <w:p>
      <w:pPr>
        <w:spacing w:after="0" w:line="9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Southfield, Michigan – April 29, 2010 – Credit Acceptance Corporation (NASDAQ: CACC) </w:t>
      </w:r>
      <w:r>
        <w:rPr>
          <w:rFonts w:ascii="Arial" w:cs="Arial" w:eastAsia="Arial" w:hAnsi="Arial"/>
          <w:sz w:val="18"/>
          <w:szCs w:val="18"/>
          <w:color w:val="auto"/>
        </w:rPr>
        <w:t>(referred to as the “Company”, “we”, “our”, or “us”)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consolidated net income of $32.0 million, or $1.01 per diluted share, for the three months ended March 31, 2010 compared to consolidated net income of $29.0 million, or $0.93 per diluted share, for the same period in 2009.</w:t>
      </w:r>
    </w:p>
    <w:p>
      <w:pPr>
        <w:spacing w:after="0" w:line="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Adjusted net income, a non-GAAP financial measure, for the three months ended March 31, 2010 was $35.5 million, or $1.12 per diluted share, compared to $24.7 million, or $0.79 per diluted share, for the same period in 2009.</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our Form 10-Q, filed today with the Securities and Exchange Commission, which will appear on our website at creditacceptance.com, for a complete discussion of the results of operations and financial data for the three months ended March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Details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We will host a webcast on April 29, 2010 at 5:00 p.m. Eastern Time to discuss first quarter 2010 results. The webcast can be accessed live by visiting the “Investor Relations” section of our website at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 xml:space="preserve"> or by dialing 877-303-2904. Additionally, a replay and transcript of the webcast will be archived in the “Investor Relations” section of our website.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the time the consumer loan is submitted to us for assignment, we forecast future expected cash flows from the consumer loan. Based on these forecasts, an advance or one-time payment is made to the related dealer-partner at a price designed to achieve an acceptable return on capital. If consumer loan performance equals or exceeds our original expectation, it is likely our target return on capital will be achieved.</w:t>
      </w:r>
    </w:p>
    <w:p>
      <w:pPr>
        <w:spacing w:after="0" w:line="73"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March 31, 2010, with the forecasts as of December 31, 2009, and at the time of assignment, segmented by year of assignment: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Consumer</w:t>
            </w:r>
          </w:p>
        </w:tc>
        <w:tc>
          <w:tcPr>
            <w:tcW w:w="14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9"/>
              </w:rPr>
              <w:t>Forecasted Collection Percentage as of</w:t>
            </w: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9"/>
              </w:rPr>
              <w:t>Variance in Forecasted Collection Percentage from</w:t>
            </w:r>
          </w:p>
        </w:tc>
        <w:tc>
          <w:tcPr>
            <w:tcW w:w="0" w:type="dxa"/>
            <w:vAlign w:val="bottom"/>
          </w:tcPr>
          <w:p>
            <w:pPr>
              <w:spacing w:after="0"/>
              <w:rPr>
                <w:sz w:val="1"/>
                <w:szCs w:val="1"/>
                <w:color w:val="auto"/>
              </w:rPr>
            </w:pPr>
          </w:p>
        </w:tc>
      </w:tr>
      <w:tr>
        <w:trPr>
          <w:trHeight w:val="119"/>
        </w:trPr>
        <w:tc>
          <w:tcPr>
            <w:tcW w:w="1960" w:type="dxa"/>
            <w:vAlign w:val="bottom"/>
            <w:gridSpan w:val="2"/>
            <w:vMerge w:val="continue"/>
          </w:tcPr>
          <w:p>
            <w:pPr>
              <w:spacing w:after="0"/>
              <w:rPr>
                <w:sz w:val="10"/>
                <w:szCs w:val="10"/>
                <w:color w:val="auto"/>
              </w:rPr>
            </w:pPr>
          </w:p>
        </w:tc>
        <w:tc>
          <w:tcPr>
            <w:tcW w:w="1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Loan</w:t>
            </w:r>
          </w:p>
        </w:tc>
        <w:tc>
          <w:tcPr>
            <w:tcW w:w="14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1420" w:type="dxa"/>
            <w:vAlign w:val="bottom"/>
            <w:vMerge w:val="restart"/>
          </w:tcPr>
          <w:p>
            <w:pPr>
              <w:jc w:val="center"/>
              <w:ind w:right="313"/>
              <w:spacing w:after="0"/>
              <w:rPr>
                <w:sz w:val="20"/>
                <w:szCs w:val="20"/>
                <w:color w:val="auto"/>
              </w:rPr>
            </w:pPr>
            <w:r>
              <w:rPr>
                <w:rFonts w:ascii="Arial" w:cs="Arial" w:eastAsia="Arial" w:hAnsi="Arial"/>
                <w:sz w:val="14"/>
                <w:szCs w:val="14"/>
                <w:b w:val="1"/>
                <w:bCs w:val="1"/>
                <w:color w:val="auto"/>
              </w:rPr>
              <w:t>Initial</w:t>
            </w:r>
          </w:p>
        </w:tc>
        <w:tc>
          <w:tcPr>
            <w:tcW w:w="100" w:type="dxa"/>
            <w:vAlign w:val="bottom"/>
          </w:tcPr>
          <w:p>
            <w:pPr>
              <w:spacing w:after="0"/>
              <w:rPr>
                <w:sz w:val="12"/>
                <w:szCs w:val="12"/>
                <w:color w:val="auto"/>
              </w:rPr>
            </w:pPr>
          </w:p>
        </w:tc>
        <w:tc>
          <w:tcPr>
            <w:tcW w:w="18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Assignment</w:t>
            </w:r>
          </w:p>
        </w:tc>
        <w:tc>
          <w:tcPr>
            <w:tcW w:w="14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146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2"/>
              </w:rPr>
              <w:t>Forecast</w:t>
            </w:r>
          </w:p>
        </w:tc>
        <w:tc>
          <w:tcPr>
            <w:tcW w:w="1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Forecast</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0"/>
              </w:rPr>
              <w:t>67.5%</w:t>
            </w:r>
          </w:p>
        </w:tc>
        <w:tc>
          <w:tcPr>
            <w:tcW w:w="23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67.5%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313"/>
              <w:spacing w:after="0"/>
              <w:rPr>
                <w:sz w:val="20"/>
                <w:szCs w:val="20"/>
                <w:color w:val="auto"/>
              </w:rPr>
            </w:pPr>
            <w:r>
              <w:rPr>
                <w:rFonts w:ascii="Arial" w:cs="Arial" w:eastAsia="Arial" w:hAnsi="Arial"/>
                <w:sz w:val="18"/>
                <w:szCs w:val="18"/>
                <w:color w:val="auto"/>
                <w:w w:val="90"/>
              </w:rPr>
              <w:t>70.4%</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0.0%</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18"/>
                <w:szCs w:val="18"/>
                <w:color w:val="auto"/>
              </w:rPr>
            </w:pPr>
          </w:p>
        </w:tc>
        <w:tc>
          <w:tcPr>
            <w:tcW w:w="1460" w:type="dxa"/>
            <w:vAlign w:val="bottom"/>
          </w:tcPr>
          <w:p>
            <w:pPr>
              <w:jc w:val="center"/>
              <w:ind w:left="313"/>
              <w:spacing w:after="0"/>
              <w:rPr>
                <w:sz w:val="20"/>
                <w:szCs w:val="20"/>
                <w:color w:val="auto"/>
              </w:rPr>
            </w:pPr>
            <w:r>
              <w:rPr>
                <w:rFonts w:ascii="Arial" w:cs="Arial" w:eastAsia="Arial" w:hAnsi="Arial"/>
                <w:sz w:val="18"/>
                <w:szCs w:val="18"/>
                <w:color w:val="auto"/>
                <w:w w:val="90"/>
              </w:rPr>
              <w:t>70.5%</w:t>
            </w:r>
          </w:p>
        </w:tc>
        <w:tc>
          <w:tcPr>
            <w:tcW w:w="232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70.4%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center"/>
              <w:ind w:right="313"/>
              <w:spacing w:after="0"/>
              <w:rPr>
                <w:sz w:val="20"/>
                <w:szCs w:val="20"/>
                <w:color w:val="auto"/>
              </w:rPr>
            </w:pPr>
            <w:r>
              <w:rPr>
                <w:rFonts w:ascii="Arial" w:cs="Arial" w:eastAsia="Arial" w:hAnsi="Arial"/>
                <w:sz w:val="18"/>
                <w:szCs w:val="18"/>
                <w:color w:val="auto"/>
                <w:w w:val="90"/>
              </w:rPr>
              <w:t>67.9%</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0.1%</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0"/>
              </w:rPr>
              <w:t>73.7%</w:t>
            </w:r>
          </w:p>
        </w:tc>
        <w:tc>
          <w:tcPr>
            <w:tcW w:w="23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73.7%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313"/>
              <w:spacing w:after="0"/>
              <w:rPr>
                <w:sz w:val="20"/>
                <w:szCs w:val="20"/>
                <w:color w:val="auto"/>
              </w:rPr>
            </w:pPr>
            <w:r>
              <w:rPr>
                <w:rFonts w:ascii="Arial" w:cs="Arial" w:eastAsia="Arial" w:hAnsi="Arial"/>
                <w:sz w:val="18"/>
                <w:szCs w:val="18"/>
                <w:color w:val="auto"/>
                <w:w w:val="90"/>
              </w:rPr>
              <w:t>72.0%</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0.0%</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18"/>
                <w:szCs w:val="18"/>
                <w:color w:val="auto"/>
              </w:rPr>
            </w:pPr>
          </w:p>
        </w:tc>
        <w:tc>
          <w:tcPr>
            <w:tcW w:w="1460" w:type="dxa"/>
            <w:vAlign w:val="bottom"/>
          </w:tcPr>
          <w:p>
            <w:pPr>
              <w:jc w:val="center"/>
              <w:ind w:left="313"/>
              <w:spacing w:after="0"/>
              <w:rPr>
                <w:sz w:val="20"/>
                <w:szCs w:val="20"/>
                <w:color w:val="auto"/>
              </w:rPr>
            </w:pPr>
            <w:r>
              <w:rPr>
                <w:rFonts w:ascii="Arial" w:cs="Arial" w:eastAsia="Arial" w:hAnsi="Arial"/>
                <w:sz w:val="18"/>
                <w:szCs w:val="18"/>
                <w:color w:val="auto"/>
                <w:w w:val="90"/>
              </w:rPr>
              <w:t>73.1%</w:t>
            </w:r>
          </w:p>
        </w:tc>
        <w:tc>
          <w:tcPr>
            <w:tcW w:w="232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73.1%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center"/>
              <w:ind w:right="313"/>
              <w:spacing w:after="0"/>
              <w:rPr>
                <w:sz w:val="20"/>
                <w:szCs w:val="20"/>
                <w:color w:val="auto"/>
              </w:rPr>
            </w:pPr>
            <w:r>
              <w:rPr>
                <w:rFonts w:ascii="Arial" w:cs="Arial" w:eastAsia="Arial" w:hAnsi="Arial"/>
                <w:sz w:val="18"/>
                <w:szCs w:val="18"/>
                <w:color w:val="auto"/>
                <w:w w:val="90"/>
              </w:rPr>
              <w:t>73.0%</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0"/>
              </w:rPr>
              <w:t>73.8%</w:t>
            </w:r>
          </w:p>
        </w:tc>
        <w:tc>
          <w:tcPr>
            <w:tcW w:w="23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73.7%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313"/>
              <w:spacing w:after="0"/>
              <w:rPr>
                <w:sz w:val="20"/>
                <w:szCs w:val="20"/>
                <w:color w:val="auto"/>
              </w:rPr>
            </w:pPr>
            <w:r>
              <w:rPr>
                <w:rFonts w:ascii="Arial" w:cs="Arial" w:eastAsia="Arial" w:hAnsi="Arial"/>
                <w:sz w:val="18"/>
                <w:szCs w:val="18"/>
                <w:color w:val="auto"/>
                <w:w w:val="90"/>
              </w:rPr>
              <w:t>74.0%</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-0.2%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18"/>
                <w:szCs w:val="18"/>
                <w:color w:val="auto"/>
              </w:rPr>
            </w:pPr>
          </w:p>
        </w:tc>
        <w:tc>
          <w:tcPr>
            <w:tcW w:w="1460" w:type="dxa"/>
            <w:vAlign w:val="bottom"/>
          </w:tcPr>
          <w:p>
            <w:pPr>
              <w:jc w:val="center"/>
              <w:ind w:left="313"/>
              <w:spacing w:after="0"/>
              <w:rPr>
                <w:sz w:val="20"/>
                <w:szCs w:val="20"/>
                <w:color w:val="auto"/>
              </w:rPr>
            </w:pPr>
            <w:r>
              <w:rPr>
                <w:rFonts w:ascii="Arial" w:cs="Arial" w:eastAsia="Arial" w:hAnsi="Arial"/>
                <w:sz w:val="18"/>
                <w:szCs w:val="18"/>
                <w:color w:val="auto"/>
                <w:w w:val="90"/>
              </w:rPr>
              <w:t>70.3%</w:t>
            </w:r>
          </w:p>
        </w:tc>
        <w:tc>
          <w:tcPr>
            <w:tcW w:w="232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70.3%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center"/>
              <w:ind w:right="313"/>
              <w:spacing w:after="0"/>
              <w:rPr>
                <w:sz w:val="20"/>
                <w:szCs w:val="20"/>
                <w:color w:val="auto"/>
              </w:rPr>
            </w:pPr>
            <w:r>
              <w:rPr>
                <w:rFonts w:ascii="Arial" w:cs="Arial" w:eastAsia="Arial" w:hAnsi="Arial"/>
                <w:sz w:val="18"/>
                <w:szCs w:val="18"/>
                <w:color w:val="auto"/>
                <w:w w:val="90"/>
              </w:rPr>
              <w:t>71.4%</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0"/>
              </w:rPr>
              <w:t>68.1%</w:t>
            </w:r>
          </w:p>
        </w:tc>
        <w:tc>
          <w:tcPr>
            <w:tcW w:w="23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68.3%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313"/>
              <w:spacing w:after="0"/>
              <w:rPr>
                <w:sz w:val="20"/>
                <w:szCs w:val="20"/>
                <w:color w:val="auto"/>
              </w:rPr>
            </w:pPr>
            <w:r>
              <w:rPr>
                <w:rFonts w:ascii="Arial" w:cs="Arial" w:eastAsia="Arial" w:hAnsi="Arial"/>
                <w:sz w:val="18"/>
                <w:szCs w:val="18"/>
                <w:color w:val="auto"/>
                <w:w w:val="90"/>
              </w:rPr>
              <w:t>70.7%</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-0.2%</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8"/>
                <w:szCs w:val="18"/>
                <w:color w:val="auto"/>
              </w:rPr>
            </w:pPr>
          </w:p>
        </w:tc>
        <w:tc>
          <w:tcPr>
            <w:tcW w:w="1460" w:type="dxa"/>
            <w:vAlign w:val="bottom"/>
          </w:tcPr>
          <w:p>
            <w:pPr>
              <w:jc w:val="center"/>
              <w:ind w:left="313"/>
              <w:spacing w:after="0"/>
              <w:rPr>
                <w:sz w:val="20"/>
                <w:szCs w:val="20"/>
                <w:color w:val="auto"/>
              </w:rPr>
            </w:pPr>
            <w:r>
              <w:rPr>
                <w:rFonts w:ascii="Arial" w:cs="Arial" w:eastAsia="Arial" w:hAnsi="Arial"/>
                <w:sz w:val="18"/>
                <w:szCs w:val="18"/>
                <w:color w:val="auto"/>
                <w:w w:val="90"/>
              </w:rPr>
              <w:t>69.8%</w:t>
            </w:r>
          </w:p>
        </w:tc>
        <w:tc>
          <w:tcPr>
            <w:tcW w:w="232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70.0%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center"/>
              <w:ind w:right="313"/>
              <w:spacing w:after="0"/>
              <w:rPr>
                <w:sz w:val="20"/>
                <w:szCs w:val="20"/>
                <w:color w:val="auto"/>
              </w:rPr>
            </w:pPr>
            <w:r>
              <w:rPr>
                <w:rFonts w:ascii="Arial" w:cs="Arial" w:eastAsia="Arial" w:hAnsi="Arial"/>
                <w:sz w:val="18"/>
                <w:szCs w:val="18"/>
                <w:color w:val="auto"/>
                <w:w w:val="90"/>
              </w:rPr>
              <w:t>69.7%</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-0.2%</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0"/>
              </w:rPr>
              <w:t>76.4%</w:t>
            </w:r>
          </w:p>
        </w:tc>
        <w:tc>
          <w:tcPr>
            <w:tcW w:w="23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90"/>
              </w:rPr>
              <w:t>75.6%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313"/>
              <w:spacing w:after="0"/>
              <w:rPr>
                <w:sz w:val="20"/>
                <w:szCs w:val="20"/>
                <w:color w:val="auto"/>
              </w:rPr>
            </w:pPr>
            <w:r>
              <w:rPr>
                <w:rFonts w:ascii="Arial" w:cs="Arial" w:eastAsia="Arial" w:hAnsi="Arial"/>
                <w:sz w:val="18"/>
                <w:szCs w:val="18"/>
                <w:color w:val="auto"/>
                <w:w w:val="90"/>
              </w:rPr>
              <w:t>71.9%</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0.8%</w:t>
            </w:r>
          </w:p>
        </w:tc>
        <w:tc>
          <w:tcPr>
            <w:tcW w:w="1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Consumer loans assigned in 2002-2004 and 2008-2009 have performed better than our initial expectations while consumer loans assigned in 2001 and 2005-2007 have performed worse. During the first quarter of 2010, forecasted collection rates increased for consumer loans assigned in 2009, and decreased modestly for 2007 and 2008 consumer loan assignments.</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result of current economic conditions and uncertainty about future conditions, our forecasts of future collection rates are subject to a greater than normal degree of risk. Our pricing strategy considers this in that we have established advance rates that are intended to allow us to achieve acceptable levels of profitability, even if collection rates are less than we currently forecast.</w:t>
      </w:r>
    </w:p>
    <w:p>
      <w:pPr>
        <w:spacing w:after="0" w:line="7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March 31, 2010. Payments of dealer holdback and accelerated dealer holdback are not included in the advance percentage paid to the dealer-partner. All amounts are presented as a percentage of the initial balance of the consumer loan (principal + interest). The table includes both dealer loans and purchased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Consumer Loan</w:t>
            </w:r>
          </w:p>
        </w:tc>
        <w:tc>
          <w:tcPr>
            <w:tcW w:w="1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March 31, 2010</w:t>
            </w: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gridSpan w:val="2"/>
            <w:vMerge w:val="continue"/>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Forecasted</w:t>
            </w:r>
          </w:p>
        </w:tc>
        <w:tc>
          <w:tcPr>
            <w:tcW w:w="580" w:type="dxa"/>
            <w:vAlign w:val="bottom"/>
          </w:tcPr>
          <w:p>
            <w:pPr>
              <w:spacing w:after="0"/>
              <w:rPr>
                <w:sz w:val="10"/>
                <w:szCs w:val="10"/>
                <w:color w:val="auto"/>
              </w:rPr>
            </w:pPr>
          </w:p>
        </w:tc>
        <w:tc>
          <w:tcPr>
            <w:tcW w:w="13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6"/>
              </w:rPr>
              <w:t>Advance %</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Spread %</w:t>
            </w:r>
          </w:p>
        </w:tc>
        <w:tc>
          <w:tcPr>
            <w:tcW w:w="580" w:type="dxa"/>
            <w:vAlign w:val="bottom"/>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Collection %</w:t>
            </w:r>
          </w:p>
        </w:tc>
        <w:tc>
          <w:tcPr>
            <w:tcW w:w="5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94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46.0%</w:t>
            </w:r>
          </w:p>
        </w:tc>
        <w:tc>
          <w:tcPr>
            <w:tcW w:w="2840" w:type="dxa"/>
            <w:vAlign w:val="bottom"/>
            <w:gridSpan w:val="3"/>
            <w:shd w:val="clear" w:color="auto" w:fill="CCEEFF"/>
          </w:tcPr>
          <w:p>
            <w:pPr>
              <w:jc w:val="center"/>
              <w:ind w:left="952"/>
              <w:spacing w:after="0"/>
              <w:rPr>
                <w:sz w:val="20"/>
                <w:szCs w:val="20"/>
                <w:color w:val="auto"/>
              </w:rPr>
            </w:pPr>
            <w:r>
              <w:rPr>
                <w:rFonts w:ascii="Arial" w:cs="Arial" w:eastAsia="Arial" w:hAnsi="Arial"/>
                <w:sz w:val="18"/>
                <w:szCs w:val="18"/>
                <w:color w:val="auto"/>
                <w:w w:val="93"/>
              </w:rPr>
              <w:t>21.5%</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99.2%</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70.5%</w:t>
            </w:r>
          </w:p>
        </w:tc>
        <w:tc>
          <w:tcPr>
            <w:tcW w:w="194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42.2%</w:t>
            </w:r>
          </w:p>
        </w:tc>
        <w:tc>
          <w:tcPr>
            <w:tcW w:w="284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28.3%</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99.0%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73.7%</w:t>
            </w:r>
          </w:p>
        </w:tc>
        <w:tc>
          <w:tcPr>
            <w:tcW w:w="194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43.4%</w:t>
            </w:r>
          </w:p>
        </w:tc>
        <w:tc>
          <w:tcPr>
            <w:tcW w:w="2840" w:type="dxa"/>
            <w:vAlign w:val="bottom"/>
            <w:gridSpan w:val="3"/>
            <w:shd w:val="clear" w:color="auto" w:fill="CCEEFF"/>
          </w:tcPr>
          <w:p>
            <w:pPr>
              <w:jc w:val="center"/>
              <w:ind w:left="952"/>
              <w:spacing w:after="0"/>
              <w:rPr>
                <w:sz w:val="20"/>
                <w:szCs w:val="20"/>
                <w:color w:val="auto"/>
              </w:rPr>
            </w:pPr>
            <w:r>
              <w:rPr>
                <w:rFonts w:ascii="Arial" w:cs="Arial" w:eastAsia="Arial" w:hAnsi="Arial"/>
                <w:sz w:val="18"/>
                <w:szCs w:val="18"/>
                <w:color w:val="auto"/>
                <w:w w:val="93"/>
              </w:rPr>
              <w:t>30.3%</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98.9%</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73.1%</w:t>
            </w:r>
          </w:p>
        </w:tc>
        <w:tc>
          <w:tcPr>
            <w:tcW w:w="194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44.0%</w:t>
            </w:r>
          </w:p>
        </w:tc>
        <w:tc>
          <w:tcPr>
            <w:tcW w:w="284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29.1%</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98.4%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73.8%</w:t>
            </w:r>
          </w:p>
        </w:tc>
        <w:tc>
          <w:tcPr>
            <w:tcW w:w="194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46.9%</w:t>
            </w:r>
          </w:p>
        </w:tc>
        <w:tc>
          <w:tcPr>
            <w:tcW w:w="2840" w:type="dxa"/>
            <w:vAlign w:val="bottom"/>
            <w:gridSpan w:val="3"/>
            <w:shd w:val="clear" w:color="auto" w:fill="CCEEFF"/>
          </w:tcPr>
          <w:p>
            <w:pPr>
              <w:jc w:val="center"/>
              <w:ind w:left="952"/>
              <w:spacing w:after="0"/>
              <w:rPr>
                <w:sz w:val="20"/>
                <w:szCs w:val="20"/>
                <w:color w:val="auto"/>
              </w:rPr>
            </w:pPr>
            <w:r>
              <w:rPr>
                <w:rFonts w:ascii="Arial" w:cs="Arial" w:eastAsia="Arial" w:hAnsi="Arial"/>
                <w:sz w:val="18"/>
                <w:szCs w:val="18"/>
                <w:color w:val="auto"/>
                <w:w w:val="93"/>
              </w:rPr>
              <w:t>26.9%</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97.9%</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70.3%</w:t>
            </w:r>
          </w:p>
        </w:tc>
        <w:tc>
          <w:tcPr>
            <w:tcW w:w="194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46.6%</w:t>
            </w:r>
          </w:p>
        </w:tc>
        <w:tc>
          <w:tcPr>
            <w:tcW w:w="284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23.7%</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94.8%</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68.1%</w:t>
            </w:r>
          </w:p>
        </w:tc>
        <w:tc>
          <w:tcPr>
            <w:tcW w:w="194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46.5%</w:t>
            </w:r>
          </w:p>
        </w:tc>
        <w:tc>
          <w:tcPr>
            <w:tcW w:w="2840" w:type="dxa"/>
            <w:vAlign w:val="bottom"/>
            <w:gridSpan w:val="3"/>
            <w:shd w:val="clear" w:color="auto" w:fill="CCEEFF"/>
          </w:tcPr>
          <w:p>
            <w:pPr>
              <w:jc w:val="center"/>
              <w:ind w:left="952"/>
              <w:spacing w:after="0"/>
              <w:rPr>
                <w:sz w:val="20"/>
                <w:szCs w:val="20"/>
                <w:color w:val="auto"/>
              </w:rPr>
            </w:pPr>
            <w:r>
              <w:rPr>
                <w:rFonts w:ascii="Arial" w:cs="Arial" w:eastAsia="Arial" w:hAnsi="Arial"/>
                <w:sz w:val="18"/>
                <w:szCs w:val="18"/>
                <w:color w:val="auto"/>
                <w:w w:val="93"/>
              </w:rPr>
              <w:t>21.6%</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82.3%</w:t>
            </w: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69.8%</w:t>
            </w:r>
          </w:p>
        </w:tc>
        <w:tc>
          <w:tcPr>
            <w:tcW w:w="194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44.6%</w:t>
            </w:r>
          </w:p>
        </w:tc>
        <w:tc>
          <w:tcPr>
            <w:tcW w:w="284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25.2%</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61.3%</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76.4%</w:t>
            </w:r>
          </w:p>
        </w:tc>
        <w:tc>
          <w:tcPr>
            <w:tcW w:w="194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43.9%</w:t>
            </w:r>
          </w:p>
        </w:tc>
        <w:tc>
          <w:tcPr>
            <w:tcW w:w="2840" w:type="dxa"/>
            <w:vAlign w:val="bottom"/>
            <w:gridSpan w:val="3"/>
            <w:shd w:val="clear" w:color="auto" w:fill="CCEEFF"/>
          </w:tcPr>
          <w:p>
            <w:pPr>
              <w:jc w:val="center"/>
              <w:ind w:left="952"/>
              <w:spacing w:after="0"/>
              <w:rPr>
                <w:sz w:val="20"/>
                <w:szCs w:val="20"/>
                <w:color w:val="auto"/>
              </w:rPr>
            </w:pPr>
            <w:r>
              <w:rPr>
                <w:rFonts w:ascii="Arial" w:cs="Arial" w:eastAsia="Arial" w:hAnsi="Arial"/>
                <w:sz w:val="18"/>
                <w:szCs w:val="18"/>
                <w:color w:val="auto"/>
                <w:w w:val="93"/>
              </w:rPr>
              <w:t>32.5%</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32.0%</w:t>
            </w:r>
          </w:p>
        </w:tc>
        <w:tc>
          <w:tcPr>
            <w:tcW w:w="0" w:type="dxa"/>
            <w:vAlign w:val="bottom"/>
          </w:tcPr>
          <w:p>
            <w:pPr>
              <w:spacing w:after="0"/>
              <w:rPr>
                <w:sz w:val="1"/>
                <w:szCs w:val="1"/>
                <w:color w:val="auto"/>
              </w:rPr>
            </w:pPr>
          </w:p>
        </w:tc>
      </w:tr>
      <w:tr>
        <w:trPr>
          <w:trHeight w:val="230"/>
        </w:trPr>
        <w:tc>
          <w:tcPr>
            <w:tcW w:w="18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5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73.4%</w:t>
            </w:r>
          </w:p>
        </w:tc>
        <w:tc>
          <w:tcPr>
            <w:tcW w:w="1940" w:type="dxa"/>
            <w:vAlign w:val="bottom"/>
            <w:gridSpan w:val="2"/>
          </w:tcPr>
          <w:p>
            <w:pPr>
              <w:jc w:val="center"/>
              <w:ind w:left="950"/>
              <w:spacing w:after="0"/>
              <w:rPr>
                <w:sz w:val="20"/>
                <w:szCs w:val="20"/>
                <w:color w:val="auto"/>
              </w:rPr>
            </w:pPr>
            <w:r>
              <w:rPr>
                <w:rFonts w:ascii="Arial" w:cs="Arial" w:eastAsia="Arial" w:hAnsi="Arial"/>
                <w:sz w:val="18"/>
                <w:szCs w:val="18"/>
                <w:color w:val="auto"/>
                <w:w w:val="90"/>
              </w:rPr>
              <w:t>44.9%</w:t>
            </w:r>
          </w:p>
        </w:tc>
        <w:tc>
          <w:tcPr>
            <w:tcW w:w="2840" w:type="dxa"/>
            <w:vAlign w:val="bottom"/>
            <w:gridSpan w:val="3"/>
          </w:tcPr>
          <w:p>
            <w:pPr>
              <w:jc w:val="center"/>
              <w:ind w:left="952"/>
              <w:spacing w:after="0"/>
              <w:rPr>
                <w:sz w:val="20"/>
                <w:szCs w:val="20"/>
                <w:color w:val="auto"/>
              </w:rPr>
            </w:pPr>
            <w:r>
              <w:rPr>
                <w:rFonts w:ascii="Arial" w:cs="Arial" w:eastAsia="Arial" w:hAnsi="Arial"/>
                <w:sz w:val="18"/>
                <w:szCs w:val="18"/>
                <w:color w:val="auto"/>
                <w:w w:val="93"/>
              </w:rPr>
              <w:t>28.5%</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3.9%</w:t>
            </w: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gridSpan w:val="2"/>
          </w:tcPr>
          <w:p>
            <w:pPr>
              <w:jc w:val="center"/>
              <w:ind w:left="91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2006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spread between the forecasted collection rate and the advance rate declined during the 2003-2007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The decline in the spread for 2010 consumer loan assignments reflects advance rate increases implemented during the last four months of 2009 and the first quarter of 2010.</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presents forecasted consumer loan collection rates, advance rates (includes amounts paid to acquire purchased loans), and the spread (the forecasted collection rate less the advance rate) as of March 31, 2010 for purchased loans and dealer loans separately. Payments of dealer holdback and accelerated dealer holdback are not included in the advance percentage paid to the dealer-partner. All amounts are presented as a percentage of the initial balance of the consumer loan (principal +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Consumer Loan</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Forecasted</w:t>
            </w:r>
          </w:p>
        </w:tc>
        <w:tc>
          <w:tcPr>
            <w:tcW w:w="5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Advance %</w:t>
            </w:r>
          </w:p>
        </w:tc>
        <w:tc>
          <w:tcPr>
            <w:tcW w:w="5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Spread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Collection %</w:t>
            </w: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68.3%</w:t>
            </w:r>
          </w:p>
        </w:tc>
        <w:tc>
          <w:tcPr>
            <w:tcW w:w="13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48.7%</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68.8%</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46.3%</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76.5%</w:t>
            </w:r>
          </w:p>
        </w:tc>
        <w:tc>
          <w:tcPr>
            <w:tcW w:w="13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45.3%</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72.9%</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47.1%</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68.1%</w:t>
            </w:r>
          </w:p>
        </w:tc>
        <w:tc>
          <w:tcPr>
            <w:tcW w:w="13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45.9%</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70.3%</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43.6%</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76.4%</w:t>
            </w:r>
          </w:p>
        </w:tc>
        <w:tc>
          <w:tcPr>
            <w:tcW w:w="13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43.6%</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73.5%</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44.6%</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28.9%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ability to maintain and grow consumer loan volume is impacted by our pricing strategy, the number of dealer-partners actively participating in our programs, and the competitive environment. The following table summarizes changes in consumer loan assignment volume in each of the last five quarters as compared to the same period in the previous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over Year Percent Change</w:t>
            </w:r>
          </w:p>
        </w:tc>
        <w:tc>
          <w:tcPr>
            <w:tcW w:w="0" w:type="dxa"/>
            <w:vAlign w:val="bottom"/>
          </w:tcPr>
          <w:p>
            <w:pPr>
              <w:spacing w:after="0"/>
              <w:rPr>
                <w:sz w:val="1"/>
                <w:szCs w:val="1"/>
                <w:color w:val="auto"/>
              </w:rPr>
            </w:pPr>
          </w:p>
        </w:tc>
      </w:tr>
      <w:tr>
        <w:trPr>
          <w:trHeight w:val="142"/>
        </w:trPr>
        <w:tc>
          <w:tcPr>
            <w:tcW w:w="870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Unit Volume</w:t>
            </w: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Dollar Volume (1)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payments made to dealer-partners for advances on dealer loans and the acquisition of purchased loans. Payments of dealer holdback and accelerated dealer holdback are not included.</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Dollar and unit volume increased during the first quarter of 2010 as compared to the same period in 2009 due to pricing changes implemented during the last four months of 2009 and the first quarter of 2010 that reduced per unit profitability in exchange for increased unit volume.</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a result of our success in renewing our debt facilities during the third quarter of 2009, securing additional financing during the fourth quarter of 2009 and issuing our senior notes in the first quarter of 2010, we are in position to grow year over year unit volumes. We will continue to monitor unit volumes and will make additional pricing changes with an objective to maximize economic profit given the capital we have available. Future growth rates will partially depend on how unit volumes respond to pricing changes, which will be influenced to a large degree by how quickly competition returns to our market.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dealer-partners: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8"/>
              </w:rPr>
              <w:t>Three Months Ended March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4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38,903</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34,991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14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16.6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400" w:type="dxa"/>
            <w:vAlign w:val="bottom"/>
            <w:gridSpan w:val="2"/>
          </w:tcPr>
          <w:p>
            <w:pPr>
              <w:jc w:val="right"/>
              <w:ind w:right="668"/>
              <w:spacing w:after="0"/>
              <w:rPr>
                <w:sz w:val="20"/>
                <w:szCs w:val="20"/>
                <w:color w:val="auto"/>
              </w:rPr>
            </w:pPr>
            <w:r>
              <w:rPr>
                <w:rFonts w:ascii="Arial" w:cs="Arial" w:eastAsia="Arial" w:hAnsi="Arial"/>
                <w:sz w:val="18"/>
                <w:szCs w:val="18"/>
                <w:color w:val="auto"/>
              </w:rPr>
              <w:t>28,821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27,728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1,524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80" w:type="dxa"/>
            <w:vAlign w:val="bottom"/>
            <w:gridSpan w:val="2"/>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7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1400" w:type="dxa"/>
            <w:vAlign w:val="bottom"/>
            <w:gridSpan w:val="2"/>
          </w:tcPr>
          <w:p>
            <w:pPr>
              <w:jc w:val="right"/>
              <w:ind w:right="668"/>
              <w:spacing w:after="0"/>
              <w:rPr>
                <w:sz w:val="20"/>
                <w:szCs w:val="20"/>
                <w:color w:val="auto"/>
              </w:rPr>
            </w:pPr>
            <w:r>
              <w:rPr>
                <w:rFonts w:ascii="Arial" w:cs="Arial" w:eastAsia="Arial" w:hAnsi="Arial"/>
                <w:sz w:val="18"/>
                <w:szCs w:val="18"/>
                <w:color w:val="auto"/>
              </w:rPr>
              <w:t>216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-20.8%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-25.4%</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dealer loan or purchased loan during the period.</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active dealer-partners are dealer-partners who enrolled in our program and have received funding for their first dealer loan or purchased loan from us during the period.</w:t>
      </w:r>
    </w:p>
    <w:p>
      <w:pPr>
        <w:spacing w:after="0" w:line="21"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Consumer loans are assigned to us through either our portfolio program or our purchase program. The following table summarizes the portion of our consumer loan volume that was assigned to us through our purchase program:</w:t>
      </w:r>
    </w:p>
    <w:p>
      <w:pPr>
        <w:spacing w:after="0" w:line="16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jc w:val="center"/>
        <w:ind w:left="92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New purchased loan unit volume as a percentage of total unit volume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13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3"/>
              </w:rPr>
              <w:t>17.7%</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New purchased loan dollar volume as a percentage of total dollar volume</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11.1%</w:t>
            </w: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93"/>
              </w:rPr>
              <w:t>21.3%</w:t>
            </w:r>
          </w:p>
        </w:tc>
      </w:tr>
    </w:tbl>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March 31, 2010, new purchased loan unit and dollar volume as a percentage of total unit and dollar volume, respectively, decreased as compared to 2009 primarily due to the continued impact of program enrollment eligibility changes we made in 2008. For all dealer-partners enrolling in our program after August 31, 2008, access to our purchase program is only granted after the first accelerated dealer holdback payment has been made under the portfolio program.</w:t>
      </w:r>
    </w:p>
    <w:p>
      <w:pPr>
        <w:spacing w:after="0" w:line="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March 31, 2010 and December 31, 2009, the net purchased loans receivable balance was 25.2% and 27.5%, respectively, of the total net loans receivable balance.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Adjusted Financial Results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Material adjustments are explained in the table footnotes and the subsequent “Floating Yield Adjustment” and “Program Fee Yield Adjustment” sections. Measures such as adjusted average capital, adjusted net income, adjusted net income per diluted share, adjusted net income plus interest expense after-tax, adjusted return on capital, adjusted revenue, operating expenses, and economic profit are all non-GAAP financial measures. These non-GAAP financial measures should be viewed in addition to, and not as an alternative for, our reported results prepared in accordance with GAAP.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Adjusted financial results for the three months ended March 31, 2010, compared to the same period in 2009, include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6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2"/>
              <w:spacing w:after="0" w:line="142" w:lineRule="exact"/>
              <w:rPr>
                <w:sz w:val="20"/>
                <w:szCs w:val="20"/>
                <w:color w:val="auto"/>
              </w:rPr>
            </w:pPr>
            <w:r>
              <w:rPr>
                <w:rFonts w:ascii="Arial" w:cs="Arial" w:eastAsia="Arial" w:hAnsi="Arial"/>
                <w:sz w:val="14"/>
                <w:szCs w:val="14"/>
                <w:b w:val="1"/>
                <w:bCs w:val="1"/>
                <w:color w:val="auto"/>
              </w:rPr>
              <w:t>2009</w:t>
            </w:r>
          </w:p>
        </w:tc>
        <w:tc>
          <w:tcPr>
            <w:tcW w:w="94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1,011,469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997,396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35,512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24,714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7,374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5,205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Adjusted net income plus interest expense (after-tax)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42,886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29,919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 of capital</w:t>
            </w:r>
          </w:p>
        </w:tc>
        <w:tc>
          <w:tcPr>
            <w:tcW w:w="10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Economic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23,036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14,886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GAAP diluted weighted average shares outstanding</w:t>
            </w:r>
          </w:p>
        </w:tc>
        <w:tc>
          <w:tcPr>
            <w:tcW w:w="10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w w:val="88"/>
              </w:rPr>
              <w:t>31,584,326</w:t>
            </w:r>
          </w:p>
        </w:tc>
        <w:tc>
          <w:tcPr>
            <w:tcW w:w="540" w:type="dxa"/>
            <w:vAlign w:val="bottom"/>
          </w:tcPr>
          <w:p>
            <w:pPr>
              <w:spacing w:after="0"/>
              <w:rPr>
                <w:sz w:val="24"/>
                <w:szCs w:val="24"/>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w w:val="88"/>
              </w:rPr>
              <w:t>31,180,146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0.79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Economic profit increased 54.7% for the three months ended March 31, 2010, as compared to the same period in 2009. Economic profit is a function of the return on capital in excess of the cost of capital and the amount of capital invested in the business. The following table summarizes the impact each of these components had on the increase in economic profit for the three months ended March 31, 2010, as compared to the same period in 2009:</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Increase in adjusted return on capital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Increase in cost of capital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Increase in adjusted average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Increase in economic profit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92"/>
        <w:spacing w:after="0"/>
        <w:rPr>
          <w:sz w:val="20"/>
          <w:szCs w:val="20"/>
          <w:color w:val="auto"/>
        </w:rPr>
      </w:pPr>
      <w:r>
        <w:rPr>
          <w:rFonts w:ascii="Arial" w:cs="Arial" w:eastAsia="Arial" w:hAnsi="Arial"/>
          <w:sz w:val="13"/>
          <w:szCs w:val="13"/>
          <w:b w:val="1"/>
          <w:bCs w:val="1"/>
          <w:color w:val="auto"/>
        </w:rPr>
        <w:t>Year over Year Change in</w:t>
      </w:r>
    </w:p>
    <w:p>
      <w:pPr>
        <w:spacing w:after="0" w:line="15" w:lineRule="exact"/>
        <w:rPr>
          <w:sz w:val="20"/>
          <w:szCs w:val="20"/>
          <w:color w:val="auto"/>
        </w:rPr>
      </w:pPr>
    </w:p>
    <w:p>
      <w:pPr>
        <w:jc w:val="center"/>
        <w:ind w:right="92"/>
        <w:spacing w:after="0"/>
        <w:rPr>
          <w:sz w:val="20"/>
          <w:szCs w:val="20"/>
          <w:color w:val="auto"/>
        </w:rPr>
      </w:pPr>
      <w:r>
        <w:rPr>
          <w:rFonts w:ascii="Arial" w:cs="Arial" w:eastAsia="Arial" w:hAnsi="Arial"/>
          <w:sz w:val="14"/>
          <w:szCs w:val="14"/>
          <w:b w:val="1"/>
          <w:bCs w:val="1"/>
          <w:color w:val="auto"/>
        </w:rPr>
        <w:t>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003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jc w:val="center"/>
        <w:ind w:right="92"/>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right="92"/>
        <w:spacing w:after="0"/>
        <w:rPr>
          <w:sz w:val="20"/>
          <w:szCs w:val="20"/>
          <w:color w:val="auto"/>
        </w:rPr>
      </w:pPr>
      <w:r>
        <w:rPr>
          <w:rFonts w:ascii="Arial" w:cs="Arial" w:eastAsia="Arial" w:hAnsi="Arial"/>
          <w:sz w:val="14"/>
          <w:szCs w:val="14"/>
          <w:b w:val="1"/>
          <w:bCs w:val="1"/>
          <w:color w:val="auto"/>
        </w:rPr>
        <w:t>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003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1088" w:hanging="1088"/>
        <w:spacing w:after="0"/>
        <w:tabs>
          <w:tab w:leader="none" w:pos="1088"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12,546</w:t>
      </w:r>
    </w:p>
    <w:p>
      <w:pPr>
        <w:spacing w:after="0" w:line="7" w:lineRule="exact"/>
        <w:rPr>
          <w:rFonts w:ascii="Arial" w:cs="Arial" w:eastAsia="Arial" w:hAnsi="Arial"/>
          <w:sz w:val="18"/>
          <w:szCs w:val="18"/>
          <w:color w:val="auto"/>
        </w:rPr>
      </w:pPr>
    </w:p>
    <w:p>
      <w:pPr>
        <w:ind w:left="1108"/>
        <w:spacing w:after="0"/>
        <w:rPr>
          <w:rFonts w:ascii="Arial" w:cs="Arial" w:eastAsia="Arial" w:hAnsi="Arial"/>
          <w:sz w:val="18"/>
          <w:szCs w:val="18"/>
          <w:color w:val="auto"/>
        </w:rPr>
      </w:pPr>
      <w:r>
        <w:rPr>
          <w:rFonts w:ascii="Arial" w:cs="Arial" w:eastAsia="Arial" w:hAnsi="Arial"/>
          <w:sz w:val="17"/>
          <w:szCs w:val="17"/>
          <w:color w:val="auto"/>
        </w:rPr>
        <w:t>(4,606)</w:t>
      </w:r>
    </w:p>
    <w:p>
      <w:pPr>
        <w:spacing w:after="0" w:line="20" w:lineRule="exact"/>
        <w:rPr>
          <w:rFonts w:ascii="Arial" w:cs="Arial" w:eastAsia="Arial" w:hAnsi="Arial"/>
          <w:sz w:val="18"/>
          <w:szCs w:val="18"/>
          <w:color w:val="auto"/>
        </w:rPr>
      </w:pPr>
    </w:p>
    <w:p>
      <w:pPr>
        <w:ind w:left="1308"/>
        <w:spacing w:after="0"/>
        <w:rPr>
          <w:rFonts w:ascii="Arial" w:cs="Arial" w:eastAsia="Arial" w:hAnsi="Arial"/>
          <w:sz w:val="18"/>
          <w:szCs w:val="18"/>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 w:lineRule="exact"/>
        <w:rPr>
          <w:sz w:val="20"/>
          <w:szCs w:val="20"/>
          <w:color w:val="auto"/>
        </w:rPr>
      </w:pPr>
    </w:p>
    <w:p>
      <w:pPr>
        <w:ind w:left="1168" w:hanging="1168"/>
        <w:spacing w:after="0"/>
        <w:tabs>
          <w:tab w:leader="none" w:pos="1168" w:val="left"/>
        </w:tabs>
        <w:numPr>
          <w:ilvl w:val="0"/>
          <w:numId w:val="5"/>
        </w:numPr>
        <w:rPr>
          <w:rFonts w:ascii="Arial" w:cs="Arial" w:eastAsia="Arial" w:hAnsi="Arial"/>
          <w:sz w:val="18"/>
          <w:szCs w:val="18"/>
          <w:color w:val="auto"/>
        </w:rPr>
      </w:pPr>
      <w:r>
        <w:rPr>
          <w:rFonts w:ascii="Arial" w:cs="Arial" w:eastAsia="Arial" w:hAnsi="Arial"/>
          <w:sz w:val="18"/>
          <w:szCs w:val="18"/>
          <w:color w:val="auto"/>
        </w:rPr>
        <w:t>8,150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03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9012" w:space="720"/>
            <w:col w:w="1688"/>
          </w:cols>
          <w:pgMar w:left="240" w:top="931" w:right="239" w:bottom="1440" w:gutter="0" w:footer="0" w:header="0"/>
          <w:type w:val="continuous"/>
        </w:sectPr>
      </w:pPr>
    </w:p>
    <w:p>
      <w:pPr>
        <w:ind w:right="180"/>
        <w:spacing w:after="0" w:line="264" w:lineRule="auto"/>
        <w:rPr>
          <w:sz w:val="20"/>
          <w:szCs w:val="20"/>
          <w:color w:val="auto"/>
        </w:rPr>
      </w:pPr>
      <w:r>
        <w:rPr>
          <w:rFonts w:ascii="Arial" w:cs="Arial" w:eastAsia="Arial" w:hAnsi="Arial"/>
          <w:sz w:val="18"/>
          <w:szCs w:val="18"/>
          <w:color w:val="auto"/>
        </w:rPr>
        <w:t>The increase in economic profit for the three months ended March 31, 2010, as compared to the same period in 2009, was primarily the result of a 500 basis point increase in the adjusted return on capital, which reflects both higher yields on more recent consumer loan assignments and, to a lesser extent, lower operating expenses.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adjusted return on capital was partially offset by a 190 basis point increase in our cost of capital for the three months ended March 31, 2010, as compared to the same period in 2009. The increase in our cost of capital was primarily due to an increase in our average cost of debt and a reduction in our debt to equity ratio. The increase in our average cost of debt was primarily due to the issuance of our senior notes during the first quarter of 2010 and an increase in available and unused credit capacity.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The following table shows adjusted revenue and operating expenses as a percentage of adjusted average capital and the percentage change in adjusted average capital for each of the last eight quarters, compared to the same periods in the prior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1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Mar. 31,</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Dec. 31,</w:t>
            </w:r>
          </w:p>
        </w:tc>
        <w:tc>
          <w:tcPr>
            <w:tcW w:w="8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Sept. 30,</w:t>
            </w:r>
          </w:p>
        </w:tc>
        <w:tc>
          <w:tcPr>
            <w:tcW w:w="300" w:type="dxa"/>
            <w:vAlign w:val="bottom"/>
          </w:tcPr>
          <w:p>
            <w:pPr>
              <w:spacing w:after="0"/>
              <w:rPr>
                <w:sz w:val="10"/>
                <w:szCs w:val="10"/>
                <w:color w:val="auto"/>
              </w:rPr>
            </w:pP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Jun. 30,</w:t>
            </w:r>
          </w:p>
        </w:tc>
        <w:tc>
          <w:tcPr>
            <w:tcW w:w="11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Mar. 31,</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Dec. 31,</w:t>
            </w:r>
          </w:p>
        </w:tc>
        <w:tc>
          <w:tcPr>
            <w:tcW w:w="11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Sept. 30,</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98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revenue as a</w:t>
            </w:r>
          </w:p>
        </w:tc>
        <w:tc>
          <w:tcPr>
            <w:tcW w:w="6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adjusted</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capital</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 as a</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percentage of adjusted</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average capital</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10.7%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Percentage change in</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adjusted average capital</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compared to the same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period in the prior year</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jc w:val="right"/>
              <w:ind w:right="93"/>
              <w:spacing w:after="0"/>
              <w:rPr>
                <w:sz w:val="20"/>
                <w:szCs w:val="20"/>
                <w:color w:val="auto"/>
              </w:rPr>
            </w:pPr>
            <w:r>
              <w:rPr>
                <w:rFonts w:ascii="Arial" w:cs="Arial" w:eastAsia="Arial" w:hAnsi="Arial"/>
                <w:sz w:val="18"/>
                <w:szCs w:val="18"/>
                <w:color w:val="auto"/>
                <w:w w:val="99"/>
              </w:rPr>
              <w:t>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show how non-GAAP measures reconcile to GAAP measures. All after-tax adjustments are calculated using a 37% tax rate as we estimate that to be our long term average effective tax rate. Amounts do not recalculate due to rounding.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9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10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7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Jun. 30,</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Adjusted net income</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GAAP net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32,010</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40,335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40,734</w:t>
            </w: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36,185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29,001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18,556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20,657</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Floating yield adjustment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(after-tax)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Program fee yield adjustment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(after-tax)</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w w:val="97"/>
              </w:rPr>
              <w:t>Loss (gain) from discontinued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United Kingdom segment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(after-tax)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Interest expense related to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w w:val="88"/>
              </w:rPr>
              <w:t>interest rate swap agreement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(after-tax)</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w w:val="98"/>
              </w:rPr>
              <w:t>Adjustment to record taxes at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vMerge w:val="restart"/>
          </w:tcPr>
          <w:p>
            <w:pPr>
              <w:ind w:left="20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35,512</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35,508</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34,691</w:t>
            </w: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30,131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24,714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23,572</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22,260</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Adjusted net income per</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Diluted weighted average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shares outstanding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31,584,326</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31,868,441</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31,539,119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w w:val="92"/>
              </w:rPr>
              <w:t>31,423,187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31,180,146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31,038,088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31,024,455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31,088,428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Adjusted revenue</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GAAP total revenue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103,262</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100,135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100,268</w:t>
            </w: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92,373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87,888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86,296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80,107</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75,005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Floating yield adjustment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(7,426)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(6,898)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Program fee yield adjustment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(6,433)</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4,942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(14,252)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(8,278)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Provision for claims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(5,212)</w:t>
            </w:r>
          </w:p>
        </w:tc>
        <w:tc>
          <w:tcPr>
            <w:tcW w:w="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(4,513)</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(5,148)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(4,829)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(4,809)</w:t>
            </w: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revenue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95,528</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93,329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91,466</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82,296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76,521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 average capital</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GAAP average 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492,069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510,123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562,663</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604,863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624,279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665,635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706,637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686,148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GAAP average shareholders’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514,364</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474,984</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428,377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388,242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352,562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331,402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308,990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295,771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Floating yield adjustment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5,394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21,829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Program fee yield adjustment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average capital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8"/>
              </w:rPr>
              <w:t>1,011,469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989,804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1,000,340</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1,007,336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997,396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1,014,071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1,031,581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988,619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6"/>
                <w:szCs w:val="16"/>
                <w:color w:val="auto"/>
              </w:rPr>
              <w:t>Adjusted revenue as a</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percentage of adjusted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average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37.8%</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Adjusted return on capital</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Adjusted net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35,512</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35,508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34,691</w:t>
            </w: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30,131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24,714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23,572</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22,260</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Adjusted interest expense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(after-tax)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5,767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Adjusted net income plus</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400"/>
              <w:spacing w:after="0"/>
              <w:rPr>
                <w:sz w:val="20"/>
                <w:szCs w:val="20"/>
                <w:color w:val="auto"/>
              </w:rPr>
            </w:pPr>
            <w:r>
              <w:rPr>
                <w:rFonts w:ascii="Arial" w:cs="Arial" w:eastAsia="Arial" w:hAnsi="Arial"/>
                <w:sz w:val="16"/>
                <w:szCs w:val="16"/>
                <w:color w:val="auto"/>
                <w:w w:val="99"/>
              </w:rPr>
              <w:t>interest expense (after-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Pr>
          <w:p>
            <w:pPr>
              <w:ind w:left="400"/>
              <w:spacing w:after="0"/>
              <w:rPr>
                <w:sz w:val="20"/>
                <w:szCs w:val="20"/>
                <w:color w:val="auto"/>
              </w:rPr>
            </w:pPr>
            <w:r>
              <w:rPr>
                <w:rFonts w:ascii="Arial" w:cs="Arial" w:eastAsia="Arial" w:hAnsi="Arial"/>
                <w:sz w:val="16"/>
                <w:szCs w:val="16"/>
                <w:color w:val="auto"/>
              </w:rPr>
              <w:t>tax)</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42,886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41,275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39,916</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34,867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29,919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30,566</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29,341</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26,793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return on capital</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Economic profit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Adjusted return on capital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Cost of capital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Adjusted return on capital in</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excess of cost of 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Adjusted average capital</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w w:val="98"/>
              </w:rPr>
              <w:t>1,011,469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989,804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1,000,340</w:t>
            </w: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1,007,336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997,396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1,014,071</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1,031,581</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988,619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Economic profit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23,036</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22,515</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14,886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GAAP salaries and wages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16,862</w:t>
            </w:r>
          </w:p>
        </w:tc>
        <w:tc>
          <w:tcPr>
            <w:tcW w:w="2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17,121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GAAP general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60" w:type="dxa"/>
            <w:vAlign w:val="bottom"/>
          </w:tcPr>
          <w:p>
            <w:pPr>
              <w:ind w:left="200"/>
              <w:spacing w:after="0"/>
              <w:rPr>
                <w:sz w:val="20"/>
                <w:szCs w:val="20"/>
                <w:color w:val="auto"/>
              </w:rPr>
            </w:pPr>
            <w:r>
              <w:rPr>
                <w:rFonts w:ascii="Arial" w:cs="Arial" w:eastAsia="Arial" w:hAnsi="Arial"/>
                <w:sz w:val="16"/>
                <w:szCs w:val="16"/>
                <w:color w:val="auto"/>
              </w:rPr>
              <w:t>administrative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6,542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7,633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6,894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7,995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GAAP 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vMerge w:val="restart"/>
          </w:tcPr>
          <w:p>
            <w:pPr>
              <w:ind w:left="20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27,462</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27,816</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28,264</w:t>
            </w:r>
          </w:p>
        </w:tc>
        <w:tc>
          <w:tcPr>
            <w:tcW w:w="2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26,975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29,037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28,029</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27,846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27,882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 as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5" w:right="239" w:bottom="0" w:gutter="0" w:footer="0" w:header="0"/>
        </w:sectPr>
      </w:pPr>
    </w:p>
    <w:bookmarkStart w:id="10" w:name="page11"/>
    <w:bookmarkEnd w:id="10"/>
    <w:p>
      <w:pPr>
        <w:ind w:left="220"/>
        <w:spacing w:after="0"/>
        <w:rPr>
          <w:sz w:val="20"/>
          <w:szCs w:val="20"/>
          <w:color w:val="auto"/>
        </w:rPr>
      </w:pPr>
      <w:r>
        <w:rPr>
          <w:rFonts w:ascii="Arial" w:cs="Arial" w:eastAsia="Arial" w:hAnsi="Arial"/>
          <w:sz w:val="16"/>
          <w:szCs w:val="16"/>
          <w:color w:val="auto"/>
        </w:rPr>
        <w:t>percentage of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15875</wp:posOffset>
            </wp:positionV>
            <wp:extent cx="57283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8335" cy="2603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Percentage change in adjusted</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460" w:type="dxa"/>
            <w:vAlign w:val="bottom"/>
          </w:tcPr>
          <w:p>
            <w:pPr>
              <w:ind w:left="220"/>
              <w:spacing w:after="0"/>
              <w:rPr>
                <w:sz w:val="20"/>
                <w:szCs w:val="20"/>
                <w:color w:val="auto"/>
              </w:rPr>
            </w:pPr>
            <w:r>
              <w:rPr>
                <w:rFonts w:ascii="Arial" w:cs="Arial" w:eastAsia="Arial" w:hAnsi="Arial"/>
                <w:sz w:val="16"/>
                <w:szCs w:val="16"/>
                <w:color w:val="auto"/>
              </w:rPr>
              <w:t>average capital compared to</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460" w:type="dxa"/>
            <w:vAlign w:val="bottom"/>
          </w:tcPr>
          <w:p>
            <w:pPr>
              <w:ind w:left="220"/>
              <w:spacing w:after="0"/>
              <w:rPr>
                <w:sz w:val="20"/>
                <w:szCs w:val="20"/>
                <w:color w:val="auto"/>
              </w:rPr>
            </w:pPr>
            <w:r>
              <w:rPr>
                <w:rFonts w:ascii="Arial" w:cs="Arial" w:eastAsia="Arial" w:hAnsi="Arial"/>
                <w:sz w:val="16"/>
                <w:szCs w:val="16"/>
                <w:color w:val="auto"/>
              </w:rPr>
              <w:t>the same period in the prior</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2460" w:type="dxa"/>
            <w:vAlign w:val="bottom"/>
          </w:tcPr>
          <w:p>
            <w:pPr>
              <w:ind w:left="220"/>
              <w:spacing w:after="0"/>
              <w:rPr>
                <w:sz w:val="20"/>
                <w:szCs w:val="20"/>
                <w:color w:val="auto"/>
              </w:rPr>
            </w:pPr>
            <w:r>
              <w:rPr>
                <w:rFonts w:ascii="Arial" w:cs="Arial" w:eastAsia="Arial" w:hAnsi="Arial"/>
                <w:sz w:val="16"/>
                <w:szCs w:val="16"/>
                <w:color w:val="auto"/>
              </w:rPr>
              <w:t>year</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1.4%</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-2.4%</w:t>
            </w:r>
          </w:p>
        </w:tc>
        <w:tc>
          <w:tcPr>
            <w:tcW w:w="1200" w:type="dxa"/>
            <w:vAlign w:val="bottom"/>
          </w:tcPr>
          <w:p>
            <w:pPr>
              <w:jc w:val="right"/>
              <w:ind w:right="339"/>
              <w:spacing w:after="0"/>
              <w:rPr>
                <w:sz w:val="20"/>
                <w:szCs w:val="20"/>
                <w:color w:val="auto"/>
              </w:rPr>
            </w:pPr>
            <w:r>
              <w:rPr>
                <w:rFonts w:ascii="Arial" w:cs="Arial" w:eastAsia="Arial" w:hAnsi="Arial"/>
                <w:sz w:val="16"/>
                <w:szCs w:val="16"/>
                <w:color w:val="auto"/>
              </w:rPr>
              <w:t>-3.0%</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1.9%</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15.2%</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30.4%</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42.3%</w:t>
            </w:r>
          </w:p>
        </w:tc>
        <w:tc>
          <w:tcPr>
            <w:tcW w:w="800" w:type="dxa"/>
            <w:vAlign w:val="bottom"/>
          </w:tcPr>
          <w:p>
            <w:pPr>
              <w:jc w:val="right"/>
              <w:spacing w:after="0"/>
              <w:rPr>
                <w:sz w:val="20"/>
                <w:szCs w:val="20"/>
                <w:color w:val="auto"/>
              </w:rPr>
            </w:pPr>
            <w:r>
              <w:rPr>
                <w:rFonts w:ascii="Arial" w:cs="Arial" w:eastAsia="Arial" w:hAnsi="Arial"/>
                <w:sz w:val="16"/>
                <w:szCs w:val="16"/>
                <w:color w:val="auto"/>
              </w:rPr>
              <w:t>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3810</wp:posOffset>
            </wp:positionV>
            <wp:extent cx="57283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833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return on capital is defined as annualized adjusted net income plus adjusted interest expense after-tax divided by adjusted average capital.</w:t>
      </w:r>
    </w:p>
    <w:p>
      <w:pPr>
        <w:spacing w:after="0" w:line="207"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ind w:left="460" w:right="180" w:hanging="452"/>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 year treasury rate + 5%) + [(1 — tax rate) x (the average 30 year treasury rate + 5% — pre-tax average cost of debt rate) x average debt/(average equity + average debt x tax rate)]. For the periods presented, the average 30 year treasury rate and the adjusted pre-tax average cost of debt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2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2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 30,</w:t>
            </w:r>
          </w:p>
        </w:tc>
        <w:tc>
          <w:tcPr>
            <w:tcW w:w="2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2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2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2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 30,</w:t>
            </w:r>
          </w:p>
        </w:tc>
        <w:tc>
          <w:tcPr>
            <w:tcW w:w="2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 30,</w:t>
            </w:r>
          </w:p>
        </w:tc>
      </w:tr>
      <w:tr>
        <w:trPr>
          <w:trHeight w:val="171"/>
        </w:trPr>
        <w:tc>
          <w:tcPr>
            <w:tcW w:w="5000" w:type="dxa"/>
            <w:vAlign w:val="bottom"/>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2008</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Average 30 year treasury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Adjusted pre-tax average cost of debt</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Finance charge revenue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“floating yield” method, all changes in expected cash flows (both positive and negative) are treated as yield adjustments and therefore impact earnings over time. The GAAP treatment always results in a lower carrying value of the loan receivable asset, but may result in either higher or lower earnings for any given period depending on the timing and amount of expected cash flow changes.</w:t>
      </w:r>
    </w:p>
    <w:p>
      <w:pPr>
        <w:spacing w:after="0" w:line="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adjusted earnings, which include the floating yield adjustment, are a more accurate reflection of the performance of our business, since both favorable and unfavorable changes in estimated cash flows are treated consistently.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Fee Yield Adjustment</w:t>
      </w:r>
    </w:p>
    <w:p>
      <w:pPr>
        <w:spacing w:after="0" w:line="12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purpose of this adjustment is to make revenue from program fees comparable across time periods. In 2001, we began charging dealer-partners a monthly program fee. Effective January 1, 2007, we implemented a change in the way these fees are charged designed to positively impact dealer-partner attrition. We continue to charge a monthly program fee, but instead of collecting the fee in the current period, we collect it from future dealer holdback payments.</w:t>
      </w:r>
    </w:p>
    <w:p>
      <w:pPr>
        <w:spacing w:after="0" w:line="3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a result of this change, (as of January 1, 2007) we record program fees on a GAAP basis as a yield adjustment, recognizing these fees as finance charge revenue over the term of the dealer loan because collection is dependent on the future cash flows of the loan. Previously, we had recorded the fee as program fee revenue in the month the fee was charged. The current GAAP treatment is more consistent with the cash economics of the business.</w:t>
      </w:r>
    </w:p>
    <w:p>
      <w:pPr>
        <w:spacing w:after="0" w:line="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allow for proper comparisons between periods, we make an adjustment to our financial results as though program fees had always been recorded as a yield adjustment. The program fee yield adjustment is immaterial for 2010 and future periods.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2009, other risk factors discussed herein or listed from time to time in our reports filed with the Securities and Exchange Commission and the following:</w:t>
      </w:r>
    </w:p>
    <w:p>
      <w:pPr>
        <w:spacing w:after="0" w:line="84" w:lineRule="exact"/>
        <w:rPr>
          <w:sz w:val="20"/>
          <w:szCs w:val="20"/>
          <w:color w:val="auto"/>
        </w:rPr>
      </w:pPr>
    </w:p>
    <w:p>
      <w:pPr>
        <w:ind w:left="660" w:right="5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may be unable to execute our business strategy due to current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terms of our debt limit how we conduct our business.</w:t>
      </w:r>
    </w:p>
    <w:p>
      <w:pPr>
        <w:spacing w:after="0" w:line="130" w:lineRule="exact"/>
        <w:rPr>
          <w:rFonts w:ascii="Arial" w:cs="Arial" w:eastAsia="Arial" w:hAnsi="Arial"/>
          <w:sz w:val="18"/>
          <w:szCs w:val="18"/>
          <w:b w:val="1"/>
          <w:bCs w:val="1"/>
          <w:color w:val="auto"/>
        </w:rPr>
      </w:pPr>
    </w:p>
    <w:p>
      <w:pPr>
        <w:ind w:left="660" w:right="440" w:hanging="314"/>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right="68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right="3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130" w:lineRule="exact"/>
        <w:rPr>
          <w:rFonts w:ascii="Arial" w:cs="Arial" w:eastAsia="Arial" w:hAnsi="Arial"/>
          <w:sz w:val="18"/>
          <w:szCs w:val="18"/>
          <w:b w:val="1"/>
          <w:bCs w:val="1"/>
          <w:color w:val="auto"/>
        </w:rPr>
      </w:pPr>
    </w:p>
    <w:p>
      <w:pPr>
        <w:ind w:left="660" w:right="60" w:hanging="314"/>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86"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operations are dependent on technology.</w:t>
      </w:r>
    </w:p>
    <w:p>
      <w:pPr>
        <w:spacing w:after="0" w:line="130"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concentration of our dealer-partners in several states could adversely affect us.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153" w:lineRule="exact"/>
        <w:rPr>
          <w:rFonts w:ascii="Arial" w:cs="Arial" w:eastAsia="Arial" w:hAnsi="Arial"/>
          <w:sz w:val="16"/>
          <w:szCs w:val="16"/>
          <w:b w:val="1"/>
          <w:bCs w:val="1"/>
          <w:color w:val="auto"/>
        </w:rPr>
      </w:pPr>
    </w:p>
    <w:p>
      <w:pPr>
        <w:ind w:left="660" w:right="8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Reliance on our outsourced business functions could adversely affect our business.</w:t>
      </w:r>
    </w:p>
    <w:p>
      <w:pPr>
        <w:spacing w:after="0" w:line="130" w:lineRule="exact"/>
        <w:rPr>
          <w:rFonts w:ascii="Arial" w:cs="Arial" w:eastAsia="Arial" w:hAnsi="Arial"/>
          <w:sz w:val="18"/>
          <w:szCs w:val="18"/>
          <w:b w:val="1"/>
          <w:bCs w:val="1"/>
          <w:color w:val="auto"/>
        </w:rPr>
      </w:pPr>
    </w:p>
    <w:p>
      <w:pPr>
        <w:ind w:left="660" w:right="68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Since 1972, Credit Acceptance has provided auto loans to consumers, regardless of their credit history. Our product is offered through a nationwide network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automobile dealers who benefit from sales of vehicles to consumers who otherwise could not obtain financing; from repeat and referral sales generated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same customers; and from sales to customers responding to advertisements for our product, but who actually end up qualifying for traditional financing.</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Without our product,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89,663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7,704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103,262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87,888</w:t>
            </w:r>
          </w:p>
        </w:tc>
        <w:tc>
          <w:tcPr>
            <w:tcW w:w="0" w:type="dxa"/>
            <w:vAlign w:val="bottom"/>
          </w:tcPr>
          <w:p>
            <w:pPr>
              <w:spacing w:after="0"/>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3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16,110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4,810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credit losses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11,705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claims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costs and expenses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50,805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41,933</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7"/>
              </w:rPr>
              <w:t>Income from continuing operations before provision for income taxes</w:t>
            </w:r>
          </w:p>
        </w:tc>
        <w:tc>
          <w:tcPr>
            <w:tcW w:w="3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20,442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32,015</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Loss from discontinued United Kingdom operations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(benefit) for income taxes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52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29,001</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common share:</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common share:</w:t>
            </w: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w w:val="88"/>
              </w:rPr>
              <w:t>31,042,495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30,479,665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8"/>
              </w:rPr>
              <w:t>31,584,326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31,180,146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500" w:type="dxa"/>
            <w:vAlign w:val="bottom"/>
          </w:tcPr>
          <w:p>
            <w:pPr>
              <w:jc w:val="right"/>
              <w:ind w:right="29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Restricted securities available for sale</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Loans receivable (including $11,952 and $12,674 from affiliates as of March 31, 2010 and December 31, 2009,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1,211,486</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1,167,558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(123,144)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Loans receivable,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1,088,342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1,050,013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18,324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28,481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1,227,756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1,176,236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102,582</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Secured financing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221,167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note and capital lease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Senior notes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243,845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88,251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696,972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678,026</w:t>
            </w: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w w:val="99"/>
              </w:rPr>
              <w:t>Common stock, $.01 par value, 80,000,000 shares authorized, 31,012,513 and 31,038,217 shares issued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outstanding as of March 31, 2010 and December 31, 2009, respectively</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506,443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474,433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Accumulated other comprehensive loss, net of tax of $348 and $526 at March 31, 2010 and December 31, 2009,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530,784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1,227,756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1,176,236</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jc w:val="right"/>
              <w:ind w:right="305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2019-12-10T10:27:05Z</dcterms:created>
  <dcterms:modified xsi:type="dcterms:W3CDTF">2019-12-10T10:27:05Z</dcterms:modified>
</cp:coreProperties>
</file>