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9, 2014</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jc w:val="center"/>
              <w:spacing w:after="0"/>
              <w:rPr>
                <w:sz w:val="20"/>
                <w:szCs w:val="20"/>
                <w:color w:val="auto"/>
              </w:rPr>
            </w:pPr>
            <w:r>
              <w:rPr>
                <w:rFonts w:ascii="Arial" w:cs="Arial" w:eastAsia="Arial" w:hAnsi="Arial"/>
                <w:sz w:val="18"/>
                <w:szCs w:val="18"/>
                <w:color w:val="auto"/>
                <w:w w:val="94"/>
              </w:rPr>
              <w:t>Michigan</w:t>
            </w:r>
          </w:p>
        </w:tc>
        <w:tc>
          <w:tcPr>
            <w:tcW w:w="2880" w:type="dxa"/>
            <w:vAlign w:val="bottom"/>
            <w:gridSpan w:val="2"/>
          </w:tcPr>
          <w:p>
            <w:pPr>
              <w:jc w:val="right"/>
              <w:ind w:right="630"/>
              <w:spacing w:after="0"/>
              <w:rPr>
                <w:sz w:val="20"/>
                <w:szCs w:val="20"/>
                <w:color w:val="auto"/>
              </w:rPr>
            </w:pPr>
            <w:r>
              <w:rPr>
                <w:rFonts w:ascii="Arial" w:cs="Arial" w:eastAsia="Arial" w:hAnsi="Arial"/>
                <w:sz w:val="18"/>
                <w:szCs w:val="18"/>
                <w:color w:val="auto"/>
              </w:rPr>
              <w:t>000-20202</w:t>
            </w:r>
          </w:p>
        </w:tc>
        <w:tc>
          <w:tcPr>
            <w:tcW w:w="520" w:type="dxa"/>
            <w:vAlign w:val="bottom"/>
          </w:tcPr>
          <w:p>
            <w:pPr>
              <w:spacing w:after="0"/>
              <w:rPr>
                <w:sz w:val="20"/>
                <w:szCs w:val="20"/>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230"/>
        </w:trPr>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04"/>
        </w:trPr>
        <w:tc>
          <w:tcPr>
            <w:tcW w:w="3680" w:type="dxa"/>
            <w:vAlign w:val="bottom"/>
          </w:tcPr>
          <w:p>
            <w:pPr>
              <w:jc w:val="center"/>
              <w:ind w:left="10"/>
              <w:spacing w:after="0"/>
              <w:rPr>
                <w:sz w:val="20"/>
                <w:szCs w:val="20"/>
                <w:color w:val="auto"/>
              </w:rPr>
            </w:pPr>
            <w:r>
              <w:rPr>
                <w:rFonts w:ascii="Arial" w:cs="Arial" w:eastAsia="Arial" w:hAnsi="Arial"/>
                <w:sz w:val="18"/>
                <w:szCs w:val="18"/>
                <w:color w:val="auto"/>
                <w:w w:val="90"/>
              </w:rPr>
              <w:t>25505 West Twelve Mile Road</w:t>
            </w: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3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Southfield, Michigan</w:t>
            </w: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r>
      <w:tr>
        <w:trPr>
          <w:trHeight w:val="230"/>
        </w:trPr>
        <w:tc>
          <w:tcPr>
            <w:tcW w:w="3680" w:type="dxa"/>
            <w:vAlign w:val="bottom"/>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688"/>
        </w:trPr>
        <w:tc>
          <w:tcPr>
            <w:tcW w:w="7080" w:type="dxa"/>
            <w:vAlign w:val="bottom"/>
            <w:gridSpan w:val="4"/>
          </w:tcPr>
          <w:p>
            <w:pPr>
              <w:ind w:left="326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70"/>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3876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861060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9, 2014, Credit Acceptance Corporation (the “Company”) issued a press release announcing certain operating results. The press release is attached as Exhibit 99.1 to this Form 8-K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1179195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ACCEPTANCE CORPORATION</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9, 2014</w:t>
      </w:r>
      <w:r>
        <w:rPr>
          <w:sz w:val="20"/>
          <w:szCs w:val="20"/>
          <w:color w:val="auto"/>
        </w:rPr>
        <w:tab/>
      </w:r>
      <w:r>
        <w:rPr>
          <w:rFonts w:ascii="Arial" w:cs="Arial" w:eastAsia="Arial" w:hAnsi="Arial"/>
          <w:sz w:val="16"/>
          <w:szCs w:val="16"/>
          <w:color w:val="auto"/>
        </w:rPr>
        <w:t>By:  /s/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1153160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ind w:left="50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230"/>
        </w:trPr>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0"/>
                <w:szCs w:val="20"/>
                <w:color w:val="auto"/>
              </w:rPr>
            </w:pPr>
          </w:p>
        </w:tc>
        <w:tc>
          <w:tcPr>
            <w:tcW w:w="9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June 9, 2014.</w:t>
            </w:r>
          </w:p>
        </w:tc>
        <w:tc>
          <w:tcPr>
            <w:tcW w:w="20" w:type="dxa"/>
            <w:vAlign w:val="bottom"/>
          </w:tcPr>
          <w:p>
            <w:pPr>
              <w:spacing w:after="0"/>
              <w:rPr>
                <w:sz w:val="20"/>
                <w:szCs w:val="20"/>
                <w:color w:val="auto"/>
              </w:rPr>
            </w:pPr>
          </w:p>
        </w:tc>
      </w:tr>
      <w:tr>
        <w:trPr>
          <w:trHeight w:val="833"/>
        </w:trPr>
        <w:tc>
          <w:tcPr>
            <w:tcW w:w="15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13"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Silver Triangle Building</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June 9, 2014</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Senior Vice President and Treasurer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OPERATING RESULTS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Southfield, Michigan – June 9, 2014 – Credit Acceptance Corporation (NASDAQ: CACC) </w:t>
      </w:r>
      <w:r>
        <w:rPr>
          <w:rFonts w:ascii="Arial" w:cs="Arial" w:eastAsia="Arial" w:hAnsi="Arial"/>
          <w:sz w:val="18"/>
          <w:szCs w:val="18"/>
          <w:color w:val="auto"/>
        </w:rPr>
        <w:t>(referred to as the “Company”, “Credit Acceptance”, “we”,</w:t>
      </w:r>
      <w:r>
        <w:rPr>
          <w:rFonts w:ascii="Arial" w:cs="Arial" w:eastAsia="Arial" w:hAnsi="Arial"/>
          <w:sz w:val="18"/>
          <w:szCs w:val="18"/>
          <w:b w:val="1"/>
          <w:bCs w:val="1"/>
          <w:color w:val="auto"/>
        </w:rPr>
        <w:t xml:space="preserve"> </w:t>
      </w:r>
      <w:r>
        <w:rPr>
          <w:rFonts w:ascii="Arial" w:cs="Arial" w:eastAsia="Arial" w:hAnsi="Arial"/>
          <w:sz w:val="18"/>
          <w:szCs w:val="18"/>
          <w:color w:val="auto"/>
        </w:rPr>
        <w:t>“our”, or “us”) announced today certain operating results in connection with our previously announced tender offer to purchase up to 915,750 shares of our outstanding common stock at a price of $125.58 per share. The tender offer will expire at 5:00 p.m., New York City time, on Monday, June 16, 2014, unless extended by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Performance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achieve an acceptable return on capital. If Consumer Loan performance equals or exceeds our initial expectation, it is likely our target return on capital will be achieved.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97"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April 30, 2014 with the forecasts as of March 31, 2014, December 31, 2013, and at the time of assignment, segmented by year of assignment: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Variance in Forecasted Collection Percentage</w:t>
            </w:r>
          </w:p>
        </w:tc>
      </w:tr>
      <w:tr>
        <w:trPr>
          <w:trHeight w:val="241"/>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w w:val="88"/>
              </w:rPr>
              <w:t>Forecasted Collection Percentage as of</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from</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3"/>
        </w:trPr>
        <w:tc>
          <w:tcPr>
            <w:tcW w:w="1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Consumer Loan</w:t>
            </w:r>
          </w:p>
        </w:tc>
        <w:tc>
          <w:tcPr>
            <w:tcW w:w="136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April 30,</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Initial</w:t>
            </w:r>
          </w:p>
        </w:tc>
      </w:tr>
      <w:tr>
        <w:trPr>
          <w:trHeight w:val="178"/>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Assignment Year</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Forecast</w:t>
            </w:r>
          </w:p>
        </w:tc>
        <w:tc>
          <w:tcPr>
            <w:tcW w:w="160" w:type="dxa"/>
            <w:vAlign w:val="bottom"/>
          </w:tcPr>
          <w:p>
            <w:pPr>
              <w:spacing w:after="0"/>
              <w:rPr>
                <w:sz w:val="15"/>
                <w:szCs w:val="15"/>
                <w:color w:val="auto"/>
              </w:rPr>
            </w:pP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68.0%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70.2%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70.1%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77.2%</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73.6%</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2011</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8"/>
                <w:szCs w:val="18"/>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73.4%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73.4%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17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71.9%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bl>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Consumer Loans assigned in 2009 through 2013 have yielded forecasted collection results materially better than our initial estimates, while Consumer Loans assigned in 2006 and 2007 have yielded forecasted collection results materially worse than our initial estimates. For all other assignment years presented, actual results have been very close to our initial estimates. For the four months ended April 30, 2014, forecasted collection rates improved for Consumer Loans assigned in 2010 and were generally consistent with expectations at the start of the period for all assignment years presented.</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currently forecast.</w:t>
      </w:r>
    </w:p>
    <w:p>
      <w:pPr>
        <w:spacing w:after="0" w:line="19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following table presents forecasted Consumer Loan collection rates, advance rates, the spread (the forecasted collection rate less the advance rate), and the percentage of the forecasted collections that had been realized as of April 30, 2014. All amounts, unless otherwise noted, are presented as a percentage of the initial balance of the Consumer Loan (principal + interest). The table includes both dealer loans and purchased loans.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8"/>
                <w:szCs w:val="18"/>
                <w:b w:val="1"/>
                <w:bCs w:val="1"/>
                <w:color w:val="auto"/>
              </w:rPr>
              <w:t>As of April 30, 2014</w:t>
            </w:r>
          </w:p>
        </w:tc>
        <w:tc>
          <w:tcPr>
            <w:tcW w:w="1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7"/>
              </w:rPr>
              <w:t>Forecasted</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 of Forecast</w:t>
            </w:r>
          </w:p>
        </w:tc>
        <w:tc>
          <w:tcPr>
            <w:tcW w:w="160" w:type="dxa"/>
            <w:vAlign w:val="bottom"/>
          </w:tcPr>
          <w:p>
            <w:pPr>
              <w:spacing w:after="0"/>
              <w:rPr>
                <w:sz w:val="17"/>
                <w:szCs w:val="17"/>
                <w:color w:val="auto"/>
              </w:rPr>
            </w:pPr>
          </w:p>
        </w:tc>
      </w:tr>
      <w:tr>
        <w:trPr>
          <w:trHeight w:val="24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Consumer Loan Assignment Year</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Collection %</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Advance % (1)</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Spread %</w:t>
            </w:r>
          </w:p>
        </w:tc>
        <w:tc>
          <w:tcPr>
            <w:tcW w:w="2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Realized (2)</w:t>
            </w:r>
          </w:p>
        </w:tc>
        <w:tc>
          <w:tcPr>
            <w:tcW w:w="160" w:type="dxa"/>
            <w:vAlign w:val="bottom"/>
          </w:tcPr>
          <w:p>
            <w:pPr>
              <w:spacing w:after="0"/>
              <w:rPr>
                <w:sz w:val="20"/>
                <w:szCs w:val="20"/>
                <w:color w:val="auto"/>
              </w:rPr>
            </w:pPr>
          </w:p>
        </w:tc>
      </w:tr>
      <w:tr>
        <w:trPr>
          <w:trHeight w:val="216"/>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r>
      <w:tr>
        <w:trPr>
          <w:trHeight w:val="216"/>
        </w:trPr>
        <w:tc>
          <w:tcPr>
            <w:tcW w:w="44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46.6%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23.4%</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99.4%</w:t>
            </w:r>
          </w:p>
        </w:tc>
      </w:tr>
      <w:tr>
        <w:trPr>
          <w:trHeight w:val="216"/>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w:t>
            </w:r>
          </w:p>
        </w:tc>
      </w:tr>
      <w:tr>
        <w:trPr>
          <w:trHeight w:val="216"/>
        </w:trPr>
        <w:tc>
          <w:tcPr>
            <w:tcW w:w="44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98.5%</w:t>
            </w:r>
          </w:p>
        </w:tc>
      </w:tr>
      <w:tr>
        <w:trPr>
          <w:trHeight w:val="216"/>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2009</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79.3%</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w:t>
            </w:r>
          </w:p>
        </w:tc>
      </w:tr>
      <w:tr>
        <w:trPr>
          <w:trHeight w:val="216"/>
        </w:trPr>
        <w:tc>
          <w:tcPr>
            <w:tcW w:w="44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77.2%</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32.5%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95.3%</w:t>
            </w:r>
          </w:p>
        </w:tc>
      </w:tr>
      <w:tr>
        <w:trPr>
          <w:trHeight w:val="216"/>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2011</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74.1%</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w:t>
            </w:r>
          </w:p>
        </w:tc>
      </w:tr>
      <w:tr>
        <w:trPr>
          <w:trHeight w:val="216"/>
        </w:trPr>
        <w:tc>
          <w:tcPr>
            <w:tcW w:w="448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73.4%</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r>
      <w:tr>
        <w:trPr>
          <w:trHeight w:val="216"/>
        </w:trPr>
        <w:tc>
          <w:tcPr>
            <w:tcW w:w="4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30"/>
        </w:trPr>
        <w:tc>
          <w:tcPr>
            <w:tcW w:w="44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24.3%</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bl>
    <w:p>
      <w:pPr>
        <w:spacing w:after="0" w:line="214" w:lineRule="exact"/>
        <w:rPr>
          <w:sz w:val="20"/>
          <w:szCs w:val="20"/>
          <w:color w:val="auto"/>
        </w:rPr>
      </w:pPr>
    </w:p>
    <w:p>
      <w:pPr>
        <w:jc w:val="both"/>
        <w:ind w:left="660" w:hanging="304"/>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ind w:left="660" w:hanging="304"/>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Presented as a percentage of total forecasted collections.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t>The risk of a material change in our forecasted collection rate declines as the Consumer Loans age. For 2010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spread between the forecasted collection rate and the advance rate declined during the 2005 through 2007 period as we increased advance rates during this period in response to a more difficult competitive environment. During 2008 and 2009, the spread increased as the competitive environment improved, and we reduced advance rates. In addition, during 2009, the spread was positively impacted by better than expected Consumer Loan performance. During the 2010 through 2013 period, the spread decreased as we again increased advance rates in response to the competitive environment. The decline in the spread from 2013 to 2014 is primarily the result of the performance of 2013 Consumer Loans, which has exceeded our initial expectations.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changes in Consumer Loan assignment volume in each of the last five quarters and the two month period ended May 31, 2014, as compared to the same period in the previous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Year over Year Percent Change</w:t>
            </w:r>
          </w:p>
        </w:tc>
      </w:tr>
      <w:tr>
        <w:trPr>
          <w:trHeight w:val="198"/>
        </w:trPr>
        <w:tc>
          <w:tcPr>
            <w:tcW w:w="20" w:type="dxa"/>
            <w:vAlign w:val="bottom"/>
          </w:tcPr>
          <w:p>
            <w:pPr>
              <w:spacing w:after="0"/>
              <w:rPr>
                <w:sz w:val="17"/>
                <w:szCs w:val="17"/>
                <w:color w:val="auto"/>
              </w:rPr>
            </w:pPr>
          </w:p>
        </w:tc>
        <w:tc>
          <w:tcPr>
            <w:tcW w:w="8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0"/>
              </w:rPr>
              <w:t>Dollar Volume</w:t>
            </w:r>
          </w:p>
        </w:tc>
        <w:tc>
          <w:tcPr>
            <w:tcW w:w="1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8600" w:type="dxa"/>
            <w:vAlign w:val="bottom"/>
            <w:tcBorders>
              <w:bottom w:val="single" w:sz="8" w:color="auto"/>
            </w:tcBorders>
          </w:tcPr>
          <w:p>
            <w:pPr>
              <w:ind w:left="404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1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Unit Volume</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March 31, 2013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Quarter ended June 30, 2013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September 30, 2013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Quarter ended December 31, 2013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12.6%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 ended March 31, 2014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r>
      <w:tr>
        <w:trPr>
          <w:trHeight w:val="230"/>
        </w:trPr>
        <w:tc>
          <w:tcPr>
            <w:tcW w:w="20" w:type="dxa"/>
            <w:vAlign w:val="bottom"/>
          </w:tcPr>
          <w:p>
            <w:pPr>
              <w:spacing w:after="0"/>
              <w:rPr>
                <w:sz w:val="20"/>
                <w:szCs w:val="20"/>
                <w:color w:val="auto"/>
              </w:rPr>
            </w:pPr>
          </w:p>
        </w:tc>
        <w:tc>
          <w:tcPr>
            <w:tcW w:w="8700" w:type="dxa"/>
            <w:vAlign w:val="bottom"/>
            <w:gridSpan w:val="2"/>
          </w:tcPr>
          <w:p>
            <w:pPr>
              <w:spacing w:after="0"/>
              <w:rPr>
                <w:sz w:val="20"/>
                <w:szCs w:val="20"/>
                <w:color w:val="auto"/>
              </w:rPr>
            </w:pPr>
            <w:r>
              <w:rPr>
                <w:rFonts w:ascii="Arial" w:cs="Arial" w:eastAsia="Arial" w:hAnsi="Arial"/>
                <w:sz w:val="18"/>
                <w:szCs w:val="18"/>
                <w:color w:val="auto"/>
              </w:rPr>
              <w:t>Two month period ended May 31, 2014</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bl>
    <w:p>
      <w:pPr>
        <w:spacing w:after="0" w:line="214" w:lineRule="exact"/>
        <w:rPr>
          <w:sz w:val="20"/>
          <w:szCs w:val="20"/>
          <w:color w:val="auto"/>
        </w:rPr>
      </w:pPr>
    </w:p>
    <w:p>
      <w:pPr>
        <w:jc w:val="both"/>
        <w:ind w:left="980" w:hanging="299"/>
        <w:spacing w:after="0" w:line="256"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980" w:hanging="29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Dollar volume grew 6.4% for the one month period ended April 30, 2014. May 2014 dollar volume was unavailable at the time of this release.</w:t>
      </w:r>
    </w:p>
    <w:p>
      <w:pPr>
        <w:spacing w:after="0" w:line="2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product,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 volume grew 3.9% during the two months ended May 31, 2014 as the number of active dealers grew 11.6% and average volume per active dealer declined 7.2%.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6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For the Two Months Ended May 31,</w:t>
            </w:r>
          </w:p>
        </w:tc>
        <w:tc>
          <w:tcPr>
            <w:tcW w:w="406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For the Five Months Ended May 31,</w:t>
            </w: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4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Change</w:t>
            </w:r>
          </w:p>
        </w:tc>
        <w:tc>
          <w:tcPr>
            <w:tcW w:w="4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Consumer Loan unit volume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35,181</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33,876</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90,981</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w:t>
            </w: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Active dealers (1)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4,557</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11.6%</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13.3%</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active dealer</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r>
    </w:tbl>
    <w:p>
      <w:pPr>
        <w:spacing w:after="0" w:line="229" w:lineRule="exact"/>
        <w:rPr>
          <w:sz w:val="20"/>
          <w:szCs w:val="20"/>
          <w:color w:val="auto"/>
        </w:rPr>
      </w:pPr>
    </w:p>
    <w:p>
      <w:pPr>
        <w:ind w:left="5660" w:right="2140" w:hanging="5142"/>
        <w:spacing w:after="0" w:line="731" w:lineRule="auto"/>
        <w:tabs>
          <w:tab w:leader="none" w:pos="809"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Active dealers are dealers who have received funding for at least one dealer loan or purchased loan during the period.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1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For the Two Months Ended May 31,</w:t>
            </w:r>
          </w:p>
        </w:tc>
        <w:tc>
          <w:tcPr>
            <w:tcW w:w="406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2"/>
              </w:rPr>
              <w:t>For the Five Months Ended May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Consumer Loan unit volume from dealers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active both periods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26,532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28,404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80,878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81,188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Dealers active both periods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2,758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3,570</w:t>
            </w: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3,570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volume per dealers active</w:t>
            </w:r>
          </w:p>
        </w:tc>
        <w:tc>
          <w:tcPr>
            <w:tcW w:w="11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both periods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Consumer Loan unit volume from new</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dealers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1,412</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2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New active dealers (1)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338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423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1,101</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Average volume per new active dealers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Attrition (2)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20" w:right="20" w:hanging="302"/>
        <w:spacing w:after="0" w:line="25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active dealers are dealers who enrolled in our program and have received funding for their first dealer loan or purchased loan from us during the period.</w:t>
      </w:r>
    </w:p>
    <w:p>
      <w:pPr>
        <w:spacing w:after="0" w:line="1" w:lineRule="exact"/>
        <w:rPr>
          <w:rFonts w:ascii="Arial" w:cs="Arial" w:eastAsia="Arial" w:hAnsi="Arial"/>
          <w:sz w:val="18"/>
          <w:szCs w:val="18"/>
          <w:color w:val="auto"/>
        </w:rPr>
      </w:pPr>
    </w:p>
    <w:p>
      <w:pPr>
        <w:jc w:val="both"/>
        <w:ind w:left="820" w:hanging="302"/>
        <w:spacing w:after="0" w:line="255"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Attrition is measured according to the following formula: decrease in Consumer Loan unit volume from dealers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to Investors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release is for informational purposes only and is not an offer to buy or the solicitation of an offer to sell any shares of Credit Acceptance’s common stock. The solicitation of offers to buy Credit Acceptance’s common stock is only being made pursuant to the Offer to Purchase and related materials that Credit Acceptance has filed on Schedule TO with the Securities and Exchange Commission (the “SEC”). Shareholders are urged to read Credit Acceptance’s Tender Offer Statement on Schedule TO (the “Statement”) filed with the SEC in connection with the tender offer, which includes as exhibits the Offer to Purchase and the related Letter of Transmittal, as well as any amendments or supplements to the Statement when they become available, because they contain important information. Each of these documents has been or will be filed with the SEC, and shareholders may obtain them free of charge from the SEC at the SEC’s Website (http://www.sec.gov/) or from Georgeson, Inc., the Information Agent for the tender offer, toll free at (866) 729-6818.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to our Form 10-K for the year ended December 31, 2013, filed with the SEC on February 14, 2014, other risk factors discussed herein or listed from time to time in our reports filed with the SEC and the following:</w:t>
      </w:r>
    </w:p>
    <w:p>
      <w:pPr>
        <w:spacing w:after="0" w:line="200" w:lineRule="exact"/>
        <w:rPr>
          <w:sz w:val="20"/>
          <w:szCs w:val="20"/>
          <w:color w:val="auto"/>
        </w:rPr>
      </w:pPr>
    </w:p>
    <w:p>
      <w:pPr>
        <w:spacing w:after="0" w:line="259" w:lineRule="exact"/>
        <w:rPr>
          <w:sz w:val="20"/>
          <w:szCs w:val="20"/>
          <w:color w:val="auto"/>
        </w:rPr>
      </w:pPr>
    </w:p>
    <w:p>
      <w:pPr>
        <w:ind w:left="660" w:hanging="139"/>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materially adverse impact on our operations.</w:t>
      </w:r>
    </w:p>
    <w:p>
      <w:pPr>
        <w:ind w:left="660" w:hanging="139"/>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ind w:left="660" w:hanging="139"/>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 w:name="page9"/>
    <w:bookmarkEnd w:id="8"/>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139"/>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concentration of automotive dealers that participate in our program in several states could adversely affect us.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properly safeguard confidential consumer information could subject us to liability, decrease our profitability and damage our reputation.</w:t>
      </w:r>
    </w:p>
    <w:p>
      <w:pPr>
        <w:spacing w:after="0" w:line="32" w:lineRule="exact"/>
        <w:rPr>
          <w:rFonts w:ascii="Arial" w:cs="Arial" w:eastAsia="Arial" w:hAnsi="Arial"/>
          <w:sz w:val="16"/>
          <w:szCs w:val="16"/>
          <w:color w:val="auto"/>
        </w:rPr>
      </w:pPr>
    </w:p>
    <w:p>
      <w:pPr>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other security holders.</w:t>
      </w: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results of operations. We do not undertake, and expressly disclaim any obligation, to update or alter our statements whether as a result of new information, future events or otherwise, except as required by applicable law.</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automobile dealers financing programs that enable them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product, but who actually end up qualifying for traditional financing.</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Without our financing programs, consumers are often unable to purchase a vehicle or they purchase an unreliable one. Further, as we report to the three national credit reporting agencies, an important ancillary benefit of our programs is that we provide a significant number of our consumers with an opportunity to improve their lives by improving their credit score and move on to more traditional sources of financing. Credit Acceptance is publicly traded on the NASDAQ under the symbol CACC. For more information, visit </w:t>
      </w:r>
      <w:r>
        <w:rPr>
          <w:rFonts w:ascii="Arial" w:cs="Arial" w:eastAsia="Arial" w:hAnsi="Arial"/>
          <w:sz w:val="18"/>
          <w:szCs w:val="18"/>
          <w:u w:val="single" w:color="auto"/>
          <w:color w:val="auto"/>
        </w:rPr>
        <w:t>creditacceptance.com.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2019-12-06T06:21:06Z</dcterms:created>
  <dcterms:modified xsi:type="dcterms:W3CDTF">2019-12-06T06:21:06Z</dcterms:modified>
</cp:coreProperties>
</file>