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FORM ABS-15G</w:t>
      </w:r>
    </w:p>
    <w:p>
      <w:pPr>
        <w:spacing w:after="0" w:line="252"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ASSET-BACKED SECURITIZER</w:t>
      </w:r>
    </w:p>
    <w:p>
      <w:pPr>
        <w:spacing w:after="0" w:line="27"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REPORT PURSUANT TO SECTION 15G OF</w:t>
      </w:r>
    </w:p>
    <w:p>
      <w:pPr>
        <w:spacing w:after="0" w:line="9"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indicate the filing obligation which this form is intended to satisfy:</w:t>
      </w:r>
    </w:p>
    <w:p>
      <w:pPr>
        <w:spacing w:after="0" w:line="398" w:lineRule="exact"/>
        <w:rPr>
          <w:sz w:val="24"/>
          <w:szCs w:val="24"/>
          <w:color w:val="auto"/>
        </w:rPr>
      </w:pPr>
    </w:p>
    <w:p>
      <w:pPr>
        <w:ind w:left="40"/>
        <w:spacing w:after="0" w:line="207" w:lineRule="exact"/>
        <w:tabs>
          <w:tab w:leader="none" w:pos="74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15Ga-1 under the Exchange Act (17 CFR 240.15Ga-1) for the reporting period:</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4068445</wp:posOffset>
            </wp:positionH>
            <wp:positionV relativeFrom="paragraph">
              <wp:posOffset>-26035</wp:posOffset>
            </wp:positionV>
            <wp:extent cx="1346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70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-54610</wp:posOffset>
            </wp:positionV>
            <wp:extent cx="23914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700"/>
        <w:spacing w:after="0"/>
        <w:rPr>
          <w:sz w:val="20"/>
          <w:szCs w:val="20"/>
          <w:color w:val="auto"/>
        </w:rPr>
      </w:pPr>
      <w:r>
        <w:rPr>
          <w:rFonts w:ascii="Arial" w:cs="Arial" w:eastAsia="Arial" w:hAnsi="Arial"/>
          <w:sz w:val="18"/>
          <w:szCs w:val="18"/>
          <w:color w:val="auto"/>
        </w:rPr>
        <w:t>Commission File Number of securitizer: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-54610</wp:posOffset>
            </wp:positionV>
            <wp:extent cx="2571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700"/>
        <w:spacing w:after="0"/>
        <w:rPr>
          <w:sz w:val="20"/>
          <w:szCs w:val="20"/>
          <w:color w:val="auto"/>
        </w:rPr>
      </w:pPr>
      <w:r>
        <w:rPr>
          <w:rFonts w:ascii="Arial" w:cs="Arial" w:eastAsia="Arial" w:hAnsi="Arial"/>
          <w:sz w:val="18"/>
          <w:szCs w:val="18"/>
          <w:color w:val="auto"/>
        </w:rPr>
        <w:t>Central Index Key Number of securitizer: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-54610</wp:posOffset>
            </wp:positionV>
            <wp:extent cx="25203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03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347980</wp:posOffset>
            </wp:positionV>
            <wp:extent cx="5589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099"/>
        <w:spacing w:after="0"/>
        <w:rPr>
          <w:sz w:val="20"/>
          <w:szCs w:val="20"/>
          <w:color w:val="auto"/>
        </w:rPr>
      </w:pPr>
      <w:r>
        <w:rPr>
          <w:rFonts w:ascii="Arial" w:cs="Arial" w:eastAsia="Arial" w:hAnsi="Arial"/>
          <w:sz w:val="18"/>
          <w:szCs w:val="18"/>
          <w:color w:val="auto"/>
        </w:rPr>
        <w:t>Name and telephone number, including area code, of the person to</w:t>
      </w:r>
    </w:p>
    <w:p>
      <w:pPr>
        <w:jc w:val="center"/>
        <w:ind w:right="-1099"/>
        <w:spacing w:after="0"/>
        <w:rPr>
          <w:sz w:val="20"/>
          <w:szCs w:val="20"/>
          <w:color w:val="auto"/>
        </w:rPr>
      </w:pPr>
      <w:r>
        <w:rPr>
          <w:rFonts w:ascii="Arial" w:cs="Arial" w:eastAsia="Arial" w:hAnsi="Arial"/>
          <w:sz w:val="18"/>
          <w:szCs w:val="18"/>
          <w:color w:val="auto"/>
        </w:rPr>
        <w:t>contact in connection with this filing</w:t>
      </w:r>
    </w:p>
    <w:p>
      <w:pPr>
        <w:spacing w:after="0" w:line="286"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Indicate by check mark whether the securitizer has no activity to report for the initial period pursuant to Rule 15Ga-1(c)(1) </w:t>
      </w:r>
      <w:r>
        <w:rPr>
          <w:rFonts w:ascii="MS PGothic" w:cs="MS PGothic" w:eastAsia="MS PGothic" w:hAnsi="MS PGothic"/>
          <w:sz w:val="18"/>
          <w:szCs w:val="18"/>
          <w:color w:val="auto"/>
        </w:rPr>
        <w:t>☐</w:t>
      </w:r>
    </w:p>
    <w:p>
      <w:pPr>
        <w:spacing w:after="0" w:line="252"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securitizer has no activity to report for the quarterly period pursuant to Rule 15Ga-1(c)(2)(i) </w:t>
      </w:r>
      <w:r>
        <w:rPr>
          <w:rFonts w:ascii="MS PGothic" w:cs="MS PGothic" w:eastAsia="MS PGothic" w:hAnsi="MS PGothic"/>
          <w:sz w:val="16"/>
          <w:szCs w:val="16"/>
          <w:color w:val="auto"/>
        </w:rPr>
        <w:t>☐</w:t>
      </w:r>
    </w:p>
    <w:p>
      <w:pPr>
        <w:spacing w:after="0" w:line="316"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securitizer has no activity to report for the annual period pursuant to Rule 15Ga-1(c)(2)(ii) </w:t>
      </w:r>
      <w:r>
        <w:rPr>
          <w:rFonts w:ascii="MS PGothic" w:cs="MS PGothic" w:eastAsia="MS PGothic" w:hAnsi="MS PGothic"/>
          <w:sz w:val="16"/>
          <w:szCs w:val="16"/>
          <w:color w:val="auto"/>
        </w:rPr>
        <w:t>☐</w:t>
      </w:r>
    </w:p>
    <w:p>
      <w:pPr>
        <w:spacing w:after="0" w:line="34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15Ga-2 under the Exchange Act (17 CFR 240.15Ga-2).</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Central Index Key Number of depositor: 0000885550</w:t>
      </w:r>
    </w:p>
    <w:p>
      <w:pPr>
        <w:spacing w:after="0" w:line="23" w:lineRule="exact"/>
        <w:rPr>
          <w:sz w:val="24"/>
          <w:szCs w:val="24"/>
          <w:color w:val="auto"/>
        </w:rPr>
      </w:pPr>
    </w:p>
    <w:p>
      <w:pPr>
        <w:jc w:val="center"/>
        <w:ind w:right="-1099"/>
        <w:spacing w:after="0"/>
        <w:rPr>
          <w:sz w:val="20"/>
          <w:szCs w:val="20"/>
          <w:color w:val="auto"/>
        </w:rPr>
      </w:pPr>
      <w:r>
        <w:rPr>
          <w:rFonts w:ascii="Arial" w:cs="Arial" w:eastAsia="Arial" w:hAnsi="Arial"/>
          <w:sz w:val="25"/>
          <w:szCs w:val="25"/>
          <w:b w:val="1"/>
          <w:bCs w:val="1"/>
          <w:color w:val="auto"/>
        </w:rPr>
        <w:t>Credit Acceptance Auto Loan Trust 2023-3</w:t>
      </w:r>
    </w:p>
    <w:p>
      <w:pPr>
        <w:spacing w:after="0" w:line="18"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(Exact name of issuing entity as specified in its charter)</w:t>
      </w:r>
    </w:p>
    <w:p>
      <w:pPr>
        <w:spacing w:after="0" w:line="38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Commission File Number of issuing entity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3099435</wp:posOffset>
            </wp:positionH>
            <wp:positionV relativeFrom="paragraph">
              <wp:posOffset>-62865</wp:posOffset>
            </wp:positionV>
            <wp:extent cx="1868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0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Central Index Key Number of underwriter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-60325</wp:posOffset>
            </wp:positionV>
            <wp:extent cx="1903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86"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Douglas W. Busk, Chief Treasury Officer, (248) 353-2700 (ext. 4432)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14605</wp:posOffset>
            </wp:positionV>
            <wp:extent cx="5589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pacing w:after="0" w:line="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Name and telephone number, including area code, of the person to</w:t>
      </w:r>
    </w:p>
    <w:p>
      <w:pPr>
        <w:ind w:left="4300"/>
        <w:spacing w:after="0"/>
        <w:rPr>
          <w:sz w:val="20"/>
          <w:szCs w:val="20"/>
          <w:color w:val="auto"/>
        </w:rPr>
      </w:pPr>
      <w:r>
        <w:rPr>
          <w:rFonts w:ascii="Arial" w:cs="Arial" w:eastAsia="Arial" w:hAnsi="Arial"/>
          <w:sz w:val="18"/>
          <w:szCs w:val="18"/>
          <w:color w:val="auto"/>
        </w:rPr>
        <w:t>contact in connection with this filing</w:t>
      </w:r>
    </w:p>
    <w:p>
      <w:pPr>
        <w:sectPr>
          <w:pgSz w:w="11900" w:h="16838" w:orient="portrait"/>
          <w:cols w:equalWidth="0" w:num="1">
            <w:col w:w="10140"/>
          </w:cols>
          <w:pgMar w:left="320" w:top="1440" w:right="1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Findings and Conclusions of a Third Party Due Diligence Report Obtained by the Issuer</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Attached as Exhibit 99.1 hereto is a Report of Independent Certified Public Accountants, dated August 4, 2023, of Grant Thornton LLP, which report sets forth the findings and conclusions, as applicable, of Grant Thornton LLP with respect to certain agreed-upon procedures performed by Grant Thornton LLP.</w:t>
      </w:r>
    </w:p>
    <w:p>
      <w:pPr>
        <w:sectPr>
          <w:pgSz w:w="11900" w:h="16838" w:orient="portrait"/>
          <w:cols w:equalWidth="0" w:num="1">
            <w:col w:w="11240"/>
          </w:cols>
          <w:pgMar w:left="320" w:top="1417" w:right="339" w:bottom="1440" w:gutter="0" w:footer="0" w:header="0"/>
        </w:sectPr>
      </w:pPr>
    </w:p>
    <w:bookmarkStart w:id="2" w:name="page3"/>
    <w:bookmarkEnd w:id="2"/>
    <w:p>
      <w:pPr>
        <w:ind w:left="48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w w:val="91"/>
              </w:rPr>
              <w:t>Exhibit No.</w:t>
            </w:r>
          </w:p>
        </w:tc>
        <w:tc>
          <w:tcPr>
            <w:tcW w:w="70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6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gridSpan w:val="3"/>
            <w:vMerge w:val="continue"/>
          </w:tcPr>
          <w:p>
            <w:pPr>
              <w:spacing w:after="0" w:line="20" w:lineRule="exact"/>
              <w:rPr>
                <w:sz w:val="1"/>
                <w:szCs w:val="1"/>
                <w:color w:val="auto"/>
              </w:rPr>
            </w:pPr>
          </w:p>
        </w:tc>
        <w:tc>
          <w:tcPr>
            <w:tcW w:w="7860" w:type="dxa"/>
            <w:vAlign w:val="bottom"/>
            <w:gridSpan w:val="3"/>
            <w:vMerge w:val="restart"/>
          </w:tcPr>
          <w:p>
            <w:pPr>
              <w:ind w:left="700"/>
              <w:spacing w:after="0"/>
              <w:rPr>
                <w:sz w:val="20"/>
                <w:szCs w:val="20"/>
                <w:color w:val="auto"/>
              </w:rPr>
            </w:pPr>
            <w:r>
              <w:rPr>
                <w:rFonts w:ascii="Arial" w:cs="Arial" w:eastAsia="Arial" w:hAnsi="Arial"/>
                <w:sz w:val="18"/>
                <w:szCs w:val="18"/>
                <w:color w:val="auto"/>
                <w:w w:val="91"/>
              </w:rPr>
              <w:t>Report of Independent Certified Public Accountants, dated August 4, 2023, of Grant Thornton LLP.</w:t>
            </w:r>
          </w:p>
        </w:tc>
        <w:tc>
          <w:tcPr>
            <w:tcW w:w="0" w:type="dxa"/>
            <w:vAlign w:val="bottom"/>
          </w:tcPr>
          <w:p>
            <w:pPr>
              <w:spacing w:after="0" w:line="20" w:lineRule="exact"/>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tcPr>
          <w:p>
            <w:pPr>
              <w:spacing w:after="0"/>
              <w:rPr>
                <w:sz w:val="24"/>
                <w:szCs w:val="24"/>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78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39"/>
          </w:cols>
          <w:pgMar w:left="420" w:top="8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reporting entity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(Depositor)</w:t>
      </w:r>
    </w:p>
    <w:p>
      <w:pPr>
        <w:spacing w:after="0" w:line="130"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480" w:type="dxa"/>
            <w:vAlign w:val="bottom"/>
          </w:tcPr>
          <w:p>
            <w:pPr>
              <w:ind w:left="60"/>
              <w:spacing w:after="0"/>
              <w:rPr>
                <w:sz w:val="20"/>
                <w:szCs w:val="20"/>
                <w:color w:val="auto"/>
              </w:rPr>
            </w:pPr>
            <w:r>
              <w:rPr>
                <w:rFonts w:ascii="Arial" w:cs="Arial" w:eastAsia="Arial" w:hAnsi="Arial"/>
                <w:sz w:val="18"/>
                <w:szCs w:val="18"/>
                <w:color w:val="auto"/>
              </w:rPr>
              <w:t>/s/ Douglas W. Busk</w:t>
            </w:r>
          </w:p>
        </w:tc>
        <w:tc>
          <w:tcPr>
            <w:tcW w:w="0" w:type="dxa"/>
            <w:vAlign w:val="bottom"/>
          </w:tcPr>
          <w:p>
            <w:pPr>
              <w:spacing w:after="0"/>
              <w:rPr>
                <w:sz w:val="1"/>
                <w:szCs w:val="1"/>
                <w:color w:val="auto"/>
              </w:rPr>
            </w:pPr>
          </w:p>
        </w:tc>
      </w:tr>
      <w:tr>
        <w:trPr>
          <w:trHeight w:val="40"/>
        </w:trPr>
        <w:tc>
          <w:tcPr>
            <w:tcW w:w="540" w:type="dxa"/>
            <w:vAlign w:val="bottom"/>
            <w:vMerge w:val="restart"/>
          </w:tcPr>
          <w:p>
            <w:pPr>
              <w:spacing w:after="0"/>
              <w:rPr>
                <w:sz w:val="20"/>
                <w:szCs w:val="20"/>
                <w:color w:val="auto"/>
              </w:rPr>
            </w:pPr>
            <w:r>
              <w:rPr>
                <w:rFonts w:ascii="Arial" w:cs="Arial" w:eastAsia="Arial" w:hAnsi="Arial"/>
                <w:sz w:val="18"/>
                <w:szCs w:val="18"/>
                <w:color w:val="auto"/>
                <w:w w:val="98"/>
              </w:rPr>
              <w:t>Name:</w:t>
            </w:r>
          </w:p>
        </w:tc>
        <w:tc>
          <w:tcPr>
            <w:tcW w:w="2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40" w:type="dxa"/>
            <w:vAlign w:val="bottom"/>
            <w:vMerge w:val="continue"/>
          </w:tcPr>
          <w:p>
            <w:pPr>
              <w:spacing w:after="0"/>
              <w:rPr>
                <w:sz w:val="19"/>
                <w:szCs w:val="19"/>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auto"/>
              </w:rPr>
              <w:t>Douglas W. Busk</w:t>
            </w:r>
          </w:p>
        </w:tc>
        <w:tc>
          <w:tcPr>
            <w:tcW w:w="0" w:type="dxa"/>
            <w:vAlign w:val="bottom"/>
          </w:tcPr>
          <w:p>
            <w:pPr>
              <w:spacing w:after="0"/>
              <w:rPr>
                <w:sz w:val="1"/>
                <w:szCs w:val="1"/>
                <w:color w:val="auto"/>
              </w:rPr>
            </w:pPr>
          </w:p>
        </w:tc>
      </w:tr>
      <w:tr>
        <w:trPr>
          <w:trHeight w:val="269"/>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2480" w:type="dxa"/>
            <w:vAlign w:val="bottom"/>
          </w:tcPr>
          <w:p>
            <w:pPr>
              <w:ind w:left="60"/>
              <w:spacing w:after="0"/>
              <w:rPr>
                <w:sz w:val="20"/>
                <w:szCs w:val="20"/>
                <w:color w:val="auto"/>
              </w:rPr>
            </w:pPr>
            <w:r>
              <w:rPr>
                <w:rFonts w:ascii="Arial" w:cs="Arial" w:eastAsia="Arial" w:hAnsi="Arial"/>
                <w:sz w:val="18"/>
                <w:szCs w:val="18"/>
                <w:color w:val="auto"/>
              </w:rPr>
              <w:t>Chief Treasury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Date: August 04, 2023</w:t>
      </w:r>
    </w:p>
    <w:p>
      <w:pPr>
        <w:sectPr>
          <w:pgSz w:w="11900" w:h="16838" w:orient="portrait"/>
          <w:cols w:equalWidth="0" w:num="1">
            <w:col w:w="11240"/>
          </w:cols>
          <w:pgMar w:left="320" w:top="89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ITEM 4 AND ITEM 5</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CERTIFIED PUBLIC ACCOUNTANTS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Management of Credit Acceptance Corporation, Credit Acceptance Auto Loan Trust 2023-3 and Wells Fargo Securities, LLC.:</w:t>
      </w:r>
    </w:p>
    <w:p>
      <w:pPr>
        <w:spacing w:after="0" w:line="167" w:lineRule="exact"/>
        <w:rPr>
          <w:sz w:val="20"/>
          <w:szCs w:val="20"/>
          <w:color w:val="auto"/>
        </w:rPr>
      </w:pPr>
    </w:p>
    <w:p>
      <w:pPr>
        <w:jc w:val="both"/>
        <w:ind w:right="260"/>
        <w:spacing w:after="0" w:line="273" w:lineRule="auto"/>
        <w:rPr>
          <w:sz w:val="20"/>
          <w:szCs w:val="20"/>
          <w:color w:val="auto"/>
        </w:rPr>
      </w:pPr>
      <w:r>
        <w:rPr>
          <w:rFonts w:ascii="Arial" w:cs="Arial" w:eastAsia="Arial" w:hAnsi="Arial"/>
          <w:sz w:val="16"/>
          <w:szCs w:val="16"/>
          <w:color w:val="auto"/>
        </w:rPr>
        <w:t>We have performed the procedures enumerated below, on certain information with respect to attributes of Credit Acceptance Corporation’s (the “Company”) vehicle loans as of June 30, 2023 (the “Subject Matter”) related to Credit Acceptance Auto Loan Trust 2023-3’s (the “Issuer”) issuance of certain classes of Notes (the “Securitization Transaction”). The Company’s management is responsible for the data file accurately representing the information included in the underlying asset documents and the disclosed assumptions and methodologies.</w:t>
      </w:r>
    </w:p>
    <w:p>
      <w:pPr>
        <w:spacing w:after="0" w:line="108" w:lineRule="exact"/>
        <w:rPr>
          <w:sz w:val="20"/>
          <w:szCs w:val="20"/>
          <w:color w:val="auto"/>
        </w:rPr>
      </w:pPr>
    </w:p>
    <w:p>
      <w:pPr>
        <w:jc w:val="both"/>
        <w:ind w:right="260"/>
        <w:spacing w:after="0" w:line="271" w:lineRule="auto"/>
        <w:rPr>
          <w:sz w:val="20"/>
          <w:szCs w:val="20"/>
          <w:color w:val="auto"/>
        </w:rPr>
      </w:pPr>
      <w:r>
        <w:rPr>
          <w:rFonts w:ascii="Arial" w:cs="Arial" w:eastAsia="Arial" w:hAnsi="Arial"/>
          <w:sz w:val="16"/>
          <w:szCs w:val="16"/>
          <w:color w:val="auto"/>
        </w:rPr>
        <w:t>The Company has agreed to and acknowledged that the procedures performed are appropriate to meet the intended purpose of assisting specified parties in evaluating the Subject Matter. This report may not be suitable for any other purpose. Additionally, the Issuer and Wells Fargo Securities, LLC (“Wells Fargo” and together with the Company and the Issuer, the “Specified Parties”) have agreed to and acknowledged that the procedures performed are appropriate for their purposes. The procedures performed may not address all the items of interest to a user of this report and may not meet the needs of all users of this report and, as such, users are responsible for determining whether the procedures performed are appropriate for their purposes.</w:t>
      </w:r>
    </w:p>
    <w:p>
      <w:pPr>
        <w:spacing w:after="0" w:line="122" w:lineRule="exact"/>
        <w:rPr>
          <w:sz w:val="20"/>
          <w:szCs w:val="20"/>
          <w:color w:val="auto"/>
        </w:rPr>
      </w:pPr>
    </w:p>
    <w:p>
      <w:pPr>
        <w:jc w:val="both"/>
        <w:ind w:right="260"/>
        <w:spacing w:after="0" w:line="293" w:lineRule="auto"/>
        <w:rPr>
          <w:sz w:val="20"/>
          <w:szCs w:val="20"/>
          <w:color w:val="auto"/>
        </w:rPr>
      </w:pPr>
      <w:r>
        <w:rPr>
          <w:rFonts w:ascii="Arial" w:cs="Arial" w:eastAsia="Arial" w:hAnsi="Arial"/>
          <w:sz w:val="16"/>
          <w:szCs w:val="16"/>
          <w:color w:val="auto"/>
        </w:rPr>
        <w:t>Consequently, we make no representation regarding the appropriateness of the procedures enumerated below either for the purpose for which this report has been requested or for any other purpose.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procedures we performed on the automobile receivables and our findings are as follows.</w:t>
      </w:r>
    </w:p>
    <w:p>
      <w:pPr>
        <w:spacing w:after="0" w:line="154"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On July 10, 2023, the Company provided an electronic file (the “Data File”) with information for certain vehicle loans included in the Securitization Transaction, which the Company represented was as of the close of business on June 30, 2023.</w:t>
      </w:r>
    </w:p>
    <w:p>
      <w:pPr>
        <w:spacing w:after="0" w:line="1" w:lineRule="exact"/>
        <w:rPr>
          <w:sz w:val="20"/>
          <w:szCs w:val="20"/>
          <w:color w:val="auto"/>
        </w:rPr>
      </w:pPr>
    </w:p>
    <w:p>
      <w:pPr>
        <w:jc w:val="both"/>
        <w:ind w:right="260"/>
        <w:spacing w:after="0" w:line="276" w:lineRule="auto"/>
        <w:rPr>
          <w:sz w:val="20"/>
          <w:szCs w:val="20"/>
          <w:color w:val="auto"/>
        </w:rPr>
      </w:pPr>
      <w:r>
        <w:rPr>
          <w:rFonts w:ascii="Arial" w:cs="Arial" w:eastAsia="Arial" w:hAnsi="Arial"/>
          <w:sz w:val="16"/>
          <w:szCs w:val="16"/>
          <w:color w:val="auto"/>
        </w:rPr>
        <w:t>Grant Thornton selected one hundred vehicle loans on a random basis from the Data File. The sample of loans is listed in Exhibit A. For each of the selected loans we compared the following information, designated by Wells Fargo, to the related retail installment contract provided by the Company, and in instances where consumers changed their address subsequent to the origination of their loan, we compared the state to other Company records.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Loan number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Original amount financed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First payment date (scheduled)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Original term to maturity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Monthly payment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Interest rate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State</w:t>
      </w:r>
    </w:p>
    <w:p>
      <w:pPr>
        <w:spacing w:after="0" w:line="19" w:lineRule="exact"/>
        <w:rPr>
          <w:sz w:val="20"/>
          <w:szCs w:val="20"/>
          <w:color w:val="auto"/>
        </w:rPr>
      </w:pPr>
    </w:p>
    <w:p>
      <w:pPr>
        <w:ind w:right="480"/>
        <w:spacing w:after="0" w:line="288" w:lineRule="auto"/>
        <w:rPr>
          <w:sz w:val="20"/>
          <w:szCs w:val="20"/>
          <w:color w:val="auto"/>
        </w:rPr>
      </w:pPr>
      <w:r>
        <w:rPr>
          <w:rFonts w:ascii="Arial" w:cs="Arial" w:eastAsia="Arial" w:hAnsi="Arial"/>
          <w:sz w:val="16"/>
          <w:szCs w:val="16"/>
          <w:color w:val="auto"/>
        </w:rPr>
        <w:t>Compared the Vehicle Identification Number (“VIN”) on the contract to the VIN on the title document (actual title, title application, VINtek, or acceptable proof of lien, as applicable)</w:t>
      </w:r>
    </w:p>
    <w:p>
      <w:pPr>
        <w:spacing w:after="0" w:line="108" w:lineRule="exact"/>
        <w:rPr>
          <w:sz w:val="20"/>
          <w:szCs w:val="20"/>
          <w:color w:val="auto"/>
        </w:rPr>
      </w:pPr>
    </w:p>
    <w:p>
      <w:pPr>
        <w:jc w:val="both"/>
        <w:ind w:right="260"/>
        <w:spacing w:after="0" w:line="278" w:lineRule="auto"/>
        <w:rPr>
          <w:sz w:val="20"/>
          <w:szCs w:val="20"/>
          <w:color w:val="auto"/>
        </w:rPr>
      </w:pPr>
      <w:r>
        <w:rPr>
          <w:rFonts w:ascii="Arial" w:cs="Arial" w:eastAsia="Arial" w:hAnsi="Arial"/>
          <w:sz w:val="16"/>
          <w:szCs w:val="16"/>
          <w:color w:val="auto"/>
        </w:rPr>
        <w:t>We defined the term “compare” as meaning we compared to the information shown in the Data File and found it to be in agreement. Such information was deemed to be in agreement if differences were attributable to rounding. The term “rounding” was defined as meaning amounts and percentages that were within $1 and 0.1%, respectively. We noted no exceptions.</w:t>
      </w:r>
    </w:p>
    <w:p>
      <w:pPr>
        <w:spacing w:after="0" w:line="117" w:lineRule="exact"/>
        <w:rPr>
          <w:sz w:val="20"/>
          <w:szCs w:val="20"/>
          <w:color w:val="auto"/>
        </w:rPr>
      </w:pPr>
    </w:p>
    <w:p>
      <w:pPr>
        <w:jc w:val="both"/>
        <w:ind w:right="260"/>
        <w:spacing w:after="0" w:line="273" w:lineRule="auto"/>
        <w:rPr>
          <w:sz w:val="20"/>
          <w:szCs w:val="20"/>
          <w:color w:val="auto"/>
        </w:rPr>
      </w:pPr>
      <w:r>
        <w:rPr>
          <w:rFonts w:ascii="Arial" w:cs="Arial" w:eastAsia="Arial" w:hAnsi="Arial"/>
          <w:sz w:val="16"/>
          <w:szCs w:val="16"/>
          <w:color w:val="auto"/>
        </w:rPr>
        <w:t>We were engaged by the Company to perform this agreed-upon procedures engagement and conducted our engagement in accordance with attestation standards established by the American Institute of Certified Public Accountants. We were not engaged to and did not conduct an examination or review, the objective of which would be the expression of an opinion or conclusion, respectively, on the Subject Matter. Accordingly, we do not express such an opinion or conclusion. Had we performed additional procedures, other matters might have come to our attention that would have been reported to you.</w:t>
      </w:r>
    </w:p>
    <w:p>
      <w:pPr>
        <w:sectPr>
          <w:pgSz w:w="11900" w:h="16838" w:orient="portrait"/>
          <w:cols w:equalWidth="0" w:num="1">
            <w:col w:w="11240"/>
          </w:cols>
          <w:pgMar w:left="320" w:top="162"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Our agreed-upon procedures engagement was not conducted for the purpose of the following: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Addressing the conformity of the origination of the assets to stated underwriting or credit extension guidelines, standards, criteria, or other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Addressing the value of collateral securing any such assets being securitized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Addressing the compliance of the originator of the assets with federal, state, and local laws and regulations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Satisfying any criteria for due diligence published by a nationally recognized statistical rating organization</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Addressing any other factor or characteristic of the assets that would be material to the likelihood that the issuer of the asset-backed security will pay interest and principal in accordance with applicable terms and conditions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Forming any conclusions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Any other terms or requirements of the transaction that do not appear in this report.</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required to be independent of the Company and to meet our other ethical responsibilities, in accordance with the relevant ethical requirements related to our agreed-upon procedures engagement.</w:t>
      </w:r>
    </w:p>
    <w:p>
      <w:pPr>
        <w:spacing w:after="0" w:line="10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This report is intended solely for the information and use of the Specified Parties. It is not intended to be, and should not be, used by anyone other than these specified parties, including investors and rating agencies, who are not identified as specified parties but who may have access to this report as required by law or regulation.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August 4, 2023</w:t>
      </w:r>
    </w:p>
    <w:p>
      <w:pPr>
        <w:sectPr>
          <w:pgSz w:w="11900" w:h="16838" w:orient="portrait"/>
          <w:cols w:equalWidth="0" w:num="1">
            <w:col w:w="10980"/>
          </w:cols>
          <w:pgMar w:left="320" w:top="1440" w:right="599" w:bottom="1440" w:gutter="0" w:footer="0" w:header="0"/>
        </w:sectPr>
      </w:pPr>
    </w:p>
    <w:bookmarkStart w:id="6" w:name="page7"/>
    <w:bookmarkEnd w:id="6"/>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A</w:t>
      </w: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480" w:type="dxa"/>
            <w:vAlign w:val="bottom"/>
            <w:tcBorders>
              <w:top w:val="single" w:sz="8" w:color="00000A"/>
              <w:left w:val="single" w:sz="8" w:color="00000A"/>
              <w:right w:val="single" w:sz="8" w:color="00000A"/>
            </w:tcBorders>
          </w:tcPr>
          <w:p>
            <w:pPr>
              <w:ind w:left="500"/>
              <w:spacing w:after="0"/>
              <w:rPr>
                <w:sz w:val="20"/>
                <w:szCs w:val="20"/>
                <w:color w:val="auto"/>
              </w:rPr>
            </w:pPr>
            <w:r>
              <w:rPr>
                <w:rFonts w:ascii="Arial" w:cs="Arial" w:eastAsia="Arial" w:hAnsi="Arial"/>
                <w:sz w:val="14"/>
                <w:szCs w:val="14"/>
                <w:color w:val="auto"/>
              </w:rPr>
              <w:t>Sample</w:t>
            </w:r>
          </w:p>
        </w:tc>
        <w:tc>
          <w:tcPr>
            <w:tcW w:w="2380" w:type="dxa"/>
            <w:vAlign w:val="bottom"/>
            <w:tcBorders>
              <w:top w:val="single" w:sz="8" w:color="00000A"/>
              <w:right w:val="single" w:sz="8" w:color="00000A"/>
            </w:tcBorders>
          </w:tcPr>
          <w:p>
            <w:pPr>
              <w:ind w:left="740"/>
              <w:spacing w:after="0"/>
              <w:rPr>
                <w:sz w:val="20"/>
                <w:szCs w:val="20"/>
                <w:color w:val="auto"/>
              </w:rPr>
            </w:pPr>
            <w:r>
              <w:rPr>
                <w:rFonts w:ascii="Arial" w:cs="Arial" w:eastAsia="Arial" w:hAnsi="Arial"/>
                <w:sz w:val="14"/>
                <w:szCs w:val="14"/>
                <w:color w:val="auto"/>
              </w:rPr>
              <w:t>Loan Number</w:t>
            </w:r>
          </w:p>
        </w:tc>
        <w:tc>
          <w:tcPr>
            <w:tcW w:w="14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Sample</w:t>
            </w:r>
          </w:p>
        </w:tc>
        <w:tc>
          <w:tcPr>
            <w:tcW w:w="2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Loan Number</w:t>
            </w:r>
          </w:p>
        </w:tc>
        <w:tc>
          <w:tcPr>
            <w:tcW w:w="1440" w:type="dxa"/>
            <w:vAlign w:val="bottom"/>
            <w:tcBorders>
              <w:top w:val="single" w:sz="8" w:color="00000A"/>
              <w:right w:val="single" w:sz="8" w:color="00000A"/>
            </w:tcBorders>
          </w:tcPr>
          <w:p>
            <w:pPr>
              <w:ind w:left="460"/>
              <w:spacing w:after="0"/>
              <w:rPr>
                <w:sz w:val="20"/>
                <w:szCs w:val="20"/>
                <w:color w:val="auto"/>
              </w:rPr>
            </w:pPr>
            <w:r>
              <w:rPr>
                <w:rFonts w:ascii="Arial" w:cs="Arial" w:eastAsia="Arial" w:hAnsi="Arial"/>
                <w:sz w:val="14"/>
                <w:szCs w:val="14"/>
                <w:color w:val="auto"/>
              </w:rPr>
              <w:t>Sample</w:t>
            </w:r>
          </w:p>
        </w:tc>
        <w:tc>
          <w:tcPr>
            <w:tcW w:w="2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Loan Number</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XXXX1093</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35</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XXXXX7934</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69</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XXXXX7246</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XXXX3376</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36</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XXXXX9434</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70</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XXXXX0210</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25"/>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3</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XXXX1393</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37</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XXXXX1535</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71</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XXXXX4900</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4</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XXXX9181</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38</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XXXXX7487</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72</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XXXXX8917</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5</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XXXX8591</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39</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XXXXX5438</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73</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XXXXX9813</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24"/>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6</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XXXX8602</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40</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XXXXX6727</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74</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XXXXX0894</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7</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XXXX2996</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41</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XXXXX4096</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75</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XXXXX7673</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24"/>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8</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w w:val="99"/>
              </w:rPr>
              <w:t>XXXX1178</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42</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XXXXX4244</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76</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XXXXX5708</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9</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XXXX8658</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43</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XXXXX3298</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77</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XXXXX6985</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10</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XXXX2003</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44</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XXXXX2284</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78</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XXXXX2813</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24"/>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11</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XXXX2923</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45</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XXXXX0409</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79</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XXXXX4270</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12</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XXXX8662</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46</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XXXXX4221</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80</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XXXXX2950</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13</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XXXX7001</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47</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XXXXX5248</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81</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XXXXX8719</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25"/>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14</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XXXX8689</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48</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XXXXX8402</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82</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XXXXX5947</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15</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XXXX1836</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49</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XXXXX7519</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83</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XXXXX1231</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16</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XXXX8002</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50</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XXXXX3516</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84</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XXXXX5322</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24"/>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17</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XXXX4914</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51</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XXXXX2367</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85</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XXXXX9320</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18</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XXXXX0617</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52</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XXXXX3480</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86</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XXXXX7070</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25"/>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19</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XXXXX6972</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53</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XXXXX2503</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87</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XXXXX8986</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20</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XXXXX4233</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54</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XXXXX8014</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88</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XXXXX1283</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21</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XXXXX6786</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55</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XXXXX0644</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89</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XXXXX2748</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25"/>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22</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XXXXX7237</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56</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XXXXX8336</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90</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XXXXX7385</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23</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XXXXX4554</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57</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XXXXX8660</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91</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XXXXX9335</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24</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XXXXX7897</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58</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XXXXX1961</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92</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XXXXX2218</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25"/>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25</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XXXXX5267</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59</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XXXXX4709</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93</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XXXXX4539</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26</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XXXXX6131</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60</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XXXXX2759</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94</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XXXXX0095</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27</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XXXXX4708</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61</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XXXXX3696</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95</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XXXXX5627</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25"/>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28</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XXXXX1965</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62</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XXXXX5488</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96</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XXXXX3793</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29</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XXXXX2432</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63</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XXXXX4714</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97</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XXXXX8344</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30</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XXXXX2807</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64</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XXXXX4096</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98</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XXXXX5377</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24"/>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31</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XXXXX6709</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65</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XXXXX6233</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99</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XXXXX7085</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32</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XXXXX4292</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66</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XXXXX8449</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100</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XXXXX6726</w:t>
            </w: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24"/>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33</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XXXXX8530</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67</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XXXXX0545</w:t>
            </w:r>
          </w:p>
        </w:tc>
        <w:tc>
          <w:tcPr>
            <w:tcW w:w="1440" w:type="dxa"/>
            <w:vAlign w:val="bottom"/>
            <w:tcBorders>
              <w:right w:val="single" w:sz="8" w:color="00000A"/>
            </w:tcBorders>
          </w:tcPr>
          <w:p>
            <w:pPr>
              <w:spacing w:after="0"/>
              <w:rPr>
                <w:sz w:val="19"/>
                <w:szCs w:val="19"/>
                <w:color w:val="auto"/>
              </w:rPr>
            </w:pPr>
          </w:p>
        </w:tc>
        <w:tc>
          <w:tcPr>
            <w:tcW w:w="2240" w:type="dxa"/>
            <w:vAlign w:val="bottom"/>
            <w:tcBorders>
              <w:right w:val="single" w:sz="8" w:color="00000A"/>
            </w:tcBorders>
          </w:tcPr>
          <w:p>
            <w:pPr>
              <w:spacing w:after="0"/>
              <w:rPr>
                <w:sz w:val="19"/>
                <w:szCs w:val="19"/>
                <w:color w:val="auto"/>
              </w:rPr>
            </w:pP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r>
        <w:trPr>
          <w:trHeight w:val="238"/>
        </w:trPr>
        <w:tc>
          <w:tcPr>
            <w:tcW w:w="1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34</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XXXXX7124</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68</w:t>
            </w:r>
          </w:p>
        </w:tc>
        <w:tc>
          <w:tcPr>
            <w:tcW w:w="2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XXXXX4067</w:t>
            </w:r>
          </w:p>
        </w:tc>
        <w:tc>
          <w:tcPr>
            <w:tcW w:w="1440" w:type="dxa"/>
            <w:vAlign w:val="bottom"/>
            <w:tcBorders>
              <w:right w:val="single" w:sz="8" w:color="00000A"/>
            </w:tcBorders>
          </w:tcPr>
          <w:p>
            <w:pPr>
              <w:spacing w:after="0"/>
              <w:rPr>
                <w:sz w:val="20"/>
                <w:szCs w:val="20"/>
                <w:color w:val="auto"/>
              </w:rPr>
            </w:pPr>
          </w:p>
        </w:tc>
        <w:tc>
          <w:tcPr>
            <w:tcW w:w="2240" w:type="dxa"/>
            <w:vAlign w:val="bottom"/>
            <w:tcBorders>
              <w:right w:val="single" w:sz="8" w:color="00000A"/>
            </w:tcBorders>
          </w:tcPr>
          <w:p>
            <w:pPr>
              <w:spacing w:after="0"/>
              <w:rPr>
                <w:sz w:val="20"/>
                <w:szCs w:val="20"/>
                <w:color w:val="auto"/>
              </w:rPr>
            </w:pPr>
          </w:p>
        </w:tc>
      </w:tr>
      <w:tr>
        <w:trPr>
          <w:trHeight w:val="66"/>
        </w:trPr>
        <w:tc>
          <w:tcPr>
            <w:tcW w:w="1480" w:type="dxa"/>
            <w:vAlign w:val="bottom"/>
            <w:tcBorders>
              <w:left w:val="single" w:sz="8" w:color="00000A"/>
              <w:bottom w:val="single" w:sz="8" w:color="00000A"/>
              <w:right w:val="single" w:sz="8" w:color="00000A"/>
            </w:tcBorders>
          </w:tcPr>
          <w:p>
            <w:pPr>
              <w:spacing w:after="0"/>
              <w:rPr>
                <w:sz w:val="5"/>
                <w:szCs w:val="5"/>
                <w:color w:val="auto"/>
              </w:rPr>
            </w:pPr>
          </w:p>
        </w:tc>
        <w:tc>
          <w:tcPr>
            <w:tcW w:w="2380" w:type="dxa"/>
            <w:vAlign w:val="bottom"/>
            <w:tcBorders>
              <w:bottom w:val="single" w:sz="8" w:color="00000A"/>
              <w:right w:val="single" w:sz="8" w:color="00000A"/>
            </w:tcBorders>
          </w:tcPr>
          <w:p>
            <w:pPr>
              <w:spacing w:after="0"/>
              <w:rPr>
                <w:sz w:val="5"/>
                <w:szCs w:val="5"/>
                <w:color w:val="auto"/>
              </w:rPr>
            </w:pPr>
          </w:p>
        </w:tc>
        <w:tc>
          <w:tcPr>
            <w:tcW w:w="146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c>
          <w:tcPr>
            <w:tcW w:w="1440" w:type="dxa"/>
            <w:vAlign w:val="bottom"/>
            <w:tcBorders>
              <w:bottom w:val="single" w:sz="8" w:color="00000A"/>
              <w:right w:val="single" w:sz="8" w:color="00000A"/>
            </w:tcBorders>
          </w:tcPr>
          <w:p>
            <w:pPr>
              <w:spacing w:after="0"/>
              <w:rPr>
                <w:sz w:val="5"/>
                <w:szCs w:val="5"/>
                <w:color w:val="auto"/>
              </w:rPr>
            </w:pPr>
          </w:p>
        </w:tc>
        <w:tc>
          <w:tcPr>
            <w:tcW w:w="2240" w:type="dxa"/>
            <w:vAlign w:val="bottom"/>
            <w:tcBorders>
              <w:bottom w:val="single" w:sz="8" w:color="00000A"/>
              <w:right w:val="single" w:sz="8" w:color="00000A"/>
            </w:tcBorders>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2023-08-04T15:12:25Z</dcterms:created>
  <dcterms:modified xsi:type="dcterms:W3CDTF">2023-08-04T15:12:25Z</dcterms:modified>
</cp:coreProperties>
</file>